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107.jpeg" ContentType="image/jpeg"/>
  <Override PartName="/word/media/image40.jpeg" ContentType="image/jpeg"/>
  <Override PartName="/word/media/image13.jpeg" ContentType="image/jpeg"/>
  <Override PartName="/word/media/image109.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106.jpeg" ContentType="image/jpeg"/>
  <Override PartName="/word/media/image52.jpeg" ContentType="image/jpeg"/>
  <Override PartName="/word/media/image29.jpeg" ContentType="image/jpeg"/>
  <Override PartName="/word/media/image12.jpeg" ContentType="image/jpeg"/>
  <Override PartName="/word/media/image88.jpeg" ContentType="image/jpeg"/>
  <Override PartName="/word/media/image108.jpeg" ContentType="image/jpeg"/>
  <Override PartName="/word/media/image38.jpeg" ContentType="image/jpeg"/>
  <Override PartName="/word/media/image97.jpeg" ContentType="image/jpeg"/>
  <Override PartName="/word/media/image7.jpeg" ContentType="image/jpeg"/>
  <Override PartName="/word/media/image51.jpeg" ContentType="image/jpeg"/>
  <Override PartName="/word/media/image6.jpeg" ContentType="image/jpeg"/>
  <Override PartName="/word/media/image50.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61.jpeg" ContentType="image/jpeg"/>
  <Override PartName="/word/media/image78.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63.jpeg" ContentType="image/jpeg"/>
  <Override PartName="/word/media/image90.jpeg" ContentType="image/jpeg"/>
  <Override PartName="/word/media/image64.jpeg" ContentType="image/jpeg"/>
  <Override PartName="/word/media/image91.jpeg" ContentType="image/jpeg"/>
  <Override PartName="/word/media/image65.jpeg" ContentType="image/jpeg"/>
  <Override PartName="/word/media/image92.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1.jpeg" ContentType="image/jpeg"/>
  <Override PartName="/word/media/image70.jpeg" ContentType="image/jpeg"/>
  <Override PartName="/word/media/image99.jpeg" ContentType="image/jpeg"/>
  <Override PartName="/word/media/image93.jpeg" ContentType="image/jpeg"/>
  <Override PartName="/word/media/image96.jpeg" ContentType="image/jpeg"/>
  <Override PartName="/word/media/image76.jpeg" ContentType="image/jpeg"/>
  <Override PartName="/word/media/image95.jpeg" ContentType="image/jpeg"/>
  <Override PartName="/word/media/image75.jpeg" ContentType="image/jpeg"/>
  <Override PartName="/word/media/image94.jpeg" ContentType="image/jpeg"/>
  <Override PartName="/word/media/image20.jpeg" ContentType="image/jpeg"/>
  <Override PartName="/word/media/image74.jpeg" ContentType="image/jpeg"/>
  <Override PartName="/word/media/image73.jpeg" ContentType="image/jpeg"/>
  <Override PartName="/word/media/image72.jpeg" ContentType="image/jpeg"/>
  <Override PartName="/word/media/image100.jpeg" ContentType="image/jpeg"/>
  <Override PartName="/word/media/image21.jpeg" ContentType="image/jpeg"/>
  <Override PartName="/word/media/image8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01.jpeg" ContentType="image/jpeg"/>
  <Override PartName="/word/media/image81.jpeg" ContentType="image/jpeg"/>
  <Override PartName="/word/media/image89.jpeg" ContentType="image/jpeg"/>
  <Override PartName="/word/media/image1.jpeg" ContentType="image/jpeg"/>
  <Override PartName="/word/media/image35.jpeg" ContentType="image/jpeg"/>
  <Override PartName="/word/media/image102.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103.jpeg" ContentType="image/jpeg"/>
  <Override PartName="/word/media/image83.jpeg" ContentType="image/jpeg"/>
  <Override PartName="/word/media/image24.jpeg" ContentType="image/jpeg"/>
  <Override PartName="/word/media/image25.jpeg" ContentType="image/jpeg"/>
  <Override PartName="/word/media/image104.jpeg" ContentType="image/jpeg"/>
  <Override PartName="/word/media/image8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23310_6k.htm"/>
      <w:bookmarkStart w:id="1" w:name="ksef20023310_6k"/>
      <w:bookmarkStart w:id="2" w:name="ef20023310_6k.htm"/>
      <w:bookmarkStart w:id="3" w:name="ksef20023310_6k"/>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6-K</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Report of Foreign Private Issuer</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Pursuant to Rule 13a-16 or 15d-16 under the</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Securities Exchange Act of 1934</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 the month of March 2024</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Commission File Number: 001-14014</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CREDICORP LTD.</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Of our subsidiary</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Banco de Credito del Peru:</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Calle Centenario 156</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La Molina 15026</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Lima, Peru</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Form 20-F ☒ Form 40-F☐</w:t>
      </w:r>
    </w:p>
    <w:p>
      <w:pPr>
        <w:pStyle w:val="TextBody"/>
        <w:bidi w:val="0"/>
        <w:spacing w:before="0" w:after="0"/>
        <w:ind w:left="4580" w:right="0" w:hanging="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pBdr>
          <w:bottom w:val="single" w:sz="12" w:space="0" w:color="808080"/>
        </w:pBdr>
        <w:bidi w:val="0"/>
        <w:spacing w:before="180" w:after="180"/>
        <w:jc w:val="left"/>
        <w:rPr/>
      </w:pPr>
      <w:r>
        <w:rPr/>
      </w:r>
    </w:p>
    <w:p>
      <w:pPr>
        <w:pStyle w:val="TextBody"/>
        <w:bidi w:val="0"/>
        <w:spacing w:before="0" w:after="0"/>
        <w:jc w:val="left"/>
        <w:rPr>
          <w:color w:val="000000"/>
        </w:rPr>
      </w:pPr>
      <w:r>
        <w:rPr>
          <w:color w:val="000000"/>
        </w:rPr>
        <w:drawing>
          <wp:inline distT="0" distB="0" distL="0" distR="0">
            <wp:extent cx="1819275"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19275" cy="342900"/>
                    </a:xfrm>
                    <a:prstGeom prst="rect">
                      <a:avLst/>
                    </a:prstGeom>
                  </pic:spPr>
                </pic:pic>
              </a:graphicData>
            </a:graphic>
          </wp:inline>
        </w:drawing>
      </w:r>
    </w:p>
    <w:p>
      <w:pPr>
        <w:pStyle w:val="TextBody"/>
        <w:bidi w:val="0"/>
        <w:spacing w:lineRule="auto" w:line="240" w:before="0" w:after="0"/>
        <w:jc w:val="left"/>
        <w:rPr>
          <w:rFonts w:ascii="Times New Roman;Times;serif" w:hAnsi="Times New Roman;Times;serif"/>
          <w:color w:val="000000"/>
          <w:sz w:val="20"/>
        </w:rPr>
      </w:pPr>
      <w:r>
        <w:rPr>
          <w:rFonts w:ascii="Times New Roman;Times;serif" w:hAnsi="Times New Roman;Times;serif"/>
          <w:color w:val="000000"/>
          <w:sz w:val="20"/>
        </w:rPr>
        <w:t>March 8th, 2024</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Securities and Exchange Commission - SEC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 MATERIAL EVENT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Dear Sirs: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Please find attached a copy of Credicorp’s Annual and Sustainability Report 2023, approved by the Company’s Board of Directors in its session held on February 29, 2024, and which will be presented to the Annual General Meeting of Shareholders on March 27, 2024.</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Sincerely,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 Guillermo Morales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Authorized Representative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Credicorp Ltd.</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180" w:after="18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535"/>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540" w:right="0" w:hanging="0"/>
        <w:jc w:val="left"/>
        <w:rPr>
          <w:rFonts w:ascii="Times New Roman" w:hAnsi="Times New Roman"/>
          <w:color w:val="000000"/>
          <w:sz w:val="20"/>
        </w:rPr>
      </w:pPr>
      <w:r>
        <w:rPr>
          <w:rFonts w:ascii="Times New Roman" w:hAnsi="Times New Roman"/>
          <w:color w:val="000000"/>
          <w:sz w:val="20"/>
        </w:rPr>
        <w:t>Date: March 8, 2024</w:t>
      </w:r>
    </w:p>
    <w:p>
      <w:pPr>
        <w:pStyle w:val="TextBody"/>
        <w:bidi w:val="0"/>
        <w:spacing w:before="0" w:after="0"/>
        <w:ind w:left="540" w:right="0" w:hanging="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4" w:name="z069c7a8171d542b8a4aed2683974d0c9"/>
      <w:bookmarkStart w:id="5" w:name="z069c7a8171d542b8a4aed2683974d0c9"/>
      <w:bookmarkEnd w:id="5"/>
    </w:p>
    <w:tbl>
      <w:tblPr>
        <w:tblW w:w="2613" w:type="dxa"/>
        <w:jc w:val="left"/>
        <w:tblInd w:w="0" w:type="dxa"/>
        <w:tblLayout w:type="fixed"/>
        <w:tblCellMar>
          <w:top w:w="0" w:type="dxa"/>
          <w:left w:w="0" w:type="dxa"/>
          <w:bottom w:w="0" w:type="dxa"/>
          <w:right w:w="0" w:type="dxa"/>
        </w:tblCellMar>
      </w:tblPr>
      <w:tblGrid>
        <w:gridCol w:w="23"/>
        <w:gridCol w:w="320"/>
        <w:gridCol w:w="2270"/>
      </w:tblGrid>
      <w:tr>
        <w:trPr/>
        <w:tc>
          <w:tcPr>
            <w:tcW w:w="23" w:type="dxa"/>
            <w:tcBorders/>
            <w:vAlign w:val="center"/>
          </w:tcPr>
          <w:p>
            <w:pPr>
              <w:pStyle w:val="TableContents"/>
              <w:bidi w:val="0"/>
              <w:spacing w:before="0" w:after="283"/>
              <w:jc w:val="left"/>
              <w:rPr/>
            </w:pPr>
            <w:r>
              <w:rPr/>
            </w:r>
          </w:p>
        </w:tc>
        <w:tc>
          <w:tcPr>
            <w:tcW w:w="2590" w:type="dxa"/>
            <w:gridSpan w:val="2"/>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CREDICORP LTD.</w:t>
            </w:r>
          </w:p>
        </w:tc>
      </w:tr>
      <w:tr>
        <w:trPr/>
        <w:tc>
          <w:tcPr>
            <w:tcW w:w="23" w:type="dxa"/>
            <w:tcBorders/>
            <w:vAlign w:val="center"/>
          </w:tcPr>
          <w:p>
            <w:pPr>
              <w:pStyle w:val="TableContents"/>
              <w:bidi w:val="0"/>
              <w:spacing w:before="0" w:after="283"/>
              <w:jc w:val="left"/>
              <w:rPr/>
            </w:pPr>
            <w:r>
              <w:rPr/>
            </w:r>
          </w:p>
        </w:tc>
        <w:tc>
          <w:tcPr>
            <w:tcW w:w="2590" w:type="dxa"/>
            <w:gridSpan w:val="2"/>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(Registrant)</w:t>
            </w:r>
          </w:p>
        </w:tc>
      </w:tr>
      <w:tr>
        <w:trPr/>
        <w:tc>
          <w:tcPr>
            <w:tcW w:w="23"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r>
          </w:p>
        </w:tc>
        <w:tc>
          <w:tcPr>
            <w:tcW w:w="2270"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By:</w:t>
            </w:r>
          </w:p>
        </w:tc>
        <w:tc>
          <w:tcPr>
            <w:tcW w:w="2270" w:type="dxa"/>
            <w:tcBorders>
              <w:bottom w:val="single" w:sz="12" w:space="0" w:color="000000"/>
            </w:tcBorders>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/s/ Guillermo Morales</w:t>
            </w:r>
          </w:p>
        </w:tc>
      </w:tr>
      <w:tr>
        <w:trPr/>
        <w:tc>
          <w:tcPr>
            <w:tcW w:w="23"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r>
          </w:p>
        </w:tc>
        <w:tc>
          <w:tcPr>
            <w:tcW w:w="227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Guillermo Morales</w:t>
            </w:r>
          </w:p>
        </w:tc>
      </w:tr>
      <w:tr>
        <w:trPr/>
        <w:tc>
          <w:tcPr>
            <w:tcW w:w="23"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r>
          </w:p>
        </w:tc>
        <w:tc>
          <w:tcPr>
            <w:tcW w:w="227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Authorized Representative</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ind w:left="0" w:right="0" w:hanging="0"/>
        <w:jc w:val="left"/>
        <w:rPr>
          <w:caps w:val="false"/>
          <w:smallCaps w:val="false"/>
        </w:rPr>
      </w:pPr>
      <w:bookmarkStart w:id="6" w:name="ef20023310_ex99-1.htm"/>
      <w:bookmarkStart w:id="7" w:name="ksef20023310_ex991"/>
      <w:bookmarkEnd w:id="6"/>
      <w:bookmarkEnd w:id="7"/>
      <w:r>
        <w:rPr>
          <w:caps w:val="false"/>
          <w:smallCaps w:val="false"/>
        </w:rPr>
        <w:t> </w:t>
      </w:r>
      <w:r>
        <w:br w:type="page"/>
      </w:r>
    </w:p>
    <w:p>
      <w:pPr>
        <w:pStyle w:val="TextBody"/>
        <w:bidi w:val="0"/>
        <w:spacing w:before="60" w:after="60"/>
        <w:ind w:left="284" w:right="0" w:hanging="0"/>
        <w:jc w:val="center"/>
        <w:rPr>
          <w:caps w:val="false"/>
          <w:smallCaps w:val="false"/>
          <w:bdr w:val="single" w:sz="32" w:space="1" w:color="000000"/>
        </w:rPr>
      </w:pPr>
      <w:r>
        <w:rPr>
          <w:caps w:val="false"/>
          <w:smallCaps w:val="false"/>
          <w:bdr w:val="single" w:sz="32" w:space="1" w:color="000000"/>
        </w:rPr>
        <w:t> </w:t>
      </w:r>
    </w:p>
    <w:p>
      <w:pPr>
        <w:pStyle w:val="TextBody"/>
        <w:bidi w:val="0"/>
        <w:spacing w:before="0" w:after="0"/>
        <w:ind w:left="284" w:right="0" w:hanging="0"/>
        <w:jc w:val="right"/>
        <w:rPr>
          <w:rFonts w:ascii="Arial" w:hAnsi="Arial"/>
          <w:b/>
          <w:i w:val="false"/>
          <w:caps w:val="false"/>
          <w:smallCaps w:val="false"/>
          <w:sz w:val="20"/>
        </w:rPr>
      </w:pPr>
      <w:r>
        <w:rPr>
          <w:rFonts w:ascii="Arial" w:hAnsi="Arial"/>
          <w:b/>
          <w:i w:val="false"/>
          <w:caps w:val="false"/>
          <w:smallCaps w:val="false"/>
          <w:sz w:val="20"/>
        </w:rPr>
        <w:t>Exhibit 99.1</w:t>
      </w:r>
    </w:p>
    <w:p>
      <w:pPr>
        <w:pStyle w:val="TextBody"/>
        <w:bidi w:val="0"/>
        <w:spacing w:before="0" w:after="0"/>
        <w:ind w:left="284" w:right="0" w:hanging="0"/>
        <w:jc w:val="center"/>
        <w:rPr>
          <w:caps w:val="false"/>
          <w:smallCaps w:val="false"/>
        </w:rPr>
      </w:pPr>
      <w:r>
        <w:rPr>
          <w:caps w:val="false"/>
          <w:smallCaps w:val="false"/>
        </w:rPr>
        <w:t> </w:t>
      </w:r>
    </w:p>
    <w:p>
      <w:pPr>
        <w:pStyle w:val="TextBody"/>
        <w:bidi w:val="0"/>
        <w:spacing w:before="0" w:after="0"/>
        <w:ind w:left="284" w:right="0" w:hanging="0"/>
        <w:jc w:val="center"/>
        <w:rPr>
          <w:rFonts w:ascii="Arial" w:hAnsi="Arial"/>
          <w:b/>
          <w:i w:val="false"/>
          <w:caps w:val="false"/>
          <w:smallCaps w:val="false"/>
          <w:sz w:val="48"/>
        </w:rPr>
      </w:pPr>
      <w:r>
        <w:rPr>
          <w:rFonts w:ascii="Arial" w:hAnsi="Arial"/>
          <w:b/>
          <w:i w:val="false"/>
          <w:caps w:val="false"/>
          <w:smallCaps w:val="false"/>
          <w:sz w:val="48"/>
        </w:rPr>
        <w:t xml:space="preserve">Annual and Sustainability Report </w:t>
      </w:r>
    </w:p>
    <w:p>
      <w:pPr>
        <w:pStyle w:val="TextBody"/>
        <w:bidi w:val="0"/>
        <w:spacing w:before="0" w:after="0"/>
        <w:ind w:left="284" w:right="0" w:hanging="0"/>
        <w:jc w:val="center"/>
        <w:rPr>
          <w:caps w:val="false"/>
          <w:smallCaps w:val="false"/>
        </w:rPr>
      </w:pPr>
      <w:r>
        <w:rPr>
          <w:caps w:val="false"/>
          <w:smallCaps w:val="false"/>
        </w:rPr>
        <w:t> </w:t>
      </w:r>
    </w:p>
    <w:p>
      <w:pPr>
        <w:pStyle w:val="TextBody"/>
        <w:bidi w:val="0"/>
        <w:spacing w:before="0" w:after="0"/>
        <w:ind w:left="284" w:right="0" w:hanging="0"/>
        <w:jc w:val="center"/>
        <w:rPr>
          <w:caps w:val="false"/>
          <w:smallCaps w:val="false"/>
        </w:rPr>
      </w:pPr>
      <w:r>
        <w:rPr>
          <w:caps w:val="false"/>
          <w:smallCaps w:val="false"/>
        </w:rPr>
        <w:drawing>
          <wp:inline distT="0" distB="0" distL="0" distR="0">
            <wp:extent cx="2505075" cy="323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505075" cy="323850"/>
                    </a:xfrm>
                    <a:prstGeom prst="rect">
                      <a:avLst/>
                    </a:prstGeom>
                  </pic:spPr>
                </pic:pic>
              </a:graphicData>
            </a:graphic>
          </wp:inline>
        </w:drawing>
      </w:r>
      <w:r>
        <w:rPr>
          <w:caps w:val="false"/>
          <w:smallCaps w:val="false"/>
        </w:rPr>
        <w:t> </w:t>
      </w:r>
    </w:p>
    <w:p>
      <w:pPr>
        <w:pStyle w:val="TextBody"/>
        <w:bidi w:val="0"/>
        <w:spacing w:before="0" w:after="0"/>
        <w:ind w:left="284" w:right="0" w:hanging="0"/>
        <w:jc w:val="center"/>
        <w:rPr>
          <w:caps w:val="false"/>
          <w:smallCaps w:val="false"/>
        </w:rPr>
      </w:pPr>
      <w:r>
        <w:rPr>
          <w:caps w:val="false"/>
          <w:smallCaps w:val="false"/>
        </w:rPr>
        <w:t> </w:t>
      </w:r>
    </w:p>
    <w:p>
      <w:pPr>
        <w:pStyle w:val="TextBody"/>
        <w:bidi w:val="0"/>
        <w:spacing w:before="0" w:after="0"/>
        <w:ind w:left="284" w:right="0" w:hanging="0"/>
        <w:jc w:val="center"/>
        <w:rPr>
          <w:rFonts w:ascii="Arial" w:hAnsi="Arial"/>
          <w:b/>
          <w:i w:val="false"/>
          <w:caps w:val="false"/>
          <w:smallCaps w:val="false"/>
          <w:sz w:val="48"/>
        </w:rPr>
      </w:pPr>
      <w:r>
        <w:rPr>
          <w:rFonts w:ascii="Arial" w:hAnsi="Arial"/>
          <w:b/>
          <w:i w:val="false"/>
          <w:caps w:val="false"/>
          <w:smallCaps w:val="false"/>
          <w:sz w:val="48"/>
        </w:rPr>
        <w:t>2023</w:t>
      </w:r>
    </w:p>
    <w:p>
      <w:pPr>
        <w:pStyle w:val="TextBody"/>
        <w:bidi w:val="0"/>
        <w:spacing w:before="0" w:after="0"/>
        <w:ind w:left="284" w:right="0" w:hanging="0"/>
        <w:jc w:val="center"/>
        <w:rPr>
          <w:caps w:val="false"/>
          <w:smallCaps w:val="false"/>
        </w:rPr>
      </w:pPr>
      <w:r>
        <w:rPr>
          <w:caps w:val="false"/>
          <w:smallCaps w:val="false"/>
        </w:rPr>
        <w:t> </w:t>
      </w:r>
    </w:p>
    <w:p>
      <w:pPr>
        <w:pStyle w:val="TextBody"/>
        <w:bidi w:val="0"/>
        <w:spacing w:before="200" w:after="200"/>
        <w:ind w:left="284"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p>
      <w:pPr>
        <w:pStyle w:val="HorizontalLine"/>
        <w:pBdr>
          <w:bottom w:val="single" w:sz="12" w:space="0" w:color="808080"/>
        </w:pBdr>
        <w:bidi w:val="0"/>
        <w:spacing w:before="200" w:after="200"/>
        <w:jc w:val="left"/>
        <w:rPr/>
      </w:pPr>
      <w:r>
        <w:rPr/>
      </w:r>
    </w:p>
    <w:p>
      <w:pPr>
        <w:pStyle w:val="TextBody"/>
        <w:bidi w:val="0"/>
        <w:spacing w:before="0" w:after="0"/>
        <w:ind w:left="284" w:right="0" w:hanging="0"/>
        <w:jc w:val="center"/>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36"/>
        </w:rPr>
      </w:pPr>
      <w:r>
        <w:rPr>
          <w:rFonts w:ascii="Arial" w:hAnsi="Arial"/>
          <w:b/>
          <w:i w:val="false"/>
          <w:caps w:val="false"/>
          <w:smallCaps w:val="false"/>
          <w:sz w:val="36"/>
        </w:rPr>
        <w:t>Annual Report</w:t>
      </w:r>
    </w:p>
    <w:p>
      <w:pPr>
        <w:pStyle w:val="TextBody"/>
        <w:bidi w:val="0"/>
        <w:spacing w:before="0" w:after="0"/>
        <w:ind w:left="0" w:right="0" w:hanging="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4340"/>
        <w:gridCol w:w="305"/>
      </w:tblGrid>
      <w:tr>
        <w:trPr/>
        <w:tc>
          <w:tcPr>
            <w:tcW w:w="4340" w:type="dxa"/>
            <w:tcBorders/>
            <w:vAlign w:val="center"/>
          </w:tcPr>
          <w:p>
            <w:pPr>
              <w:pStyle w:val="TableContents"/>
              <w:bidi w:val="0"/>
              <w:spacing w:before="0" w:after="283"/>
              <w:jc w:val="left"/>
              <w:rPr/>
            </w:pPr>
            <w:hyperlink w:anchor="a001_v1">
              <w:r>
                <w:rPr>
                  <w:rStyle w:val="InternetLink"/>
                  <w:rFonts w:ascii="Arial" w:hAnsi="Arial"/>
                  <w:b/>
                  <w:i/>
                  <w:caps w:val="false"/>
                  <w:smallCaps w:val="false"/>
                  <w:sz w:val="24"/>
                </w:rPr>
                <w:t>Letter from the Chairman of the Board</w:t>
              </w:r>
            </w:hyperlink>
          </w:p>
        </w:tc>
        <w:tc>
          <w:tcPr>
            <w:tcW w:w="305" w:type="dxa"/>
            <w:tcBorders/>
            <w:vAlign w:val="center"/>
          </w:tcPr>
          <w:p>
            <w:pPr>
              <w:pStyle w:val="TableContents"/>
              <w:bidi w:val="0"/>
              <w:spacing w:before="0" w:after="283"/>
              <w:jc w:val="right"/>
              <w:rPr>
                <w:rFonts w:ascii="Arial" w:hAnsi="Arial"/>
                <w:b/>
                <w:i/>
                <w:caps w:val="false"/>
                <w:smallCaps w:val="false"/>
                <w:sz w:val="24"/>
              </w:rPr>
            </w:pPr>
            <w:r>
              <w:rPr>
                <w:rFonts w:ascii="Arial" w:hAnsi="Arial"/>
                <w:b/>
                <w:i/>
                <w:caps w:val="false"/>
                <w:smallCaps w:val="false"/>
                <w:sz w:val="24"/>
              </w:rPr>
              <w:t>3</w:t>
            </w:r>
          </w:p>
        </w:tc>
      </w:tr>
      <w:tr>
        <w:trPr/>
        <w:tc>
          <w:tcPr>
            <w:tcW w:w="4340" w:type="dxa"/>
            <w:tcBorders/>
            <w:vAlign w:val="center"/>
          </w:tcPr>
          <w:p>
            <w:pPr>
              <w:pStyle w:val="TableContents"/>
              <w:bidi w:val="0"/>
              <w:spacing w:before="0" w:after="283"/>
              <w:jc w:val="left"/>
              <w:rPr/>
            </w:pPr>
            <w:hyperlink w:anchor="a002_v1">
              <w:r>
                <w:rPr>
                  <w:rStyle w:val="InternetLink"/>
                  <w:rFonts w:ascii="Arial" w:hAnsi="Arial"/>
                  <w:b/>
                  <w:i/>
                  <w:caps w:val="false"/>
                  <w:smallCaps w:val="false"/>
                  <w:sz w:val="24"/>
                </w:rPr>
                <w:t>Our Purpose, Vision and Values</w:t>
              </w:r>
            </w:hyperlink>
          </w:p>
        </w:tc>
        <w:tc>
          <w:tcPr>
            <w:tcW w:w="305" w:type="dxa"/>
            <w:tcBorders/>
            <w:vAlign w:val="center"/>
          </w:tcPr>
          <w:p>
            <w:pPr>
              <w:pStyle w:val="TableContents"/>
              <w:bidi w:val="0"/>
              <w:spacing w:before="0" w:after="283"/>
              <w:jc w:val="right"/>
              <w:rPr>
                <w:rFonts w:ascii="Arial" w:hAnsi="Arial"/>
                <w:b/>
                <w:i/>
                <w:caps w:val="false"/>
                <w:smallCaps w:val="false"/>
                <w:sz w:val="24"/>
              </w:rPr>
            </w:pPr>
            <w:r>
              <w:rPr>
                <w:rFonts w:ascii="Arial" w:hAnsi="Arial"/>
                <w:b/>
                <w:i/>
                <w:caps w:val="false"/>
                <w:smallCaps w:val="false"/>
                <w:sz w:val="24"/>
              </w:rPr>
              <w:t>8</w:t>
            </w:r>
          </w:p>
        </w:tc>
      </w:tr>
      <w:tr>
        <w:trPr/>
        <w:tc>
          <w:tcPr>
            <w:tcW w:w="4340" w:type="dxa"/>
            <w:tcBorders/>
            <w:vAlign w:val="center"/>
          </w:tcPr>
          <w:p>
            <w:pPr>
              <w:pStyle w:val="TableContents"/>
              <w:bidi w:val="0"/>
              <w:spacing w:before="0" w:after="283"/>
              <w:jc w:val="left"/>
              <w:rPr/>
            </w:pPr>
            <w:hyperlink w:anchor="a003_v1">
              <w:r>
                <w:rPr>
                  <w:rStyle w:val="InternetLink"/>
                  <w:rFonts w:ascii="Arial" w:hAnsi="Arial"/>
                  <w:b/>
                  <w:i/>
                  <w:caps w:val="false"/>
                  <w:smallCaps w:val="false"/>
                  <w:sz w:val="24"/>
                </w:rPr>
                <w:t>Credicorp at a glance</w:t>
              </w:r>
            </w:hyperlink>
          </w:p>
        </w:tc>
        <w:tc>
          <w:tcPr>
            <w:tcW w:w="305" w:type="dxa"/>
            <w:tcBorders/>
            <w:vAlign w:val="center"/>
          </w:tcPr>
          <w:p>
            <w:pPr>
              <w:pStyle w:val="TableContents"/>
              <w:bidi w:val="0"/>
              <w:spacing w:before="0" w:after="283"/>
              <w:jc w:val="right"/>
              <w:rPr>
                <w:rFonts w:ascii="Arial" w:hAnsi="Arial"/>
                <w:b/>
                <w:i/>
                <w:caps w:val="false"/>
                <w:smallCaps w:val="false"/>
                <w:sz w:val="24"/>
              </w:rPr>
            </w:pPr>
            <w:r>
              <w:rPr>
                <w:rFonts w:ascii="Arial" w:hAnsi="Arial"/>
                <w:b/>
                <w:i/>
                <w:caps w:val="false"/>
                <w:smallCaps w:val="false"/>
                <w:sz w:val="24"/>
              </w:rPr>
              <w:t>10</w:t>
            </w:r>
          </w:p>
        </w:tc>
      </w:tr>
      <w:tr>
        <w:trPr/>
        <w:tc>
          <w:tcPr>
            <w:tcW w:w="4340" w:type="dxa"/>
            <w:tcBorders/>
            <w:vAlign w:val="center"/>
          </w:tcPr>
          <w:p>
            <w:pPr>
              <w:pStyle w:val="TableContents"/>
              <w:bidi w:val="0"/>
              <w:spacing w:before="0" w:after="283"/>
              <w:jc w:val="left"/>
              <w:rPr/>
            </w:pPr>
            <w:hyperlink w:anchor="a004_v1">
              <w:r>
                <w:rPr>
                  <w:rStyle w:val="InternetLink"/>
                  <w:rFonts w:ascii="Arial" w:hAnsi="Arial"/>
                  <w:b/>
                  <w:i/>
                  <w:caps w:val="false"/>
                  <w:smallCaps w:val="false"/>
                  <w:sz w:val="24"/>
                </w:rPr>
                <w:t>Group Description</w:t>
              </w:r>
            </w:hyperlink>
          </w:p>
        </w:tc>
        <w:tc>
          <w:tcPr>
            <w:tcW w:w="305" w:type="dxa"/>
            <w:tcBorders/>
            <w:vAlign w:val="center"/>
          </w:tcPr>
          <w:p>
            <w:pPr>
              <w:pStyle w:val="TableContents"/>
              <w:bidi w:val="0"/>
              <w:spacing w:before="0" w:after="283"/>
              <w:jc w:val="right"/>
              <w:rPr>
                <w:rFonts w:ascii="Arial" w:hAnsi="Arial"/>
                <w:b/>
                <w:i/>
                <w:caps w:val="false"/>
                <w:smallCaps w:val="false"/>
                <w:sz w:val="24"/>
              </w:rPr>
            </w:pPr>
            <w:r>
              <w:rPr>
                <w:rFonts w:ascii="Arial" w:hAnsi="Arial"/>
                <w:b/>
                <w:i/>
                <w:caps w:val="false"/>
                <w:smallCaps w:val="false"/>
                <w:sz w:val="24"/>
              </w:rPr>
              <w:t>12</w:t>
            </w:r>
          </w:p>
        </w:tc>
      </w:tr>
      <w:tr>
        <w:trPr/>
        <w:tc>
          <w:tcPr>
            <w:tcW w:w="4340" w:type="dxa"/>
            <w:tcBorders/>
            <w:vAlign w:val="center"/>
          </w:tcPr>
          <w:p>
            <w:pPr>
              <w:pStyle w:val="TableContents"/>
              <w:bidi w:val="0"/>
              <w:spacing w:before="0" w:after="283"/>
              <w:jc w:val="left"/>
              <w:rPr/>
            </w:pPr>
            <w:hyperlink w:anchor="a005_v1">
              <w:r>
                <w:rPr>
                  <w:rStyle w:val="InternetLink"/>
                  <w:rFonts w:ascii="Arial" w:hAnsi="Arial"/>
                  <w:b/>
                  <w:i/>
                  <w:caps w:val="false"/>
                  <w:smallCaps w:val="false"/>
                  <w:sz w:val="24"/>
                </w:rPr>
                <w:t>Our businesses in 2023</w:t>
              </w:r>
            </w:hyperlink>
          </w:p>
        </w:tc>
        <w:tc>
          <w:tcPr>
            <w:tcW w:w="305" w:type="dxa"/>
            <w:tcBorders/>
            <w:vAlign w:val="center"/>
          </w:tcPr>
          <w:p>
            <w:pPr>
              <w:pStyle w:val="TableContents"/>
              <w:bidi w:val="0"/>
              <w:spacing w:before="0" w:after="283"/>
              <w:jc w:val="right"/>
              <w:rPr>
                <w:rFonts w:ascii="Arial" w:hAnsi="Arial"/>
                <w:b/>
                <w:i/>
                <w:caps w:val="false"/>
                <w:smallCaps w:val="false"/>
                <w:sz w:val="24"/>
              </w:rPr>
            </w:pPr>
            <w:r>
              <w:rPr>
                <w:rFonts w:ascii="Arial" w:hAnsi="Arial"/>
                <w:b/>
                <w:i/>
                <w:caps w:val="false"/>
                <w:smallCaps w:val="false"/>
                <w:sz w:val="24"/>
              </w:rPr>
              <w:t>19</w:t>
            </w:r>
          </w:p>
        </w:tc>
      </w:tr>
      <w:tr>
        <w:trPr/>
        <w:tc>
          <w:tcPr>
            <w:tcW w:w="4340" w:type="dxa"/>
            <w:tcBorders/>
            <w:vAlign w:val="center"/>
          </w:tcPr>
          <w:p>
            <w:pPr>
              <w:pStyle w:val="TableContents"/>
              <w:bidi w:val="0"/>
              <w:spacing w:before="0" w:after="283"/>
              <w:jc w:val="left"/>
              <w:rPr/>
            </w:pPr>
            <w:hyperlink w:anchor="a006_v1">
              <w:r>
                <w:rPr>
                  <w:rStyle w:val="InternetLink"/>
                  <w:rFonts w:ascii="Arial" w:hAnsi="Arial"/>
                  <w:b/>
                  <w:i/>
                  <w:caps w:val="false"/>
                  <w:smallCaps w:val="false"/>
                  <w:sz w:val="24"/>
                </w:rPr>
                <w:t>Economic Enviroment</w:t>
              </w:r>
            </w:hyperlink>
          </w:p>
        </w:tc>
        <w:tc>
          <w:tcPr>
            <w:tcW w:w="305" w:type="dxa"/>
            <w:tcBorders/>
            <w:vAlign w:val="center"/>
          </w:tcPr>
          <w:p>
            <w:pPr>
              <w:pStyle w:val="TableContents"/>
              <w:bidi w:val="0"/>
              <w:spacing w:before="0" w:after="283"/>
              <w:jc w:val="right"/>
              <w:rPr>
                <w:rFonts w:ascii="Arial" w:hAnsi="Arial"/>
                <w:b/>
                <w:i/>
                <w:caps w:val="false"/>
                <w:smallCaps w:val="false"/>
                <w:sz w:val="24"/>
              </w:rPr>
            </w:pPr>
            <w:r>
              <w:rPr>
                <w:rFonts w:ascii="Arial" w:hAnsi="Arial"/>
                <w:b/>
                <w:i/>
                <w:caps w:val="false"/>
                <w:smallCaps w:val="false"/>
                <w:sz w:val="24"/>
              </w:rPr>
              <w:t>24</w:t>
            </w:r>
          </w:p>
        </w:tc>
      </w:tr>
      <w:tr>
        <w:trPr/>
        <w:tc>
          <w:tcPr>
            <w:tcW w:w="4340" w:type="dxa"/>
            <w:tcBorders/>
            <w:vAlign w:val="center"/>
          </w:tcPr>
          <w:p>
            <w:pPr>
              <w:pStyle w:val="TableContents"/>
              <w:bidi w:val="0"/>
              <w:spacing w:before="0" w:after="283"/>
              <w:jc w:val="left"/>
              <w:rPr/>
            </w:pPr>
            <w:hyperlink w:anchor="a007_v1">
              <w:r>
                <w:rPr>
                  <w:rStyle w:val="InternetLink"/>
                  <w:rFonts w:ascii="Arial" w:hAnsi="Arial"/>
                  <w:b/>
                  <w:i/>
                  <w:caps w:val="false"/>
                  <w:smallCaps w:val="false"/>
                  <w:sz w:val="24"/>
                </w:rPr>
                <w:t>Economic and Financial Performance</w:t>
              </w:r>
            </w:hyperlink>
          </w:p>
        </w:tc>
        <w:tc>
          <w:tcPr>
            <w:tcW w:w="305" w:type="dxa"/>
            <w:tcBorders/>
            <w:vAlign w:val="center"/>
          </w:tcPr>
          <w:p>
            <w:pPr>
              <w:pStyle w:val="TableContents"/>
              <w:bidi w:val="0"/>
              <w:spacing w:before="0" w:after="283"/>
              <w:jc w:val="right"/>
              <w:rPr>
                <w:rFonts w:ascii="Arial" w:hAnsi="Arial"/>
                <w:b/>
                <w:i/>
                <w:caps w:val="false"/>
                <w:smallCaps w:val="false"/>
                <w:sz w:val="24"/>
              </w:rPr>
            </w:pPr>
            <w:r>
              <w:rPr>
                <w:rFonts w:ascii="Arial" w:hAnsi="Arial"/>
                <w:b/>
                <w:i/>
                <w:caps w:val="false"/>
                <w:smallCaps w:val="false"/>
                <w:sz w:val="24"/>
              </w:rPr>
              <w:t>28</w:t>
            </w:r>
          </w:p>
        </w:tc>
      </w:tr>
      <w:tr>
        <w:trPr/>
        <w:tc>
          <w:tcPr>
            <w:tcW w:w="4340" w:type="dxa"/>
            <w:tcBorders/>
            <w:vAlign w:val="center"/>
          </w:tcPr>
          <w:p>
            <w:pPr>
              <w:pStyle w:val="TableContents"/>
              <w:bidi w:val="0"/>
              <w:spacing w:before="0" w:after="283"/>
              <w:jc w:val="left"/>
              <w:rPr/>
            </w:pPr>
            <w:hyperlink w:anchor="a008_v1">
              <w:r>
                <w:rPr>
                  <w:rStyle w:val="InternetLink"/>
                  <w:rFonts w:ascii="Arial" w:hAnsi="Arial"/>
                  <w:b/>
                  <w:i/>
                  <w:caps w:val="false"/>
                  <w:smallCaps w:val="false"/>
                  <w:sz w:val="24"/>
                </w:rPr>
                <w:t>Risk Management</w:t>
              </w:r>
            </w:hyperlink>
          </w:p>
        </w:tc>
        <w:tc>
          <w:tcPr>
            <w:tcW w:w="305" w:type="dxa"/>
            <w:tcBorders/>
            <w:vAlign w:val="center"/>
          </w:tcPr>
          <w:p>
            <w:pPr>
              <w:pStyle w:val="TableContents"/>
              <w:bidi w:val="0"/>
              <w:spacing w:before="0" w:after="283"/>
              <w:jc w:val="right"/>
              <w:rPr>
                <w:rFonts w:ascii="Arial" w:hAnsi="Arial"/>
                <w:b/>
                <w:i/>
                <w:caps w:val="false"/>
                <w:smallCaps w:val="false"/>
                <w:sz w:val="24"/>
              </w:rPr>
            </w:pPr>
            <w:r>
              <w:rPr>
                <w:rFonts w:ascii="Arial" w:hAnsi="Arial"/>
                <w:b/>
                <w:i/>
                <w:caps w:val="false"/>
                <w:smallCaps w:val="false"/>
                <w:sz w:val="24"/>
              </w:rPr>
              <w:t>39</w:t>
            </w:r>
          </w:p>
        </w:tc>
      </w:tr>
      <w:tr>
        <w:trPr/>
        <w:tc>
          <w:tcPr>
            <w:tcW w:w="4340" w:type="dxa"/>
            <w:tcBorders/>
            <w:vAlign w:val="center"/>
          </w:tcPr>
          <w:p>
            <w:pPr>
              <w:pStyle w:val="TableContents"/>
              <w:bidi w:val="0"/>
              <w:spacing w:before="0" w:after="283"/>
              <w:jc w:val="left"/>
              <w:rPr/>
            </w:pPr>
            <w:hyperlink w:anchor="a009_v1">
              <w:r>
                <w:rPr>
                  <w:rStyle w:val="InternetLink"/>
                  <w:rFonts w:ascii="Arial" w:hAnsi="Arial"/>
                  <w:b/>
                  <w:i/>
                  <w:caps w:val="false"/>
                  <w:smallCaps w:val="false"/>
                  <w:sz w:val="24"/>
                </w:rPr>
                <w:t>Financial Statement</w:t>
              </w:r>
            </w:hyperlink>
          </w:p>
        </w:tc>
        <w:tc>
          <w:tcPr>
            <w:tcW w:w="305" w:type="dxa"/>
            <w:tcBorders/>
            <w:vAlign w:val="center"/>
          </w:tcPr>
          <w:p>
            <w:pPr>
              <w:pStyle w:val="TableContents"/>
              <w:bidi w:val="0"/>
              <w:spacing w:before="0" w:after="283"/>
              <w:jc w:val="right"/>
              <w:rPr>
                <w:rFonts w:ascii="Arial" w:hAnsi="Arial"/>
                <w:b/>
                <w:i/>
                <w:caps w:val="false"/>
                <w:smallCaps w:val="false"/>
                <w:sz w:val="24"/>
              </w:rPr>
            </w:pPr>
            <w:r>
              <w:rPr>
                <w:rFonts w:ascii="Arial" w:hAnsi="Arial"/>
                <w:b/>
                <w:i/>
                <w:caps w:val="false"/>
                <w:smallCaps w:val="false"/>
                <w:sz w:val="24"/>
              </w:rPr>
              <w:t>51</w:t>
            </w:r>
          </w:p>
        </w:tc>
      </w:tr>
      <w:tr>
        <w:trPr/>
        <w:tc>
          <w:tcPr>
            <w:tcW w:w="4340" w:type="dxa"/>
            <w:tcBorders/>
            <w:vAlign w:val="center"/>
          </w:tcPr>
          <w:p>
            <w:pPr>
              <w:pStyle w:val="TableContents"/>
              <w:bidi w:val="0"/>
              <w:spacing w:before="0" w:after="283"/>
              <w:jc w:val="left"/>
              <w:rPr/>
            </w:pPr>
            <w:hyperlink w:anchor="a010_v1">
              <w:r>
                <w:rPr>
                  <w:rStyle w:val="InternetLink"/>
                  <w:rFonts w:ascii="Arial" w:hAnsi="Arial"/>
                  <w:b/>
                  <w:i w:val="false"/>
                  <w:caps w:val="false"/>
                  <w:smallCaps w:val="false"/>
                  <w:sz w:val="24"/>
                </w:rPr>
                <w:t>External Auditing</w:t>
              </w:r>
            </w:hyperlink>
          </w:p>
        </w:tc>
        <w:tc>
          <w:tcPr>
            <w:tcW w:w="305" w:type="dxa"/>
            <w:tcBorders/>
            <w:vAlign w:val="center"/>
          </w:tcPr>
          <w:p>
            <w:pPr>
              <w:pStyle w:val="TableContents"/>
              <w:bidi w:val="0"/>
              <w:spacing w:before="0" w:after="283"/>
              <w:jc w:val="right"/>
              <w:rPr>
                <w:rFonts w:ascii="Arial" w:hAnsi="Arial"/>
                <w:b/>
                <w:i/>
                <w:caps w:val="false"/>
                <w:smallCaps w:val="false"/>
                <w:sz w:val="24"/>
              </w:rPr>
            </w:pPr>
            <w:r>
              <w:rPr>
                <w:rFonts w:ascii="Arial" w:hAnsi="Arial"/>
                <w:b/>
                <w:i/>
                <w:caps w:val="false"/>
                <w:smallCaps w:val="false"/>
                <w:sz w:val="24"/>
              </w:rPr>
              <w:t>56</w:t>
            </w:r>
          </w:p>
        </w:tc>
      </w:tr>
      <w:tr>
        <w:trPr/>
        <w:tc>
          <w:tcPr>
            <w:tcW w:w="4340" w:type="dxa"/>
            <w:tcBorders/>
            <w:vAlign w:val="center"/>
          </w:tcPr>
          <w:p>
            <w:pPr>
              <w:pStyle w:val="TableContents"/>
              <w:bidi w:val="0"/>
              <w:spacing w:before="0" w:after="283"/>
              <w:jc w:val="left"/>
              <w:rPr/>
            </w:pPr>
            <w:hyperlink w:anchor="a011_v1">
              <w:r>
                <w:rPr>
                  <w:rStyle w:val="InternetLink"/>
                  <w:rFonts w:ascii="Arial" w:hAnsi="Arial"/>
                  <w:b/>
                  <w:i/>
                  <w:caps w:val="false"/>
                  <w:smallCaps w:val="false"/>
                  <w:sz w:val="24"/>
                </w:rPr>
                <w:t>Annexes</w:t>
              </w:r>
            </w:hyperlink>
          </w:p>
        </w:tc>
        <w:tc>
          <w:tcPr>
            <w:tcW w:w="305" w:type="dxa"/>
            <w:tcBorders/>
            <w:vAlign w:val="center"/>
          </w:tcPr>
          <w:p>
            <w:pPr>
              <w:pStyle w:val="TableContents"/>
              <w:bidi w:val="0"/>
              <w:spacing w:before="0" w:after="283"/>
              <w:jc w:val="right"/>
              <w:rPr>
                <w:rFonts w:ascii="Arial" w:hAnsi="Arial"/>
                <w:b/>
                <w:i/>
                <w:caps w:val="false"/>
                <w:smallCaps w:val="false"/>
                <w:sz w:val="24"/>
              </w:rPr>
            </w:pPr>
            <w:r>
              <w:rPr>
                <w:rFonts w:ascii="Arial" w:hAnsi="Arial"/>
                <w:b/>
                <w:i/>
                <w:caps w:val="false"/>
                <w:smallCaps w:val="false"/>
                <w:sz w:val="24"/>
              </w:rPr>
              <w:t>59</w:t>
            </w:r>
          </w:p>
        </w:tc>
      </w:tr>
    </w:tbl>
    <w:p>
      <w:pPr>
        <w:pStyle w:val="TextBody"/>
        <w:bidi w:val="0"/>
        <w:jc w:val="left"/>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36"/>
        </w:rPr>
      </w:pPr>
      <w:bookmarkStart w:id="8" w:name="a001_v1"/>
      <w:bookmarkEnd w:id="8"/>
      <w:r>
        <w:rPr>
          <w:rFonts w:ascii="Arial" w:hAnsi="Arial"/>
          <w:b/>
          <w:i w:val="false"/>
          <w:caps w:val="false"/>
          <w:smallCaps w:val="false"/>
          <w:sz w:val="36"/>
        </w:rPr>
        <w:t>Letter from the Chairman of the Board</w:t>
      </w:r>
    </w:p>
    <w:p>
      <w:pPr>
        <w:pStyle w:val="TextBody"/>
        <w:bidi w:val="0"/>
        <w:spacing w:before="60" w:after="6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i/>
          <w:caps w:val="false"/>
          <w:smallCaps w:val="false"/>
          <w:sz w:val="20"/>
        </w:rPr>
        <w:t xml:space="preserve">GRI </w:t>
      </w:r>
      <w:r>
        <w:rPr>
          <w:rFonts w:ascii="Arial" w:hAnsi="Arial"/>
          <w:b w:val="false"/>
          <w:i/>
          <w:caps w:val="false"/>
          <w:smallCaps w:val="false"/>
          <w:sz w:val="20"/>
        </w:rPr>
        <w:t>2-22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Dear shareholders, clients, employees and members of the communities we 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It is my pleasure to present our Annual and Sustainability Report 2023, which provides details on the progress we have made in executing our corporate strategy. In this space, I will share some reflections about the environment we operate in and highlight Credicorp’s most relevant milestones this year. I will also shed light on our outlook for 2024. I am proud to say that thanks to the efforts of our leaders and the commitment of our employees, we have adapted to complex environments; maintained our client-centered focus; and advanced our goal to be agents of change and drive development in the countries in which operate.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color w:val="0070C0"/>
          <w:sz w:val="24"/>
        </w:rPr>
      </w:pPr>
      <w:r>
        <w:rPr>
          <w:rFonts w:ascii="Arial" w:hAnsi="Arial"/>
          <w:b/>
          <w:i w:val="false"/>
          <w:caps w:val="false"/>
          <w:smallCaps w:val="false"/>
          <w:color w:val="0070C0"/>
          <w:sz w:val="24"/>
        </w:rPr>
        <w:t>In a year of economic challenges, our agile and prudent management helped us navigate volatility and strengthen our competitive position</w:t>
      </w:r>
    </w:p>
    <w:p>
      <w:pPr>
        <w:pStyle w:val="TextBody"/>
        <w:bidi w:val="0"/>
        <w:spacing w:before="0" w:after="0"/>
        <w:ind w:left="0" w:right="0" w:hanging="0"/>
        <w:jc w:val="both"/>
        <w:rPr>
          <w:caps w:val="false"/>
          <w:smallCaps w:val="false"/>
          <w:color w:val="0070C0"/>
        </w:rPr>
      </w:pPr>
      <w:r>
        <w:rPr>
          <w:caps w:val="false"/>
          <w:smallCaps w:val="false"/>
          <w:color w:val="0070C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year 2023 held positive surprises for the global economy even as new challenges arose, such as the regional banking crisis in the United States and war in the Middle East. Despite widespread expectations, the United States and the Eurozone sidestepped a recession and demonstrated resilience in a cycle of hikes in reference rates, which hit the highest levels seen in more than two decades. In the second half of the year, as inflation continued to slow, the market began to internalize rate cuts in 2023. This expectation was confirmed when the US Federal Reserve changed its tone at year-end. On the emerging market front, China was able to mitigate the impact of the real estate crisis and surpassed its government’s target for growth. In Latin America, most of the Central Banks began a rate cut cycle and growth in the largest economies in the region, Mexico and Brazil, reported surprisingly favorable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Despite advances this year, the dynamics on the economic front were challenging for our countries.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Peru reported its largest economic contraction since 1990 (excluding the pandemic) with a 0.6% drop in GDP. According to the Central Reserve Bank of Peru (BCRP), temporary factors, including social conflicts at the beginning of the year and the advent of an unexpected Coastal El Niño phenomenon as of March, led growth to drop two percentage points this year. On the positive side, inflation fell from 8.5% at the end of 2022 to 3.2% and is very close to BCRP’s range of 1% to 3%. In this context marked by economic contraction and dropping inflation, BCRP began interest rate cuts in September. By the end of December, the rate had fallen 100 bps to stand at 6.75%.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It is important to mention the performance of the economies of Bolivia, Colombia and Chile, where we operate. The Bolivian economy decelerated around 2% in 2023 in a context punctuated by persistent fiscal imbalances; limited access to external financing; an ongoing drop in international reserves; and an uptick in exchange rate volatility. GDP in Colombia fell significantly to stand at 1.2% after reporting one of the highest growth rates in the world in 2022. Political uncertainty and high inflation affected both consumption and investment, which registered its worst decline since 1999. In Chile, the economy stagnated due to a drop in private consumption and investment, which led the Central Bank of Chile to cut its monetary policy 200 bps to 8.25%.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this challenging context, at Credicorp we leverage our financial strength, prudence, and experience with successfully operating in complex environments. Our client-centered focus and the digital capacities developed over the last decade helped us agilely navigate this juncture and strengthen our leadership in the markets where we compete.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Throughout 2023, we anticipated the credit cycle by reviewing our risk appetites; improving collections processes; and proactively offering financial assistance to clients in their time of need. Although the results of these actions were positive, it took us a while to calibrate adjustments correctly and we learned valuable lessons during this experience. We continued to develop our transactional and insurance value propositions as we reached more clients and registered increases in indicators for experience and frequency of use. Regardless, we recognize that we have not met all the objectives set for experience indicators in some banking segments. At this time, I would like to highlight that we are leveraging the scope of our reach in Peru to impart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prevention training to communities in regions vulnerable to the impacts of the El Niño Phenomenon. Credicorp’s solid strategic focus, our leaders’ disciplined approach to investing in talent development and technological capacities, and an unwavering commitment to our purpose have driven progress this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color w:val="4472C4"/>
          <w:sz w:val="24"/>
        </w:rPr>
      </w:pPr>
      <w:r>
        <w:rPr>
          <w:rFonts w:ascii="Arial" w:hAnsi="Arial"/>
          <w:b/>
          <w:i w:val="false"/>
          <w:caps w:val="false"/>
          <w:smallCaps w:val="false"/>
          <w:color w:val="4472C4"/>
          <w:sz w:val="24"/>
        </w:rPr>
        <w:t>We anticipate challenges and opportunities as we advance our strategic priorities and generate resilient results</w:t>
      </w:r>
    </w:p>
    <w:p>
      <w:pPr>
        <w:pStyle w:val="TextBody"/>
        <w:bidi w:val="0"/>
        <w:spacing w:before="0" w:after="0"/>
        <w:ind w:left="0" w:right="0" w:hanging="0"/>
        <w:jc w:val="both"/>
        <w:rPr>
          <w:caps w:val="false"/>
          <w:smallCaps w:val="false"/>
          <w:color w:val="4472C4"/>
        </w:rPr>
      </w:pPr>
      <w:r>
        <w:rPr>
          <w:caps w:val="false"/>
          <w:smallCaps w:val="false"/>
          <w:color w:val="4472C4"/>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This year we advanced our three strategic priorities, which enable us to anticipate new challenges and opportunities and ensure our competitiveness in the long term. The priorities are integrating </w:t>
      </w:r>
      <w:r>
        <w:rPr>
          <w:rFonts w:ascii="Arial" w:hAnsi="Arial"/>
          <w:b/>
          <w:i w:val="false"/>
          <w:caps w:val="false"/>
          <w:smallCaps w:val="false"/>
          <w:sz w:val="20"/>
        </w:rPr>
        <w:t>Sustainability</w:t>
      </w:r>
      <w:r>
        <w:rPr>
          <w:rFonts w:ascii="Arial" w:hAnsi="Arial"/>
          <w:b w:val="false"/>
          <w:i w:val="false"/>
          <w:caps w:val="false"/>
          <w:smallCaps w:val="false"/>
          <w:sz w:val="20"/>
        </w:rPr>
        <w:t xml:space="preserve"> in our strategy, accelerating </w:t>
      </w:r>
      <w:r>
        <w:rPr>
          <w:rFonts w:ascii="Arial" w:hAnsi="Arial"/>
          <w:b/>
          <w:i w:val="false"/>
          <w:caps w:val="false"/>
          <w:smallCaps w:val="false"/>
          <w:sz w:val="20"/>
        </w:rPr>
        <w:t>Digital Transformation and Innovation</w:t>
      </w:r>
      <w:r>
        <w:rPr>
          <w:rFonts w:ascii="Arial" w:hAnsi="Arial"/>
          <w:b w:val="false"/>
          <w:i w:val="false"/>
          <w:caps w:val="false"/>
          <w:smallCaps w:val="false"/>
          <w:sz w:val="20"/>
        </w:rPr>
        <w:t xml:space="preserve">, and securing the best </w:t>
      </w:r>
      <w:r>
        <w:rPr>
          <w:rFonts w:ascii="Arial" w:hAnsi="Arial"/>
          <w:b/>
          <w:i w:val="false"/>
          <w:caps w:val="false"/>
          <w:smallCaps w:val="false"/>
          <w:sz w:val="20"/>
        </w:rPr>
        <w:t>Talent</w:t>
      </w:r>
      <w:r>
        <w:rPr>
          <w:rFonts w:ascii="Arial" w:hAnsi="Arial"/>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23825" cy="104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3825" cy="104775"/>
                          </a:xfrm>
                          <a:prstGeom prst="rect">
                            <a:avLst/>
                          </a:prstGeom>
                        </pic:spPr>
                      </pic:pic>
                    </a:graphicData>
                  </a:graphic>
                </wp:inline>
              </w:drawing>
            </w:r>
          </w:p>
        </w:tc>
        <w:tc>
          <w:tcPr>
            <w:tcW w:w="9972"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i w:val="false"/>
                <w:caps w:val="false"/>
                <w:smallCaps w:val="false"/>
                <w:color w:val="4472C4"/>
                <w:sz w:val="20"/>
              </w:rPr>
              <w:t xml:space="preserve">We integrate Sustainability in our strategy to become the agent of change we aspire to be. </w:t>
            </w:r>
            <w:r>
              <w:rPr>
                <w:rFonts w:ascii="Arial" w:hAnsi="Arial"/>
                <w:b w:val="false"/>
                <w:i w:val="false"/>
                <w:caps w:val="false"/>
                <w:smallCaps w:val="false"/>
                <w:sz w:val="20"/>
              </w:rPr>
              <w:t>We have consolidated our position as the main engine of financial inclusion in Peru and have included more than 4.1 million people in the financial system through Yape and Savings Accounts BCP. This year, Mibanco banked more than 63 thousand people and entrepreneurs through microloans, 55.9% of which were made to women. We also made progress in democratizing access to insurance through the inclusive insurance products developed by Pacifico. These accessible and simple products now accompany more than 2.3 million Peruvians. At the beginning of 2023, we began implementing our new environmental strategy, which we communicated to the market in our first TCFD report (Working Group for Financial Transparency related to Climate Change). I would like to highlight that we have labeled more than US$ 585 million in loans as green at BCP, which tops the amount posted last year by threefold. We have just begun this trip but have a clear vision of where we want to go. In the context of the El Niño Phenomenon, we launched actions from our fronts at Pacífico, BCP and Mibanco to promote prevention and early management of this phenomenon in Peru’s most vulnerable regions. On the governance front, we strengthened competencies and improved the diversity of our Board with a new nomination. Our Board and its committees underwent external assessment this year and the recommendations were used to develop a plan of action. An important conclusion of this analysis was that, in general, our practices relative to the structure, composition and functioning of the Board are aligned with the good governance recommendations of national bodies, institutional investors, and proxy advisors. Lastly, in addition to the impact generated by our Sustainability initiatives, I am happy to say that thanks to our operations in 2023, we distributed more than S/1,912 million through tax revenues and investments in communities.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23825" cy="104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3825" cy="104775"/>
                          </a:xfrm>
                          <a:prstGeom prst="rect">
                            <a:avLst/>
                          </a:prstGeom>
                        </pic:spPr>
                      </pic:pic>
                    </a:graphicData>
                  </a:graphic>
                </wp:inline>
              </w:drawing>
            </w:r>
          </w:p>
        </w:tc>
        <w:tc>
          <w:tcPr>
            <w:tcW w:w="9972"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i w:val="false"/>
                <w:caps w:val="false"/>
                <w:smallCaps w:val="false"/>
                <w:color w:val="4472C4"/>
                <w:sz w:val="20"/>
              </w:rPr>
              <w:t xml:space="preserve">We accelerate Digital Transformation and Innovation at the Credicorp level to back our aspirations for growth. </w:t>
            </w:r>
            <w:r>
              <w:rPr>
                <w:rFonts w:ascii="Arial" w:hAnsi="Arial"/>
                <w:b w:val="false"/>
                <w:i w:val="false"/>
                <w:caps w:val="false"/>
                <w:smallCaps w:val="false"/>
                <w:sz w:val="20"/>
              </w:rPr>
              <w:t>We continued to make material investments in developing our technology, data analytics and cybersecurity capacities. The progress on our digital transformation journey has allowed us to expand our scale while maintaining stability as we develop and launch new solutions that offer enhanced agility. We leverage data analytics to manage risks, optimize efficiency, increase income, and improve client experience by generating value propositions that are seen as superior and more relevant. We reduced our risk ratios and cybernetic vulnerability by strengthening our technological tools and processes and educating employees and clients about risks. Additionally, we created a Corporate Head of Technology role to exploit opportunities that currently exist among our companies and to create synergies. Finally, we are exploring ways to take advantage of the opportunities that Artificial Intelligence offers and have prioritized improvements in productivity and client experience. Initially, we are implementing use cases such as optimizing services at the BCP contact center and introducing the GitHub Copilot to our development teams’ work at BCP and Pacifico.</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23825" cy="1047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3825" cy="104775"/>
                          </a:xfrm>
                          <a:prstGeom prst="rect">
                            <a:avLst/>
                          </a:prstGeom>
                        </pic:spPr>
                      </pic:pic>
                    </a:graphicData>
                  </a:graphic>
                </wp:inline>
              </w:drawing>
            </w:r>
          </w:p>
        </w:tc>
        <w:tc>
          <w:tcPr>
            <w:tcW w:w="9972"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i w:val="false"/>
                <w:caps w:val="false"/>
                <w:smallCaps w:val="false"/>
                <w:color w:val="4472C4"/>
                <w:sz w:val="20"/>
              </w:rPr>
              <w:t xml:space="preserve">We secure the best Talent and provide on-going training to our employees to prepare them for growth. </w:t>
            </w:r>
            <w:r>
              <w:rPr>
                <w:rFonts w:ascii="Arial" w:hAnsi="Arial"/>
                <w:b w:val="false"/>
                <w:i w:val="false"/>
                <w:caps w:val="false"/>
                <w:smallCaps w:val="false"/>
                <w:sz w:val="20"/>
              </w:rPr>
              <w:t>We are convinced that to sustain success, we must reinvent ourselves and embrace our talent’s continuous development. On this front, I would like to highlight the achievements of our Community of Learning, which acts as a space for our leaders to generate and share knowledge while creating synergies between the Group’s companies. In 2023, we concluded the first season of learning, which was dedicated to Data &amp; Analytics. More than 250 of the organization’s leaders participated of which, 88% significantly increased their knowledge of this topic. We have already begun the second season, which focuses on strengthening fundamental Cybersecurity capacities. Our commitment to developing our talent is also reflected in the dynamics of corporate succession. Along these lines, in 2023 more than 80% of the vacancies for leadership positions were filled through internal promotions. To promote the retention of leaders and align their incentives with our objective to generate sustainable value, we have modified the structure for variable compensation and have included a component linked to long-term performance metrics.</w:t>
            </w:r>
          </w:p>
        </w:tc>
      </w:tr>
    </w:tbl>
    <w:p>
      <w:pPr>
        <w:pStyle w:val="TextBody"/>
        <w:bidi w:val="0"/>
        <w:spacing w:before="0" w:after="0"/>
        <w:jc w:val="left"/>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color w:val="0070C0"/>
          <w:sz w:val="24"/>
        </w:rPr>
      </w:pPr>
      <w:r>
        <w:rPr>
          <w:rFonts w:ascii="Arial" w:hAnsi="Arial"/>
          <w:b/>
          <w:i w:val="false"/>
          <w:caps w:val="false"/>
          <w:smallCaps w:val="false"/>
          <w:color w:val="0070C0"/>
          <w:sz w:val="24"/>
        </w:rPr>
        <w:t>We are developing our businesses</w:t>
      </w:r>
    </w:p>
    <w:p>
      <w:pPr>
        <w:pStyle w:val="TextBody"/>
        <w:bidi w:val="0"/>
        <w:spacing w:before="0" w:after="0"/>
        <w:ind w:left="0" w:right="0" w:hanging="0"/>
        <w:jc w:val="both"/>
        <w:rPr>
          <w:caps w:val="false"/>
          <w:smallCaps w:val="false"/>
          <w:color w:val="0070C0"/>
        </w:rPr>
      </w:pPr>
      <w:r>
        <w:rPr>
          <w:caps w:val="false"/>
          <w:smallCaps w:val="false"/>
          <w:color w:val="0070C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At Credicorp, we see innovation as a via to challenge and disrupt our businesses. Just shy of the one-year mark of having defined our disruptive innovation strategy and its governance, we would like to report that 20 initiatives are now in place and in different stages of development. In the medium term, our aspiration is that these initiatives come to generate 10% of the Group’s revenue (net of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Yape, with more than 10.5 million active users in Peru, is our most mature initiative. Currently, our focus is on developing functionalities that meet Peruvians’ day-to-day needs as we achieve monetization. We hope to reach break-even in coming months. This year alone, we launched 10 functionalities and the traction that our indicators for frequency of use have experienced have allowed us to advance our aspiration to become a superapp for Peruvians.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the Krealo portfolio, our venture capital corporate center, Tenpo, our digital wallet in Chile, stands out. In 2023, Tenpo launched the first 100% digital credit card in the Chilean market and entered the scaling stage after surpassing our targets for the number of active users; transaction amount; and NPS indicator (Net Promoter Score). Krealo continues to expand its investments to support the strategic value of our current businesses as we explore innovative technologies to enable our business models.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In Universal Banking, we deepened our transactional capacities through digitalization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At BCP, we consolidated our position as a transactional hub in Peru and registered an 80% increase in the number of monetary transactions in 2023. This position was supported by a comprehensive value proposal with a multi-channel distribution network that focuses on client experience. On the physical front, this year we transformed the design of more than 100 branches to make service more agile and incorporated spaces to promote financial education. On the digital front, new functionalities were added and improvements were made to the user interface, which led to a 4-point increase in Mobile Banking’s NPS and 11 percentage points in the indicator for digital clients, which reached 68% at year-end. All these advances played a key role in optimizing our efficiency, and our efficiency ratio fell 2.3 percentage points this year. Finally, the credit cycle has taught us the importance of improving loan risk management in the consumer segment. We have adjusted our predictive models and monitoring practices and are better prepared to conduct more granular follow-up and make timely changes to guidelines, if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At BCP Bolivia, business developed in a complex environment that was impacted by a lack of US dollars and the failure of the country’s third largest bank. Despite this, we emerged stronger with higher solvency levels and firmer control over delinquency. We progressed on the digital front and reported growth in the number of bank accounts opened every month and advanced our Yape Bolivia app, which topped the one-million user mark in 2023. This has allowed us to increase transactionality as we work to generate more resilient income. In 2024, we will seek to optimize the financial margin through price management and low-cost deposit captures.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sz w:val="20"/>
        </w:rPr>
      </w:pPr>
      <w:r>
        <w:rPr>
          <w:rFonts w:ascii="Arial" w:hAnsi="Arial"/>
          <w:b/>
          <w:i w:val="false"/>
          <w:caps w:val="false"/>
          <w:smallCaps w:val="false"/>
          <w:sz w:val="20"/>
        </w:rPr>
        <w:t xml:space="preserve">In Microfinance, we are strengthening risk management to resume growth and profitability while we build more diversified and resilient business models in the medium term.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Due to the macroeconomic conditions mentioned in this letter, 2023 was a tough year for the microfinance industry in Peru and Colombia. In Peru, efforts made over the last few years to consolidate our hybrid model allowed Mibanco to register profitability, albeit weak, at year-end. Moreover, the level reported topped the average registered for the microfinance system. Our centralized intelligence allowed us to agilely adjust commercial guidelines and mitigate the impact of portfolio deterioration. We closed the year with lessons learned and new capacities to implement more preventive models and conduct more granular follow-up on the portfolio’s behavior. We are now better prepared to reactivate our growth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Colombian microfinance system has been hit by inflation and elevated funding costs and has experienced a substantial reduction in the interest rate ceiling for microloans, which has generated challenges for the macroeconomy and led to structural changes that have impacted the outlook for growth for both the country and the banking sector. In this context, we are reviewing our strategy to recover profitability at Mibanco Colombia and are adjusting our short-term plans for growth. Nonetheless, we continue to believe that this country represents significant potential for medium and long-term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sz w:val="20"/>
        </w:rPr>
      </w:pPr>
      <w:r>
        <w:rPr>
          <w:rFonts w:ascii="Arial" w:hAnsi="Arial"/>
          <w:b/>
          <w:i w:val="false"/>
          <w:caps w:val="false"/>
          <w:smallCaps w:val="false"/>
          <w:sz w:val="20"/>
        </w:rPr>
        <w:t>In the Insurance and Pensions line, we contribute to developing systems in which more Peruvians choose to participate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Pacífico Seguros registered extraordinary results and has protected the happiness of more than 5 million Peruvians. By strengthening our digital capacities, we consolidated our position at the insurer with the #1 Client NPS in the market. We focused on growing in the retail segment, particularly through bancassurance and Yape. Moving forward, we will continue to penetrate the Peruvian market by accelerating efforts to create products that can be distributed through Credicorp’s ecosystems and have developed friendly architecture to facilitate coupling and provide post-sale service that facilitates mass self-service. The objective is to protect more Peruvians and consolidate our position as the insurance company that provides the best experience in the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At Prima AFP, we put the affiliate at the center of our decisions to achieve sustainability in the pension system. In this regard, we have strengthened the company by developing a team dedicated to improving client experience. To drive our growth, we emphasized affiliate retention and improved the productivity of our sales force by 40%. It is important to mention that at mid-year, Credicorp presented a plan to reform the Private Pension System with the purpose of building an open and inclusive system that shares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In Investment Management and Advisory, we restructured our businesses and are on our way to recovering our profitability as we move towards sustainable levels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At Credicorp Capital and ASB Bank Corp., we revised our strategy and reorganized our business to drive profitable and sustainable growth through our asset management, wealth management, capital markets and fiduciary businesses. To do this, we rationalized businesses that are intensive in terms of capital and volatility, such as trading, and have left the corporate finance business. We are meeting the objectives proposed at the beginning of the year and are on our way to recovering our ROE as we move towards sustainable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color w:val="4472C4"/>
          <w:sz w:val="24"/>
        </w:rPr>
      </w:pPr>
      <w:r>
        <w:rPr>
          <w:rFonts w:ascii="Arial" w:hAnsi="Arial"/>
          <w:b/>
          <w:i w:val="false"/>
          <w:caps w:val="false"/>
          <w:smallCaps w:val="false"/>
          <w:color w:val="4472C4"/>
          <w:sz w:val="24"/>
        </w:rPr>
        <w:t>We Generate Resilient Results</w:t>
      </w:r>
    </w:p>
    <w:p>
      <w:pPr>
        <w:pStyle w:val="TextBody"/>
        <w:bidi w:val="0"/>
        <w:spacing w:before="0" w:after="0"/>
        <w:ind w:left="0" w:right="0" w:hanging="0"/>
        <w:jc w:val="both"/>
        <w:rPr>
          <w:caps w:val="false"/>
          <w:smallCaps w:val="false"/>
          <w:color w:val="4472C4"/>
        </w:rPr>
      </w:pPr>
      <w:r>
        <w:rPr>
          <w:caps w:val="false"/>
          <w:smallCaps w:val="false"/>
          <w:color w:val="4472C4"/>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a very challenging context for the economies of the countries in which we operate, net earnings after minority interests stood S/ 4,866 million, which translated into an ROE of 15.8%.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Our Universal Banking business line was the primary contributor this year. BCP reported a return on equity of 20.6%, which was driven by an increase in the net margin in a context of higher rates. This growth was partially offset by an uptick in provisions, which was fueled by a deterioration in client payment capacities. On the other hand, our Microfinance business line was severely affected by a high level of provisions, associated with the deterioration of clients’ payment capacity. The Insurance and Pension Fund line registered extraordinary results. Grupo Pacifico leveraged development of its internal pricing and distribution capacities to take advantage of transitory tailwinds. Finally, profitability in the Investment Management and Advisory line experienced a slight rebound, which was driven by market dynamics, rigorous spending control, and growth in assets under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Total loans dropped 2.5%, highly impacted by a significant contraction in government program loans (-62.2%). This Dynamic was partially offset by growth in structural loans at BCP (+1.2%), which was led by Individuals and SME-Business.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terms of portfolio quality, the structural NPL ratio rose (5.6% vs 5.0% at the end of 2022). This evolution was mainly driven by growth in the NPL portfolio at both Mibanco and BCP, which registered an uptick in NPLs through Credit Card, Consumer and SME-Pyme. Growth in provisions was driven by adverse macroeconomic, social and environmental conditions, which impacted client payment capacities; a shift in the loan mix toward an increase in the weight of retail loans; and by additional provisions for a severe El Niño in the summer of 2024. In this context, the cost of risk stood at 2.5% (versus 1.2% in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an environment marked by high interest rates, the net interest margin stood at 6.01%, which represented growth of 92 basis points over the figure reported in 2022. This evolution was fueled by our repricing strategy and supported by our transactional deposit base. The shift toward a higher-yield asset structure also contributed to this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Other Income rose 11.6% in 2023, driven by the positive evolution of the Net Gain on Securities, which reported losses last year, and by an uptick in Fee Income (+4.4%). The Insurance Underwriting Result reported extraordinary growth of 43.9% this year, driven primarily by the Life Insurance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the aforementioned scenario, operating income increased 13.2% in 2023. Operating expenses rose 9.8% over the period, spurred by an uptick in spending for disruptive businesses (and for Yape and Tenpo in particular) and by growth in IT expenses at BCP. These factors led the efficiency ratio to stand at 46.1% at year-end, 142 basis points below the level reported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 continue to prioritize responsible capital management at all our subsidiaries. Our solvency levels remained adequate, and we distributed cash dividends equivalent to S/1,994.0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color w:val="4472C4"/>
          <w:sz w:val="24"/>
        </w:rPr>
      </w:pPr>
      <w:r>
        <w:rPr>
          <w:rFonts w:ascii="Arial" w:hAnsi="Arial"/>
          <w:b/>
          <w:i w:val="false"/>
          <w:caps w:val="false"/>
          <w:smallCaps w:val="false"/>
          <w:color w:val="4472C4"/>
          <w:sz w:val="24"/>
        </w:rPr>
        <w:t>We look toward the future with confidence</w:t>
      </w:r>
    </w:p>
    <w:p>
      <w:pPr>
        <w:pStyle w:val="TextBody"/>
        <w:bidi w:val="0"/>
        <w:spacing w:before="0" w:after="0"/>
        <w:ind w:left="0" w:right="0" w:hanging="0"/>
        <w:jc w:val="both"/>
        <w:rPr>
          <w:caps w:val="false"/>
          <w:smallCaps w:val="false"/>
          <w:color w:val="4472C4"/>
        </w:rPr>
      </w:pPr>
      <w:r>
        <w:rPr>
          <w:caps w:val="false"/>
          <w:smallCaps w:val="false"/>
          <w:color w:val="4472C4"/>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Our organization enters 2024 with a strengthened competitive position and favorable external outlooks. Inflation has moderated in the United States, which has led the market to expect rate cuts from the Federal Reserve this year. This evolution should favor emerging markets. The price of copper should remain at good levels despite a moderate deceleration in China, bolstered by solid fundamentals due to a global transition to green technology. The normalization of inflation and interest rates in Peru gives us reason to be optimistic. The current environment, coupled with a dissipation in the probability of severe impacts from El Niño Phenomenon, leads us to expect a rebound of around 2.5%. Additionally, we anticipate GDP recovery in Chile, Colombia and Bolivia to stand at 2.1%, 1.7%, and 1.5%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Peru, the political environment appears to be more stable than at the beginning of 2023; this is, without a doubt, fundamental to recovering business confidence. Accordingly, the government must drive the country’s economic reactivation and implement structural reforms in sectors such as education and health to recover the confidence of companies and individuals as it sets the stage to attract private investment within a secure legal framework.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To drive growth and ensure democracy and stability, the private sector must work alongside the public sector to develop projects that translate into more opportunities and enhanced wellbeing for our communities. At Credicorp, we are committed to helping close the education gap, which continues to be a major problem and is closely linked with poverty. Our efforts are not limited solely to financial education and inclusion. In 2023, we announced a commitment to spend S/500 million to execute projects to improve education infrastructure over the next few years through the Works for Taxes mechanism. We have also joined forces with UNICEF on the Project “Conectados para Aprender,” and will provide technological equipment and improve the internet connection of 120 schools in vulnerable locations to 2026 to benefit more than 59 thousand students.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Our governments’ leaders are not solely responsible for guaranteeing democracy and stability in our countries. As individuals and institutions, our acts of solidarity and empathy are key to achieving these objectives. By promoting inclusion, transparency and responsibility, we contribute to building the values we need to develop fairer and more equitable societies. I firmly believe that actors across society must genuinely collaborate to blaze the path toward a more sustainable and prosperous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Finally, I would like to thank our clients and investors for their confidence and recognize the efforts of the more than 37 thousand employees who work day-to-day to continue transforming our great corporation. Their talent and effort have made our organization stronger, maintained resilient results, and driven the development of the countries in which we operate.</w:t>
      </w:r>
    </w:p>
    <w:p>
      <w:pPr>
        <w:pStyle w:val="TextBody"/>
        <w:bidi w:val="0"/>
        <w:spacing w:before="0" w:after="0"/>
        <w:ind w:left="0" w:right="0" w:hanging="0"/>
        <w:jc w:val="both"/>
        <w:rPr>
          <w:caps w:val="false"/>
          <w:smallCaps w:val="false"/>
        </w:rPr>
      </w:pPr>
      <w:r>
        <w:rPr>
          <w:caps w:val="false"/>
          <w:smallCaps w:val="false"/>
        </w:rPr>
        <w:t> </w:t>
      </w:r>
    </w:p>
    <w:tbl>
      <w:tblPr>
        <w:tblW w:w="7190" w:type="dxa"/>
        <w:jc w:val="left"/>
        <w:tblInd w:w="0" w:type="dxa"/>
        <w:tblLayout w:type="fixed"/>
        <w:tblCellMar>
          <w:top w:w="0" w:type="dxa"/>
          <w:left w:w="0" w:type="dxa"/>
          <w:bottom w:w="0" w:type="dxa"/>
          <w:right w:w="0" w:type="dxa"/>
        </w:tblCellMar>
      </w:tblPr>
      <w:tblGrid>
        <w:gridCol w:w="4520"/>
        <w:gridCol w:w="2670"/>
      </w:tblGrid>
      <w:tr>
        <w:trPr/>
        <w:tc>
          <w:tcPr>
            <w:tcW w:w="4520" w:type="dxa"/>
            <w:tcBorders/>
            <w:vAlign w:val="center"/>
          </w:tcPr>
          <w:p>
            <w:pPr>
              <w:pStyle w:val="TableContents"/>
              <w:bidi w:val="0"/>
              <w:spacing w:before="0" w:after="283"/>
              <w:jc w:val="left"/>
              <w:rPr>
                <w:rFonts w:ascii="Arial" w:hAnsi="Arial"/>
                <w:sz w:val="20"/>
              </w:rPr>
            </w:pPr>
            <w:r>
              <w:rPr>
                <w:rFonts w:ascii="Arial" w:hAnsi="Arial"/>
                <w:sz w:val="20"/>
              </w:rPr>
              <w:t>With gratitude and optimism, I look forward to 2024.</w:t>
            </w:r>
          </w:p>
        </w:tc>
        <w:tc>
          <w:tcPr>
            <w:tcW w:w="2670" w:type="dxa"/>
            <w:tcBorders/>
            <w:vAlign w:val="center"/>
          </w:tcPr>
          <w:p>
            <w:pPr>
              <w:pStyle w:val="TableContents"/>
              <w:bidi w:val="0"/>
              <w:spacing w:before="0" w:after="283"/>
              <w:jc w:val="right"/>
              <w:rPr/>
            </w:pPr>
            <w:r>
              <w:rPr/>
              <w:t> </w:t>
            </w:r>
            <w:r>
              <w:rPr/>
              <w:drawing>
                <wp:inline distT="0" distB="0" distL="0" distR="0">
                  <wp:extent cx="1647825" cy="6286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647825" cy="628650"/>
                          </a:xfrm>
                          <a:prstGeom prst="rect">
                            <a:avLst/>
                          </a:prstGeom>
                        </pic:spPr>
                      </pic:pic>
                    </a:graphicData>
                  </a:graphic>
                </wp:inline>
              </w:drawing>
            </w:r>
          </w:p>
        </w:tc>
      </w:tr>
    </w:tbl>
    <w:p>
      <w:pPr>
        <w:pStyle w:val="TextBody"/>
        <w:bidi w:val="0"/>
        <w:spacing w:before="0" w:after="0"/>
        <w:ind w:left="0" w:right="1440" w:hanging="0"/>
        <w:jc w:val="right"/>
        <w:rPr>
          <w:rFonts w:ascii="Arial" w:hAnsi="Arial"/>
          <w:b w:val="false"/>
          <w:i w:val="false"/>
          <w:caps w:val="false"/>
          <w:smallCaps w:val="false"/>
          <w:sz w:val="20"/>
        </w:rPr>
      </w:pPr>
      <w:r>
        <w:rPr>
          <w:rFonts w:ascii="Arial" w:hAnsi="Arial"/>
          <w:b w:val="false"/>
          <w:i w:val="false"/>
          <w:caps w:val="false"/>
          <w:smallCaps w:val="false"/>
          <w:sz w:val="20"/>
        </w:rPr>
        <w:t>Luis Enrique Romero Belimeslis</w:t>
      </w:r>
    </w:p>
    <w:p>
      <w:pPr>
        <w:pStyle w:val="TextBody"/>
        <w:bidi w:val="0"/>
        <w:spacing w:before="0" w:after="0"/>
        <w:ind w:left="0" w:right="1440" w:hanging="0"/>
        <w:jc w:val="right"/>
        <w:rPr>
          <w:rFonts w:ascii="Arial" w:hAnsi="Arial"/>
          <w:b w:val="false"/>
          <w:i w:val="false"/>
          <w:caps w:val="false"/>
          <w:smallCaps w:val="false"/>
          <w:sz w:val="20"/>
        </w:rPr>
      </w:pPr>
      <w:r>
        <w:rPr>
          <w:rFonts w:ascii="Arial" w:hAnsi="Arial"/>
          <w:b w:val="false"/>
          <w:i w:val="false"/>
          <w:caps w:val="false"/>
          <w:smallCaps w:val="false"/>
          <w:sz w:val="20"/>
        </w:rPr>
        <w:t>Executive Chairman</w:t>
      </w:r>
    </w:p>
    <w:p>
      <w:pPr>
        <w:pStyle w:val="TextBody"/>
        <w:bidi w:val="0"/>
        <w:spacing w:before="0" w:after="0"/>
        <w:ind w:left="12036" w:right="0" w:firstLine="708"/>
        <w:jc w:val="left"/>
        <w:rPr>
          <w:caps w:val="false"/>
          <w:smallCaps w:val="false"/>
        </w:rPr>
      </w:pPr>
      <w:r>
        <w:rPr>
          <w:caps w:val="false"/>
          <w:smallCaps w:val="false"/>
        </w:rPr>
        <w:t> </w:t>
      </w:r>
    </w:p>
    <w:p>
      <w:pPr>
        <w:pStyle w:val="TextBody"/>
        <w:bidi w:val="0"/>
        <w:spacing w:before="200" w:after="200"/>
        <w:ind w:left="12036" w:right="0" w:firstLine="708"/>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w:t>
      </w:r>
    </w:p>
    <w:p>
      <w:pPr>
        <w:pStyle w:val="HorizontalLine"/>
        <w:pBdr>
          <w:bottom w:val="single" w:sz="12" w:space="0" w:color="808080"/>
        </w:pBdr>
        <w:bidi w:val="0"/>
        <w:spacing w:before="200" w:after="200"/>
        <w:jc w:val="left"/>
        <w:rPr/>
      </w:pPr>
      <w:r>
        <w:rPr/>
      </w:r>
    </w:p>
    <w:p>
      <w:pPr>
        <w:pStyle w:val="TextBody"/>
        <w:bidi w:val="0"/>
        <w:spacing w:before="0" w:after="0"/>
        <w:ind w:left="12036" w:right="0" w:firstLine="708"/>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36"/>
        </w:rPr>
      </w:pPr>
      <w:bookmarkStart w:id="9" w:name="a002_v1"/>
      <w:bookmarkEnd w:id="9"/>
      <w:r>
        <w:rPr>
          <w:rFonts w:ascii="Arial" w:hAnsi="Arial"/>
          <w:b/>
          <w:i w:val="false"/>
          <w:caps w:val="false"/>
          <w:smallCaps w:val="false"/>
          <w:sz w:val="36"/>
        </w:rPr>
        <w:t>Our Purpose, Vision and Values</w:t>
      </w:r>
    </w:p>
    <w:p>
      <w:pPr>
        <w:pStyle w:val="TextBody"/>
        <w:bidi w:val="0"/>
        <w:spacing w:before="60" w:after="6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8"/>
        </w:rPr>
      </w:pPr>
      <w:r>
        <w:rPr>
          <w:rFonts w:ascii="Arial" w:hAnsi="Arial"/>
          <w:b/>
          <w:i/>
          <w:caps w:val="false"/>
          <w:smallCaps w:val="false"/>
          <w:sz w:val="28"/>
        </w:rPr>
        <w:t xml:space="preserve">GRI </w:t>
      </w:r>
      <w:r>
        <w:rPr>
          <w:rFonts w:ascii="Arial" w:hAnsi="Arial"/>
          <w:b w:val="false"/>
          <w:i/>
          <w:caps w:val="false"/>
          <w:smallCaps w:val="false"/>
          <w:sz w:val="28"/>
        </w:rPr>
        <w:t>2-23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sz w:val="28"/>
        </w:rPr>
      </w:pPr>
      <w:r>
        <w:rPr>
          <w:rFonts w:ascii="Arial" w:hAnsi="Arial"/>
          <w:b/>
          <w:i w:val="false"/>
          <w:caps w:val="false"/>
          <w:smallCaps w:val="false"/>
          <w:sz w:val="28"/>
        </w:rPr>
        <w:t>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8"/>
        </w:rPr>
      </w:pPr>
      <w:r>
        <w:rPr>
          <w:rFonts w:ascii="Arial" w:hAnsi="Arial"/>
          <w:b w:val="false"/>
          <w:i w:val="false"/>
          <w:caps w:val="false"/>
          <w:smallCaps w:val="false"/>
          <w:sz w:val="28"/>
        </w:rPr>
        <w:t>Contribute to improving lives by driving the changes that our countries need.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sz w:val="28"/>
        </w:rPr>
      </w:pPr>
      <w:r>
        <w:rPr>
          <w:rFonts w:ascii="Arial" w:hAnsi="Arial"/>
          <w:b/>
          <w:i w:val="false"/>
          <w:caps w:val="false"/>
          <w:smallCaps w:val="false"/>
          <w:sz w:val="28"/>
        </w:rPr>
        <w:t>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8"/>
        </w:rPr>
      </w:pPr>
      <w:r>
        <w:rPr>
          <w:rFonts w:ascii="Arial" w:hAnsi="Arial"/>
          <w:b w:val="false"/>
          <w:i w:val="false"/>
          <w:caps w:val="false"/>
          <w:smallCaps w:val="false"/>
          <w:sz w:val="28"/>
        </w:rPr>
        <w:t>To be a sustainable financial services leader in Latin America. We are purpose-led, future-oriented and focused on creating superior value for our employees, customers, shareholders and the countries we operate 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sz w:val="28"/>
        </w:rPr>
      </w:pPr>
      <w:r>
        <w:rPr>
          <w:rFonts w:ascii="Arial" w:hAnsi="Arial"/>
          <w:b/>
          <w:i w:val="false"/>
          <w:caps w:val="false"/>
          <w:smallCaps w:val="false"/>
          <w:sz w:val="28"/>
        </w:rPr>
        <w:t>Values</w:t>
      </w:r>
    </w:p>
    <w:p>
      <w:pPr>
        <w:pStyle w:val="TextBody"/>
        <w:bidi w:val="0"/>
        <w:spacing w:before="0" w:after="0"/>
        <w:ind w:left="0" w:right="0" w:hanging="0"/>
        <w:jc w:val="both"/>
        <w:rPr>
          <w:caps w:val="false"/>
          <w:smallCaps w:val="false"/>
        </w:rPr>
      </w:pPr>
      <w:r>
        <w:rPr>
          <w:caps w:val="false"/>
          <w:smallCaps w:val="false"/>
        </w:rPr>
        <w:t> </w:t>
      </w:r>
    </w:p>
    <w:tbl>
      <w:tblPr>
        <w:tblW w:w="1263" w:type="dxa"/>
        <w:jc w:val="left"/>
        <w:tblInd w:w="0" w:type="dxa"/>
        <w:tblLayout w:type="fixed"/>
        <w:tblCellMar>
          <w:top w:w="0" w:type="dxa"/>
          <w:left w:w="0" w:type="dxa"/>
          <w:bottom w:w="0" w:type="dxa"/>
          <w:right w:w="0" w:type="dxa"/>
        </w:tblCellMar>
      </w:tblPr>
      <w:tblGrid>
        <w:gridCol w:w="38"/>
        <w:gridCol w:w="110"/>
        <w:gridCol w:w="111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Arial" w:hAnsi="Arial"/>
                <w:b w:val="false"/>
                <w:i w:val="false"/>
                <w:caps w:val="false"/>
                <w:smallCaps w:val="false"/>
                <w:sz w:val="28"/>
              </w:rPr>
            </w:pPr>
            <w:r>
              <w:rPr>
                <w:rFonts w:ascii="Arial" w:hAnsi="Arial"/>
                <w:b w:val="false"/>
                <w:i w:val="false"/>
                <w:caps w:val="false"/>
                <w:smallCaps w:val="false"/>
                <w:sz w:val="28"/>
              </w:rPr>
              <w:t>-</w:t>
            </w:r>
          </w:p>
        </w:tc>
        <w:tc>
          <w:tcPr>
            <w:tcW w:w="1115" w:type="dxa"/>
            <w:tcBorders/>
            <w:vAlign w:val="center"/>
          </w:tcPr>
          <w:p>
            <w:pPr>
              <w:pStyle w:val="TableContents"/>
              <w:bidi w:val="0"/>
              <w:spacing w:before="0" w:after="283"/>
              <w:jc w:val="left"/>
              <w:rPr>
                <w:rFonts w:ascii="Arial" w:hAnsi="Arial"/>
                <w:b w:val="false"/>
                <w:i w:val="false"/>
                <w:caps w:val="false"/>
                <w:smallCaps w:val="false"/>
                <w:sz w:val="28"/>
              </w:rPr>
            </w:pPr>
            <w:r>
              <w:rPr>
                <w:rFonts w:ascii="Arial" w:hAnsi="Arial"/>
                <w:b w:val="false"/>
                <w:i w:val="false"/>
                <w:caps w:val="false"/>
                <w:smallCaps w:val="false"/>
                <w:sz w:val="28"/>
              </w:rPr>
              <w:t>Respect</w:t>
            </w:r>
          </w:p>
        </w:tc>
      </w:tr>
    </w:tbl>
    <w:tbl>
      <w:tblPr>
        <w:tblW w:w="1308" w:type="dxa"/>
        <w:jc w:val="left"/>
        <w:tblInd w:w="0" w:type="dxa"/>
        <w:tblLayout w:type="fixed"/>
        <w:tblCellMar>
          <w:top w:w="0" w:type="dxa"/>
          <w:left w:w="0" w:type="dxa"/>
          <w:bottom w:w="0" w:type="dxa"/>
          <w:right w:w="0" w:type="dxa"/>
        </w:tblCellMar>
      </w:tblPr>
      <w:tblGrid>
        <w:gridCol w:w="38"/>
        <w:gridCol w:w="110"/>
        <w:gridCol w:w="116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Arial" w:hAnsi="Arial"/>
                <w:b w:val="false"/>
                <w:i w:val="false"/>
                <w:caps w:val="false"/>
                <w:smallCaps w:val="false"/>
                <w:sz w:val="28"/>
              </w:rPr>
            </w:pPr>
            <w:r>
              <w:rPr>
                <w:rFonts w:ascii="Arial" w:hAnsi="Arial"/>
                <w:b w:val="false"/>
                <w:i w:val="false"/>
                <w:caps w:val="false"/>
                <w:smallCaps w:val="false"/>
                <w:sz w:val="28"/>
              </w:rPr>
              <w:t>-</w:t>
            </w:r>
          </w:p>
        </w:tc>
        <w:tc>
          <w:tcPr>
            <w:tcW w:w="1160" w:type="dxa"/>
            <w:tcBorders/>
            <w:vAlign w:val="center"/>
          </w:tcPr>
          <w:p>
            <w:pPr>
              <w:pStyle w:val="TableContents"/>
              <w:bidi w:val="0"/>
              <w:spacing w:before="0" w:after="283"/>
              <w:jc w:val="left"/>
              <w:rPr>
                <w:rFonts w:ascii="Arial" w:hAnsi="Arial"/>
                <w:b w:val="false"/>
                <w:i w:val="false"/>
                <w:caps w:val="false"/>
                <w:smallCaps w:val="false"/>
                <w:sz w:val="28"/>
              </w:rPr>
            </w:pPr>
            <w:r>
              <w:rPr>
                <w:rFonts w:ascii="Arial" w:hAnsi="Arial"/>
                <w:b w:val="false"/>
                <w:i w:val="false"/>
                <w:caps w:val="false"/>
                <w:smallCaps w:val="false"/>
                <w:sz w:val="28"/>
              </w:rPr>
              <w:t>Fairness</w:t>
            </w:r>
          </w:p>
        </w:tc>
      </w:tr>
    </w:tbl>
    <w:tbl>
      <w:tblPr>
        <w:tblW w:w="1263" w:type="dxa"/>
        <w:jc w:val="left"/>
        <w:tblInd w:w="0" w:type="dxa"/>
        <w:tblLayout w:type="fixed"/>
        <w:tblCellMar>
          <w:top w:w="0" w:type="dxa"/>
          <w:left w:w="0" w:type="dxa"/>
          <w:bottom w:w="0" w:type="dxa"/>
          <w:right w:w="0" w:type="dxa"/>
        </w:tblCellMar>
      </w:tblPr>
      <w:tblGrid>
        <w:gridCol w:w="38"/>
        <w:gridCol w:w="110"/>
        <w:gridCol w:w="111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Arial" w:hAnsi="Arial"/>
                <w:b w:val="false"/>
                <w:i w:val="false"/>
                <w:caps w:val="false"/>
                <w:smallCaps w:val="false"/>
                <w:sz w:val="28"/>
              </w:rPr>
            </w:pPr>
            <w:r>
              <w:rPr>
                <w:rFonts w:ascii="Arial" w:hAnsi="Arial"/>
                <w:b w:val="false"/>
                <w:i w:val="false"/>
                <w:caps w:val="false"/>
                <w:smallCaps w:val="false"/>
                <w:sz w:val="28"/>
              </w:rPr>
              <w:t>-</w:t>
            </w:r>
          </w:p>
        </w:tc>
        <w:tc>
          <w:tcPr>
            <w:tcW w:w="1115" w:type="dxa"/>
            <w:tcBorders/>
            <w:vAlign w:val="center"/>
          </w:tcPr>
          <w:p>
            <w:pPr>
              <w:pStyle w:val="TableContents"/>
              <w:bidi w:val="0"/>
              <w:spacing w:before="0" w:after="283"/>
              <w:jc w:val="left"/>
              <w:rPr>
                <w:rFonts w:ascii="Arial" w:hAnsi="Arial"/>
                <w:b w:val="false"/>
                <w:i w:val="false"/>
                <w:caps w:val="false"/>
                <w:smallCaps w:val="false"/>
                <w:sz w:val="28"/>
              </w:rPr>
            </w:pPr>
            <w:r>
              <w:rPr>
                <w:rFonts w:ascii="Arial" w:hAnsi="Arial"/>
                <w:b w:val="false"/>
                <w:i w:val="false"/>
                <w:caps w:val="false"/>
                <w:smallCaps w:val="false"/>
                <w:sz w:val="28"/>
              </w:rPr>
              <w:t>Honesty</w:t>
            </w:r>
          </w:p>
        </w:tc>
      </w:tr>
    </w:tbl>
    <w:tbl>
      <w:tblPr>
        <w:tblW w:w="1893" w:type="dxa"/>
        <w:jc w:val="left"/>
        <w:tblInd w:w="0" w:type="dxa"/>
        <w:tblLayout w:type="fixed"/>
        <w:tblCellMar>
          <w:top w:w="0" w:type="dxa"/>
          <w:left w:w="0" w:type="dxa"/>
          <w:bottom w:w="0" w:type="dxa"/>
          <w:right w:w="0" w:type="dxa"/>
        </w:tblCellMar>
      </w:tblPr>
      <w:tblGrid>
        <w:gridCol w:w="38"/>
        <w:gridCol w:w="110"/>
        <w:gridCol w:w="174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Arial" w:hAnsi="Arial"/>
                <w:b w:val="false"/>
                <w:i w:val="false"/>
                <w:caps w:val="false"/>
                <w:smallCaps w:val="false"/>
                <w:sz w:val="28"/>
              </w:rPr>
            </w:pPr>
            <w:r>
              <w:rPr>
                <w:rFonts w:ascii="Arial" w:hAnsi="Arial"/>
                <w:b w:val="false"/>
                <w:i w:val="false"/>
                <w:caps w:val="false"/>
                <w:smallCaps w:val="false"/>
                <w:sz w:val="28"/>
              </w:rPr>
              <w:t>-</w:t>
            </w:r>
          </w:p>
        </w:tc>
        <w:tc>
          <w:tcPr>
            <w:tcW w:w="1745" w:type="dxa"/>
            <w:tcBorders/>
            <w:vAlign w:val="center"/>
          </w:tcPr>
          <w:p>
            <w:pPr>
              <w:pStyle w:val="TableContents"/>
              <w:bidi w:val="0"/>
              <w:spacing w:before="0" w:after="283"/>
              <w:jc w:val="left"/>
              <w:rPr>
                <w:rFonts w:ascii="Arial" w:hAnsi="Arial"/>
                <w:b w:val="false"/>
                <w:i w:val="false"/>
                <w:caps w:val="false"/>
                <w:smallCaps w:val="false"/>
                <w:sz w:val="28"/>
              </w:rPr>
            </w:pPr>
            <w:r>
              <w:rPr>
                <w:rFonts w:ascii="Arial" w:hAnsi="Arial"/>
                <w:b w:val="false"/>
                <w:i w:val="false"/>
                <w:caps w:val="false"/>
                <w:smallCaps w:val="false"/>
                <w:sz w:val="28"/>
              </w:rPr>
              <w:t>Sustainability</w:t>
            </w:r>
          </w:p>
        </w:tc>
      </w:tr>
    </w:tbl>
    <w:p>
      <w:pPr>
        <w:pStyle w:val="TextBody"/>
        <w:bidi w:val="0"/>
        <w:spacing w:before="0" w:after="0"/>
        <w:jc w:val="left"/>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36"/>
        </w:rPr>
      </w:pPr>
      <w:r>
        <w:rPr>
          <w:rFonts w:ascii="Arial" w:hAnsi="Arial"/>
          <w:b/>
          <w:i w:val="false"/>
          <w:caps w:val="false"/>
          <w:smallCaps w:val="false"/>
          <w:sz w:val="36"/>
        </w:rPr>
        <w:t>Statement of Responsibility</w:t>
      </w:r>
    </w:p>
    <w:p>
      <w:pPr>
        <w:pStyle w:val="TextBody"/>
        <w:bidi w:val="0"/>
        <w:spacing w:before="60" w:after="6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Arial" w:hAnsi="Arial"/>
          <w:b w:val="false"/>
          <w:i w:val="false"/>
          <w:caps w:val="false"/>
          <w:smallCaps w:val="false"/>
          <w:sz w:val="20"/>
        </w:rPr>
        <w:t>This document contains truthful information regarding business developments at Credicorp Ltd. and Subsidiaries in 2023. The signatories shall be liable, within the ambit of their faculties according to the norms of the Civil Code, for damages that any lack of veracity or insufficiency that the contents of these documents may generate.”</w:t>
      </w:r>
    </w:p>
    <w:p>
      <w:pPr>
        <w:pStyle w:val="TextBody"/>
        <w:bidi w:val="0"/>
        <w:spacing w:before="0" w:after="0"/>
        <w:ind w:left="0" w:right="0" w:hanging="0"/>
        <w:jc w:val="both"/>
        <w:rPr>
          <w:caps w:val="false"/>
          <w:smallCaps w:val="false"/>
        </w:rPr>
      </w:pPr>
      <w:r>
        <w:rPr>
          <w:caps w:val="false"/>
          <w:smallCaps w:val="false"/>
        </w:rPr>
        <w:t> </w:t>
      </w:r>
    </w:p>
    <w:tbl>
      <w:tblPr>
        <w:tblW w:w="5390" w:type="dxa"/>
        <w:jc w:val="left"/>
        <w:tblInd w:w="0" w:type="dxa"/>
        <w:tblLayout w:type="fixed"/>
        <w:tblCellMar>
          <w:top w:w="0" w:type="dxa"/>
          <w:left w:w="0" w:type="dxa"/>
          <w:bottom w:w="0" w:type="dxa"/>
          <w:right w:w="0" w:type="dxa"/>
        </w:tblCellMar>
      </w:tblPr>
      <w:tblGrid>
        <w:gridCol w:w="75"/>
        <w:gridCol w:w="3060"/>
        <w:gridCol w:w="60"/>
        <w:gridCol w:w="2120"/>
        <w:gridCol w:w="75"/>
      </w:tblGrid>
      <w:tr>
        <w:trPr/>
        <w:tc>
          <w:tcPr>
            <w:tcW w:w="75" w:type="dxa"/>
            <w:tcBorders/>
            <w:vAlign w:val="center"/>
          </w:tcPr>
          <w:p>
            <w:pPr>
              <w:pStyle w:val="TableContents"/>
              <w:bidi w:val="0"/>
              <w:spacing w:before="0" w:after="283"/>
              <w:jc w:val="center"/>
              <w:rPr/>
            </w:pPr>
            <w:r>
              <w:rPr/>
              <w:t> </w:t>
            </w:r>
          </w:p>
        </w:tc>
        <w:tc>
          <w:tcPr>
            <w:tcW w:w="3060" w:type="dxa"/>
            <w:tcBorders/>
            <w:vAlign w:val="center"/>
          </w:tcPr>
          <w:p>
            <w:pPr>
              <w:pStyle w:val="TableContents"/>
              <w:bidi w:val="0"/>
              <w:spacing w:before="0" w:after="283"/>
              <w:jc w:val="center"/>
              <w:rPr/>
            </w:pPr>
            <w:r>
              <w:rPr/>
              <w:t> </w:t>
            </w:r>
            <w:r>
              <w:rPr/>
              <w:drawing>
                <wp:inline distT="0" distB="0" distL="0" distR="0">
                  <wp:extent cx="1905000" cy="11715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905000" cy="1171575"/>
                          </a:xfrm>
                          <a:prstGeom prst="rect">
                            <a:avLst/>
                          </a:prstGeom>
                        </pic:spPr>
                      </pic:pic>
                    </a:graphicData>
                  </a:graphic>
                </wp:inline>
              </w:drawing>
            </w:r>
          </w:p>
        </w:tc>
        <w:tc>
          <w:tcPr>
            <w:tcW w:w="60" w:type="dxa"/>
            <w:tcBorders/>
            <w:vAlign w:val="center"/>
          </w:tcPr>
          <w:p>
            <w:pPr>
              <w:pStyle w:val="TableContents"/>
              <w:bidi w:val="0"/>
              <w:spacing w:before="0" w:after="283"/>
              <w:jc w:val="center"/>
              <w:rPr/>
            </w:pPr>
            <w:r>
              <w:rPr/>
              <w:t> </w:t>
            </w:r>
          </w:p>
        </w:tc>
        <w:tc>
          <w:tcPr>
            <w:tcW w:w="2120" w:type="dxa"/>
            <w:tcBorders/>
            <w:vAlign w:val="center"/>
          </w:tcPr>
          <w:p>
            <w:pPr>
              <w:pStyle w:val="TableContents"/>
              <w:bidi w:val="0"/>
              <w:spacing w:before="0" w:after="283"/>
              <w:jc w:val="center"/>
              <w:rPr/>
            </w:pPr>
            <w:r>
              <w:rPr/>
              <w:drawing>
                <wp:inline distT="0" distB="0" distL="0" distR="0">
                  <wp:extent cx="1143000" cy="6096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43000" cy="609600"/>
                          </a:xfrm>
                          <a:prstGeom prst="rect">
                            <a:avLst/>
                          </a:prstGeom>
                        </pic:spPr>
                      </pic:pic>
                    </a:graphicData>
                  </a:graphic>
                </wp:inline>
              </w:drawing>
            </w:r>
            <w:r>
              <w:rPr/>
              <w:t> </w:t>
            </w:r>
          </w:p>
        </w:tc>
        <w:tc>
          <w:tcPr>
            <w:tcW w:w="75"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center"/>
              <w:rPr/>
            </w:pPr>
            <w:r>
              <w:rPr/>
              <w:t> </w:t>
            </w:r>
          </w:p>
        </w:tc>
        <w:tc>
          <w:tcPr>
            <w:tcW w:w="3060" w:type="dxa"/>
            <w:tcBorders/>
            <w:vAlign w:val="center"/>
          </w:tcPr>
          <w:p>
            <w:pPr>
              <w:pStyle w:val="TableContents"/>
              <w:bidi w:val="0"/>
              <w:spacing w:before="0" w:after="283"/>
              <w:jc w:val="center"/>
              <w:rPr/>
            </w:pPr>
            <w:r>
              <w:rPr>
                <w:rFonts w:ascii="Arial" w:hAnsi="Arial"/>
                <w:sz w:val="20"/>
              </w:rPr>
              <w:t>Cesar Ries Briceño</w:t>
            </w:r>
            <w:r>
              <w:rPr/>
              <w:t xml:space="preserve"> </w:t>
            </w:r>
          </w:p>
        </w:tc>
        <w:tc>
          <w:tcPr>
            <w:tcW w:w="60" w:type="dxa"/>
            <w:tcBorders/>
            <w:vAlign w:val="center"/>
          </w:tcPr>
          <w:p>
            <w:pPr>
              <w:pStyle w:val="TableContents"/>
              <w:bidi w:val="0"/>
              <w:spacing w:before="0" w:after="283"/>
              <w:jc w:val="center"/>
              <w:rPr/>
            </w:pPr>
            <w:r>
              <w:rPr/>
              <w:t> </w:t>
            </w:r>
          </w:p>
        </w:tc>
        <w:tc>
          <w:tcPr>
            <w:tcW w:w="2120" w:type="dxa"/>
            <w:tcBorders/>
            <w:vAlign w:val="center"/>
          </w:tcPr>
          <w:p>
            <w:pPr>
              <w:pStyle w:val="TableContents"/>
              <w:bidi w:val="0"/>
              <w:spacing w:before="0" w:after="283"/>
              <w:jc w:val="center"/>
              <w:rPr>
                <w:rFonts w:ascii="Arial" w:hAnsi="Arial"/>
                <w:sz w:val="20"/>
              </w:rPr>
            </w:pPr>
            <w:r>
              <w:rPr>
                <w:rFonts w:ascii="Arial" w:hAnsi="Arial"/>
                <w:sz w:val="20"/>
              </w:rPr>
              <w:t>José Luis Monuz Rivera</w:t>
            </w:r>
          </w:p>
        </w:tc>
        <w:tc>
          <w:tcPr>
            <w:tcW w:w="75"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center"/>
              <w:rPr/>
            </w:pPr>
            <w:r>
              <w:rPr/>
              <w:t> </w:t>
            </w:r>
          </w:p>
        </w:tc>
        <w:tc>
          <w:tcPr>
            <w:tcW w:w="3060" w:type="dxa"/>
            <w:tcBorders/>
            <w:vAlign w:val="center"/>
          </w:tcPr>
          <w:p>
            <w:pPr>
              <w:pStyle w:val="TableContents"/>
              <w:bidi w:val="0"/>
              <w:spacing w:before="0" w:after="283"/>
              <w:jc w:val="center"/>
              <w:rPr>
                <w:rFonts w:ascii="Arial" w:hAnsi="Arial"/>
                <w:sz w:val="20"/>
              </w:rPr>
            </w:pPr>
            <w:r>
              <w:rPr>
                <w:rFonts w:ascii="Arial" w:hAnsi="Arial"/>
                <w:sz w:val="20"/>
              </w:rPr>
              <w:t>Chief Financial Officer</w:t>
            </w:r>
          </w:p>
        </w:tc>
        <w:tc>
          <w:tcPr>
            <w:tcW w:w="60" w:type="dxa"/>
            <w:tcBorders/>
            <w:vAlign w:val="center"/>
          </w:tcPr>
          <w:p>
            <w:pPr>
              <w:pStyle w:val="TableContents"/>
              <w:bidi w:val="0"/>
              <w:spacing w:before="0" w:after="283"/>
              <w:jc w:val="center"/>
              <w:rPr/>
            </w:pPr>
            <w:r>
              <w:rPr/>
              <w:t> </w:t>
            </w:r>
          </w:p>
        </w:tc>
        <w:tc>
          <w:tcPr>
            <w:tcW w:w="2120" w:type="dxa"/>
            <w:tcBorders/>
            <w:vAlign w:val="center"/>
          </w:tcPr>
          <w:p>
            <w:pPr>
              <w:pStyle w:val="TableContents"/>
              <w:bidi w:val="0"/>
              <w:spacing w:before="0" w:after="283"/>
              <w:jc w:val="center"/>
              <w:rPr>
                <w:rFonts w:ascii="Arial" w:hAnsi="Arial"/>
                <w:sz w:val="20"/>
              </w:rPr>
            </w:pPr>
            <w:r>
              <w:rPr>
                <w:rFonts w:ascii="Arial" w:hAnsi="Arial"/>
                <w:sz w:val="20"/>
              </w:rPr>
              <w:t>Head of Accounting</w:t>
            </w:r>
          </w:p>
        </w:tc>
        <w:tc>
          <w:tcPr>
            <w:tcW w:w="75"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center"/>
              <w:rPr/>
            </w:pPr>
            <w:r>
              <w:rPr/>
              <w:t> </w:t>
            </w:r>
          </w:p>
        </w:tc>
        <w:tc>
          <w:tcPr>
            <w:tcW w:w="30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20" w:type="dxa"/>
            <w:tcBorders/>
            <w:vAlign w:val="center"/>
          </w:tcPr>
          <w:p>
            <w:pPr>
              <w:pStyle w:val="TableContents"/>
              <w:bidi w:val="0"/>
              <w:spacing w:before="0" w:after="283"/>
              <w:jc w:val="center"/>
              <w:rPr>
                <w:rFonts w:ascii="Arial" w:hAnsi="Arial"/>
                <w:sz w:val="20"/>
              </w:rPr>
            </w:pPr>
            <w:r>
              <w:rPr>
                <w:rFonts w:ascii="Arial" w:hAnsi="Arial"/>
                <w:sz w:val="20"/>
              </w:rPr>
              <w:t>C.P.C. N° 14902</w:t>
            </w:r>
          </w:p>
        </w:tc>
        <w:tc>
          <w:tcPr>
            <w:tcW w:w="7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29/02/2024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Arial" w:hAnsi="Arial"/>
          <w:b/>
          <w:i w:val="false"/>
          <w:caps w:val="false"/>
          <w:smallCaps w:val="false"/>
          <w:sz w:val="36"/>
        </w:rPr>
      </w:pPr>
      <w:bookmarkStart w:id="10" w:name="a003_v1"/>
      <w:bookmarkEnd w:id="10"/>
      <w:r>
        <w:rPr>
          <w:rFonts w:ascii="Arial" w:hAnsi="Arial"/>
          <w:b/>
          <w:i w:val="false"/>
          <w:caps w:val="false"/>
          <w:smallCaps w:val="false"/>
          <w:sz w:val="36"/>
        </w:rPr>
        <w:t>Credicorp at a glance</w:t>
      </w:r>
    </w:p>
    <w:p>
      <w:pPr>
        <w:pStyle w:val="TextBody"/>
        <w:bidi w:val="0"/>
        <w:spacing w:before="60" w:after="6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Arial" w:hAnsi="Arial"/>
          <w:b w:val="false"/>
          <w:i w:val="false"/>
          <w:caps w:val="false"/>
          <w:smallCaps w:val="false"/>
          <w:sz w:val="20"/>
        </w:rPr>
      </w:pPr>
      <w:r>
        <w:rPr>
          <w:rFonts w:ascii="Arial" w:hAnsi="Arial"/>
          <w:b/>
          <w:i/>
          <w:caps w:val="false"/>
          <w:smallCaps w:val="false"/>
          <w:sz w:val="20"/>
        </w:rPr>
        <w:t xml:space="preserve">GRI </w:t>
      </w:r>
      <w:r>
        <w:rPr>
          <w:rFonts w:ascii="Arial" w:hAnsi="Arial"/>
          <w:b w:val="false"/>
          <w:i/>
          <w:caps w:val="false"/>
          <w:smallCaps w:val="false"/>
          <w:sz w:val="20"/>
        </w:rPr>
        <w:t>2-1, 2-6</w:t>
      </w:r>
    </w:p>
    <w:p>
      <w:pPr>
        <w:pStyle w:val="TextBody"/>
        <w:bidi w:val="0"/>
        <w:spacing w:before="0" w:after="0"/>
        <w:jc w:val="left"/>
        <w:rPr>
          <w:caps w:val="false"/>
          <w:smallCaps w:val="false"/>
        </w:rPr>
      </w:pPr>
      <w:r>
        <w:rPr>
          <w:caps w:val="false"/>
          <w:smallCaps w:val="false"/>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olumn">
                  <wp:align>left</wp:align>
                </wp:positionH>
                <wp:positionV relativeFrom="line">
                  <wp:posOffset>635</wp:posOffset>
                </wp:positionV>
                <wp:extent cx="2008505" cy="5213985"/>
                <wp:effectExtent l="0" t="0" r="0" b="0"/>
                <wp:wrapTopAndBottom/>
                <wp:docPr id="9" name="Frame1"/>
                <a:graphic xmlns:a="http://schemas.openxmlformats.org/drawingml/2006/main">
                  <a:graphicData uri="http://schemas.microsoft.com/office/word/2010/wordprocessingShape">
                    <wps:wsp>
                      <wps:cNvSpPr txBox="1"/>
                      <wps:spPr>
                        <a:xfrm>
                          <a:off x="0" y="0"/>
                          <a:ext cx="2008505" cy="5213985"/>
                        </a:xfrm>
                        <a:prstGeom prst="rect"/>
                        <a:solidFill>
                          <a:srgbClr val="FFFFFF"/>
                        </a:solidFill>
                      </wps:spPr>
                      <wps:txbx>
                        <w:txbxContent>
                          <w:p>
                            <w:pPr>
                              <w:pStyle w:val="TextBody"/>
                              <w:bidi w:val="0"/>
                              <w:spacing w:before="0" w:after="0"/>
                              <w:jc w:val="left"/>
                              <w:rPr>
                                <w:rFonts w:ascii="Arial" w:hAnsi="Arial"/>
                                <w:b/>
                                <w:i w:val="false"/>
                                <w:caps w:val="false"/>
                                <w:smallCaps w:val="false"/>
                                <w:sz w:val="28"/>
                              </w:rPr>
                            </w:pPr>
                            <w:r>
                              <w:rPr>
                                <w:rFonts w:ascii="Arial" w:hAnsi="Arial"/>
                                <w:b/>
                                <w:i w:val="false"/>
                                <w:caps w:val="false"/>
                                <w:smallCaps w:val="false"/>
                                <w:sz w:val="28"/>
                              </w:rPr>
                              <w:t>Who we are?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 w:hAnsi="Arial"/>
                                <w:b w:val="false"/>
                                <w:i w:val="false"/>
                                <w:caps w:val="false"/>
                                <w:smallCaps w:val="false"/>
                                <w:sz w:val="20"/>
                              </w:rPr>
                            </w:pPr>
                            <w:r>
                              <w:rPr>
                                <w:rFonts w:ascii="Arial" w:hAnsi="Arial"/>
                                <w:b/>
                                <w:i w:val="false"/>
                                <w:caps w:val="false"/>
                                <w:smallCaps w:val="false"/>
                                <w:sz w:val="20"/>
                              </w:rPr>
                              <w:t xml:space="preserve">We are Peru’s leading financial group with </w:t>
                            </w:r>
                            <w:r>
                              <w:rPr>
                                <w:rFonts w:ascii="Arial" w:hAnsi="Arial"/>
                                <w:b w:val="false"/>
                                <w:i w:val="false"/>
                                <w:caps w:val="false"/>
                                <w:smallCaps w:val="false"/>
                                <w:sz w:val="20"/>
                              </w:rPr>
                              <w:t>over 135 years of experience in this market. We have a solid universal banking, insurance and pension platform that serves all segments of the Peruvian population, complemented by an important and growing presence in microfinance, investment banking, and wealth management in Latin America.</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2571750" cy="3019425"/>
                                  <wp:effectExtent l="0" t="0" r="0" b="0"/>
                                  <wp:docPr id="1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9" descr=""/>
                                          <pic:cNvPicPr>
                                            <a:picLocks noChangeAspect="1" noChangeArrowheads="1"/>
                                          </pic:cNvPicPr>
                                        </pic:nvPicPr>
                                        <pic:blipFill>
                                          <a:blip r:embed="rId10"/>
                                          <a:stretch>
                                            <a:fillRect/>
                                          </a:stretch>
                                        </pic:blipFill>
                                        <pic:spPr bwMode="auto">
                                          <a:xfrm>
                                            <a:off x="0" y="0"/>
                                            <a:ext cx="2571750" cy="3019425"/>
                                          </a:xfrm>
                                          <a:prstGeom prst="rect">
                                            <a:avLst/>
                                          </a:prstGeom>
                                        </pic:spPr>
                                      </pic:pic>
                                    </a:graphicData>
                                  </a:graphic>
                                </wp:inline>
                              </w:drawing>
                            </w:r>
                            <w:r>
                              <w:rPr>
                                <w:caps w:val="false"/>
                                <w:smallCaps w:val="false"/>
                              </w:rPr>
                              <w:t> </w:t>
                            </w:r>
                          </w:p>
                        </w:txbxContent>
                      </wps:txbx>
                      <wps:bodyPr anchor="t" lIns="0" tIns="0" rIns="0" bIns="0">
                        <a:noAutofit/>
                      </wps:bodyPr>
                    </wps:wsp>
                  </a:graphicData>
                </a:graphic>
                <wp14:sizeRelH relativeFrom="margin">
                  <wp14:pctWidth>31000</wp14:pctWidth>
                </wp14:sizeRelH>
              </wp:anchor>
            </w:drawing>
          </mc:Choice>
          <mc:Fallback>
            <w:pict>
              <v:rect style="position:absolute;rotation:-0;width:158.15pt;height:4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rFonts w:ascii="Arial" w:hAnsi="Arial"/>
                          <w:b/>
                          <w:i w:val="false"/>
                          <w:caps w:val="false"/>
                          <w:smallCaps w:val="false"/>
                          <w:sz w:val="28"/>
                        </w:rPr>
                      </w:pPr>
                      <w:r>
                        <w:rPr>
                          <w:rFonts w:ascii="Arial" w:hAnsi="Arial"/>
                          <w:b/>
                          <w:i w:val="false"/>
                          <w:caps w:val="false"/>
                          <w:smallCaps w:val="false"/>
                          <w:sz w:val="28"/>
                        </w:rPr>
                        <w:t>Who we are?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 w:hAnsi="Arial"/>
                          <w:b w:val="false"/>
                          <w:i w:val="false"/>
                          <w:caps w:val="false"/>
                          <w:smallCaps w:val="false"/>
                          <w:sz w:val="20"/>
                        </w:rPr>
                      </w:pPr>
                      <w:r>
                        <w:rPr>
                          <w:rFonts w:ascii="Arial" w:hAnsi="Arial"/>
                          <w:b/>
                          <w:i w:val="false"/>
                          <w:caps w:val="false"/>
                          <w:smallCaps w:val="false"/>
                          <w:sz w:val="20"/>
                        </w:rPr>
                        <w:t xml:space="preserve">We are Peru’s leading financial group with </w:t>
                      </w:r>
                      <w:r>
                        <w:rPr>
                          <w:rFonts w:ascii="Arial" w:hAnsi="Arial"/>
                          <w:b w:val="false"/>
                          <w:i w:val="false"/>
                          <w:caps w:val="false"/>
                          <w:smallCaps w:val="false"/>
                          <w:sz w:val="20"/>
                        </w:rPr>
                        <w:t>over 135 years of experience in this market. We have a solid universal banking, insurance and pension platform that serves all segments of the Peruvian population, complemented by an important and growing presence in microfinance, investment banking, and wealth management in Latin America.</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2571750" cy="3019425"/>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1"/>
                                    <a:stretch>
                                      <a:fillRect/>
                                    </a:stretch>
                                  </pic:blipFill>
                                  <pic:spPr bwMode="auto">
                                    <a:xfrm>
                                      <a:off x="0" y="0"/>
                                      <a:ext cx="2571750" cy="3019425"/>
                                    </a:xfrm>
                                    <a:prstGeom prst="rect">
                                      <a:avLst/>
                                    </a:prstGeom>
                                  </pic:spPr>
                                </pic:pic>
                              </a:graphicData>
                            </a:graphic>
                          </wp:inline>
                        </w:drawing>
                      </w:r>
                      <w:r>
                        <w:rPr>
                          <w:caps w:val="false"/>
                          <w:smallCaps w:val="false"/>
                        </w:rPr>
                        <w:t> </w:t>
                      </w:r>
                    </w:p>
                  </w:txbxContent>
                </v:textbox>
                <w10:wrap type="topAndBottom"/>
              </v:rect>
            </w:pict>
          </mc:Fallback>
        </mc:AlternateContent>
      </w:r>
      <w:r>
        <mc:AlternateContent>
          <mc:Choice Requires="wps">
            <w:drawing>
              <wp:anchor behindDoc="0" distT="0" distB="0" distL="0" distR="0" simplePos="0" locked="0" layoutInCell="1" allowOverlap="1" relativeHeight="247">
                <wp:simplePos x="0" y="0"/>
                <wp:positionH relativeFrom="column">
                  <wp:align>left</wp:align>
                </wp:positionH>
                <wp:positionV relativeFrom="line">
                  <wp:posOffset>635</wp:posOffset>
                </wp:positionV>
                <wp:extent cx="194310" cy="175260"/>
                <wp:effectExtent l="0" t="0" r="0" b="0"/>
                <wp:wrapTopAndBottom/>
                <wp:docPr id="12" name="Frame2"/>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14:sizeRelH relativeFrom="margin">
                  <wp14:pctWidth>3000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158.15pt;mso-position-horizontal:left;mso-position-horizontal-relative:text">
                <v:textbox>
                  <w:txbxContent>
                    <w:p>
                      <w:pPr>
                        <w:pStyle w:val="TextBody"/>
                        <w:bidi w:val="0"/>
                        <w:spacing w:before="0" w:after="283"/>
                        <w:jc w:val="left"/>
                        <w:rPr/>
                      </w:pPr>
                      <w:r>
                        <w:rPr/>
                        <w:t xml:space="preserve">      </w:t>
                      </w:r>
                    </w:p>
                  </w:txbxContent>
                </v:textbox>
                <w10:wrap type="topAndBottom"/>
              </v:rect>
            </w:pict>
          </mc:Fallback>
        </mc:AlternateContent>
      </w:r>
      <w:r>
        <mc:AlternateContent>
          <mc:Choice Requires="wps">
            <w:drawing>
              <wp:anchor behindDoc="0" distT="0" distB="0" distL="0" distR="0" simplePos="0" locked="0" layoutInCell="1" allowOverlap="1" relativeHeight="248">
                <wp:simplePos x="0" y="0"/>
                <wp:positionH relativeFrom="column">
                  <wp:align>left</wp:align>
                </wp:positionH>
                <wp:positionV relativeFrom="line">
                  <wp:posOffset>635</wp:posOffset>
                </wp:positionV>
                <wp:extent cx="2008505" cy="4965700"/>
                <wp:effectExtent l="0" t="0" r="0" b="0"/>
                <wp:wrapTopAndBottom/>
                <wp:docPr id="13" name="Frame3"/>
                <a:graphic xmlns:a="http://schemas.openxmlformats.org/drawingml/2006/main">
                  <a:graphicData uri="http://schemas.microsoft.com/office/word/2010/wordprocessingShape">
                    <wps:wsp>
                      <wps:cNvSpPr txBox="1"/>
                      <wps:spPr>
                        <a:xfrm>
                          <a:off x="0" y="0"/>
                          <a:ext cx="2008505" cy="4965700"/>
                        </a:xfrm>
                        <a:prstGeom prst="rect"/>
                        <a:solidFill>
                          <a:srgbClr val="FFFFFF"/>
                        </a:solidFill>
                      </wps:spPr>
                      <wps:txbx>
                        <w:txbxContent>
                          <w:p>
                            <w:pPr>
                              <w:pStyle w:val="TextBody"/>
                              <w:bidi w:val="0"/>
                              <w:spacing w:lineRule="auto" w:line="240" w:before="0" w:after="0"/>
                              <w:jc w:val="left"/>
                              <w:rPr>
                                <w:rFonts w:ascii="Arial" w:hAnsi="Arial"/>
                                <w:b/>
                                <w:i w:val="false"/>
                                <w:caps w:val="false"/>
                                <w:smallCaps w:val="false"/>
                                <w:sz w:val="28"/>
                              </w:rPr>
                            </w:pPr>
                            <w:r>
                              <w:rPr>
                                <w:rFonts w:ascii="Arial" w:hAnsi="Arial"/>
                                <w:b/>
                                <w:i w:val="false"/>
                                <w:caps w:val="false"/>
                                <w:smallCaps w:val="false"/>
                                <w:sz w:val="28"/>
                              </w:rPr>
                              <w:t>Total Income1</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 w:hAnsi="Arial"/>
                                <w:b w:val="false"/>
                                <w:i w:val="false"/>
                                <w:caps w:val="false"/>
                                <w:smallCaps w:val="false"/>
                                <w:color w:val="997EA4"/>
                                <w:sz w:val="36"/>
                              </w:rPr>
                            </w:pPr>
                            <w:r>
                              <w:rPr>
                                <w:rFonts w:ascii="Arial" w:hAnsi="Arial"/>
                                <w:b w:val="false"/>
                                <w:i w:val="false"/>
                                <w:caps w:val="false"/>
                                <w:smallCaps w:val="false"/>
                                <w:color w:val="997EA4"/>
                                <w:sz w:val="36"/>
                              </w:rPr>
                              <w:t>S/ 19,805 million</w:t>
                            </w:r>
                          </w:p>
                          <w:p>
                            <w:pPr>
                              <w:pStyle w:val="TextBody"/>
                              <w:bidi w:val="0"/>
                              <w:spacing w:before="0" w:after="0"/>
                              <w:jc w:val="left"/>
                              <w:rPr>
                                <w:caps w:val="false"/>
                                <w:smallCaps w:val="false"/>
                                <w:color w:val="997EA4"/>
                              </w:rPr>
                            </w:pPr>
                            <w:r>
                              <w:rPr>
                                <w:caps w:val="false"/>
                                <w:smallCaps w:val="false"/>
                                <w:color w:val="997EA4"/>
                              </w:rPr>
                              <w:t> </w:t>
                            </w:r>
                          </w:p>
                          <w:p>
                            <w:pPr>
                              <w:pStyle w:val="TextBody"/>
                              <w:bidi w:val="0"/>
                              <w:spacing w:before="0" w:after="0"/>
                              <w:jc w:val="left"/>
                              <w:rPr>
                                <w:rFonts w:ascii="Arial" w:hAnsi="Arial"/>
                                <w:b w:val="false"/>
                                <w:i w:val="false"/>
                                <w:caps w:val="false"/>
                                <w:smallCaps w:val="false"/>
                                <w:sz w:val="20"/>
                              </w:rPr>
                            </w:pPr>
                            <w:r>
                              <w:rPr>
                                <w:rFonts w:ascii="Arial" w:hAnsi="Arial"/>
                                <w:b w:val="false"/>
                                <w:i w:val="false"/>
                                <w:caps w:val="false"/>
                                <w:smallCaps w:val="false"/>
                                <w:sz w:val="20"/>
                              </w:rPr>
                              <w:t>Income remained resilient and grew 16.5% in 2023, amid an adverse macroeconomic context.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 w:hAnsi="Arial"/>
                                <w:b/>
                                <w:i w:val="false"/>
                                <w:caps w:val="false"/>
                                <w:smallCaps w:val="false"/>
                                <w:sz w:val="28"/>
                              </w:rPr>
                            </w:pPr>
                            <w:r>
                              <w:rPr>
                                <w:rFonts w:ascii="Arial" w:hAnsi="Arial"/>
                                <w:b/>
                                <w:i w:val="false"/>
                                <w:caps w:val="false"/>
                                <w:smallCaps w:val="false"/>
                                <w:sz w:val="28"/>
                              </w:rPr>
                              <w:t>Loan Portfolio</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 w:hAnsi="Arial"/>
                                <w:b w:val="false"/>
                                <w:i w:val="false"/>
                                <w:caps w:val="false"/>
                                <w:smallCaps w:val="false"/>
                                <w:color w:val="997EA4"/>
                                <w:sz w:val="36"/>
                              </w:rPr>
                            </w:pPr>
                            <w:r>
                              <w:rPr>
                                <w:rFonts w:ascii="Arial" w:hAnsi="Arial"/>
                                <w:b w:val="false"/>
                                <w:i w:val="false"/>
                                <w:caps w:val="false"/>
                                <w:smallCaps w:val="false"/>
                                <w:color w:val="997EA4"/>
                                <w:sz w:val="36"/>
                              </w:rPr>
                              <w:t>S/ 144,976 million</w:t>
                            </w:r>
                          </w:p>
                          <w:p>
                            <w:pPr>
                              <w:pStyle w:val="TextBody"/>
                              <w:bidi w:val="0"/>
                              <w:spacing w:before="0" w:after="0"/>
                              <w:jc w:val="left"/>
                              <w:rPr>
                                <w:caps w:val="false"/>
                                <w:smallCaps w:val="false"/>
                                <w:color w:val="997EA4"/>
                              </w:rPr>
                            </w:pPr>
                            <w:r>
                              <w:rPr>
                                <w:caps w:val="false"/>
                                <w:smallCaps w:val="false"/>
                                <w:color w:val="997EA4"/>
                              </w:rPr>
                              <w:t> </w:t>
                            </w:r>
                          </w:p>
                          <w:p>
                            <w:pPr>
                              <w:pStyle w:val="TextBody"/>
                              <w:bidi w:val="0"/>
                              <w:spacing w:before="0" w:after="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 contraction of -2.5% compared to 2022.</w:t>
                            </w:r>
                          </w:p>
                          <w:p>
                            <w:pPr>
                              <w:pStyle w:val="TextBody"/>
                              <w:bidi w:val="0"/>
                              <w:spacing w:before="0" w:after="0"/>
                              <w:jc w:val="left"/>
                              <w:rPr>
                                <w:caps w:val="false"/>
                                <w:smallCaps w:val="false"/>
                                <w:color w:val="997EA4"/>
                              </w:rPr>
                            </w:pPr>
                            <w:r>
                              <w:rPr>
                                <w:caps w:val="false"/>
                                <w:smallCaps w:val="false"/>
                                <w:color w:val="997EA4"/>
                              </w:rPr>
                              <w:t> </w:t>
                            </w:r>
                          </w:p>
                          <w:p>
                            <w:pPr>
                              <w:pStyle w:val="TextBody"/>
                              <w:bidi w:val="0"/>
                              <w:spacing w:before="0" w:after="0"/>
                              <w:jc w:val="left"/>
                              <w:rPr>
                                <w:rFonts w:ascii="Arial" w:hAnsi="Arial"/>
                                <w:b/>
                                <w:i w:val="false"/>
                                <w:caps w:val="false"/>
                                <w:smallCaps w:val="false"/>
                                <w:sz w:val="28"/>
                              </w:rPr>
                            </w:pPr>
                            <w:r>
                              <w:rPr>
                                <w:rFonts w:ascii="Arial" w:hAnsi="Arial"/>
                                <w:b/>
                                <w:i w:val="false"/>
                                <w:caps w:val="false"/>
                                <w:smallCaps w:val="false"/>
                                <w:sz w:val="28"/>
                              </w:rPr>
                              <w:t>Net Income (attributable to Credicorp)</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 w:hAnsi="Arial"/>
                                <w:b w:val="false"/>
                                <w:i w:val="false"/>
                                <w:caps w:val="false"/>
                                <w:smallCaps w:val="false"/>
                                <w:color w:val="997EA4"/>
                                <w:sz w:val="36"/>
                              </w:rPr>
                            </w:pPr>
                            <w:r>
                              <w:rPr>
                                <w:rFonts w:ascii="Arial" w:hAnsi="Arial"/>
                                <w:b w:val="false"/>
                                <w:i w:val="false"/>
                                <w:caps w:val="false"/>
                                <w:smallCaps w:val="false"/>
                                <w:color w:val="997EA4"/>
                                <w:sz w:val="36"/>
                              </w:rPr>
                              <w:t>S/ 4,866 million</w:t>
                            </w:r>
                          </w:p>
                          <w:p>
                            <w:pPr>
                              <w:pStyle w:val="TextBody"/>
                              <w:bidi w:val="0"/>
                              <w:spacing w:before="0" w:after="0"/>
                              <w:jc w:val="left"/>
                              <w:rPr>
                                <w:caps w:val="false"/>
                                <w:smallCaps w:val="false"/>
                                <w:color w:val="997EA4"/>
                              </w:rPr>
                            </w:pPr>
                            <w:r>
                              <w:rPr>
                                <w:caps w:val="false"/>
                                <w:smallCaps w:val="false"/>
                                <w:color w:val="997EA4"/>
                              </w:rPr>
                              <w:t> </w:t>
                            </w:r>
                          </w:p>
                          <w:p>
                            <w:pPr>
                              <w:pStyle w:val="TextBody"/>
                              <w:bidi w:val="0"/>
                              <w:spacing w:before="0" w:after="0"/>
                              <w:jc w:val="left"/>
                              <w:rPr>
                                <w:rFonts w:ascii="Arial" w:hAnsi="Arial"/>
                                <w:b w:val="false"/>
                                <w:i w:val="false"/>
                                <w:caps w:val="false"/>
                                <w:smallCaps w:val="false"/>
                                <w:sz w:val="20"/>
                              </w:rPr>
                            </w:pPr>
                            <w:r>
                              <w:rPr>
                                <w:rFonts w:ascii="Arial" w:hAnsi="Arial"/>
                                <w:b w:val="false"/>
                                <w:i w:val="false"/>
                                <w:caps w:val="false"/>
                                <w:smallCaps w:val="false"/>
                                <w:sz w:val="20"/>
                              </w:rPr>
                              <w:t>In 2023, we record a Net Income above the S/ 4,647 million generated in 2022 and above pre-pandemic levels. In 2023, we record a Net Income above the S/ 4,648 million generated in 2022 and above pre-pandemic levels.</w:t>
                            </w:r>
                          </w:p>
                        </w:txbxContent>
                      </wps:txbx>
                      <wps:bodyPr anchor="t" lIns="0" tIns="0" rIns="0" bIns="0">
                        <a:noAutofit/>
                      </wps:bodyPr>
                    </wps:wsp>
                  </a:graphicData>
                </a:graphic>
                <wp14:sizeRelH relativeFrom="margin">
                  <wp14:pctWidth>31000</wp14:pctWidth>
                </wp14:sizeRelH>
              </wp:anchor>
            </w:drawing>
          </mc:Choice>
          <mc:Fallback>
            <w:pict>
              <v:rect style="position:absolute;rotation:-0;width:158.15pt;height:391pt;mso-wrap-distance-left:0pt;mso-wrap-distance-right:0pt;mso-wrap-distance-top:0pt;mso-wrap-distance-bottom:0pt;margin-top:0pt;mso-position-vertical:top;mso-position-vertical-relative:text;margin-left:173.45pt;mso-position-horizontal:left;mso-position-horizontal-relative:text">
                <v:textbox>
                  <w:txbxContent>
                    <w:p>
                      <w:pPr>
                        <w:pStyle w:val="TextBody"/>
                        <w:bidi w:val="0"/>
                        <w:spacing w:lineRule="auto" w:line="240" w:before="0" w:after="0"/>
                        <w:jc w:val="left"/>
                        <w:rPr>
                          <w:rFonts w:ascii="Arial" w:hAnsi="Arial"/>
                          <w:b/>
                          <w:i w:val="false"/>
                          <w:caps w:val="false"/>
                          <w:smallCaps w:val="false"/>
                          <w:sz w:val="28"/>
                        </w:rPr>
                      </w:pPr>
                      <w:r>
                        <w:rPr>
                          <w:rFonts w:ascii="Arial" w:hAnsi="Arial"/>
                          <w:b/>
                          <w:i w:val="false"/>
                          <w:caps w:val="false"/>
                          <w:smallCaps w:val="false"/>
                          <w:sz w:val="28"/>
                        </w:rPr>
                        <w:t>Total Income1</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 w:hAnsi="Arial"/>
                          <w:b w:val="false"/>
                          <w:i w:val="false"/>
                          <w:caps w:val="false"/>
                          <w:smallCaps w:val="false"/>
                          <w:color w:val="997EA4"/>
                          <w:sz w:val="36"/>
                        </w:rPr>
                      </w:pPr>
                      <w:r>
                        <w:rPr>
                          <w:rFonts w:ascii="Arial" w:hAnsi="Arial"/>
                          <w:b w:val="false"/>
                          <w:i w:val="false"/>
                          <w:caps w:val="false"/>
                          <w:smallCaps w:val="false"/>
                          <w:color w:val="997EA4"/>
                          <w:sz w:val="36"/>
                        </w:rPr>
                        <w:t>S/ 19,805 million</w:t>
                      </w:r>
                    </w:p>
                    <w:p>
                      <w:pPr>
                        <w:pStyle w:val="TextBody"/>
                        <w:bidi w:val="0"/>
                        <w:spacing w:before="0" w:after="0"/>
                        <w:jc w:val="left"/>
                        <w:rPr>
                          <w:caps w:val="false"/>
                          <w:smallCaps w:val="false"/>
                          <w:color w:val="997EA4"/>
                        </w:rPr>
                      </w:pPr>
                      <w:r>
                        <w:rPr>
                          <w:caps w:val="false"/>
                          <w:smallCaps w:val="false"/>
                          <w:color w:val="997EA4"/>
                        </w:rPr>
                        <w:t> </w:t>
                      </w:r>
                    </w:p>
                    <w:p>
                      <w:pPr>
                        <w:pStyle w:val="TextBody"/>
                        <w:bidi w:val="0"/>
                        <w:spacing w:before="0" w:after="0"/>
                        <w:jc w:val="left"/>
                        <w:rPr>
                          <w:rFonts w:ascii="Arial" w:hAnsi="Arial"/>
                          <w:b w:val="false"/>
                          <w:i w:val="false"/>
                          <w:caps w:val="false"/>
                          <w:smallCaps w:val="false"/>
                          <w:sz w:val="20"/>
                        </w:rPr>
                      </w:pPr>
                      <w:r>
                        <w:rPr>
                          <w:rFonts w:ascii="Arial" w:hAnsi="Arial"/>
                          <w:b w:val="false"/>
                          <w:i w:val="false"/>
                          <w:caps w:val="false"/>
                          <w:smallCaps w:val="false"/>
                          <w:sz w:val="20"/>
                        </w:rPr>
                        <w:t>Income remained resilient and grew 16.5% in 2023, amid an adverse macroeconomic context.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 w:hAnsi="Arial"/>
                          <w:b/>
                          <w:i w:val="false"/>
                          <w:caps w:val="false"/>
                          <w:smallCaps w:val="false"/>
                          <w:sz w:val="28"/>
                        </w:rPr>
                      </w:pPr>
                      <w:r>
                        <w:rPr>
                          <w:rFonts w:ascii="Arial" w:hAnsi="Arial"/>
                          <w:b/>
                          <w:i w:val="false"/>
                          <w:caps w:val="false"/>
                          <w:smallCaps w:val="false"/>
                          <w:sz w:val="28"/>
                        </w:rPr>
                        <w:t>Loan Portfolio</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 w:hAnsi="Arial"/>
                          <w:b w:val="false"/>
                          <w:i w:val="false"/>
                          <w:caps w:val="false"/>
                          <w:smallCaps w:val="false"/>
                          <w:color w:val="997EA4"/>
                          <w:sz w:val="36"/>
                        </w:rPr>
                      </w:pPr>
                      <w:r>
                        <w:rPr>
                          <w:rFonts w:ascii="Arial" w:hAnsi="Arial"/>
                          <w:b w:val="false"/>
                          <w:i w:val="false"/>
                          <w:caps w:val="false"/>
                          <w:smallCaps w:val="false"/>
                          <w:color w:val="997EA4"/>
                          <w:sz w:val="36"/>
                        </w:rPr>
                        <w:t>S/ 144,976 million</w:t>
                      </w:r>
                    </w:p>
                    <w:p>
                      <w:pPr>
                        <w:pStyle w:val="TextBody"/>
                        <w:bidi w:val="0"/>
                        <w:spacing w:before="0" w:after="0"/>
                        <w:jc w:val="left"/>
                        <w:rPr>
                          <w:caps w:val="false"/>
                          <w:smallCaps w:val="false"/>
                          <w:color w:val="997EA4"/>
                        </w:rPr>
                      </w:pPr>
                      <w:r>
                        <w:rPr>
                          <w:caps w:val="false"/>
                          <w:smallCaps w:val="false"/>
                          <w:color w:val="997EA4"/>
                        </w:rPr>
                        <w:t> </w:t>
                      </w:r>
                    </w:p>
                    <w:p>
                      <w:pPr>
                        <w:pStyle w:val="TextBody"/>
                        <w:bidi w:val="0"/>
                        <w:spacing w:before="0" w:after="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 contraction of -2.5% compared to 2022.</w:t>
                      </w:r>
                    </w:p>
                    <w:p>
                      <w:pPr>
                        <w:pStyle w:val="TextBody"/>
                        <w:bidi w:val="0"/>
                        <w:spacing w:before="0" w:after="0"/>
                        <w:jc w:val="left"/>
                        <w:rPr>
                          <w:caps w:val="false"/>
                          <w:smallCaps w:val="false"/>
                          <w:color w:val="997EA4"/>
                        </w:rPr>
                      </w:pPr>
                      <w:r>
                        <w:rPr>
                          <w:caps w:val="false"/>
                          <w:smallCaps w:val="false"/>
                          <w:color w:val="997EA4"/>
                        </w:rPr>
                        <w:t> </w:t>
                      </w:r>
                    </w:p>
                    <w:p>
                      <w:pPr>
                        <w:pStyle w:val="TextBody"/>
                        <w:bidi w:val="0"/>
                        <w:spacing w:before="0" w:after="0"/>
                        <w:jc w:val="left"/>
                        <w:rPr>
                          <w:rFonts w:ascii="Arial" w:hAnsi="Arial"/>
                          <w:b/>
                          <w:i w:val="false"/>
                          <w:caps w:val="false"/>
                          <w:smallCaps w:val="false"/>
                          <w:sz w:val="28"/>
                        </w:rPr>
                      </w:pPr>
                      <w:r>
                        <w:rPr>
                          <w:rFonts w:ascii="Arial" w:hAnsi="Arial"/>
                          <w:b/>
                          <w:i w:val="false"/>
                          <w:caps w:val="false"/>
                          <w:smallCaps w:val="false"/>
                          <w:sz w:val="28"/>
                        </w:rPr>
                        <w:t>Net Income (attributable to Credicorp)</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 w:hAnsi="Arial"/>
                          <w:b w:val="false"/>
                          <w:i w:val="false"/>
                          <w:caps w:val="false"/>
                          <w:smallCaps w:val="false"/>
                          <w:color w:val="997EA4"/>
                          <w:sz w:val="36"/>
                        </w:rPr>
                      </w:pPr>
                      <w:r>
                        <w:rPr>
                          <w:rFonts w:ascii="Arial" w:hAnsi="Arial"/>
                          <w:b w:val="false"/>
                          <w:i w:val="false"/>
                          <w:caps w:val="false"/>
                          <w:smallCaps w:val="false"/>
                          <w:color w:val="997EA4"/>
                          <w:sz w:val="36"/>
                        </w:rPr>
                        <w:t>S/ 4,866 million</w:t>
                      </w:r>
                    </w:p>
                    <w:p>
                      <w:pPr>
                        <w:pStyle w:val="TextBody"/>
                        <w:bidi w:val="0"/>
                        <w:spacing w:before="0" w:after="0"/>
                        <w:jc w:val="left"/>
                        <w:rPr>
                          <w:caps w:val="false"/>
                          <w:smallCaps w:val="false"/>
                          <w:color w:val="997EA4"/>
                        </w:rPr>
                      </w:pPr>
                      <w:r>
                        <w:rPr>
                          <w:caps w:val="false"/>
                          <w:smallCaps w:val="false"/>
                          <w:color w:val="997EA4"/>
                        </w:rPr>
                        <w:t> </w:t>
                      </w:r>
                    </w:p>
                    <w:p>
                      <w:pPr>
                        <w:pStyle w:val="TextBody"/>
                        <w:bidi w:val="0"/>
                        <w:spacing w:before="0" w:after="0"/>
                        <w:jc w:val="left"/>
                        <w:rPr>
                          <w:rFonts w:ascii="Arial" w:hAnsi="Arial"/>
                          <w:b w:val="false"/>
                          <w:i w:val="false"/>
                          <w:caps w:val="false"/>
                          <w:smallCaps w:val="false"/>
                          <w:sz w:val="20"/>
                        </w:rPr>
                      </w:pPr>
                      <w:r>
                        <w:rPr>
                          <w:rFonts w:ascii="Arial" w:hAnsi="Arial"/>
                          <w:b w:val="false"/>
                          <w:i w:val="false"/>
                          <w:caps w:val="false"/>
                          <w:smallCaps w:val="false"/>
                          <w:sz w:val="20"/>
                        </w:rPr>
                        <w:t>In 2023, we record a Net Income above the S/ 4,647 million generated in 2022 and above pre-pandemic levels. In 2023, we record a Net Income above the S/ 4,648 million generated in 2022 and above pre-pandemic levels.</w:t>
                      </w:r>
                    </w:p>
                  </w:txbxContent>
                </v:textbox>
                <w10:wrap type="topAndBottom"/>
              </v:rect>
            </w:pict>
          </mc:Fallback>
        </mc:AlternateContent>
      </w:r>
      <w:r>
        <mc:AlternateContent>
          <mc:Choice Requires="wps">
            <w:drawing>
              <wp:anchor behindDoc="0" distT="0" distB="0" distL="0" distR="0" simplePos="0" locked="0" layoutInCell="1" allowOverlap="1" relativeHeight="249">
                <wp:simplePos x="0" y="0"/>
                <wp:positionH relativeFrom="column">
                  <wp:align>left</wp:align>
                </wp:positionH>
                <wp:positionV relativeFrom="line">
                  <wp:posOffset>635</wp:posOffset>
                </wp:positionV>
                <wp:extent cx="194310" cy="175260"/>
                <wp:effectExtent l="0" t="0" r="0" b="0"/>
                <wp:wrapTopAndBottom/>
                <wp:docPr id="14" name="Frame4"/>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14:sizeRelH relativeFrom="margin">
                  <wp14:pctWidth>3000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331.6pt;mso-position-horizontal:left;mso-position-horizontal-relative:text">
                <v:textbox>
                  <w:txbxContent>
                    <w:p>
                      <w:pPr>
                        <w:pStyle w:val="TextBody"/>
                        <w:bidi w:val="0"/>
                        <w:spacing w:before="0" w:after="283"/>
                        <w:jc w:val="left"/>
                        <w:rPr/>
                      </w:pPr>
                      <w:r>
                        <w:rPr/>
                        <w:t xml:space="preserve">      </w:t>
                      </w:r>
                    </w:p>
                  </w:txbxContent>
                </v:textbox>
                <w10:wrap type="topAndBottom"/>
              </v:rect>
            </w:pict>
          </mc:Fallback>
        </mc:AlternateContent>
      </w:r>
      <w:r>
        <mc:AlternateContent>
          <mc:Choice Requires="wps">
            <w:drawing>
              <wp:anchor behindDoc="0" distT="0" distB="0" distL="0" distR="0" simplePos="0" locked="0" layoutInCell="1" allowOverlap="1" relativeHeight="250">
                <wp:simplePos x="0" y="0"/>
                <wp:positionH relativeFrom="column">
                  <wp:align>left</wp:align>
                </wp:positionH>
                <wp:positionV relativeFrom="line">
                  <wp:posOffset>635</wp:posOffset>
                </wp:positionV>
                <wp:extent cx="2008505" cy="4831080"/>
                <wp:effectExtent l="0" t="0" r="0" b="0"/>
                <wp:wrapTopAndBottom/>
                <wp:docPr id="15" name="Frame5"/>
                <a:graphic xmlns:a="http://schemas.openxmlformats.org/drawingml/2006/main">
                  <a:graphicData uri="http://schemas.microsoft.com/office/word/2010/wordprocessingShape">
                    <wps:wsp>
                      <wps:cNvSpPr txBox="1"/>
                      <wps:spPr>
                        <a:xfrm>
                          <a:off x="0" y="0"/>
                          <a:ext cx="2008505" cy="4831080"/>
                        </a:xfrm>
                        <a:prstGeom prst="rect"/>
                        <a:solidFill>
                          <a:srgbClr val="FFFFFF"/>
                        </a:solidFill>
                      </wps:spPr>
                      <wps:txbx>
                        <w:txbxContent>
                          <w:tbl>
                            <w:tblPr>
                              <w:tblW w:w="3175" w:type="dxa"/>
                              <w:jc w:val="left"/>
                              <w:tblInd w:w="-10" w:type="dxa"/>
                              <w:tblLayout w:type="fixed"/>
                              <w:tblCellMar>
                                <w:top w:w="28" w:type="dxa"/>
                                <w:left w:w="108" w:type="dxa"/>
                                <w:bottom w:w="28" w:type="dxa"/>
                                <w:right w:w="0" w:type="dxa"/>
                              </w:tblCellMar>
                            </w:tblPr>
                            <w:tblGrid>
                              <w:gridCol w:w="1580"/>
                              <w:gridCol w:w="1595"/>
                            </w:tblGrid>
                            <w:tr>
                              <w:trPr/>
                              <w:tc>
                                <w:tcPr>
                                  <w:tcW w:w="1580" w:type="dxa"/>
                                  <w:tcBorders>
                                    <w:top w:val="single" w:sz="8" w:space="0" w:color="FFFFFF"/>
                                    <w:left w:val="single" w:sz="8" w:space="0" w:color="FFFFFF"/>
                                    <w:bottom w:val="single" w:sz="8" w:space="0" w:color="FFFFFF"/>
                                  </w:tcBorders>
                                  <w:vAlign w:val="center"/>
                                </w:tcPr>
                                <w:p>
                                  <w:pPr>
                                    <w:pStyle w:val="TableContents"/>
                                    <w:bidi w:val="0"/>
                                    <w:spacing w:before="0" w:after="283"/>
                                    <w:jc w:val="left"/>
                                    <w:rPr>
                                      <w:rFonts w:ascii="Arial" w:hAnsi="Arial"/>
                                      <w:b/>
                                      <w:i w:val="false"/>
                                      <w:caps w:val="false"/>
                                      <w:smallCaps w:val="false"/>
                                      <w:sz w:val="18"/>
                                    </w:rPr>
                                  </w:pPr>
                                  <w:r>
                                    <w:rPr>
                                      <w:rFonts w:ascii="Arial" w:hAnsi="Arial"/>
                                      <w:b/>
                                      <w:i w:val="false"/>
                                      <w:caps w:val="false"/>
                                      <w:smallCaps w:val="false"/>
                                      <w:sz w:val="18"/>
                                    </w:rPr>
                                    <w:t xml:space="preserve">Main subsidiaries </w:t>
                                  </w:r>
                                </w:p>
                              </w:tc>
                              <w:tc>
                                <w:tcPr>
                                  <w:tcW w:w="1595" w:type="dxa"/>
                                  <w:tcBorders>
                                    <w:top w:val="single" w:sz="8" w:space="0" w:color="FFFFFF"/>
                                    <w:bottom w:val="single" w:sz="8" w:space="0" w:color="FFFFFF"/>
                                    <w:right w:val="single" w:sz="8" w:space="0" w:color="FFFFFF"/>
                                  </w:tcBorders>
                                  <w:tcMar>
                                    <w:left w:w="0" w:type="dxa"/>
                                    <w:right w:w="108" w:type="dxa"/>
                                  </w:tcMar>
                                  <w:vAlign w:val="center"/>
                                </w:tcPr>
                                <w:p>
                                  <w:pPr>
                                    <w:pStyle w:val="TableContents"/>
                                    <w:bidi w:val="0"/>
                                    <w:spacing w:lineRule="auto" w:line="240" w:before="0" w:after="283"/>
                                    <w:jc w:val="center"/>
                                    <w:rPr>
                                      <w:rFonts w:ascii="Arial" w:hAnsi="Arial"/>
                                      <w:b/>
                                      <w:i w:val="false"/>
                                      <w:caps w:val="false"/>
                                      <w:smallCaps w:val="false"/>
                                      <w:sz w:val="18"/>
                                    </w:rPr>
                                  </w:pPr>
                                  <w:r>
                                    <w:rPr>
                                      <w:rFonts w:ascii="Arial" w:hAnsi="Arial"/>
                                      <w:b/>
                                      <w:i w:val="false"/>
                                      <w:caps w:val="false"/>
                                      <w:smallCaps w:val="false"/>
                                      <w:sz w:val="18"/>
                                    </w:rPr>
                                    <w:t>Clients2</w:t>
                                  </w:r>
                                </w:p>
                              </w:tc>
                            </w:tr>
                            <w:tr>
                              <w:trPr/>
                              <w:tc>
                                <w:tcPr>
                                  <w:tcW w:w="3175" w:type="dxa"/>
                                  <w:gridSpan w:val="2"/>
                                  <w:tcBorders>
                                    <w:left w:val="single" w:sz="8" w:space="0" w:color="FFFFFF"/>
                                    <w:bottom w:val="single" w:sz="8" w:space="0" w:color="FFFFFF"/>
                                    <w:right w:val="single" w:sz="8" w:space="0" w:color="FFFFFF"/>
                                  </w:tcBorders>
                                  <w:shd w:fill="D9D9D9" w:val="clear"/>
                                  <w:tcMar>
                                    <w:top w:w="0" w:type="dxa"/>
                                    <w:right w:w="108" w:type="dxa"/>
                                  </w:tcMar>
                                  <w:vAlign w:val="center"/>
                                </w:tcPr>
                                <w:p>
                                  <w:pPr>
                                    <w:pStyle w:val="TableContents"/>
                                    <w:bidi w:val="0"/>
                                    <w:spacing w:before="0" w:after="283"/>
                                    <w:jc w:val="left"/>
                                    <w:rPr>
                                      <w:rFonts w:ascii="Arial" w:hAnsi="Arial"/>
                                      <w:b/>
                                      <w:i w:val="false"/>
                                      <w:caps w:val="false"/>
                                      <w:smallCaps w:val="false"/>
                                      <w:sz w:val="18"/>
                                    </w:rPr>
                                  </w:pPr>
                                  <w:r>
                                    <w:rPr>
                                      <w:rFonts w:ascii="Arial" w:hAnsi="Arial"/>
                                      <w:b/>
                                      <w:i w:val="false"/>
                                      <w:caps w:val="false"/>
                                      <w:smallCaps w:val="false"/>
                                      <w:sz w:val="18"/>
                                    </w:rPr>
                                    <w:t>Peru</w:t>
                                  </w:r>
                                </w:p>
                              </w:tc>
                            </w:tr>
                            <w:tr>
                              <w:trPr/>
                              <w:tc>
                                <w:tcPr>
                                  <w:tcW w:w="1580" w:type="dxa"/>
                                  <w:tcBorders>
                                    <w:left w:val="single" w:sz="8" w:space="0" w:color="FFFFFF"/>
                                    <w:bottom w:val="single" w:sz="8" w:space="0" w:color="FFFFFF"/>
                                    <w:right w:val="single" w:sz="8" w:space="0" w:color="FFFFFF"/>
                                  </w:tcBorders>
                                  <w:tcMar>
                                    <w:top w:w="0" w:type="dxa"/>
                                    <w:right w:w="108" w:type="dxa"/>
                                  </w:tcMar>
                                  <w:vAlign w:val="center"/>
                                </w:tcPr>
                                <w:p>
                                  <w:pPr>
                                    <w:pStyle w:val="TableContents"/>
                                    <w:bidi w:val="0"/>
                                    <w:spacing w:before="0" w:after="283"/>
                                    <w:jc w:val="left"/>
                                    <w:rPr>
                                      <w:rFonts w:ascii="Arial" w:hAnsi="Arial"/>
                                      <w:b w:val="false"/>
                                      <w:i w:val="false"/>
                                      <w:caps w:val="false"/>
                                      <w:smallCaps w:val="false"/>
                                      <w:sz w:val="18"/>
                                    </w:rPr>
                                  </w:pPr>
                                  <w:r>
                                    <w:rPr>
                                      <w:rFonts w:ascii="Arial" w:hAnsi="Arial"/>
                                      <w:b w:val="false"/>
                                      <w:i w:val="false"/>
                                      <w:caps w:val="false"/>
                                      <w:smallCaps w:val="false"/>
                                      <w:sz w:val="18"/>
                                    </w:rPr>
                                    <w:t xml:space="preserve">BCP </w:t>
                                  </w:r>
                                </w:p>
                              </w:tc>
                              <w:tc>
                                <w:tcPr>
                                  <w:tcW w:w="1595" w:type="dxa"/>
                                  <w:tcBorders>
                                    <w:bottom w:val="single" w:sz="8" w:space="0" w:color="FFFFFF"/>
                                    <w:right w:val="single" w:sz="8" w:space="0" w:color="FFFFFF"/>
                                  </w:tcBorders>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Over 15 million</w:t>
                                  </w:r>
                                </w:p>
                              </w:tc>
                            </w:tr>
                            <w:tr>
                              <w:trPr/>
                              <w:tc>
                                <w:tcPr>
                                  <w:tcW w:w="1580" w:type="dxa"/>
                                  <w:tcBorders>
                                    <w:left w:val="single" w:sz="8" w:space="0" w:color="FFFFFF"/>
                                    <w:bottom w:val="single" w:sz="8" w:space="0" w:color="FFFFFF"/>
                                    <w:right w:val="single" w:sz="8" w:space="0" w:color="FFFFFF"/>
                                  </w:tcBorders>
                                  <w:tcMar>
                                    <w:top w:w="0" w:type="dxa"/>
                                    <w:right w:w="108" w:type="dxa"/>
                                  </w:tcMar>
                                  <w:vAlign w:val="center"/>
                                </w:tcPr>
                                <w:p>
                                  <w:pPr>
                                    <w:pStyle w:val="TableContents"/>
                                    <w:bidi w:val="0"/>
                                    <w:spacing w:before="0" w:after="283"/>
                                    <w:jc w:val="left"/>
                                    <w:rPr>
                                      <w:rFonts w:ascii="Arial" w:hAnsi="Arial"/>
                                      <w:b w:val="false"/>
                                      <w:i w:val="false"/>
                                      <w:caps w:val="false"/>
                                      <w:smallCaps w:val="false"/>
                                      <w:sz w:val="18"/>
                                    </w:rPr>
                                  </w:pPr>
                                  <w:r>
                                    <w:rPr>
                                      <w:rFonts w:ascii="Arial" w:hAnsi="Arial"/>
                                      <w:b w:val="false"/>
                                      <w:i w:val="false"/>
                                      <w:caps w:val="false"/>
                                      <w:smallCaps w:val="false"/>
                                      <w:sz w:val="18"/>
                                    </w:rPr>
                                    <w:t>Mibanco</w:t>
                                  </w:r>
                                </w:p>
                              </w:tc>
                              <w:tc>
                                <w:tcPr>
                                  <w:tcW w:w="1595" w:type="dxa"/>
                                  <w:tcBorders>
                                    <w:bottom w:val="single" w:sz="8" w:space="0" w:color="FFFFFF"/>
                                    <w:right w:val="single" w:sz="8" w:space="0" w:color="FFFFFF"/>
                                  </w:tcBorders>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Over 2.0 million</w:t>
                                  </w:r>
                                </w:p>
                              </w:tc>
                            </w:tr>
                            <w:tr>
                              <w:trPr/>
                              <w:tc>
                                <w:tcPr>
                                  <w:tcW w:w="1580" w:type="dxa"/>
                                  <w:tcBorders>
                                    <w:left w:val="single" w:sz="8" w:space="0" w:color="FFFFFF"/>
                                    <w:bottom w:val="single" w:sz="8" w:space="0" w:color="FFFFFF"/>
                                    <w:right w:val="single" w:sz="8" w:space="0" w:color="FFFFFF"/>
                                  </w:tcBorders>
                                  <w:tcMar>
                                    <w:top w:w="0" w:type="dxa"/>
                                    <w:right w:w="108" w:type="dxa"/>
                                  </w:tcMar>
                                  <w:vAlign w:val="center"/>
                                </w:tcPr>
                                <w:p>
                                  <w:pPr>
                                    <w:pStyle w:val="TableContents"/>
                                    <w:bidi w:val="0"/>
                                    <w:spacing w:before="0" w:after="283"/>
                                    <w:jc w:val="left"/>
                                    <w:rPr>
                                      <w:rFonts w:ascii="Arial" w:hAnsi="Arial"/>
                                      <w:b w:val="false"/>
                                      <w:i w:val="false"/>
                                      <w:caps w:val="false"/>
                                      <w:smallCaps w:val="false"/>
                                      <w:sz w:val="18"/>
                                    </w:rPr>
                                  </w:pPr>
                                  <w:r>
                                    <w:rPr>
                                      <w:rFonts w:ascii="Arial" w:hAnsi="Arial"/>
                                      <w:b w:val="false"/>
                                      <w:i w:val="false"/>
                                      <w:caps w:val="false"/>
                                      <w:smallCaps w:val="false"/>
                                      <w:sz w:val="18"/>
                                    </w:rPr>
                                    <w:t>Pacífico</w:t>
                                  </w:r>
                                </w:p>
                              </w:tc>
                              <w:tc>
                                <w:tcPr>
                                  <w:tcW w:w="1595" w:type="dxa"/>
                                  <w:tcBorders>
                                    <w:bottom w:val="single" w:sz="8" w:space="0" w:color="FFFFFF"/>
                                    <w:right w:val="single" w:sz="8" w:space="0" w:color="FFFFFF"/>
                                  </w:tcBorders>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Over 5.5 million</w:t>
                                  </w:r>
                                </w:p>
                              </w:tc>
                            </w:tr>
                            <w:tr>
                              <w:trPr/>
                              <w:tc>
                                <w:tcPr>
                                  <w:tcW w:w="1580" w:type="dxa"/>
                                  <w:tcBorders>
                                    <w:left w:val="single" w:sz="8" w:space="0" w:color="FFFFFF"/>
                                    <w:bottom w:val="single" w:sz="8" w:space="0" w:color="FFFFFF"/>
                                    <w:right w:val="single" w:sz="8" w:space="0" w:color="FFFFFF"/>
                                  </w:tcBorders>
                                  <w:tcMar>
                                    <w:top w:w="0" w:type="dxa"/>
                                    <w:right w:w="108" w:type="dxa"/>
                                  </w:tcMar>
                                  <w:vAlign w:val="center"/>
                                </w:tcPr>
                                <w:p>
                                  <w:pPr>
                                    <w:pStyle w:val="TableContents"/>
                                    <w:bidi w:val="0"/>
                                    <w:spacing w:before="0" w:after="283"/>
                                    <w:jc w:val="left"/>
                                    <w:rPr>
                                      <w:rFonts w:ascii="Arial" w:hAnsi="Arial"/>
                                      <w:b w:val="false"/>
                                      <w:i w:val="false"/>
                                      <w:caps w:val="false"/>
                                      <w:smallCaps w:val="false"/>
                                      <w:sz w:val="18"/>
                                    </w:rPr>
                                  </w:pPr>
                                  <w:r>
                                    <w:rPr>
                                      <w:rFonts w:ascii="Arial" w:hAnsi="Arial"/>
                                      <w:b w:val="false"/>
                                      <w:i w:val="false"/>
                                      <w:caps w:val="false"/>
                                      <w:smallCaps w:val="false"/>
                                      <w:sz w:val="18"/>
                                    </w:rPr>
                                    <w:t>Prima AFP</w:t>
                                  </w:r>
                                </w:p>
                              </w:tc>
                              <w:tc>
                                <w:tcPr>
                                  <w:tcW w:w="1595" w:type="dxa"/>
                                  <w:tcBorders>
                                    <w:bottom w:val="single" w:sz="8" w:space="0" w:color="FFFFFF"/>
                                    <w:right w:val="single" w:sz="8" w:space="0" w:color="FFFFFF"/>
                                  </w:tcBorders>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Over 2.3 million</w:t>
                                  </w:r>
                                </w:p>
                              </w:tc>
                            </w:tr>
                            <w:tr>
                              <w:trPr/>
                              <w:tc>
                                <w:tcPr>
                                  <w:tcW w:w="3175" w:type="dxa"/>
                                  <w:gridSpan w:val="2"/>
                                  <w:tcBorders>
                                    <w:left w:val="single" w:sz="8" w:space="0" w:color="FFFFFF"/>
                                    <w:bottom w:val="single" w:sz="8" w:space="0" w:color="FFFFFF"/>
                                    <w:right w:val="single" w:sz="8" w:space="0" w:color="FFFFFF"/>
                                  </w:tcBorders>
                                  <w:shd w:fill="D9D9D9" w:val="clear"/>
                                  <w:tcMar>
                                    <w:top w:w="0" w:type="dxa"/>
                                    <w:right w:w="108" w:type="dxa"/>
                                  </w:tcMar>
                                  <w:vAlign w:val="center"/>
                                </w:tcPr>
                                <w:p>
                                  <w:pPr>
                                    <w:pStyle w:val="TableContents"/>
                                    <w:bidi w:val="0"/>
                                    <w:spacing w:before="0" w:after="283"/>
                                    <w:jc w:val="left"/>
                                    <w:rPr>
                                      <w:rFonts w:ascii="Arial" w:hAnsi="Arial"/>
                                      <w:b/>
                                      <w:i w:val="false"/>
                                      <w:caps w:val="false"/>
                                      <w:smallCaps w:val="false"/>
                                      <w:sz w:val="18"/>
                                    </w:rPr>
                                  </w:pPr>
                                  <w:r>
                                    <w:rPr>
                                      <w:rFonts w:ascii="Arial" w:hAnsi="Arial"/>
                                      <w:b/>
                                      <w:i w:val="false"/>
                                      <w:caps w:val="false"/>
                                      <w:smallCaps w:val="false"/>
                                      <w:sz w:val="18"/>
                                    </w:rPr>
                                    <w:t>Bolivia</w:t>
                                  </w:r>
                                </w:p>
                              </w:tc>
                            </w:tr>
                            <w:tr>
                              <w:trPr/>
                              <w:tc>
                                <w:tcPr>
                                  <w:tcW w:w="1580" w:type="dxa"/>
                                  <w:tcBorders>
                                    <w:left w:val="single" w:sz="8" w:space="0" w:color="FFFFFF"/>
                                    <w:bottom w:val="single" w:sz="8" w:space="0" w:color="FFFFFF"/>
                                    <w:right w:val="single" w:sz="8" w:space="0" w:color="FFFFFF"/>
                                  </w:tcBorders>
                                  <w:tcMar>
                                    <w:top w:w="0" w:type="dxa"/>
                                    <w:right w:w="108" w:type="dxa"/>
                                  </w:tcMar>
                                  <w:vAlign w:val="center"/>
                                </w:tcPr>
                                <w:p>
                                  <w:pPr>
                                    <w:pStyle w:val="TableContents"/>
                                    <w:bidi w:val="0"/>
                                    <w:spacing w:before="0" w:after="283"/>
                                    <w:jc w:val="left"/>
                                    <w:rPr>
                                      <w:rFonts w:ascii="Arial" w:hAnsi="Arial"/>
                                      <w:b w:val="false"/>
                                      <w:i w:val="false"/>
                                      <w:caps w:val="false"/>
                                      <w:smallCaps w:val="false"/>
                                      <w:sz w:val="18"/>
                                    </w:rPr>
                                  </w:pPr>
                                  <w:r>
                                    <w:rPr>
                                      <w:rFonts w:ascii="Arial" w:hAnsi="Arial"/>
                                      <w:b w:val="false"/>
                                      <w:i w:val="false"/>
                                      <w:caps w:val="false"/>
                                      <w:smallCaps w:val="false"/>
                                      <w:sz w:val="18"/>
                                    </w:rPr>
                                    <w:t>BCP</w:t>
                                  </w:r>
                                </w:p>
                              </w:tc>
                              <w:tc>
                                <w:tcPr>
                                  <w:tcW w:w="1595" w:type="dxa"/>
                                  <w:tcBorders>
                                    <w:bottom w:val="single" w:sz="8" w:space="0" w:color="FFFFFF"/>
                                    <w:right w:val="single" w:sz="8" w:space="0" w:color="FFFFFF"/>
                                  </w:tcBorders>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Over 800 thousand</w:t>
                                  </w:r>
                                </w:p>
                              </w:tc>
                            </w:tr>
                            <w:tr>
                              <w:trPr/>
                              <w:tc>
                                <w:tcPr>
                                  <w:tcW w:w="3175" w:type="dxa"/>
                                  <w:gridSpan w:val="2"/>
                                  <w:tcBorders>
                                    <w:left w:val="single" w:sz="8" w:space="0" w:color="FFFFFF"/>
                                    <w:bottom w:val="single" w:sz="8" w:space="0" w:color="FFFFFF"/>
                                    <w:right w:val="single" w:sz="8" w:space="0" w:color="FFFFFF"/>
                                  </w:tcBorders>
                                  <w:shd w:fill="D9D9D9" w:val="clear"/>
                                  <w:tcMar>
                                    <w:top w:w="0" w:type="dxa"/>
                                    <w:right w:w="108" w:type="dxa"/>
                                  </w:tcMar>
                                  <w:vAlign w:val="center"/>
                                </w:tcPr>
                                <w:p>
                                  <w:pPr>
                                    <w:pStyle w:val="TableContents"/>
                                    <w:bidi w:val="0"/>
                                    <w:spacing w:before="0" w:after="283"/>
                                    <w:jc w:val="left"/>
                                    <w:rPr>
                                      <w:rFonts w:ascii="Arial" w:hAnsi="Arial"/>
                                      <w:b/>
                                      <w:i w:val="false"/>
                                      <w:caps w:val="false"/>
                                      <w:smallCaps w:val="false"/>
                                      <w:sz w:val="18"/>
                                    </w:rPr>
                                  </w:pPr>
                                  <w:r>
                                    <w:rPr>
                                      <w:rFonts w:ascii="Arial" w:hAnsi="Arial"/>
                                      <w:b/>
                                      <w:i w:val="false"/>
                                      <w:caps w:val="false"/>
                                      <w:smallCaps w:val="false"/>
                                      <w:sz w:val="18"/>
                                    </w:rPr>
                                    <w:t>Colombia</w:t>
                                  </w:r>
                                </w:p>
                              </w:tc>
                            </w:tr>
                            <w:tr>
                              <w:trPr/>
                              <w:tc>
                                <w:tcPr>
                                  <w:tcW w:w="1580" w:type="dxa"/>
                                  <w:tcBorders>
                                    <w:left w:val="single" w:sz="8" w:space="0" w:color="FFFFFF"/>
                                    <w:bottom w:val="single" w:sz="8" w:space="0" w:color="FFFFFF"/>
                                    <w:right w:val="single" w:sz="8" w:space="0" w:color="FFFFFF"/>
                                  </w:tcBorders>
                                  <w:tcMar>
                                    <w:top w:w="0" w:type="dxa"/>
                                    <w:right w:w="108" w:type="dxa"/>
                                  </w:tcMar>
                                  <w:vAlign w:val="center"/>
                                </w:tcPr>
                                <w:p>
                                  <w:pPr>
                                    <w:pStyle w:val="TableContents"/>
                                    <w:bidi w:val="0"/>
                                    <w:spacing w:before="0" w:after="283"/>
                                    <w:jc w:val="left"/>
                                    <w:rPr>
                                      <w:rFonts w:ascii="Arial" w:hAnsi="Arial"/>
                                      <w:b w:val="false"/>
                                      <w:i w:val="false"/>
                                      <w:caps w:val="false"/>
                                      <w:smallCaps w:val="false"/>
                                      <w:sz w:val="18"/>
                                    </w:rPr>
                                  </w:pPr>
                                  <w:r>
                                    <w:rPr>
                                      <w:rFonts w:ascii="Arial" w:hAnsi="Arial"/>
                                      <w:b w:val="false"/>
                                      <w:i w:val="false"/>
                                      <w:caps w:val="false"/>
                                      <w:smallCaps w:val="false"/>
                                      <w:sz w:val="18"/>
                                    </w:rPr>
                                    <w:t>Mibanco</w:t>
                                  </w:r>
                                </w:p>
                              </w:tc>
                              <w:tc>
                                <w:tcPr>
                                  <w:tcW w:w="1595" w:type="dxa"/>
                                  <w:tcBorders>
                                    <w:bottom w:val="single" w:sz="8" w:space="0" w:color="FFFFFF"/>
                                    <w:right w:val="single" w:sz="8" w:space="0" w:color="FFFFFF"/>
                                  </w:tcBorders>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Over 600 thousand</w:t>
                                  </w:r>
                                </w:p>
                              </w:tc>
                            </w:tr>
                            <w:tr>
                              <w:trPr/>
                              <w:tc>
                                <w:tcPr>
                                  <w:tcW w:w="3175" w:type="dxa"/>
                                  <w:gridSpan w:val="2"/>
                                  <w:tcBorders>
                                    <w:left w:val="single" w:sz="8" w:space="0" w:color="FFFFFF"/>
                                    <w:bottom w:val="single" w:sz="8" w:space="0" w:color="FFFFFF"/>
                                    <w:right w:val="single" w:sz="8" w:space="0" w:color="FFFFFF"/>
                                  </w:tcBorders>
                                  <w:shd w:fill="D9D9D9" w:val="clear"/>
                                  <w:tcMar>
                                    <w:top w:w="0" w:type="dxa"/>
                                    <w:right w:w="108" w:type="dxa"/>
                                  </w:tcMar>
                                  <w:vAlign w:val="center"/>
                                </w:tcPr>
                                <w:p>
                                  <w:pPr>
                                    <w:pStyle w:val="TableContents"/>
                                    <w:bidi w:val="0"/>
                                    <w:spacing w:lineRule="auto" w:line="240" w:before="0" w:after="283"/>
                                    <w:jc w:val="left"/>
                                    <w:rPr>
                                      <w:rFonts w:ascii="Arial" w:hAnsi="Arial"/>
                                      <w:b/>
                                      <w:i w:val="false"/>
                                      <w:caps w:val="false"/>
                                      <w:smallCaps w:val="false"/>
                                      <w:sz w:val="18"/>
                                    </w:rPr>
                                  </w:pPr>
                                  <w:r>
                                    <w:rPr>
                                      <w:rFonts w:ascii="Arial" w:hAnsi="Arial"/>
                                      <w:b/>
                                      <w:i w:val="false"/>
                                      <w:caps w:val="false"/>
                                      <w:smallCaps w:val="false"/>
                                      <w:sz w:val="18"/>
                                    </w:rPr>
                                    <w:t>Regional3</w:t>
                                  </w:r>
                                </w:p>
                              </w:tc>
                            </w:tr>
                            <w:tr>
                              <w:trPr/>
                              <w:tc>
                                <w:tcPr>
                                  <w:tcW w:w="1580" w:type="dxa"/>
                                  <w:tcBorders>
                                    <w:left w:val="single" w:sz="8" w:space="0" w:color="FFFFFF"/>
                                    <w:bottom w:val="single" w:sz="8" w:space="0" w:color="FFFFFF"/>
                                    <w:right w:val="single" w:sz="8" w:space="0" w:color="FFFFFF"/>
                                  </w:tcBorders>
                                  <w:tcMar>
                                    <w:top w:w="0" w:type="dxa"/>
                                    <w:right w:w="108" w:type="dxa"/>
                                  </w:tcMar>
                                  <w:vAlign w:val="center"/>
                                </w:tcPr>
                                <w:p>
                                  <w:pPr>
                                    <w:pStyle w:val="TableContents"/>
                                    <w:bidi w:val="0"/>
                                    <w:spacing w:before="0" w:after="283"/>
                                    <w:jc w:val="left"/>
                                    <w:rPr>
                                      <w:rFonts w:ascii="Arial" w:hAnsi="Arial"/>
                                      <w:b w:val="false"/>
                                      <w:i w:val="false"/>
                                      <w:caps w:val="false"/>
                                      <w:smallCaps w:val="false"/>
                                      <w:sz w:val="18"/>
                                    </w:rPr>
                                  </w:pPr>
                                  <w:r>
                                    <w:rPr>
                                      <w:rFonts w:ascii="Arial" w:hAnsi="Arial"/>
                                      <w:b w:val="false"/>
                                      <w:i w:val="false"/>
                                      <w:caps w:val="false"/>
                                      <w:smallCaps w:val="false"/>
                                      <w:sz w:val="18"/>
                                    </w:rPr>
                                    <w:t>Credicorp Capital</w:t>
                                  </w:r>
                                </w:p>
                              </w:tc>
                              <w:tc>
                                <w:tcPr>
                                  <w:tcW w:w="1595" w:type="dxa"/>
                                  <w:tcBorders>
                                    <w:bottom w:val="single" w:sz="8" w:space="0" w:color="FFFFFF"/>
                                    <w:right w:val="single" w:sz="8" w:space="0" w:color="FFFFFF"/>
                                  </w:tcBorders>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Over 9 thousand</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31000</wp14:pctWidth>
                </wp14:sizeRelH>
              </wp:anchor>
            </w:drawing>
          </mc:Choice>
          <mc:Fallback>
            <w:pict>
              <v:rect style="position:absolute;rotation:-0;width:158.15pt;height:380.4pt;mso-wrap-distance-left:0pt;mso-wrap-distance-right:0pt;mso-wrap-distance-top:0pt;mso-wrap-distance-bottom:0pt;margin-top:0pt;mso-position-vertical:top;mso-position-vertical-relative:text;margin-left:346.9pt;mso-position-horizontal:left;mso-position-horizontal-relative:text">
                <v:textbox>
                  <w:txbxContent>
                    <w:tbl>
                      <w:tblPr>
                        <w:tblW w:w="3175" w:type="dxa"/>
                        <w:jc w:val="left"/>
                        <w:tblInd w:w="-10" w:type="dxa"/>
                        <w:tblLayout w:type="fixed"/>
                        <w:tblCellMar>
                          <w:top w:w="28" w:type="dxa"/>
                          <w:left w:w="108" w:type="dxa"/>
                          <w:bottom w:w="28" w:type="dxa"/>
                          <w:right w:w="0" w:type="dxa"/>
                        </w:tblCellMar>
                      </w:tblPr>
                      <w:tblGrid>
                        <w:gridCol w:w="1580"/>
                        <w:gridCol w:w="1595"/>
                      </w:tblGrid>
                      <w:tr>
                        <w:trPr/>
                        <w:tc>
                          <w:tcPr>
                            <w:tcW w:w="1580" w:type="dxa"/>
                            <w:tcBorders>
                              <w:top w:val="single" w:sz="8" w:space="0" w:color="FFFFFF"/>
                              <w:left w:val="single" w:sz="8" w:space="0" w:color="FFFFFF"/>
                              <w:bottom w:val="single" w:sz="8" w:space="0" w:color="FFFFFF"/>
                            </w:tcBorders>
                            <w:vAlign w:val="center"/>
                          </w:tcPr>
                          <w:p>
                            <w:pPr>
                              <w:pStyle w:val="TableContents"/>
                              <w:bidi w:val="0"/>
                              <w:spacing w:before="0" w:after="283"/>
                              <w:jc w:val="left"/>
                              <w:rPr>
                                <w:rFonts w:ascii="Arial" w:hAnsi="Arial"/>
                                <w:b/>
                                <w:i w:val="false"/>
                                <w:caps w:val="false"/>
                                <w:smallCaps w:val="false"/>
                                <w:sz w:val="18"/>
                              </w:rPr>
                            </w:pPr>
                            <w:r>
                              <w:rPr>
                                <w:rFonts w:ascii="Arial" w:hAnsi="Arial"/>
                                <w:b/>
                                <w:i w:val="false"/>
                                <w:caps w:val="false"/>
                                <w:smallCaps w:val="false"/>
                                <w:sz w:val="18"/>
                              </w:rPr>
                              <w:t xml:space="preserve">Main subsidiaries </w:t>
                            </w:r>
                          </w:p>
                        </w:tc>
                        <w:tc>
                          <w:tcPr>
                            <w:tcW w:w="1595" w:type="dxa"/>
                            <w:tcBorders>
                              <w:top w:val="single" w:sz="8" w:space="0" w:color="FFFFFF"/>
                              <w:bottom w:val="single" w:sz="8" w:space="0" w:color="FFFFFF"/>
                              <w:right w:val="single" w:sz="8" w:space="0" w:color="FFFFFF"/>
                            </w:tcBorders>
                            <w:tcMar>
                              <w:left w:w="0" w:type="dxa"/>
                              <w:right w:w="108" w:type="dxa"/>
                            </w:tcMar>
                            <w:vAlign w:val="center"/>
                          </w:tcPr>
                          <w:p>
                            <w:pPr>
                              <w:pStyle w:val="TableContents"/>
                              <w:bidi w:val="0"/>
                              <w:spacing w:lineRule="auto" w:line="240" w:before="0" w:after="283"/>
                              <w:jc w:val="center"/>
                              <w:rPr>
                                <w:rFonts w:ascii="Arial" w:hAnsi="Arial"/>
                                <w:b/>
                                <w:i w:val="false"/>
                                <w:caps w:val="false"/>
                                <w:smallCaps w:val="false"/>
                                <w:sz w:val="18"/>
                              </w:rPr>
                            </w:pPr>
                            <w:r>
                              <w:rPr>
                                <w:rFonts w:ascii="Arial" w:hAnsi="Arial"/>
                                <w:b/>
                                <w:i w:val="false"/>
                                <w:caps w:val="false"/>
                                <w:smallCaps w:val="false"/>
                                <w:sz w:val="18"/>
                              </w:rPr>
                              <w:t>Clients2</w:t>
                            </w:r>
                          </w:p>
                        </w:tc>
                      </w:tr>
                      <w:tr>
                        <w:trPr/>
                        <w:tc>
                          <w:tcPr>
                            <w:tcW w:w="3175" w:type="dxa"/>
                            <w:gridSpan w:val="2"/>
                            <w:tcBorders>
                              <w:left w:val="single" w:sz="8" w:space="0" w:color="FFFFFF"/>
                              <w:bottom w:val="single" w:sz="8" w:space="0" w:color="FFFFFF"/>
                              <w:right w:val="single" w:sz="8" w:space="0" w:color="FFFFFF"/>
                            </w:tcBorders>
                            <w:shd w:fill="D9D9D9" w:val="clear"/>
                            <w:tcMar>
                              <w:top w:w="0" w:type="dxa"/>
                              <w:right w:w="108" w:type="dxa"/>
                            </w:tcMar>
                            <w:vAlign w:val="center"/>
                          </w:tcPr>
                          <w:p>
                            <w:pPr>
                              <w:pStyle w:val="TableContents"/>
                              <w:bidi w:val="0"/>
                              <w:spacing w:before="0" w:after="283"/>
                              <w:jc w:val="left"/>
                              <w:rPr>
                                <w:rFonts w:ascii="Arial" w:hAnsi="Arial"/>
                                <w:b/>
                                <w:i w:val="false"/>
                                <w:caps w:val="false"/>
                                <w:smallCaps w:val="false"/>
                                <w:sz w:val="18"/>
                              </w:rPr>
                            </w:pPr>
                            <w:r>
                              <w:rPr>
                                <w:rFonts w:ascii="Arial" w:hAnsi="Arial"/>
                                <w:b/>
                                <w:i w:val="false"/>
                                <w:caps w:val="false"/>
                                <w:smallCaps w:val="false"/>
                                <w:sz w:val="18"/>
                              </w:rPr>
                              <w:t>Peru</w:t>
                            </w:r>
                          </w:p>
                        </w:tc>
                      </w:tr>
                      <w:tr>
                        <w:trPr/>
                        <w:tc>
                          <w:tcPr>
                            <w:tcW w:w="1580" w:type="dxa"/>
                            <w:tcBorders>
                              <w:left w:val="single" w:sz="8" w:space="0" w:color="FFFFFF"/>
                              <w:bottom w:val="single" w:sz="8" w:space="0" w:color="FFFFFF"/>
                              <w:right w:val="single" w:sz="8" w:space="0" w:color="FFFFFF"/>
                            </w:tcBorders>
                            <w:tcMar>
                              <w:top w:w="0" w:type="dxa"/>
                              <w:right w:w="108" w:type="dxa"/>
                            </w:tcMar>
                            <w:vAlign w:val="center"/>
                          </w:tcPr>
                          <w:p>
                            <w:pPr>
                              <w:pStyle w:val="TableContents"/>
                              <w:bidi w:val="0"/>
                              <w:spacing w:before="0" w:after="283"/>
                              <w:jc w:val="left"/>
                              <w:rPr>
                                <w:rFonts w:ascii="Arial" w:hAnsi="Arial"/>
                                <w:b w:val="false"/>
                                <w:i w:val="false"/>
                                <w:caps w:val="false"/>
                                <w:smallCaps w:val="false"/>
                                <w:sz w:val="18"/>
                              </w:rPr>
                            </w:pPr>
                            <w:r>
                              <w:rPr>
                                <w:rFonts w:ascii="Arial" w:hAnsi="Arial"/>
                                <w:b w:val="false"/>
                                <w:i w:val="false"/>
                                <w:caps w:val="false"/>
                                <w:smallCaps w:val="false"/>
                                <w:sz w:val="18"/>
                              </w:rPr>
                              <w:t xml:space="preserve">BCP </w:t>
                            </w:r>
                          </w:p>
                        </w:tc>
                        <w:tc>
                          <w:tcPr>
                            <w:tcW w:w="1595" w:type="dxa"/>
                            <w:tcBorders>
                              <w:bottom w:val="single" w:sz="8" w:space="0" w:color="FFFFFF"/>
                              <w:right w:val="single" w:sz="8" w:space="0" w:color="FFFFFF"/>
                            </w:tcBorders>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Over 15 million</w:t>
                            </w:r>
                          </w:p>
                        </w:tc>
                      </w:tr>
                      <w:tr>
                        <w:trPr/>
                        <w:tc>
                          <w:tcPr>
                            <w:tcW w:w="1580" w:type="dxa"/>
                            <w:tcBorders>
                              <w:left w:val="single" w:sz="8" w:space="0" w:color="FFFFFF"/>
                              <w:bottom w:val="single" w:sz="8" w:space="0" w:color="FFFFFF"/>
                              <w:right w:val="single" w:sz="8" w:space="0" w:color="FFFFFF"/>
                            </w:tcBorders>
                            <w:tcMar>
                              <w:top w:w="0" w:type="dxa"/>
                              <w:right w:w="108" w:type="dxa"/>
                            </w:tcMar>
                            <w:vAlign w:val="center"/>
                          </w:tcPr>
                          <w:p>
                            <w:pPr>
                              <w:pStyle w:val="TableContents"/>
                              <w:bidi w:val="0"/>
                              <w:spacing w:before="0" w:after="283"/>
                              <w:jc w:val="left"/>
                              <w:rPr>
                                <w:rFonts w:ascii="Arial" w:hAnsi="Arial"/>
                                <w:b w:val="false"/>
                                <w:i w:val="false"/>
                                <w:caps w:val="false"/>
                                <w:smallCaps w:val="false"/>
                                <w:sz w:val="18"/>
                              </w:rPr>
                            </w:pPr>
                            <w:r>
                              <w:rPr>
                                <w:rFonts w:ascii="Arial" w:hAnsi="Arial"/>
                                <w:b w:val="false"/>
                                <w:i w:val="false"/>
                                <w:caps w:val="false"/>
                                <w:smallCaps w:val="false"/>
                                <w:sz w:val="18"/>
                              </w:rPr>
                              <w:t>Mibanco</w:t>
                            </w:r>
                          </w:p>
                        </w:tc>
                        <w:tc>
                          <w:tcPr>
                            <w:tcW w:w="1595" w:type="dxa"/>
                            <w:tcBorders>
                              <w:bottom w:val="single" w:sz="8" w:space="0" w:color="FFFFFF"/>
                              <w:right w:val="single" w:sz="8" w:space="0" w:color="FFFFFF"/>
                            </w:tcBorders>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Over 2.0 million</w:t>
                            </w:r>
                          </w:p>
                        </w:tc>
                      </w:tr>
                      <w:tr>
                        <w:trPr/>
                        <w:tc>
                          <w:tcPr>
                            <w:tcW w:w="1580" w:type="dxa"/>
                            <w:tcBorders>
                              <w:left w:val="single" w:sz="8" w:space="0" w:color="FFFFFF"/>
                              <w:bottom w:val="single" w:sz="8" w:space="0" w:color="FFFFFF"/>
                              <w:right w:val="single" w:sz="8" w:space="0" w:color="FFFFFF"/>
                            </w:tcBorders>
                            <w:tcMar>
                              <w:top w:w="0" w:type="dxa"/>
                              <w:right w:w="108" w:type="dxa"/>
                            </w:tcMar>
                            <w:vAlign w:val="center"/>
                          </w:tcPr>
                          <w:p>
                            <w:pPr>
                              <w:pStyle w:val="TableContents"/>
                              <w:bidi w:val="0"/>
                              <w:spacing w:before="0" w:after="283"/>
                              <w:jc w:val="left"/>
                              <w:rPr>
                                <w:rFonts w:ascii="Arial" w:hAnsi="Arial"/>
                                <w:b w:val="false"/>
                                <w:i w:val="false"/>
                                <w:caps w:val="false"/>
                                <w:smallCaps w:val="false"/>
                                <w:sz w:val="18"/>
                              </w:rPr>
                            </w:pPr>
                            <w:r>
                              <w:rPr>
                                <w:rFonts w:ascii="Arial" w:hAnsi="Arial"/>
                                <w:b w:val="false"/>
                                <w:i w:val="false"/>
                                <w:caps w:val="false"/>
                                <w:smallCaps w:val="false"/>
                                <w:sz w:val="18"/>
                              </w:rPr>
                              <w:t>Pacífico</w:t>
                            </w:r>
                          </w:p>
                        </w:tc>
                        <w:tc>
                          <w:tcPr>
                            <w:tcW w:w="1595" w:type="dxa"/>
                            <w:tcBorders>
                              <w:bottom w:val="single" w:sz="8" w:space="0" w:color="FFFFFF"/>
                              <w:right w:val="single" w:sz="8" w:space="0" w:color="FFFFFF"/>
                            </w:tcBorders>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Over 5.5 million</w:t>
                            </w:r>
                          </w:p>
                        </w:tc>
                      </w:tr>
                      <w:tr>
                        <w:trPr/>
                        <w:tc>
                          <w:tcPr>
                            <w:tcW w:w="1580" w:type="dxa"/>
                            <w:tcBorders>
                              <w:left w:val="single" w:sz="8" w:space="0" w:color="FFFFFF"/>
                              <w:bottom w:val="single" w:sz="8" w:space="0" w:color="FFFFFF"/>
                              <w:right w:val="single" w:sz="8" w:space="0" w:color="FFFFFF"/>
                            </w:tcBorders>
                            <w:tcMar>
                              <w:top w:w="0" w:type="dxa"/>
                              <w:right w:w="108" w:type="dxa"/>
                            </w:tcMar>
                            <w:vAlign w:val="center"/>
                          </w:tcPr>
                          <w:p>
                            <w:pPr>
                              <w:pStyle w:val="TableContents"/>
                              <w:bidi w:val="0"/>
                              <w:spacing w:before="0" w:after="283"/>
                              <w:jc w:val="left"/>
                              <w:rPr>
                                <w:rFonts w:ascii="Arial" w:hAnsi="Arial"/>
                                <w:b w:val="false"/>
                                <w:i w:val="false"/>
                                <w:caps w:val="false"/>
                                <w:smallCaps w:val="false"/>
                                <w:sz w:val="18"/>
                              </w:rPr>
                            </w:pPr>
                            <w:r>
                              <w:rPr>
                                <w:rFonts w:ascii="Arial" w:hAnsi="Arial"/>
                                <w:b w:val="false"/>
                                <w:i w:val="false"/>
                                <w:caps w:val="false"/>
                                <w:smallCaps w:val="false"/>
                                <w:sz w:val="18"/>
                              </w:rPr>
                              <w:t>Prima AFP</w:t>
                            </w:r>
                          </w:p>
                        </w:tc>
                        <w:tc>
                          <w:tcPr>
                            <w:tcW w:w="1595" w:type="dxa"/>
                            <w:tcBorders>
                              <w:bottom w:val="single" w:sz="8" w:space="0" w:color="FFFFFF"/>
                              <w:right w:val="single" w:sz="8" w:space="0" w:color="FFFFFF"/>
                            </w:tcBorders>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Over 2.3 million</w:t>
                            </w:r>
                          </w:p>
                        </w:tc>
                      </w:tr>
                      <w:tr>
                        <w:trPr/>
                        <w:tc>
                          <w:tcPr>
                            <w:tcW w:w="3175" w:type="dxa"/>
                            <w:gridSpan w:val="2"/>
                            <w:tcBorders>
                              <w:left w:val="single" w:sz="8" w:space="0" w:color="FFFFFF"/>
                              <w:bottom w:val="single" w:sz="8" w:space="0" w:color="FFFFFF"/>
                              <w:right w:val="single" w:sz="8" w:space="0" w:color="FFFFFF"/>
                            </w:tcBorders>
                            <w:shd w:fill="D9D9D9" w:val="clear"/>
                            <w:tcMar>
                              <w:top w:w="0" w:type="dxa"/>
                              <w:right w:w="108" w:type="dxa"/>
                            </w:tcMar>
                            <w:vAlign w:val="center"/>
                          </w:tcPr>
                          <w:p>
                            <w:pPr>
                              <w:pStyle w:val="TableContents"/>
                              <w:bidi w:val="0"/>
                              <w:spacing w:before="0" w:after="283"/>
                              <w:jc w:val="left"/>
                              <w:rPr>
                                <w:rFonts w:ascii="Arial" w:hAnsi="Arial"/>
                                <w:b/>
                                <w:i w:val="false"/>
                                <w:caps w:val="false"/>
                                <w:smallCaps w:val="false"/>
                                <w:sz w:val="18"/>
                              </w:rPr>
                            </w:pPr>
                            <w:r>
                              <w:rPr>
                                <w:rFonts w:ascii="Arial" w:hAnsi="Arial"/>
                                <w:b/>
                                <w:i w:val="false"/>
                                <w:caps w:val="false"/>
                                <w:smallCaps w:val="false"/>
                                <w:sz w:val="18"/>
                              </w:rPr>
                              <w:t>Bolivia</w:t>
                            </w:r>
                          </w:p>
                        </w:tc>
                      </w:tr>
                      <w:tr>
                        <w:trPr/>
                        <w:tc>
                          <w:tcPr>
                            <w:tcW w:w="1580" w:type="dxa"/>
                            <w:tcBorders>
                              <w:left w:val="single" w:sz="8" w:space="0" w:color="FFFFFF"/>
                              <w:bottom w:val="single" w:sz="8" w:space="0" w:color="FFFFFF"/>
                              <w:right w:val="single" w:sz="8" w:space="0" w:color="FFFFFF"/>
                            </w:tcBorders>
                            <w:tcMar>
                              <w:top w:w="0" w:type="dxa"/>
                              <w:right w:w="108" w:type="dxa"/>
                            </w:tcMar>
                            <w:vAlign w:val="center"/>
                          </w:tcPr>
                          <w:p>
                            <w:pPr>
                              <w:pStyle w:val="TableContents"/>
                              <w:bidi w:val="0"/>
                              <w:spacing w:before="0" w:after="283"/>
                              <w:jc w:val="left"/>
                              <w:rPr>
                                <w:rFonts w:ascii="Arial" w:hAnsi="Arial"/>
                                <w:b w:val="false"/>
                                <w:i w:val="false"/>
                                <w:caps w:val="false"/>
                                <w:smallCaps w:val="false"/>
                                <w:sz w:val="18"/>
                              </w:rPr>
                            </w:pPr>
                            <w:r>
                              <w:rPr>
                                <w:rFonts w:ascii="Arial" w:hAnsi="Arial"/>
                                <w:b w:val="false"/>
                                <w:i w:val="false"/>
                                <w:caps w:val="false"/>
                                <w:smallCaps w:val="false"/>
                                <w:sz w:val="18"/>
                              </w:rPr>
                              <w:t>BCP</w:t>
                            </w:r>
                          </w:p>
                        </w:tc>
                        <w:tc>
                          <w:tcPr>
                            <w:tcW w:w="1595" w:type="dxa"/>
                            <w:tcBorders>
                              <w:bottom w:val="single" w:sz="8" w:space="0" w:color="FFFFFF"/>
                              <w:right w:val="single" w:sz="8" w:space="0" w:color="FFFFFF"/>
                            </w:tcBorders>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Over 800 thousand</w:t>
                            </w:r>
                          </w:p>
                        </w:tc>
                      </w:tr>
                      <w:tr>
                        <w:trPr/>
                        <w:tc>
                          <w:tcPr>
                            <w:tcW w:w="3175" w:type="dxa"/>
                            <w:gridSpan w:val="2"/>
                            <w:tcBorders>
                              <w:left w:val="single" w:sz="8" w:space="0" w:color="FFFFFF"/>
                              <w:bottom w:val="single" w:sz="8" w:space="0" w:color="FFFFFF"/>
                              <w:right w:val="single" w:sz="8" w:space="0" w:color="FFFFFF"/>
                            </w:tcBorders>
                            <w:shd w:fill="D9D9D9" w:val="clear"/>
                            <w:tcMar>
                              <w:top w:w="0" w:type="dxa"/>
                              <w:right w:w="108" w:type="dxa"/>
                            </w:tcMar>
                            <w:vAlign w:val="center"/>
                          </w:tcPr>
                          <w:p>
                            <w:pPr>
                              <w:pStyle w:val="TableContents"/>
                              <w:bidi w:val="0"/>
                              <w:spacing w:before="0" w:after="283"/>
                              <w:jc w:val="left"/>
                              <w:rPr>
                                <w:rFonts w:ascii="Arial" w:hAnsi="Arial"/>
                                <w:b/>
                                <w:i w:val="false"/>
                                <w:caps w:val="false"/>
                                <w:smallCaps w:val="false"/>
                                <w:sz w:val="18"/>
                              </w:rPr>
                            </w:pPr>
                            <w:r>
                              <w:rPr>
                                <w:rFonts w:ascii="Arial" w:hAnsi="Arial"/>
                                <w:b/>
                                <w:i w:val="false"/>
                                <w:caps w:val="false"/>
                                <w:smallCaps w:val="false"/>
                                <w:sz w:val="18"/>
                              </w:rPr>
                              <w:t>Colombia</w:t>
                            </w:r>
                          </w:p>
                        </w:tc>
                      </w:tr>
                      <w:tr>
                        <w:trPr/>
                        <w:tc>
                          <w:tcPr>
                            <w:tcW w:w="1580" w:type="dxa"/>
                            <w:tcBorders>
                              <w:left w:val="single" w:sz="8" w:space="0" w:color="FFFFFF"/>
                              <w:bottom w:val="single" w:sz="8" w:space="0" w:color="FFFFFF"/>
                              <w:right w:val="single" w:sz="8" w:space="0" w:color="FFFFFF"/>
                            </w:tcBorders>
                            <w:tcMar>
                              <w:top w:w="0" w:type="dxa"/>
                              <w:right w:w="108" w:type="dxa"/>
                            </w:tcMar>
                            <w:vAlign w:val="center"/>
                          </w:tcPr>
                          <w:p>
                            <w:pPr>
                              <w:pStyle w:val="TableContents"/>
                              <w:bidi w:val="0"/>
                              <w:spacing w:before="0" w:after="283"/>
                              <w:jc w:val="left"/>
                              <w:rPr>
                                <w:rFonts w:ascii="Arial" w:hAnsi="Arial"/>
                                <w:b w:val="false"/>
                                <w:i w:val="false"/>
                                <w:caps w:val="false"/>
                                <w:smallCaps w:val="false"/>
                                <w:sz w:val="18"/>
                              </w:rPr>
                            </w:pPr>
                            <w:r>
                              <w:rPr>
                                <w:rFonts w:ascii="Arial" w:hAnsi="Arial"/>
                                <w:b w:val="false"/>
                                <w:i w:val="false"/>
                                <w:caps w:val="false"/>
                                <w:smallCaps w:val="false"/>
                                <w:sz w:val="18"/>
                              </w:rPr>
                              <w:t>Mibanco</w:t>
                            </w:r>
                          </w:p>
                        </w:tc>
                        <w:tc>
                          <w:tcPr>
                            <w:tcW w:w="1595" w:type="dxa"/>
                            <w:tcBorders>
                              <w:bottom w:val="single" w:sz="8" w:space="0" w:color="FFFFFF"/>
                              <w:right w:val="single" w:sz="8" w:space="0" w:color="FFFFFF"/>
                            </w:tcBorders>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Over 600 thousand</w:t>
                            </w:r>
                          </w:p>
                        </w:tc>
                      </w:tr>
                      <w:tr>
                        <w:trPr/>
                        <w:tc>
                          <w:tcPr>
                            <w:tcW w:w="3175" w:type="dxa"/>
                            <w:gridSpan w:val="2"/>
                            <w:tcBorders>
                              <w:left w:val="single" w:sz="8" w:space="0" w:color="FFFFFF"/>
                              <w:bottom w:val="single" w:sz="8" w:space="0" w:color="FFFFFF"/>
                              <w:right w:val="single" w:sz="8" w:space="0" w:color="FFFFFF"/>
                            </w:tcBorders>
                            <w:shd w:fill="D9D9D9" w:val="clear"/>
                            <w:tcMar>
                              <w:top w:w="0" w:type="dxa"/>
                              <w:right w:w="108" w:type="dxa"/>
                            </w:tcMar>
                            <w:vAlign w:val="center"/>
                          </w:tcPr>
                          <w:p>
                            <w:pPr>
                              <w:pStyle w:val="TableContents"/>
                              <w:bidi w:val="0"/>
                              <w:spacing w:lineRule="auto" w:line="240" w:before="0" w:after="283"/>
                              <w:jc w:val="left"/>
                              <w:rPr>
                                <w:rFonts w:ascii="Arial" w:hAnsi="Arial"/>
                                <w:b/>
                                <w:i w:val="false"/>
                                <w:caps w:val="false"/>
                                <w:smallCaps w:val="false"/>
                                <w:sz w:val="18"/>
                              </w:rPr>
                            </w:pPr>
                            <w:r>
                              <w:rPr>
                                <w:rFonts w:ascii="Arial" w:hAnsi="Arial"/>
                                <w:b/>
                                <w:i w:val="false"/>
                                <w:caps w:val="false"/>
                                <w:smallCaps w:val="false"/>
                                <w:sz w:val="18"/>
                              </w:rPr>
                              <w:t>Regional3</w:t>
                            </w:r>
                          </w:p>
                        </w:tc>
                      </w:tr>
                      <w:tr>
                        <w:trPr/>
                        <w:tc>
                          <w:tcPr>
                            <w:tcW w:w="1580" w:type="dxa"/>
                            <w:tcBorders>
                              <w:left w:val="single" w:sz="8" w:space="0" w:color="FFFFFF"/>
                              <w:bottom w:val="single" w:sz="8" w:space="0" w:color="FFFFFF"/>
                              <w:right w:val="single" w:sz="8" w:space="0" w:color="FFFFFF"/>
                            </w:tcBorders>
                            <w:tcMar>
                              <w:top w:w="0" w:type="dxa"/>
                              <w:right w:w="108" w:type="dxa"/>
                            </w:tcMar>
                            <w:vAlign w:val="center"/>
                          </w:tcPr>
                          <w:p>
                            <w:pPr>
                              <w:pStyle w:val="TableContents"/>
                              <w:bidi w:val="0"/>
                              <w:spacing w:before="0" w:after="283"/>
                              <w:jc w:val="left"/>
                              <w:rPr>
                                <w:rFonts w:ascii="Arial" w:hAnsi="Arial"/>
                                <w:b w:val="false"/>
                                <w:i w:val="false"/>
                                <w:caps w:val="false"/>
                                <w:smallCaps w:val="false"/>
                                <w:sz w:val="18"/>
                              </w:rPr>
                            </w:pPr>
                            <w:r>
                              <w:rPr>
                                <w:rFonts w:ascii="Arial" w:hAnsi="Arial"/>
                                <w:b w:val="false"/>
                                <w:i w:val="false"/>
                                <w:caps w:val="false"/>
                                <w:smallCaps w:val="false"/>
                                <w:sz w:val="18"/>
                              </w:rPr>
                              <w:t>Credicorp Capital</w:t>
                            </w:r>
                          </w:p>
                        </w:tc>
                        <w:tc>
                          <w:tcPr>
                            <w:tcW w:w="1595" w:type="dxa"/>
                            <w:tcBorders>
                              <w:bottom w:val="single" w:sz="8" w:space="0" w:color="FFFFFF"/>
                              <w:right w:val="single" w:sz="8" w:space="0" w:color="FFFFFF"/>
                            </w:tcBorders>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Over 9 thousand</w:t>
                            </w:r>
                          </w:p>
                        </w:tc>
                      </w:tr>
                    </w:tbl>
                    <w:p>
                      <w:pPr>
                        <w:pStyle w:val="TextBody"/>
                        <w:bidi w:val="0"/>
                        <w:spacing w:before="0" w:after="283"/>
                        <w:jc w:val="left"/>
                        <w:rPr/>
                      </w:pPr>
                      <w:r>
                        <w:rPr/>
                      </w:r>
                    </w:p>
                  </w:txbxContent>
                </v:textbox>
                <w10:wrap type="topAndBottom"/>
              </v:rect>
            </w:pict>
          </mc:Fallback>
        </mc:AlternateContent>
      </w:r>
    </w:p>
    <w:p>
      <w:pPr>
        <w:pStyle w:val="TextBody"/>
        <w:bidi w:val="0"/>
        <w:spacing w:before="0" w:after="0"/>
        <w:jc w:val="left"/>
        <w:rPr>
          <w:rFonts w:ascii="Arial" w:hAnsi="Arial"/>
          <w:b w:val="false"/>
          <w:i w:val="false"/>
          <w:caps w:val="false"/>
          <w:smallCaps w:val="false"/>
          <w:sz w:val="16"/>
        </w:rPr>
      </w:pPr>
      <w:r>
        <w:rPr>
          <w:rFonts w:ascii="Arial" w:hAnsi="Arial"/>
          <w:b w:val="false"/>
          <w:i w:val="false"/>
          <w:caps w:val="false"/>
          <w:smallCaps w:val="false"/>
          <w:sz w:val="16"/>
        </w:rPr>
        <w:t>1. Includes Net Interest Income, Other Income and Insurance Technical Results.</w:t>
      </w:r>
    </w:p>
    <w:p>
      <w:pPr>
        <w:pStyle w:val="TextBody"/>
        <w:bidi w:val="0"/>
        <w:spacing w:before="0" w:after="0"/>
        <w:jc w:val="left"/>
        <w:rPr>
          <w:rFonts w:ascii="Arial" w:hAnsi="Arial"/>
          <w:b w:val="false"/>
          <w:i w:val="false"/>
          <w:caps w:val="false"/>
          <w:smallCaps w:val="false"/>
          <w:sz w:val="16"/>
        </w:rPr>
      </w:pPr>
      <w:r>
        <w:rPr>
          <w:rFonts w:ascii="Arial" w:hAnsi="Arial"/>
          <w:b w:val="false"/>
          <w:i w:val="false"/>
          <w:caps w:val="false"/>
          <w:smallCaps w:val="false"/>
          <w:sz w:val="16"/>
        </w:rPr>
        <w:t>2. A natural or legal person could be a client of more than one subsidiary. A natural or legal person could be a client of more than one subsidiary.</w:t>
      </w:r>
    </w:p>
    <w:p>
      <w:pPr>
        <w:pStyle w:val="TextBody"/>
        <w:bidi w:val="0"/>
        <w:spacing w:before="0" w:after="0"/>
        <w:jc w:val="left"/>
        <w:rPr>
          <w:rFonts w:ascii="Arial" w:hAnsi="Arial"/>
          <w:b w:val="false"/>
          <w:i w:val="false"/>
          <w:caps w:val="false"/>
          <w:smallCaps w:val="false"/>
          <w:sz w:val="16"/>
        </w:rPr>
      </w:pPr>
      <w:r>
        <w:rPr>
          <w:rFonts w:ascii="Arial" w:hAnsi="Arial"/>
          <w:b w:val="false"/>
          <w:i w:val="false"/>
          <w:caps w:val="false"/>
          <w:smallCaps w:val="false"/>
          <w:sz w:val="16"/>
        </w:rPr>
        <w:t>3. Includes Peru, Colombia, Chile and Miami.</w:t>
      </w:r>
    </w:p>
    <w:p>
      <w:pPr>
        <w:pStyle w:val="TextBody"/>
        <w:bidi w:val="0"/>
        <w:spacing w:before="0" w:after="0"/>
        <w:jc w:val="left"/>
        <w:rPr>
          <w:rFonts w:ascii="Arial" w:hAnsi="Arial"/>
          <w:b w:val="false"/>
          <w:i w:val="false"/>
          <w:caps w:val="false"/>
          <w:smallCaps w:val="false"/>
          <w:sz w:val="16"/>
        </w:rPr>
      </w:pPr>
      <w:r>
        <w:rPr>
          <w:rFonts w:ascii="Arial" w:hAnsi="Arial"/>
          <w:b w:val="false"/>
          <w:i w:val="false"/>
          <w:caps w:val="false"/>
          <w:smallCaps w:val="false"/>
          <w:sz w:val="16"/>
        </w:rPr>
        <w:t>4. For more information about our employees, review chapter "2.2) Social Impact of Our Operations: Employees Management" from the Sustainability Report.</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28"/>
        </w:rPr>
      </w:pPr>
      <w:r>
        <w:rPr>
          <w:rFonts w:ascii="Arial" w:hAnsi="Arial"/>
          <w:b/>
          <w:i w:val="false"/>
          <w:caps w:val="false"/>
          <w:smallCaps w:val="false"/>
          <w:sz w:val="28"/>
        </w:rPr>
        <w:t>Relevant Figures and Indicators</w:t>
      </w:r>
    </w:p>
    <w:p>
      <w:pPr>
        <w:pStyle w:val="TextBody"/>
        <w:bidi w:val="0"/>
        <w:spacing w:before="0" w:after="0"/>
        <w:ind w:left="0" w:right="0" w:hanging="0"/>
        <w:jc w:val="left"/>
        <w:rPr>
          <w:caps w:val="false"/>
          <w:smallCaps w:val="false"/>
        </w:rPr>
      </w:pPr>
      <w:r>
        <w:rPr>
          <w:caps w:val="false"/>
          <w:smallCaps w:val="false"/>
        </w:rPr>
        <w:t> </w:t>
      </w:r>
    </w:p>
    <w:tbl>
      <w:tblPr>
        <w:tblW w:w="8130" w:type="dxa"/>
        <w:jc w:val="left"/>
        <w:tblInd w:w="-10" w:type="dxa"/>
        <w:tblLayout w:type="fixed"/>
        <w:tblCellMar>
          <w:top w:w="28" w:type="dxa"/>
          <w:left w:w="70" w:type="dxa"/>
          <w:bottom w:w="28" w:type="dxa"/>
          <w:right w:w="0" w:type="dxa"/>
        </w:tblCellMar>
      </w:tblPr>
      <w:tblGrid>
        <w:gridCol w:w="2105"/>
        <w:gridCol w:w="3650"/>
        <w:gridCol w:w="590"/>
        <w:gridCol w:w="590"/>
        <w:gridCol w:w="590"/>
        <w:gridCol w:w="605"/>
      </w:tblGrid>
      <w:tr>
        <w:trPr/>
        <w:tc>
          <w:tcPr>
            <w:tcW w:w="2105" w:type="dxa"/>
            <w:tcBorders>
              <w:top w:val="single" w:sz="8" w:space="0" w:color="000000"/>
              <w:left w:val="single" w:sz="8" w:space="0" w:color="000000"/>
              <w:bottom w:val="single" w:sz="8" w:space="0" w:color="000000"/>
            </w:tcBorders>
            <w:shd w:fill="997EA4" w:val="clear"/>
            <w:vAlign w:val="center"/>
          </w:tcPr>
          <w:p>
            <w:pPr>
              <w:pStyle w:val="TableContents"/>
              <w:bidi w:val="0"/>
              <w:spacing w:before="0" w:after="283"/>
              <w:jc w:val="left"/>
              <w:rPr>
                <w:caps w:val="false"/>
                <w:smallCaps w:val="false"/>
              </w:rPr>
            </w:pPr>
            <w:r>
              <w:rPr>
                <w:caps w:val="false"/>
                <w:smallCaps w:val="false"/>
              </w:rPr>
              <w:t> </w:t>
            </w:r>
          </w:p>
        </w:tc>
        <w:tc>
          <w:tcPr>
            <w:tcW w:w="3650" w:type="dxa"/>
            <w:tcBorders>
              <w:top w:val="single" w:sz="8" w:space="0" w:color="000000"/>
              <w:left w:val="single" w:sz="8" w:space="0" w:color="000000"/>
              <w:right w:val="single" w:sz="8" w:space="0" w:color="000000"/>
            </w:tcBorders>
            <w:shd w:fill="997EA4" w:val="clear"/>
            <w:tcMar>
              <w:bottom w:w="0" w:type="dxa"/>
              <w:right w:w="70" w:type="dxa"/>
            </w:tcMar>
            <w:vAlign w:val="center"/>
          </w:tcPr>
          <w:p>
            <w:pPr>
              <w:pStyle w:val="TableContents"/>
              <w:bidi w:val="0"/>
              <w:spacing w:before="0" w:after="283"/>
              <w:jc w:val="left"/>
              <w:rPr>
                <w:caps w:val="false"/>
                <w:smallCaps w:val="false"/>
                <w:color w:val="FFFFFF"/>
              </w:rPr>
            </w:pPr>
            <w:r>
              <w:rPr>
                <w:caps w:val="false"/>
                <w:smallCaps w:val="false"/>
                <w:color w:val="FFFFFF"/>
              </w:rPr>
              <w:t> </w:t>
            </w:r>
            <w:r>
              <w:rPr>
                <w:rFonts w:ascii="Arial" w:hAnsi="Arial"/>
                <w:b/>
                <w:i w:val="false"/>
                <w:caps w:val="false"/>
                <w:smallCaps w:val="false"/>
                <w:color w:val="FFFFFF"/>
                <w:sz w:val="18"/>
              </w:rPr>
              <w:t>Ratios</w:t>
            </w:r>
          </w:p>
        </w:tc>
        <w:tc>
          <w:tcPr>
            <w:tcW w:w="590" w:type="dxa"/>
            <w:tcBorders>
              <w:top w:val="single" w:sz="8" w:space="0" w:color="000000"/>
              <w:bottom w:val="single" w:sz="8" w:space="0" w:color="000000"/>
              <w:right w:val="single" w:sz="8" w:space="0" w:color="000000"/>
            </w:tcBorders>
            <w:shd w:fill="997EA4" w:val="clear"/>
            <w:tcMar>
              <w:left w:w="0" w:type="dxa"/>
              <w:right w:w="70" w:type="dxa"/>
            </w:tcMar>
            <w:vAlign w:val="center"/>
          </w:tcPr>
          <w:p>
            <w:pPr>
              <w:pStyle w:val="TableContents"/>
              <w:bidi w:val="0"/>
              <w:spacing w:before="0" w:after="283"/>
              <w:jc w:val="center"/>
              <w:rPr>
                <w:rFonts w:ascii="Arial" w:hAnsi="Arial"/>
                <w:b/>
                <w:i w:val="false"/>
                <w:caps w:val="false"/>
                <w:smallCaps w:val="false"/>
                <w:color w:val="FFFFFF"/>
                <w:sz w:val="18"/>
              </w:rPr>
            </w:pPr>
            <w:r>
              <w:rPr>
                <w:rFonts w:ascii="Arial" w:hAnsi="Arial"/>
                <w:b/>
                <w:i w:val="false"/>
                <w:caps w:val="false"/>
                <w:smallCaps w:val="false"/>
                <w:color w:val="FFFFFF"/>
                <w:sz w:val="18"/>
              </w:rPr>
              <w:t>2020</w:t>
            </w:r>
          </w:p>
        </w:tc>
        <w:tc>
          <w:tcPr>
            <w:tcW w:w="590" w:type="dxa"/>
            <w:tcBorders>
              <w:top w:val="single" w:sz="8" w:space="0" w:color="000000"/>
              <w:bottom w:val="single" w:sz="8" w:space="0" w:color="000000"/>
              <w:right w:val="single" w:sz="8" w:space="0" w:color="000000"/>
            </w:tcBorders>
            <w:shd w:fill="997EA4" w:val="clear"/>
            <w:tcMar>
              <w:left w:w="0" w:type="dxa"/>
              <w:right w:w="70" w:type="dxa"/>
            </w:tcMar>
            <w:vAlign w:val="center"/>
          </w:tcPr>
          <w:p>
            <w:pPr>
              <w:pStyle w:val="TableContents"/>
              <w:bidi w:val="0"/>
              <w:spacing w:before="0" w:after="283"/>
              <w:jc w:val="center"/>
              <w:rPr>
                <w:rFonts w:ascii="Arial" w:hAnsi="Arial"/>
                <w:b/>
                <w:i w:val="false"/>
                <w:caps w:val="false"/>
                <w:smallCaps w:val="false"/>
                <w:color w:val="FFFFFF"/>
                <w:sz w:val="18"/>
              </w:rPr>
            </w:pPr>
            <w:r>
              <w:rPr>
                <w:rFonts w:ascii="Arial" w:hAnsi="Arial"/>
                <w:b/>
                <w:i w:val="false"/>
                <w:caps w:val="false"/>
                <w:smallCaps w:val="false"/>
                <w:color w:val="FFFFFF"/>
                <w:sz w:val="18"/>
              </w:rPr>
              <w:t>2021</w:t>
            </w:r>
          </w:p>
        </w:tc>
        <w:tc>
          <w:tcPr>
            <w:tcW w:w="590" w:type="dxa"/>
            <w:tcBorders>
              <w:top w:val="single" w:sz="8" w:space="0" w:color="000000"/>
              <w:bottom w:val="single" w:sz="8" w:space="0" w:color="000000"/>
              <w:right w:val="single" w:sz="8" w:space="0" w:color="000000"/>
            </w:tcBorders>
            <w:shd w:fill="997EA4" w:val="clear"/>
            <w:tcMar>
              <w:left w:w="0" w:type="dxa"/>
              <w:right w:w="70" w:type="dxa"/>
            </w:tcMar>
            <w:vAlign w:val="center"/>
          </w:tcPr>
          <w:p>
            <w:pPr>
              <w:pStyle w:val="TableContents"/>
              <w:bidi w:val="0"/>
              <w:spacing w:lineRule="auto" w:line="240" w:before="0" w:after="283"/>
              <w:jc w:val="center"/>
              <w:rPr>
                <w:rFonts w:ascii="Arial" w:hAnsi="Arial"/>
                <w:b/>
                <w:i w:val="false"/>
                <w:caps w:val="false"/>
                <w:smallCaps w:val="false"/>
                <w:color w:val="FFFFFF"/>
                <w:sz w:val="18"/>
              </w:rPr>
            </w:pPr>
            <w:r>
              <w:rPr>
                <w:rFonts w:ascii="Arial" w:hAnsi="Arial"/>
                <w:b/>
                <w:i w:val="false"/>
                <w:caps w:val="false"/>
                <w:smallCaps w:val="false"/>
                <w:color w:val="FFFFFF"/>
                <w:sz w:val="18"/>
              </w:rPr>
              <w:t>20222</w:t>
            </w:r>
          </w:p>
        </w:tc>
        <w:tc>
          <w:tcPr>
            <w:tcW w:w="605" w:type="dxa"/>
            <w:tcBorders>
              <w:top w:val="single" w:sz="8" w:space="0" w:color="000000"/>
              <w:bottom w:val="single" w:sz="8" w:space="0" w:color="000000"/>
              <w:right w:val="single" w:sz="8" w:space="0" w:color="000000"/>
            </w:tcBorders>
            <w:shd w:fill="997EA4" w:val="clear"/>
            <w:tcMar>
              <w:left w:w="0" w:type="dxa"/>
              <w:right w:w="70" w:type="dxa"/>
            </w:tcMar>
            <w:vAlign w:val="center"/>
          </w:tcPr>
          <w:p>
            <w:pPr>
              <w:pStyle w:val="TableContents"/>
              <w:bidi w:val="0"/>
              <w:spacing w:lineRule="auto" w:line="240" w:before="0" w:after="283"/>
              <w:jc w:val="center"/>
              <w:rPr>
                <w:rFonts w:ascii="Arial" w:hAnsi="Arial"/>
                <w:b/>
                <w:i w:val="false"/>
                <w:caps w:val="false"/>
                <w:smallCaps w:val="false"/>
                <w:color w:val="FFFFFF"/>
                <w:sz w:val="18"/>
              </w:rPr>
            </w:pPr>
            <w:r>
              <w:rPr>
                <w:rFonts w:ascii="Arial" w:hAnsi="Arial"/>
                <w:b/>
                <w:i w:val="false"/>
                <w:caps w:val="false"/>
                <w:smallCaps w:val="false"/>
                <w:color w:val="FFFFFF"/>
                <w:sz w:val="18"/>
              </w:rPr>
              <w:t>20232</w:t>
            </w:r>
          </w:p>
        </w:tc>
      </w:tr>
      <w:tr>
        <w:trPr/>
        <w:tc>
          <w:tcPr>
            <w:tcW w:w="2105" w:type="dxa"/>
            <w:vMerge w:val="restart"/>
            <w:tcBorders>
              <w:left w:val="single" w:sz="8" w:space="0" w:color="000000"/>
            </w:tcBorders>
            <w:shd w:fill="FFFFFF" w:val="clear"/>
            <w:tcMar>
              <w:top w:w="0" w:type="dxa"/>
              <w:bottom w:w="0" w:type="dxa"/>
            </w:tcMar>
            <w:vAlign w:val="center"/>
          </w:tcPr>
          <w:p>
            <w:pPr>
              <w:pStyle w:val="TableContents"/>
              <w:bidi w:val="0"/>
              <w:spacing w:lineRule="auto" w:line="240" w:before="0" w:after="283"/>
              <w:jc w:val="center"/>
              <w:rPr>
                <w:rFonts w:ascii="Arial" w:hAnsi="Arial"/>
                <w:b/>
                <w:i w:val="false"/>
                <w:caps w:val="false"/>
                <w:smallCaps w:val="false"/>
                <w:sz w:val="18"/>
              </w:rPr>
            </w:pPr>
            <w:r>
              <w:rPr>
                <w:rFonts w:ascii="Arial" w:hAnsi="Arial"/>
                <w:b/>
                <w:i w:val="false"/>
                <w:caps w:val="false"/>
                <w:smallCaps w:val="false"/>
                <w:sz w:val="18"/>
              </w:rPr>
              <w:t>Loan growth1</w:t>
            </w:r>
          </w:p>
        </w:tc>
        <w:tc>
          <w:tcPr>
            <w:tcW w:w="3650" w:type="dxa"/>
            <w:tcBorders>
              <w:top w:val="single" w:sz="8" w:space="0" w:color="000000"/>
              <w:left w:val="single" w:sz="8" w:space="0" w:color="000000"/>
              <w:right w:val="single" w:sz="8" w:space="0" w:color="000000"/>
            </w:tcBorders>
            <w:shd w:fill="FFFFFF" w:val="clear"/>
            <w:tcMar>
              <w:bottom w:w="0" w:type="dxa"/>
              <w:right w:w="70" w:type="dxa"/>
            </w:tcMar>
            <w:vAlign w:val="center"/>
          </w:tcPr>
          <w:p>
            <w:pPr>
              <w:pStyle w:val="TableContents"/>
              <w:bidi w:val="0"/>
              <w:spacing w:before="0" w:after="283"/>
              <w:jc w:val="left"/>
              <w:rPr>
                <w:caps w:val="false"/>
                <w:smallCaps w:val="false"/>
              </w:rPr>
            </w:pPr>
            <w:r>
              <w:rPr>
                <w:caps w:val="false"/>
                <w:smallCaps w:val="false"/>
              </w:rPr>
              <w:t> </w:t>
            </w:r>
            <w:r>
              <w:rPr>
                <w:rFonts w:ascii="Arial" w:hAnsi="Arial"/>
                <w:b/>
                <w:i w:val="false"/>
                <w:caps w:val="false"/>
                <w:smallCaps w:val="false"/>
                <w:sz w:val="18"/>
              </w:rPr>
              <w:t>In local currency (%)</w:t>
            </w:r>
          </w:p>
        </w:tc>
        <w:tc>
          <w:tcPr>
            <w:tcW w:w="590" w:type="dxa"/>
            <w:tcBorders>
              <w:right w:val="single" w:sz="8" w:space="0" w:color="000000"/>
            </w:tcBorders>
            <w:tcMar>
              <w:top w:w="0" w:type="dxa"/>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24.8</w:t>
            </w:r>
          </w:p>
        </w:tc>
        <w:tc>
          <w:tcPr>
            <w:tcW w:w="590" w:type="dxa"/>
            <w:tcBorders>
              <w:right w:val="single" w:sz="8" w:space="0" w:color="000000"/>
            </w:tcBorders>
            <w:tcMar>
              <w:top w:w="0" w:type="dxa"/>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13.5</w:t>
            </w:r>
          </w:p>
        </w:tc>
        <w:tc>
          <w:tcPr>
            <w:tcW w:w="590" w:type="dxa"/>
            <w:tcBorders>
              <w:right w:val="single" w:sz="8" w:space="0" w:color="000000"/>
            </w:tcBorders>
            <w:tcMar>
              <w:top w:w="0" w:type="dxa"/>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4.3</w:t>
            </w:r>
          </w:p>
        </w:tc>
        <w:tc>
          <w:tcPr>
            <w:tcW w:w="605" w:type="dxa"/>
            <w:tcBorders>
              <w:right w:val="single" w:sz="8" w:space="0" w:color="000000"/>
            </w:tcBorders>
            <w:tcMar>
              <w:top w:w="0" w:type="dxa"/>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-5.0</w:t>
            </w:r>
          </w:p>
        </w:tc>
      </w:tr>
      <w:tr>
        <w:trPr/>
        <w:tc>
          <w:tcPr>
            <w:tcW w:w="2105" w:type="dxa"/>
            <w:vMerge w:val="continue"/>
            <w:tcBorders>
              <w:left w:val="single" w:sz="8" w:space="0" w:color="000000"/>
            </w:tcBorders>
            <w:shd w:fill="FFFFFF" w:val="clear"/>
            <w:tcMar>
              <w:top w:w="0" w:type="dxa"/>
              <w:bottom w:w="0" w:type="dxa"/>
            </w:tcMar>
            <w:vAlign w:val="center"/>
          </w:tcPr>
          <w:p>
            <w:pPr>
              <w:pStyle w:val="Normal"/>
              <w:bidi w:val="0"/>
              <w:jc w:val="left"/>
              <w:rPr/>
            </w:pPr>
            <w:r>
              <w:rPr/>
            </w:r>
          </w:p>
        </w:tc>
        <w:tc>
          <w:tcPr>
            <w:tcW w:w="3650" w:type="dxa"/>
            <w:tcBorders>
              <w:left w:val="single" w:sz="8" w:space="0" w:color="000000"/>
              <w:right w:val="single" w:sz="8" w:space="0" w:color="000000"/>
            </w:tcBorders>
            <w:shd w:fill="FFFFFF" w:val="clear"/>
            <w:tcMar>
              <w:top w:w="0" w:type="dxa"/>
              <w:bottom w:w="0" w:type="dxa"/>
              <w:right w:w="70" w:type="dxa"/>
            </w:tcMar>
            <w:vAlign w:val="center"/>
          </w:tcPr>
          <w:p>
            <w:pPr>
              <w:pStyle w:val="TableContents"/>
              <w:bidi w:val="0"/>
              <w:spacing w:before="0" w:after="283"/>
              <w:jc w:val="left"/>
              <w:rPr>
                <w:caps w:val="false"/>
                <w:smallCaps w:val="false"/>
              </w:rPr>
            </w:pPr>
            <w:r>
              <w:rPr>
                <w:caps w:val="false"/>
                <w:smallCaps w:val="false"/>
              </w:rPr>
              <w:t> </w:t>
            </w:r>
            <w:r>
              <w:rPr>
                <w:rFonts w:ascii="Arial" w:hAnsi="Arial"/>
                <w:b/>
                <w:i w:val="false"/>
                <w:caps w:val="false"/>
                <w:smallCaps w:val="false"/>
                <w:sz w:val="18"/>
              </w:rPr>
              <w:t>In foreign currency (%)</w:t>
            </w:r>
          </w:p>
        </w:tc>
        <w:tc>
          <w:tcPr>
            <w:tcW w:w="590" w:type="dxa"/>
            <w:tcBorders>
              <w:right w:val="single" w:sz="8" w:space="0" w:color="000000"/>
            </w:tcBorders>
            <w:tcMar>
              <w:top w:w="0" w:type="dxa"/>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-1.0</w:t>
            </w:r>
          </w:p>
        </w:tc>
        <w:tc>
          <w:tcPr>
            <w:tcW w:w="590" w:type="dxa"/>
            <w:tcBorders>
              <w:right w:val="single" w:sz="8" w:space="0" w:color="000000"/>
            </w:tcBorders>
            <w:tcMar>
              <w:top w:w="0" w:type="dxa"/>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-7.3</w:t>
            </w:r>
          </w:p>
        </w:tc>
        <w:tc>
          <w:tcPr>
            <w:tcW w:w="590" w:type="dxa"/>
            <w:tcBorders>
              <w:right w:val="single" w:sz="8" w:space="0" w:color="000000"/>
            </w:tcBorders>
            <w:tcMar>
              <w:top w:w="0" w:type="dxa"/>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4.7</w:t>
            </w:r>
          </w:p>
        </w:tc>
        <w:tc>
          <w:tcPr>
            <w:tcW w:w="605" w:type="dxa"/>
            <w:tcBorders>
              <w:right w:val="single" w:sz="8" w:space="0" w:color="000000"/>
            </w:tcBorders>
            <w:tcMar>
              <w:top w:w="0" w:type="dxa"/>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5.7</w:t>
            </w:r>
          </w:p>
        </w:tc>
      </w:tr>
      <w:tr>
        <w:trPr/>
        <w:tc>
          <w:tcPr>
            <w:tcW w:w="2105" w:type="dxa"/>
            <w:vMerge w:val="continue"/>
            <w:tcBorders>
              <w:left w:val="single" w:sz="8" w:space="0" w:color="000000"/>
            </w:tcBorders>
            <w:shd w:fill="FFFFFF" w:val="clear"/>
            <w:tcMar>
              <w:top w:w="0" w:type="dxa"/>
              <w:bottom w:w="0" w:type="dxa"/>
            </w:tcMar>
            <w:vAlign w:val="center"/>
          </w:tcPr>
          <w:p>
            <w:pPr>
              <w:pStyle w:val="Normal"/>
              <w:bidi w:val="0"/>
              <w:jc w:val="left"/>
              <w:rPr/>
            </w:pPr>
            <w:r>
              <w:rPr/>
            </w:r>
          </w:p>
        </w:tc>
        <w:tc>
          <w:tcPr>
            <w:tcW w:w="3650" w:type="dxa"/>
            <w:tcBorders>
              <w:left w:val="single" w:sz="8" w:space="0" w:color="000000"/>
              <w:right w:val="single" w:sz="8" w:space="0" w:color="000000"/>
            </w:tcBorders>
            <w:shd w:fill="FFFFFF" w:val="clear"/>
            <w:tcMar>
              <w:top w:w="0" w:type="dxa"/>
              <w:bottom w:w="0" w:type="dxa"/>
              <w:right w:w="70" w:type="dxa"/>
            </w:tcMar>
            <w:vAlign w:val="center"/>
          </w:tcPr>
          <w:p>
            <w:pPr>
              <w:pStyle w:val="TableContents"/>
              <w:bidi w:val="0"/>
              <w:spacing w:before="0" w:after="283"/>
              <w:jc w:val="left"/>
              <w:rPr>
                <w:caps w:val="false"/>
                <w:smallCaps w:val="false"/>
              </w:rPr>
            </w:pPr>
            <w:r>
              <w:rPr>
                <w:caps w:val="false"/>
                <w:smallCaps w:val="false"/>
              </w:rPr>
              <w:t> </w:t>
            </w:r>
            <w:r>
              <w:rPr>
                <w:rFonts w:ascii="Arial" w:hAnsi="Arial"/>
                <w:b/>
                <w:i w:val="false"/>
                <w:caps w:val="false"/>
                <w:smallCaps w:val="false"/>
                <w:sz w:val="18"/>
              </w:rPr>
              <w:t>Total (%)</w:t>
            </w:r>
          </w:p>
        </w:tc>
        <w:tc>
          <w:tcPr>
            <w:tcW w:w="590" w:type="dxa"/>
            <w:tcBorders>
              <w:right w:val="single" w:sz="8" w:space="0" w:color="000000"/>
            </w:tcBorders>
            <w:tcMar>
              <w:top w:w="0" w:type="dxa"/>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16.6</w:t>
            </w:r>
          </w:p>
        </w:tc>
        <w:tc>
          <w:tcPr>
            <w:tcW w:w="590" w:type="dxa"/>
            <w:tcBorders>
              <w:right w:val="single" w:sz="8" w:space="0" w:color="000000"/>
            </w:tcBorders>
            <w:tcMar>
              <w:top w:w="0" w:type="dxa"/>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9.9</w:t>
            </w:r>
          </w:p>
        </w:tc>
        <w:tc>
          <w:tcPr>
            <w:tcW w:w="590" w:type="dxa"/>
            <w:tcBorders>
              <w:right w:val="single" w:sz="8" w:space="0" w:color="000000"/>
            </w:tcBorders>
            <w:tcMar>
              <w:top w:w="0" w:type="dxa"/>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3.9</w:t>
            </w:r>
          </w:p>
        </w:tc>
        <w:tc>
          <w:tcPr>
            <w:tcW w:w="605" w:type="dxa"/>
            <w:tcBorders>
              <w:right w:val="single" w:sz="8" w:space="0" w:color="000000"/>
            </w:tcBorders>
            <w:tcMar>
              <w:top w:w="0" w:type="dxa"/>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-2.4</w:t>
            </w:r>
          </w:p>
        </w:tc>
      </w:tr>
      <w:tr>
        <w:trPr/>
        <w:tc>
          <w:tcPr>
            <w:tcW w:w="2105" w:type="dxa"/>
            <w:vMerge w:val="restart"/>
            <w:tcBorders>
              <w:left w:val="single" w:sz="8" w:space="0" w:color="000000"/>
              <w:bottom w:val="single" w:sz="2" w:space="0" w:color="000000"/>
              <w:right w:val="single" w:sz="8" w:space="0" w:color="000000"/>
            </w:tcBorders>
            <w:shd w:fill="FFFFFF" w:val="clear"/>
            <w:tcMar>
              <w:top w:w="0" w:type="dxa"/>
              <w:right w:w="70" w:type="dxa"/>
            </w:tcMar>
            <w:vAlign w:val="center"/>
          </w:tcPr>
          <w:p>
            <w:pPr>
              <w:pStyle w:val="TableContents"/>
              <w:bidi w:val="0"/>
              <w:spacing w:before="0" w:after="283"/>
              <w:jc w:val="center"/>
              <w:rPr>
                <w:rFonts w:ascii="Arial" w:hAnsi="Arial"/>
                <w:b/>
                <w:i w:val="false"/>
                <w:caps w:val="false"/>
                <w:smallCaps w:val="false"/>
                <w:sz w:val="18"/>
              </w:rPr>
            </w:pPr>
            <w:r>
              <w:rPr>
                <w:rFonts w:ascii="Arial" w:hAnsi="Arial"/>
                <w:b/>
                <w:i w:val="false"/>
                <w:caps w:val="false"/>
                <w:smallCaps w:val="false"/>
                <w:sz w:val="18"/>
              </w:rPr>
              <w:t>Margins and Profitability</w:t>
            </w:r>
          </w:p>
        </w:tc>
        <w:tc>
          <w:tcPr>
            <w:tcW w:w="3650" w:type="dxa"/>
            <w:tcBorders>
              <w:right w:val="single" w:sz="8" w:space="0" w:color="000000"/>
            </w:tcBorders>
            <w:shd w:fill="FFFFFF" w:val="clear"/>
            <w:tcMar>
              <w:top w:w="0" w:type="dxa"/>
              <w:left w:w="0" w:type="dxa"/>
              <w:bottom w:w="0" w:type="dxa"/>
              <w:right w:w="70" w:type="dxa"/>
            </w:tcMar>
            <w:vAlign w:val="center"/>
          </w:tcPr>
          <w:p>
            <w:pPr>
              <w:pStyle w:val="TableContents"/>
              <w:bidi w:val="0"/>
              <w:spacing w:before="0" w:after="283"/>
              <w:jc w:val="left"/>
              <w:rPr>
                <w:caps w:val="false"/>
                <w:smallCaps w:val="false"/>
              </w:rPr>
            </w:pPr>
            <w:r>
              <w:rPr>
                <w:caps w:val="false"/>
                <w:smallCaps w:val="false"/>
              </w:rPr>
              <w:t> </w:t>
            </w:r>
            <w:r>
              <w:rPr>
                <w:rFonts w:ascii="Arial" w:hAnsi="Arial"/>
                <w:b/>
                <w:i w:val="false"/>
                <w:caps w:val="false"/>
                <w:smallCaps w:val="false"/>
                <w:sz w:val="18"/>
              </w:rPr>
              <w:t>Net interest margin (NIM, %)</w:t>
            </w:r>
          </w:p>
        </w:tc>
        <w:tc>
          <w:tcPr>
            <w:tcW w:w="590" w:type="dxa"/>
            <w:tcBorders>
              <w:top w:val="single" w:sz="8" w:space="0" w:color="000000"/>
              <w:right w:val="single" w:sz="8" w:space="0" w:color="000000"/>
            </w:tcBorders>
            <w:tcMar>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4.3</w:t>
            </w:r>
          </w:p>
        </w:tc>
        <w:tc>
          <w:tcPr>
            <w:tcW w:w="590" w:type="dxa"/>
            <w:tcBorders>
              <w:top w:val="single" w:sz="8" w:space="0" w:color="000000"/>
              <w:right w:val="single" w:sz="8" w:space="0" w:color="000000"/>
            </w:tcBorders>
            <w:tcMar>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4.1</w:t>
            </w:r>
          </w:p>
        </w:tc>
        <w:tc>
          <w:tcPr>
            <w:tcW w:w="590" w:type="dxa"/>
            <w:tcBorders>
              <w:top w:val="single" w:sz="8" w:space="0" w:color="000000"/>
              <w:right w:val="single" w:sz="8" w:space="0" w:color="000000"/>
            </w:tcBorders>
            <w:tcMar>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5.1</w:t>
            </w:r>
          </w:p>
        </w:tc>
        <w:tc>
          <w:tcPr>
            <w:tcW w:w="605" w:type="dxa"/>
            <w:tcBorders>
              <w:top w:val="single" w:sz="8" w:space="0" w:color="000000"/>
              <w:right w:val="single" w:sz="8" w:space="0" w:color="000000"/>
            </w:tcBorders>
            <w:tcMar>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6.0</w:t>
            </w:r>
          </w:p>
        </w:tc>
      </w:tr>
      <w:tr>
        <w:trPr/>
        <w:tc>
          <w:tcPr>
            <w:tcW w:w="2105" w:type="dxa"/>
            <w:vMerge w:val="continue"/>
            <w:tcBorders>
              <w:left w:val="single" w:sz="8" w:space="0" w:color="000000"/>
              <w:bottom w:val="single" w:sz="2" w:space="0" w:color="000000"/>
              <w:right w:val="single" w:sz="8" w:space="0" w:color="000000"/>
            </w:tcBorders>
            <w:shd w:fill="FFFFFF" w:val="clear"/>
            <w:tcMar>
              <w:top w:w="0" w:type="dxa"/>
              <w:right w:w="70" w:type="dxa"/>
            </w:tcMar>
            <w:vAlign w:val="center"/>
          </w:tcPr>
          <w:p>
            <w:pPr>
              <w:pStyle w:val="Normal"/>
              <w:bidi w:val="0"/>
              <w:jc w:val="left"/>
              <w:rPr/>
            </w:pPr>
            <w:r>
              <w:rPr/>
            </w:r>
          </w:p>
        </w:tc>
        <w:tc>
          <w:tcPr>
            <w:tcW w:w="3650" w:type="dxa"/>
            <w:tcBorders>
              <w:right w:val="single" w:sz="8" w:space="0" w:color="000000"/>
            </w:tcBorders>
            <w:shd w:fill="FFFFFF" w:val="clear"/>
            <w:tcMar>
              <w:top w:w="0" w:type="dxa"/>
              <w:left w:w="0" w:type="dxa"/>
              <w:bottom w:w="0" w:type="dxa"/>
              <w:right w:w="70" w:type="dxa"/>
            </w:tcMar>
            <w:vAlign w:val="center"/>
          </w:tcPr>
          <w:p>
            <w:pPr>
              <w:pStyle w:val="TableContents"/>
              <w:bidi w:val="0"/>
              <w:spacing w:before="0" w:after="283"/>
              <w:jc w:val="left"/>
              <w:rPr>
                <w:caps w:val="false"/>
                <w:smallCaps w:val="false"/>
              </w:rPr>
            </w:pPr>
            <w:r>
              <w:rPr>
                <w:caps w:val="false"/>
                <w:smallCaps w:val="false"/>
              </w:rPr>
              <w:t> </w:t>
            </w:r>
            <w:r>
              <w:rPr>
                <w:rFonts w:ascii="Arial" w:hAnsi="Arial"/>
                <w:b/>
                <w:i w:val="false"/>
                <w:caps w:val="false"/>
                <w:smallCaps w:val="false"/>
                <w:sz w:val="18"/>
              </w:rPr>
              <w:t>Cost of risk (%)</w:t>
            </w:r>
          </w:p>
        </w:tc>
        <w:tc>
          <w:tcPr>
            <w:tcW w:w="590" w:type="dxa"/>
            <w:tcBorders>
              <w:right w:val="single" w:sz="8" w:space="0" w:color="000000"/>
            </w:tcBorders>
            <w:tcMar>
              <w:top w:w="0" w:type="dxa"/>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4.3</w:t>
            </w:r>
          </w:p>
        </w:tc>
        <w:tc>
          <w:tcPr>
            <w:tcW w:w="590" w:type="dxa"/>
            <w:tcBorders>
              <w:right w:val="single" w:sz="8" w:space="0" w:color="000000"/>
            </w:tcBorders>
            <w:tcMar>
              <w:top w:w="0" w:type="dxa"/>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0.8</w:t>
            </w:r>
          </w:p>
        </w:tc>
        <w:tc>
          <w:tcPr>
            <w:tcW w:w="590" w:type="dxa"/>
            <w:tcBorders>
              <w:right w:val="single" w:sz="8" w:space="0" w:color="000000"/>
            </w:tcBorders>
            <w:tcMar>
              <w:top w:w="0" w:type="dxa"/>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1.2</w:t>
            </w:r>
          </w:p>
        </w:tc>
        <w:tc>
          <w:tcPr>
            <w:tcW w:w="605" w:type="dxa"/>
            <w:tcBorders>
              <w:right w:val="single" w:sz="8" w:space="0" w:color="000000"/>
            </w:tcBorders>
            <w:tcMar>
              <w:top w:w="0" w:type="dxa"/>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2.5</w:t>
            </w:r>
          </w:p>
        </w:tc>
      </w:tr>
      <w:tr>
        <w:trPr/>
        <w:tc>
          <w:tcPr>
            <w:tcW w:w="2105" w:type="dxa"/>
            <w:vMerge w:val="continue"/>
            <w:tcBorders>
              <w:left w:val="single" w:sz="8" w:space="0" w:color="000000"/>
              <w:bottom w:val="single" w:sz="2" w:space="0" w:color="000000"/>
              <w:right w:val="single" w:sz="8" w:space="0" w:color="000000"/>
            </w:tcBorders>
            <w:shd w:fill="FFFFFF" w:val="clear"/>
            <w:tcMar>
              <w:top w:w="0" w:type="dxa"/>
              <w:right w:w="70" w:type="dxa"/>
            </w:tcMar>
            <w:vAlign w:val="center"/>
          </w:tcPr>
          <w:p>
            <w:pPr>
              <w:pStyle w:val="Normal"/>
              <w:bidi w:val="0"/>
              <w:jc w:val="left"/>
              <w:rPr/>
            </w:pPr>
            <w:r>
              <w:rPr/>
            </w:r>
          </w:p>
        </w:tc>
        <w:tc>
          <w:tcPr>
            <w:tcW w:w="3650" w:type="dxa"/>
            <w:tcBorders>
              <w:right w:val="single" w:sz="8" w:space="0" w:color="000000"/>
            </w:tcBorders>
            <w:shd w:fill="FFFFFF" w:val="clear"/>
            <w:tcMar>
              <w:top w:w="0" w:type="dxa"/>
              <w:left w:w="0" w:type="dxa"/>
              <w:bottom w:w="0" w:type="dxa"/>
              <w:right w:w="70" w:type="dxa"/>
            </w:tcMar>
            <w:vAlign w:val="center"/>
          </w:tcPr>
          <w:p>
            <w:pPr>
              <w:pStyle w:val="TableContents"/>
              <w:bidi w:val="0"/>
              <w:spacing w:before="0" w:after="283"/>
              <w:jc w:val="left"/>
              <w:rPr>
                <w:caps w:val="false"/>
                <w:smallCaps w:val="false"/>
              </w:rPr>
            </w:pPr>
            <w:r>
              <w:rPr>
                <w:caps w:val="false"/>
                <w:smallCaps w:val="false"/>
              </w:rPr>
              <w:t> </w:t>
            </w:r>
            <w:r>
              <w:rPr>
                <w:rFonts w:ascii="Arial" w:hAnsi="Arial"/>
                <w:b/>
                <w:i w:val="false"/>
                <w:caps w:val="false"/>
                <w:smallCaps w:val="false"/>
                <w:sz w:val="18"/>
              </w:rPr>
              <w:t>Return on average assets (ROAA, %)</w:t>
            </w:r>
          </w:p>
        </w:tc>
        <w:tc>
          <w:tcPr>
            <w:tcW w:w="590" w:type="dxa"/>
            <w:tcBorders>
              <w:right w:val="single" w:sz="8" w:space="0" w:color="000000"/>
            </w:tcBorders>
            <w:tcMar>
              <w:top w:w="0" w:type="dxa"/>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0.2</w:t>
            </w:r>
          </w:p>
        </w:tc>
        <w:tc>
          <w:tcPr>
            <w:tcW w:w="590" w:type="dxa"/>
            <w:tcBorders>
              <w:right w:val="single" w:sz="8" w:space="0" w:color="000000"/>
            </w:tcBorders>
            <w:tcMar>
              <w:top w:w="0" w:type="dxa"/>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1.5</w:t>
            </w:r>
          </w:p>
        </w:tc>
        <w:tc>
          <w:tcPr>
            <w:tcW w:w="590" w:type="dxa"/>
            <w:tcBorders>
              <w:right w:val="single" w:sz="8" w:space="0" w:color="000000"/>
            </w:tcBorders>
            <w:tcMar>
              <w:top w:w="0" w:type="dxa"/>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1.9</w:t>
            </w:r>
          </w:p>
        </w:tc>
        <w:tc>
          <w:tcPr>
            <w:tcW w:w="605" w:type="dxa"/>
            <w:tcBorders>
              <w:right w:val="single" w:sz="8" w:space="0" w:color="000000"/>
            </w:tcBorders>
            <w:tcMar>
              <w:top w:w="0" w:type="dxa"/>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2.0</w:t>
            </w:r>
          </w:p>
        </w:tc>
      </w:tr>
      <w:tr>
        <w:trPr/>
        <w:tc>
          <w:tcPr>
            <w:tcW w:w="2105" w:type="dxa"/>
            <w:vMerge w:val="continue"/>
            <w:tcBorders>
              <w:left w:val="single" w:sz="8" w:space="0" w:color="000000"/>
              <w:bottom w:val="single" w:sz="2" w:space="0" w:color="000000"/>
              <w:right w:val="single" w:sz="8" w:space="0" w:color="000000"/>
            </w:tcBorders>
            <w:shd w:fill="FFFFFF" w:val="clear"/>
            <w:tcMar>
              <w:top w:w="0" w:type="dxa"/>
              <w:right w:w="70" w:type="dxa"/>
            </w:tcMar>
            <w:vAlign w:val="center"/>
          </w:tcPr>
          <w:p>
            <w:pPr>
              <w:pStyle w:val="Normal"/>
              <w:bidi w:val="0"/>
              <w:jc w:val="left"/>
              <w:rPr/>
            </w:pPr>
            <w:r>
              <w:rPr/>
            </w:r>
          </w:p>
        </w:tc>
        <w:tc>
          <w:tcPr>
            <w:tcW w:w="3650" w:type="dxa"/>
            <w:tcBorders>
              <w:bottom w:val="single" w:sz="2" w:space="0" w:color="000000"/>
              <w:right w:val="single" w:sz="8" w:space="0" w:color="000000"/>
            </w:tcBorders>
            <w:shd w:fill="FFFFFF" w:val="clear"/>
            <w:tcMar>
              <w:top w:w="0" w:type="dxa"/>
              <w:left w:w="0" w:type="dxa"/>
              <w:right w:w="70" w:type="dxa"/>
            </w:tcMar>
            <w:vAlign w:val="center"/>
          </w:tcPr>
          <w:p>
            <w:pPr>
              <w:pStyle w:val="TableContents"/>
              <w:bidi w:val="0"/>
              <w:spacing w:before="0" w:after="283"/>
              <w:jc w:val="left"/>
              <w:rPr>
                <w:caps w:val="false"/>
                <w:smallCaps w:val="false"/>
              </w:rPr>
            </w:pPr>
            <w:r>
              <w:rPr>
                <w:caps w:val="false"/>
                <w:smallCaps w:val="false"/>
              </w:rPr>
              <w:t> </w:t>
            </w:r>
            <w:r>
              <w:rPr>
                <w:rFonts w:ascii="Arial" w:hAnsi="Arial"/>
                <w:b/>
                <w:i w:val="false"/>
                <w:caps w:val="false"/>
                <w:smallCaps w:val="false"/>
                <w:sz w:val="18"/>
              </w:rPr>
              <w:t>Return on average equity (ROAE, %)</w:t>
            </w:r>
          </w:p>
        </w:tc>
        <w:tc>
          <w:tcPr>
            <w:tcW w:w="590" w:type="dxa"/>
            <w:tcBorders>
              <w:right w:val="single" w:sz="8" w:space="0" w:color="000000"/>
            </w:tcBorders>
            <w:tcMar>
              <w:top w:w="0" w:type="dxa"/>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1.4</w:t>
            </w:r>
          </w:p>
        </w:tc>
        <w:tc>
          <w:tcPr>
            <w:tcW w:w="590" w:type="dxa"/>
            <w:tcBorders>
              <w:right w:val="single" w:sz="8" w:space="0" w:color="000000"/>
            </w:tcBorders>
            <w:tcMar>
              <w:top w:w="0" w:type="dxa"/>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13.9</w:t>
            </w:r>
          </w:p>
        </w:tc>
        <w:tc>
          <w:tcPr>
            <w:tcW w:w="590" w:type="dxa"/>
            <w:tcBorders>
              <w:right w:val="single" w:sz="8" w:space="0" w:color="000000"/>
            </w:tcBorders>
            <w:tcMar>
              <w:top w:w="0" w:type="dxa"/>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16.8</w:t>
            </w:r>
          </w:p>
        </w:tc>
        <w:tc>
          <w:tcPr>
            <w:tcW w:w="605" w:type="dxa"/>
            <w:tcBorders>
              <w:right w:val="single" w:sz="8" w:space="0" w:color="000000"/>
            </w:tcBorders>
            <w:tcMar>
              <w:top w:w="0" w:type="dxa"/>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15.8</w:t>
            </w:r>
          </w:p>
        </w:tc>
      </w:tr>
      <w:tr>
        <w:trPr/>
        <w:tc>
          <w:tcPr>
            <w:tcW w:w="2105" w:type="dxa"/>
            <w:tcBorders>
              <w:left w:val="single" w:sz="8" w:space="0" w:color="000000"/>
              <w:bottom w:val="single" w:sz="8" w:space="0" w:color="000000"/>
              <w:right w:val="single" w:sz="8" w:space="0" w:color="000000"/>
            </w:tcBorders>
            <w:shd w:fill="FFFFFF" w:val="clear"/>
            <w:tcMar>
              <w:top w:w="0" w:type="dxa"/>
              <w:right w:w="70" w:type="dxa"/>
            </w:tcMar>
            <w:vAlign w:val="center"/>
          </w:tcPr>
          <w:p>
            <w:pPr>
              <w:pStyle w:val="TableContents"/>
              <w:bidi w:val="0"/>
              <w:spacing w:before="0" w:after="283"/>
              <w:jc w:val="center"/>
              <w:rPr>
                <w:rFonts w:ascii="Arial" w:hAnsi="Arial"/>
                <w:b/>
                <w:i w:val="false"/>
                <w:caps w:val="false"/>
                <w:smallCaps w:val="false"/>
                <w:sz w:val="18"/>
              </w:rPr>
            </w:pPr>
            <w:r>
              <w:rPr>
                <w:rFonts w:ascii="Arial" w:hAnsi="Arial"/>
                <w:b/>
                <w:i w:val="false"/>
                <w:caps w:val="false"/>
                <w:smallCaps w:val="false"/>
                <w:sz w:val="18"/>
              </w:rPr>
              <w:t>Efficiency</w:t>
            </w:r>
          </w:p>
        </w:tc>
        <w:tc>
          <w:tcPr>
            <w:tcW w:w="3650" w:type="dxa"/>
            <w:tcBorders>
              <w:right w:val="single" w:sz="8" w:space="0" w:color="000000"/>
            </w:tcBorders>
            <w:shd w:fill="FFFFFF" w:val="clear"/>
            <w:tcMar>
              <w:top w:w="0" w:type="dxa"/>
              <w:left w:w="0" w:type="dxa"/>
              <w:bottom w:w="0" w:type="dxa"/>
              <w:right w:w="70" w:type="dxa"/>
            </w:tcMar>
            <w:vAlign w:val="center"/>
          </w:tcPr>
          <w:p>
            <w:pPr>
              <w:pStyle w:val="TableContents"/>
              <w:bidi w:val="0"/>
              <w:spacing w:lineRule="auto" w:line="240" w:before="0" w:after="283"/>
              <w:jc w:val="left"/>
              <w:rPr>
                <w:caps w:val="false"/>
                <w:smallCaps w:val="false"/>
              </w:rPr>
            </w:pPr>
            <w:r>
              <w:rPr>
                <w:caps w:val="false"/>
                <w:smallCaps w:val="false"/>
              </w:rPr>
              <w:t> </w:t>
            </w:r>
            <w:r>
              <w:rPr>
                <w:rFonts w:ascii="Arial" w:hAnsi="Arial"/>
                <w:b/>
                <w:i w:val="false"/>
                <w:caps w:val="false"/>
                <w:smallCaps w:val="false"/>
                <w:sz w:val="18"/>
              </w:rPr>
              <w:t>Efficiency ratio (%) 4</w:t>
            </w:r>
          </w:p>
        </w:tc>
        <w:tc>
          <w:tcPr>
            <w:tcW w:w="590" w:type="dxa"/>
            <w:tcBorders>
              <w:top w:val="single" w:sz="8" w:space="0" w:color="000000"/>
              <w:right w:val="single" w:sz="8" w:space="0" w:color="000000"/>
            </w:tcBorders>
            <w:tcMar>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46.3</w:t>
            </w:r>
          </w:p>
        </w:tc>
        <w:tc>
          <w:tcPr>
            <w:tcW w:w="590" w:type="dxa"/>
            <w:tcBorders>
              <w:top w:val="single" w:sz="8" w:space="0" w:color="000000"/>
              <w:right w:val="single" w:sz="8" w:space="0" w:color="000000"/>
            </w:tcBorders>
            <w:tcMar>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45.9</w:t>
            </w:r>
          </w:p>
        </w:tc>
        <w:tc>
          <w:tcPr>
            <w:tcW w:w="590" w:type="dxa"/>
            <w:tcBorders>
              <w:top w:val="single" w:sz="8" w:space="0" w:color="000000"/>
              <w:right w:val="single" w:sz="8" w:space="0" w:color="000000"/>
            </w:tcBorders>
            <w:tcMar>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47.5</w:t>
            </w:r>
          </w:p>
        </w:tc>
        <w:tc>
          <w:tcPr>
            <w:tcW w:w="605" w:type="dxa"/>
            <w:tcBorders>
              <w:top w:val="single" w:sz="8" w:space="0" w:color="000000"/>
              <w:right w:val="single" w:sz="8" w:space="0" w:color="000000"/>
            </w:tcBorders>
            <w:tcMar>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46.1</w:t>
            </w:r>
          </w:p>
        </w:tc>
      </w:tr>
      <w:tr>
        <w:trPr/>
        <w:tc>
          <w:tcPr>
            <w:tcW w:w="2105" w:type="dxa"/>
            <w:vMerge w:val="restart"/>
            <w:tcBorders>
              <w:left w:val="single" w:sz="8" w:space="0" w:color="000000"/>
              <w:right w:val="single" w:sz="8" w:space="0" w:color="000000"/>
            </w:tcBorders>
            <w:shd w:fill="FFFFFF" w:val="clear"/>
            <w:tcMar>
              <w:top w:w="0" w:type="dxa"/>
              <w:bottom w:w="0" w:type="dxa"/>
              <w:right w:w="70" w:type="dxa"/>
            </w:tcMar>
            <w:vAlign w:val="center"/>
          </w:tcPr>
          <w:p>
            <w:pPr>
              <w:pStyle w:val="TableContents"/>
              <w:bidi w:val="0"/>
              <w:spacing w:before="0" w:after="283"/>
              <w:jc w:val="center"/>
              <w:rPr>
                <w:rFonts w:ascii="Arial" w:hAnsi="Arial"/>
                <w:b/>
                <w:i w:val="false"/>
                <w:caps w:val="false"/>
                <w:smallCaps w:val="false"/>
                <w:sz w:val="18"/>
              </w:rPr>
            </w:pPr>
            <w:r>
              <w:rPr>
                <w:rFonts w:ascii="Arial" w:hAnsi="Arial"/>
                <w:b/>
                <w:i w:val="false"/>
                <w:caps w:val="false"/>
                <w:smallCaps w:val="false"/>
                <w:sz w:val="18"/>
              </w:rPr>
              <w:t>Portfolio Quality</w:t>
            </w:r>
          </w:p>
        </w:tc>
        <w:tc>
          <w:tcPr>
            <w:tcW w:w="3650" w:type="dxa"/>
            <w:tcBorders>
              <w:top w:val="single" w:sz="8" w:space="0" w:color="000000"/>
              <w:right w:val="single" w:sz="8" w:space="0" w:color="000000"/>
            </w:tcBorders>
            <w:shd w:fill="FFFFFF" w:val="clear"/>
            <w:tcMar>
              <w:left w:w="0" w:type="dxa"/>
              <w:bottom w:w="0" w:type="dxa"/>
              <w:right w:w="70" w:type="dxa"/>
            </w:tcMar>
            <w:vAlign w:val="center"/>
          </w:tcPr>
          <w:p>
            <w:pPr>
              <w:pStyle w:val="TableContents"/>
              <w:bidi w:val="0"/>
              <w:spacing w:lineRule="auto" w:line="240" w:before="0" w:after="283"/>
              <w:jc w:val="left"/>
              <w:rPr>
                <w:caps w:val="false"/>
                <w:smallCaps w:val="false"/>
              </w:rPr>
            </w:pPr>
            <w:r>
              <w:rPr>
                <w:caps w:val="false"/>
                <w:smallCaps w:val="false"/>
              </w:rPr>
              <w:t> </w:t>
            </w:r>
            <w:r>
              <w:rPr>
                <w:rFonts w:ascii="Arial" w:hAnsi="Arial"/>
                <w:b/>
                <w:i w:val="false"/>
                <w:caps w:val="false"/>
                <w:smallCaps w:val="false"/>
                <w:sz w:val="18"/>
              </w:rPr>
              <w:t>Internal overdue ratio (%) 5</w:t>
            </w:r>
          </w:p>
        </w:tc>
        <w:tc>
          <w:tcPr>
            <w:tcW w:w="590" w:type="dxa"/>
            <w:tcBorders>
              <w:top w:val="single" w:sz="8" w:space="0" w:color="000000"/>
              <w:right w:val="single" w:sz="8" w:space="0" w:color="000000"/>
            </w:tcBorders>
            <w:tcMar>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3.4</w:t>
            </w:r>
          </w:p>
        </w:tc>
        <w:tc>
          <w:tcPr>
            <w:tcW w:w="590" w:type="dxa"/>
            <w:tcBorders>
              <w:top w:val="single" w:sz="8" w:space="0" w:color="000000"/>
              <w:right w:val="single" w:sz="8" w:space="0" w:color="000000"/>
            </w:tcBorders>
            <w:tcMar>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3.8</w:t>
            </w:r>
          </w:p>
        </w:tc>
        <w:tc>
          <w:tcPr>
            <w:tcW w:w="590" w:type="dxa"/>
            <w:tcBorders>
              <w:top w:val="single" w:sz="8" w:space="0" w:color="000000"/>
              <w:right w:val="single" w:sz="8" w:space="0" w:color="000000"/>
            </w:tcBorders>
            <w:tcMar>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4.0</w:t>
            </w:r>
          </w:p>
        </w:tc>
        <w:tc>
          <w:tcPr>
            <w:tcW w:w="605" w:type="dxa"/>
            <w:tcBorders>
              <w:top w:val="single" w:sz="8" w:space="0" w:color="000000"/>
              <w:right w:val="single" w:sz="8" w:space="0" w:color="000000"/>
            </w:tcBorders>
            <w:tcMar>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4.2</w:t>
            </w:r>
          </w:p>
        </w:tc>
      </w:tr>
      <w:tr>
        <w:trPr/>
        <w:tc>
          <w:tcPr>
            <w:tcW w:w="2105" w:type="dxa"/>
            <w:vMerge w:val="continue"/>
            <w:tcBorders>
              <w:left w:val="single" w:sz="8" w:space="0" w:color="000000"/>
              <w:right w:val="single" w:sz="8" w:space="0" w:color="000000"/>
            </w:tcBorders>
            <w:shd w:fill="FFFFFF" w:val="clear"/>
            <w:tcMar>
              <w:top w:w="0" w:type="dxa"/>
              <w:bottom w:w="0" w:type="dxa"/>
              <w:right w:w="70" w:type="dxa"/>
            </w:tcMar>
            <w:vAlign w:val="center"/>
          </w:tcPr>
          <w:p>
            <w:pPr>
              <w:pStyle w:val="Normal"/>
              <w:bidi w:val="0"/>
              <w:jc w:val="left"/>
              <w:rPr/>
            </w:pPr>
            <w:r>
              <w:rPr/>
            </w:r>
          </w:p>
        </w:tc>
        <w:tc>
          <w:tcPr>
            <w:tcW w:w="3650" w:type="dxa"/>
            <w:tcBorders>
              <w:right w:val="single" w:sz="8" w:space="0" w:color="000000"/>
            </w:tcBorders>
            <w:shd w:fill="FFFFFF" w:val="clear"/>
            <w:tcMar>
              <w:top w:w="0" w:type="dxa"/>
              <w:left w:w="0" w:type="dxa"/>
              <w:bottom w:w="0" w:type="dxa"/>
              <w:right w:w="70" w:type="dxa"/>
            </w:tcMar>
            <w:vAlign w:val="center"/>
          </w:tcPr>
          <w:p>
            <w:pPr>
              <w:pStyle w:val="TableContents"/>
              <w:bidi w:val="0"/>
              <w:spacing w:lineRule="auto" w:line="240" w:before="0" w:after="283"/>
              <w:jc w:val="left"/>
              <w:rPr>
                <w:caps w:val="false"/>
                <w:smallCaps w:val="false"/>
              </w:rPr>
            </w:pPr>
            <w:r>
              <w:rPr>
                <w:caps w:val="false"/>
                <w:smallCaps w:val="false"/>
              </w:rPr>
              <w:t> </w:t>
            </w:r>
            <w:r>
              <w:rPr>
                <w:rFonts w:ascii="Arial" w:hAnsi="Arial"/>
                <w:b/>
                <w:i w:val="false"/>
                <w:caps w:val="false"/>
                <w:smallCaps w:val="false"/>
                <w:sz w:val="18"/>
              </w:rPr>
              <w:t>NPL ratio (%) 6</w:t>
            </w:r>
          </w:p>
        </w:tc>
        <w:tc>
          <w:tcPr>
            <w:tcW w:w="590" w:type="dxa"/>
            <w:tcBorders>
              <w:bottom w:val="single" w:sz="8" w:space="0" w:color="000000"/>
              <w:right w:val="single" w:sz="8" w:space="0" w:color="000000"/>
            </w:tcBorders>
            <w:tcMar>
              <w:top w:w="0" w:type="dxa"/>
              <w:left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4.6</w:t>
            </w:r>
          </w:p>
        </w:tc>
        <w:tc>
          <w:tcPr>
            <w:tcW w:w="590" w:type="dxa"/>
            <w:tcBorders>
              <w:bottom w:val="single" w:sz="8" w:space="0" w:color="000000"/>
              <w:right w:val="single" w:sz="8" w:space="0" w:color="000000"/>
            </w:tcBorders>
            <w:tcMar>
              <w:top w:w="0" w:type="dxa"/>
              <w:left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5.0</w:t>
            </w:r>
          </w:p>
        </w:tc>
        <w:tc>
          <w:tcPr>
            <w:tcW w:w="590" w:type="dxa"/>
            <w:tcBorders>
              <w:bottom w:val="single" w:sz="8" w:space="0" w:color="000000"/>
              <w:right w:val="single" w:sz="8" w:space="0" w:color="000000"/>
            </w:tcBorders>
            <w:tcMar>
              <w:top w:w="0" w:type="dxa"/>
              <w:left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5.4</w:t>
            </w:r>
          </w:p>
        </w:tc>
        <w:tc>
          <w:tcPr>
            <w:tcW w:w="605" w:type="dxa"/>
            <w:tcBorders>
              <w:bottom w:val="single" w:sz="8" w:space="0" w:color="000000"/>
              <w:right w:val="single" w:sz="8" w:space="0" w:color="000000"/>
            </w:tcBorders>
            <w:tcMar>
              <w:top w:w="0" w:type="dxa"/>
              <w:left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5.9</w:t>
            </w:r>
          </w:p>
        </w:tc>
      </w:tr>
      <w:tr>
        <w:trPr/>
        <w:tc>
          <w:tcPr>
            <w:tcW w:w="2105" w:type="dxa"/>
            <w:vMerge w:val="restart"/>
            <w:tcBorders>
              <w:top w:val="single" w:sz="8" w:space="0" w:color="000000"/>
              <w:left w:val="single" w:sz="8" w:space="0" w:color="000000"/>
              <w:right w:val="single" w:sz="8" w:space="0" w:color="000000"/>
            </w:tcBorders>
            <w:shd w:fill="FFFFFF" w:val="clear"/>
            <w:tcMar>
              <w:bottom w:w="0" w:type="dxa"/>
              <w:right w:w="70" w:type="dxa"/>
            </w:tcMar>
            <w:vAlign w:val="center"/>
          </w:tcPr>
          <w:p>
            <w:pPr>
              <w:pStyle w:val="TableContents"/>
              <w:bidi w:val="0"/>
              <w:spacing w:before="0" w:after="283"/>
              <w:jc w:val="center"/>
              <w:rPr>
                <w:rFonts w:ascii="Arial" w:hAnsi="Arial"/>
                <w:b/>
                <w:i w:val="false"/>
                <w:caps w:val="false"/>
                <w:smallCaps w:val="false"/>
                <w:sz w:val="18"/>
              </w:rPr>
            </w:pPr>
            <w:r>
              <w:rPr>
                <w:rFonts w:ascii="Arial" w:hAnsi="Arial"/>
                <w:b/>
                <w:i w:val="false"/>
                <w:caps w:val="false"/>
                <w:smallCaps w:val="false"/>
                <w:sz w:val="18"/>
              </w:rPr>
              <w:t>Capital</w:t>
            </w:r>
          </w:p>
        </w:tc>
        <w:tc>
          <w:tcPr>
            <w:tcW w:w="3650" w:type="dxa"/>
            <w:tcBorders>
              <w:top w:val="single" w:sz="8" w:space="0" w:color="000000"/>
              <w:right w:val="single" w:sz="8" w:space="0" w:color="000000"/>
            </w:tcBorders>
            <w:shd w:fill="FFFFFF" w:val="clear"/>
            <w:tcMar>
              <w:left w:w="0" w:type="dxa"/>
              <w:bottom w:w="0" w:type="dxa"/>
              <w:right w:w="70" w:type="dxa"/>
            </w:tcMar>
            <w:vAlign w:val="center"/>
          </w:tcPr>
          <w:p>
            <w:pPr>
              <w:pStyle w:val="TableContents"/>
              <w:bidi w:val="0"/>
              <w:spacing w:lineRule="auto" w:line="240" w:before="0" w:after="283"/>
              <w:jc w:val="left"/>
              <w:rPr>
                <w:caps w:val="false"/>
                <w:smallCaps w:val="false"/>
              </w:rPr>
            </w:pPr>
            <w:r>
              <w:rPr>
                <w:caps w:val="false"/>
                <w:smallCaps w:val="false"/>
              </w:rPr>
              <w:t> </w:t>
            </w:r>
            <w:r>
              <w:rPr>
                <w:rFonts w:ascii="Arial" w:hAnsi="Arial"/>
                <w:b/>
                <w:i w:val="false"/>
                <w:caps w:val="false"/>
                <w:smallCaps w:val="false"/>
                <w:sz w:val="18"/>
              </w:rPr>
              <w:t>BCP Global Capital ratio (%) 7</w:t>
            </w:r>
          </w:p>
        </w:tc>
        <w:tc>
          <w:tcPr>
            <w:tcW w:w="590" w:type="dxa"/>
            <w:tcBorders>
              <w:right w:val="single" w:sz="8" w:space="0" w:color="000000"/>
            </w:tcBorders>
            <w:tcMar>
              <w:top w:w="0" w:type="dxa"/>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14.9</w:t>
            </w:r>
          </w:p>
        </w:tc>
        <w:tc>
          <w:tcPr>
            <w:tcW w:w="590" w:type="dxa"/>
            <w:tcBorders>
              <w:right w:val="single" w:sz="8" w:space="0" w:color="000000"/>
            </w:tcBorders>
            <w:tcMar>
              <w:top w:w="0" w:type="dxa"/>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14.9</w:t>
            </w:r>
          </w:p>
        </w:tc>
        <w:tc>
          <w:tcPr>
            <w:tcW w:w="590" w:type="dxa"/>
            <w:tcBorders>
              <w:right w:val="single" w:sz="8" w:space="0" w:color="000000"/>
            </w:tcBorders>
            <w:tcMar>
              <w:top w:w="0" w:type="dxa"/>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14.4</w:t>
            </w:r>
          </w:p>
        </w:tc>
        <w:tc>
          <w:tcPr>
            <w:tcW w:w="605" w:type="dxa"/>
            <w:tcBorders>
              <w:right w:val="single" w:sz="8" w:space="0" w:color="000000"/>
            </w:tcBorders>
            <w:tcMar>
              <w:top w:w="0" w:type="dxa"/>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17.5</w:t>
            </w:r>
          </w:p>
        </w:tc>
      </w:tr>
      <w:tr>
        <w:trPr/>
        <w:tc>
          <w:tcPr>
            <w:tcW w:w="2105" w:type="dxa"/>
            <w:vMerge w:val="continue"/>
            <w:tcBorders>
              <w:top w:val="single" w:sz="8" w:space="0" w:color="000000"/>
              <w:left w:val="single" w:sz="8" w:space="0" w:color="000000"/>
              <w:right w:val="single" w:sz="8" w:space="0" w:color="000000"/>
            </w:tcBorders>
            <w:shd w:fill="FFFFFF" w:val="clear"/>
            <w:tcMar>
              <w:bottom w:w="0" w:type="dxa"/>
              <w:right w:w="70" w:type="dxa"/>
            </w:tcMar>
            <w:vAlign w:val="center"/>
          </w:tcPr>
          <w:p>
            <w:pPr>
              <w:pStyle w:val="Normal"/>
              <w:bidi w:val="0"/>
              <w:jc w:val="left"/>
              <w:rPr/>
            </w:pPr>
            <w:r>
              <w:rPr/>
            </w:r>
          </w:p>
        </w:tc>
        <w:tc>
          <w:tcPr>
            <w:tcW w:w="3650" w:type="dxa"/>
            <w:tcBorders>
              <w:right w:val="single" w:sz="8" w:space="0" w:color="000000"/>
            </w:tcBorders>
            <w:shd w:fill="FFFFFF" w:val="clear"/>
            <w:tcMar>
              <w:top w:w="0" w:type="dxa"/>
              <w:left w:w="0" w:type="dxa"/>
              <w:bottom w:w="0" w:type="dxa"/>
              <w:right w:w="70" w:type="dxa"/>
            </w:tcMar>
            <w:vAlign w:val="center"/>
          </w:tcPr>
          <w:p>
            <w:pPr>
              <w:pStyle w:val="TableContents"/>
              <w:bidi w:val="0"/>
              <w:spacing w:lineRule="auto" w:line="240" w:before="0" w:after="283"/>
              <w:jc w:val="left"/>
              <w:rPr>
                <w:caps w:val="false"/>
                <w:smallCaps w:val="false"/>
              </w:rPr>
            </w:pPr>
            <w:r>
              <w:rPr>
                <w:caps w:val="false"/>
                <w:smallCaps w:val="false"/>
              </w:rPr>
              <w:t> </w:t>
            </w:r>
            <w:r>
              <w:rPr>
                <w:rFonts w:ascii="Arial" w:hAnsi="Arial"/>
                <w:b/>
                <w:i w:val="false"/>
                <w:caps w:val="false"/>
                <w:smallCaps w:val="false"/>
                <w:sz w:val="18"/>
              </w:rPr>
              <w:t xml:space="preserve">BCP </w:t>
            </w:r>
            <w:r>
              <w:rPr>
                <w:rFonts w:ascii="Arial" w:hAnsi="Arial"/>
                <w:b/>
                <w:i/>
                <w:caps w:val="false"/>
                <w:smallCaps w:val="false"/>
                <w:sz w:val="18"/>
              </w:rPr>
              <w:t xml:space="preserve">Common Equity </w:t>
            </w:r>
            <w:r>
              <w:rPr>
                <w:rFonts w:ascii="Arial" w:hAnsi="Arial"/>
                <w:b/>
                <w:i w:val="false"/>
                <w:caps w:val="false"/>
                <w:smallCaps w:val="false"/>
                <w:sz w:val="18"/>
              </w:rPr>
              <w:t>Tier 1 ratio (%) 8</w:t>
            </w:r>
          </w:p>
        </w:tc>
        <w:tc>
          <w:tcPr>
            <w:tcW w:w="590" w:type="dxa"/>
            <w:tcBorders>
              <w:right w:val="single" w:sz="8" w:space="0" w:color="000000"/>
            </w:tcBorders>
            <w:tcMar>
              <w:top w:w="0" w:type="dxa"/>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11.4</w:t>
            </w:r>
          </w:p>
        </w:tc>
        <w:tc>
          <w:tcPr>
            <w:tcW w:w="590" w:type="dxa"/>
            <w:tcBorders>
              <w:right w:val="single" w:sz="8" w:space="0" w:color="000000"/>
            </w:tcBorders>
            <w:tcMar>
              <w:top w:w="0" w:type="dxa"/>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11.9</w:t>
            </w:r>
          </w:p>
        </w:tc>
        <w:tc>
          <w:tcPr>
            <w:tcW w:w="590" w:type="dxa"/>
            <w:tcBorders>
              <w:right w:val="single" w:sz="8" w:space="0" w:color="000000"/>
            </w:tcBorders>
            <w:tcMar>
              <w:top w:w="0" w:type="dxa"/>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12.6</w:t>
            </w:r>
          </w:p>
        </w:tc>
        <w:tc>
          <w:tcPr>
            <w:tcW w:w="605" w:type="dxa"/>
            <w:tcBorders>
              <w:right w:val="single" w:sz="8" w:space="0" w:color="000000"/>
            </w:tcBorders>
            <w:tcMar>
              <w:top w:w="0" w:type="dxa"/>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13.2</w:t>
            </w:r>
          </w:p>
        </w:tc>
      </w:tr>
      <w:tr>
        <w:trPr/>
        <w:tc>
          <w:tcPr>
            <w:tcW w:w="2105" w:type="dxa"/>
            <w:vMerge w:val="continue"/>
            <w:tcBorders>
              <w:top w:val="single" w:sz="8" w:space="0" w:color="000000"/>
              <w:left w:val="single" w:sz="8" w:space="0" w:color="000000"/>
              <w:right w:val="single" w:sz="8" w:space="0" w:color="000000"/>
            </w:tcBorders>
            <w:shd w:fill="FFFFFF" w:val="clear"/>
            <w:tcMar>
              <w:bottom w:w="0" w:type="dxa"/>
              <w:right w:w="70" w:type="dxa"/>
            </w:tcMar>
            <w:vAlign w:val="center"/>
          </w:tcPr>
          <w:p>
            <w:pPr>
              <w:pStyle w:val="Normal"/>
              <w:bidi w:val="0"/>
              <w:jc w:val="left"/>
              <w:rPr/>
            </w:pPr>
            <w:r>
              <w:rPr/>
            </w:r>
          </w:p>
        </w:tc>
        <w:tc>
          <w:tcPr>
            <w:tcW w:w="3650" w:type="dxa"/>
            <w:tcBorders>
              <w:right w:val="single" w:sz="8" w:space="0" w:color="000000"/>
            </w:tcBorders>
            <w:shd w:fill="FFFFFF" w:val="clear"/>
            <w:tcMar>
              <w:top w:w="0" w:type="dxa"/>
              <w:left w:w="0" w:type="dxa"/>
              <w:bottom w:w="0" w:type="dxa"/>
              <w:right w:w="70" w:type="dxa"/>
            </w:tcMar>
            <w:vAlign w:val="center"/>
          </w:tcPr>
          <w:p>
            <w:pPr>
              <w:pStyle w:val="TableContents"/>
              <w:bidi w:val="0"/>
              <w:spacing w:lineRule="auto" w:line="240" w:before="0" w:after="283"/>
              <w:jc w:val="left"/>
              <w:rPr>
                <w:caps w:val="false"/>
                <w:smallCaps w:val="false"/>
              </w:rPr>
            </w:pPr>
            <w:r>
              <w:rPr>
                <w:caps w:val="false"/>
                <w:smallCaps w:val="false"/>
              </w:rPr>
              <w:t> </w:t>
            </w:r>
            <w:r>
              <w:rPr>
                <w:rFonts w:ascii="Arial" w:hAnsi="Arial"/>
                <w:b/>
                <w:i w:val="false"/>
                <w:caps w:val="false"/>
                <w:smallCaps w:val="false"/>
                <w:sz w:val="18"/>
              </w:rPr>
              <w:t xml:space="preserve">Mibanco </w:t>
            </w:r>
            <w:r>
              <w:rPr>
                <w:rFonts w:ascii="Arial" w:hAnsi="Arial"/>
                <w:b/>
                <w:i/>
                <w:caps w:val="false"/>
                <w:smallCaps w:val="false"/>
                <w:sz w:val="18"/>
              </w:rPr>
              <w:t xml:space="preserve">Common Equity </w:t>
            </w:r>
            <w:r>
              <w:rPr>
                <w:rFonts w:ascii="Arial" w:hAnsi="Arial"/>
                <w:b/>
                <w:i w:val="false"/>
                <w:caps w:val="false"/>
                <w:smallCaps w:val="false"/>
                <w:sz w:val="18"/>
              </w:rPr>
              <w:t>Tier 1 ratio (%) 8</w:t>
            </w:r>
          </w:p>
        </w:tc>
        <w:tc>
          <w:tcPr>
            <w:tcW w:w="590" w:type="dxa"/>
            <w:tcBorders>
              <w:right w:val="single" w:sz="8" w:space="0" w:color="000000"/>
            </w:tcBorders>
            <w:tcMar>
              <w:top w:w="0" w:type="dxa"/>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17.7</w:t>
            </w:r>
          </w:p>
        </w:tc>
        <w:tc>
          <w:tcPr>
            <w:tcW w:w="590" w:type="dxa"/>
            <w:tcBorders>
              <w:right w:val="single" w:sz="8" w:space="0" w:color="000000"/>
            </w:tcBorders>
            <w:tcMar>
              <w:top w:w="0" w:type="dxa"/>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15.2</w:t>
            </w:r>
          </w:p>
        </w:tc>
        <w:tc>
          <w:tcPr>
            <w:tcW w:w="590" w:type="dxa"/>
            <w:tcBorders>
              <w:right w:val="single" w:sz="8" w:space="0" w:color="000000"/>
            </w:tcBorders>
            <w:tcMar>
              <w:top w:w="0" w:type="dxa"/>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16.5</w:t>
            </w:r>
          </w:p>
        </w:tc>
        <w:tc>
          <w:tcPr>
            <w:tcW w:w="605" w:type="dxa"/>
            <w:tcBorders>
              <w:right w:val="single" w:sz="8" w:space="0" w:color="000000"/>
            </w:tcBorders>
            <w:tcMar>
              <w:top w:w="0" w:type="dxa"/>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18.4</w:t>
            </w:r>
          </w:p>
        </w:tc>
      </w:tr>
      <w:tr>
        <w:trPr/>
        <w:tc>
          <w:tcPr>
            <w:tcW w:w="2105" w:type="dxa"/>
            <w:tcBorders>
              <w:top w:val="single" w:sz="8" w:space="0" w:color="000000"/>
              <w:left w:val="single" w:sz="8" w:space="0" w:color="000000"/>
              <w:right w:val="single" w:sz="8" w:space="0" w:color="000000"/>
            </w:tcBorders>
            <w:shd w:fill="FFFFFF" w:val="clear"/>
            <w:tcMar>
              <w:bottom w:w="0" w:type="dxa"/>
              <w:right w:w="70" w:type="dxa"/>
            </w:tcMar>
            <w:vAlign w:val="center"/>
          </w:tcPr>
          <w:p>
            <w:pPr>
              <w:pStyle w:val="TableContents"/>
              <w:bidi w:val="0"/>
              <w:spacing w:before="0" w:after="283"/>
              <w:jc w:val="center"/>
              <w:rPr>
                <w:rFonts w:ascii="Arial" w:hAnsi="Arial"/>
                <w:b/>
                <w:i w:val="false"/>
                <w:caps w:val="false"/>
                <w:smallCaps w:val="false"/>
                <w:sz w:val="18"/>
              </w:rPr>
            </w:pPr>
            <w:r>
              <w:rPr>
                <w:rFonts w:ascii="Arial" w:hAnsi="Arial"/>
                <w:b/>
                <w:i w:val="false"/>
                <w:caps w:val="false"/>
                <w:smallCaps w:val="false"/>
                <w:sz w:val="18"/>
              </w:rPr>
              <w:t xml:space="preserve">Empleados </w:t>
            </w:r>
          </w:p>
        </w:tc>
        <w:tc>
          <w:tcPr>
            <w:tcW w:w="3650" w:type="dxa"/>
            <w:tcBorders>
              <w:top w:val="single" w:sz="8" w:space="0" w:color="000000"/>
              <w:right w:val="single" w:sz="8" w:space="0" w:color="000000"/>
            </w:tcBorders>
            <w:shd w:fill="FFFFFF" w:val="clear"/>
            <w:tcMar>
              <w:left w:w="0" w:type="dxa"/>
              <w:bottom w:w="0" w:type="dxa"/>
              <w:right w:w="70" w:type="dxa"/>
            </w:tcMar>
            <w:vAlign w:val="center"/>
          </w:tcPr>
          <w:p>
            <w:pPr>
              <w:pStyle w:val="TableContents"/>
              <w:bidi w:val="0"/>
              <w:spacing w:before="0" w:after="283"/>
              <w:jc w:val="left"/>
              <w:rPr>
                <w:caps w:val="false"/>
                <w:smallCaps w:val="false"/>
              </w:rPr>
            </w:pPr>
            <w:r>
              <w:rPr>
                <w:caps w:val="false"/>
                <w:smallCaps w:val="false"/>
              </w:rPr>
              <w:t> </w:t>
            </w:r>
            <w:r>
              <w:rPr>
                <w:rFonts w:ascii="Arial" w:hAnsi="Arial"/>
                <w:b/>
                <w:i w:val="false"/>
                <w:caps w:val="false"/>
                <w:smallCaps w:val="false"/>
                <w:sz w:val="18"/>
              </w:rPr>
              <w:t xml:space="preserve">Permanent personnel </w:t>
            </w:r>
          </w:p>
        </w:tc>
        <w:tc>
          <w:tcPr>
            <w:tcW w:w="590" w:type="dxa"/>
            <w:tcBorders>
              <w:top w:val="single" w:sz="8" w:space="0" w:color="000000"/>
              <w:right w:val="single" w:sz="8" w:space="0" w:color="000000"/>
            </w:tcBorders>
            <w:tcMar>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36,806</w:t>
            </w:r>
          </w:p>
        </w:tc>
        <w:tc>
          <w:tcPr>
            <w:tcW w:w="590" w:type="dxa"/>
            <w:tcBorders>
              <w:top w:val="single" w:sz="8" w:space="0" w:color="000000"/>
              <w:right w:val="single" w:sz="8" w:space="0" w:color="000000"/>
            </w:tcBorders>
            <w:tcMar>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36,396</w:t>
            </w:r>
          </w:p>
        </w:tc>
        <w:tc>
          <w:tcPr>
            <w:tcW w:w="590" w:type="dxa"/>
            <w:tcBorders>
              <w:top w:val="single" w:sz="8" w:space="0" w:color="000000"/>
              <w:right w:val="single" w:sz="8" w:space="0" w:color="000000"/>
            </w:tcBorders>
            <w:tcMar>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36,968</w:t>
            </w:r>
          </w:p>
        </w:tc>
        <w:tc>
          <w:tcPr>
            <w:tcW w:w="605" w:type="dxa"/>
            <w:tcBorders>
              <w:top w:val="single" w:sz="8" w:space="0" w:color="000000"/>
              <w:right w:val="single" w:sz="8" w:space="0" w:color="000000"/>
            </w:tcBorders>
            <w:tcMar>
              <w:left w:w="0" w:type="dxa"/>
              <w:bottom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37,076</w:t>
            </w:r>
          </w:p>
        </w:tc>
      </w:tr>
      <w:tr>
        <w:trPr/>
        <w:tc>
          <w:tcPr>
            <w:tcW w:w="2105"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rFonts w:ascii="Arial" w:hAnsi="Arial"/>
                <w:b/>
                <w:i w:val="false"/>
                <w:caps w:val="false"/>
                <w:smallCaps w:val="false"/>
                <w:sz w:val="18"/>
              </w:rPr>
            </w:pPr>
            <w:r>
              <w:rPr>
                <w:rFonts w:ascii="Arial" w:hAnsi="Arial"/>
                <w:b/>
                <w:i w:val="false"/>
                <w:caps w:val="false"/>
                <w:smallCaps w:val="false"/>
                <w:sz w:val="18"/>
              </w:rPr>
              <w:t xml:space="preserve">Shares </w:t>
            </w:r>
          </w:p>
        </w:tc>
        <w:tc>
          <w:tcPr>
            <w:tcW w:w="3650" w:type="dxa"/>
            <w:tcBorders>
              <w:top w:val="single" w:sz="8" w:space="0" w:color="000000"/>
              <w:left w:val="single" w:sz="8" w:space="0" w:color="000000"/>
              <w:bottom w:val="single" w:sz="8" w:space="0" w:color="000000"/>
              <w:right w:val="single" w:sz="8" w:space="0" w:color="000000"/>
            </w:tcBorders>
            <w:shd w:fill="FFFFFF" w:val="clear"/>
            <w:tcMar>
              <w:right w:w="70" w:type="dxa"/>
            </w:tcMar>
            <w:vAlign w:val="center"/>
          </w:tcPr>
          <w:p>
            <w:pPr>
              <w:pStyle w:val="TableContents"/>
              <w:bidi w:val="0"/>
              <w:spacing w:lineRule="auto" w:line="240" w:before="0" w:after="283"/>
              <w:jc w:val="left"/>
              <w:rPr>
                <w:caps w:val="false"/>
                <w:smallCaps w:val="false"/>
              </w:rPr>
            </w:pPr>
            <w:r>
              <w:rPr>
                <w:caps w:val="false"/>
                <w:smallCaps w:val="false"/>
              </w:rPr>
              <w:t> </w:t>
            </w:r>
            <w:r>
              <w:rPr>
                <w:rFonts w:ascii="Arial" w:hAnsi="Arial"/>
                <w:b/>
                <w:i w:val="false"/>
                <w:caps w:val="false"/>
                <w:smallCaps w:val="false"/>
                <w:sz w:val="18"/>
              </w:rPr>
              <w:t>Number of shares outstanding (millions9</w:t>
            </w:r>
          </w:p>
        </w:tc>
        <w:tc>
          <w:tcPr>
            <w:tcW w:w="590" w:type="dxa"/>
            <w:tcBorders>
              <w:top w:val="single" w:sz="8" w:space="0" w:color="000000"/>
              <w:bottom w:val="single" w:sz="8" w:space="0" w:color="000000"/>
              <w:right w:val="single" w:sz="8" w:space="0" w:color="000000"/>
            </w:tcBorders>
            <w:tcMar>
              <w:left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79.47</w:t>
            </w:r>
          </w:p>
        </w:tc>
        <w:tc>
          <w:tcPr>
            <w:tcW w:w="590" w:type="dxa"/>
            <w:tcBorders>
              <w:top w:val="single" w:sz="8" w:space="0" w:color="000000"/>
              <w:bottom w:val="single" w:sz="8" w:space="0" w:color="000000"/>
              <w:right w:val="single" w:sz="8" w:space="0" w:color="000000"/>
            </w:tcBorders>
            <w:tcMar>
              <w:left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79.53</w:t>
            </w:r>
          </w:p>
        </w:tc>
        <w:tc>
          <w:tcPr>
            <w:tcW w:w="590" w:type="dxa"/>
            <w:tcBorders>
              <w:top w:val="single" w:sz="8" w:space="0" w:color="000000"/>
              <w:bottom w:val="single" w:sz="8" w:space="0" w:color="000000"/>
              <w:right w:val="single" w:sz="8" w:space="0" w:color="000000"/>
            </w:tcBorders>
            <w:tcMar>
              <w:left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79.53</w:t>
            </w:r>
          </w:p>
        </w:tc>
        <w:tc>
          <w:tcPr>
            <w:tcW w:w="605" w:type="dxa"/>
            <w:tcBorders>
              <w:top w:val="single" w:sz="8" w:space="0" w:color="000000"/>
              <w:bottom w:val="single" w:sz="8" w:space="0" w:color="000000"/>
              <w:right w:val="single" w:sz="8" w:space="0" w:color="000000"/>
            </w:tcBorders>
            <w:tcMar>
              <w:left w:w="0" w:type="dxa"/>
              <w:right w:w="70" w:type="dxa"/>
            </w:tcMar>
            <w:vAlign w:val="center"/>
          </w:tcPr>
          <w:p>
            <w:pPr>
              <w:pStyle w:val="TableContents"/>
              <w:bidi w:val="0"/>
              <w:spacing w:before="0" w:after="283"/>
              <w:jc w:val="center"/>
              <w:rPr>
                <w:rFonts w:ascii="Arial" w:hAnsi="Arial"/>
                <w:b w:val="false"/>
                <w:i w:val="false"/>
                <w:caps w:val="false"/>
                <w:smallCaps w:val="false"/>
                <w:sz w:val="18"/>
              </w:rPr>
            </w:pPr>
            <w:r>
              <w:rPr>
                <w:rFonts w:ascii="Arial" w:hAnsi="Arial"/>
                <w:b w:val="false"/>
                <w:i w:val="false"/>
                <w:caps w:val="false"/>
                <w:smallCaps w:val="false"/>
                <w:sz w:val="18"/>
              </w:rPr>
              <w:t>79.54</w:t>
            </w:r>
          </w:p>
        </w:tc>
      </w:tr>
    </w:tbl>
    <w:p>
      <w:pPr>
        <w:pStyle w:val="TextBody"/>
        <w:bidi w:val="0"/>
        <w:spacing w:lineRule="auto" w:line="240" w:before="0" w:after="0"/>
        <w:ind w:left="0" w:right="0" w:hanging="0"/>
        <w:jc w:val="both"/>
        <w:rPr>
          <w:caps w:val="false"/>
          <w:smallCaps w:val="false"/>
        </w:rPr>
      </w:pPr>
      <w:r>
        <w:rPr>
          <w:caps w:val="false"/>
          <w:smallCaps w:val="false"/>
        </w:rPr>
        <w:t> </w:t>
      </w:r>
    </w:p>
    <w:p>
      <w:pPr>
        <w:pStyle w:val="TextBody"/>
        <w:bidi w:val="0"/>
        <w:spacing w:lineRule="auto" w:line="240"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1 Average Daily Balances.</w:t>
      </w:r>
    </w:p>
    <w:p>
      <w:pPr>
        <w:pStyle w:val="TextBody"/>
        <w:bidi w:val="0"/>
        <w:spacing w:lineRule="auto" w:line="240"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2 Figures for 2022 and 2023 incorporate the adoption of IFRS 17 standard.</w:t>
      </w:r>
    </w:p>
    <w:p>
      <w:pPr>
        <w:pStyle w:val="TextBody"/>
        <w:bidi w:val="0"/>
        <w:spacing w:lineRule="auto" w:line="240"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3 Net Interest Margin formula is: (Net Interest Income - Net Financial Expense from Insurance Activity) / (Average of the Interest Earning Assets, where the balance of Interest Earning Assets is equivalent to Cash and Due from Banks+ Total Investments+ Cash collateral, reverse repurchase agreements and securities borrowing + Total Loans)</w:t>
      </w:r>
    </w:p>
    <w:p>
      <w:pPr>
        <w:pStyle w:val="TextBody"/>
        <w:bidi w:val="0"/>
        <w:spacing w:lineRule="auto" w:line="240"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4 Efficiency Ratio formula is: (Salaries and Employee benefits+ Administrative Expenses+ Depreciation and Amortization + Association in Participation) / (Net interest, similar income, and expenses + Fee income + Net gain on foreign exchange transactions + Net gain from associates + Net gain on derivatives held for trading + Net gain from exchange differences + Net Insurance Underwriting Results).</w:t>
      </w:r>
    </w:p>
    <w:p>
      <w:pPr>
        <w:pStyle w:val="TextBody"/>
        <w:bidi w:val="0"/>
        <w:spacing w:lineRule="auto" w:line="240"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5 Internal overdue loans / total loans.</w:t>
      </w:r>
    </w:p>
    <w:p>
      <w:pPr>
        <w:pStyle w:val="TextBody"/>
        <w:bidi w:val="0"/>
        <w:spacing w:lineRule="auto" w:line="240"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6 Non-performing loans) = internal overdue loans + refinanced and restructured loans. NPL ratio = NPLs / total loans.</w:t>
      </w:r>
    </w:p>
    <w:p>
      <w:pPr>
        <w:pStyle w:val="TextBody"/>
        <w:bidi w:val="0"/>
        <w:spacing w:lineRule="auto" w:line="240"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7 Regulatory Capital / Risk-weighted assets (legal minimum=10% since July 2011).</w:t>
      </w:r>
    </w:p>
    <w:p>
      <w:pPr>
        <w:pStyle w:val="TextBody"/>
        <w:bidi w:val="0"/>
        <w:spacing w:lineRule="auto" w:line="240"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 xml:space="preserve">8 </w:t>
      </w:r>
      <w:r>
        <w:rPr>
          <w:rFonts w:ascii="Arial" w:hAnsi="Arial"/>
          <w:b w:val="false"/>
          <w:i/>
          <w:caps w:val="false"/>
          <w:smallCaps w:val="false"/>
          <w:sz w:val="16"/>
        </w:rPr>
        <w:t>Common Equity Tier 1 Ratio = (Capital + Reserves - 100% of applicable deductions (investment in subsidiaries, goodwill, intangibles and deferred tax that rely on future profitability) + Retained Earnings + Unrealized gains or losses) / Risk-weighted assets. Based on NIIF</w:t>
      </w:r>
      <w:r>
        <w:rPr>
          <w:rFonts w:ascii="Arial" w:hAnsi="Arial"/>
          <w:b w:val="false"/>
          <w:i w:val="false"/>
          <w:caps w:val="false"/>
          <w:smallCaps w:val="false"/>
          <w:sz w:val="16"/>
        </w:rPr>
        <w:t>.</w:t>
      </w:r>
    </w:p>
    <w:p>
      <w:pPr>
        <w:pStyle w:val="TextBody"/>
        <w:bidi w:val="0"/>
        <w:spacing w:lineRule="auto" w:line="240"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9 Net of treasury shares. The total number of issued shares is 94.38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48"/>
        </w:rPr>
      </w:pPr>
      <w:r>
        <w:rPr>
          <w:rFonts w:ascii="Arial" w:hAnsi="Arial"/>
          <w:b/>
          <w:i w:val="false"/>
          <w:caps w:val="false"/>
          <w:smallCaps w:val="false"/>
          <w:sz w:val="48"/>
        </w:rPr>
        <w:t>Chapter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Arial" w:hAnsi="Arial"/>
          <w:b/>
          <w:i w:val="false"/>
          <w:caps w:val="false"/>
          <w:smallCaps w:val="false"/>
          <w:sz w:val="36"/>
        </w:rPr>
      </w:pPr>
      <w:bookmarkStart w:id="11" w:name="a004_v1"/>
      <w:bookmarkEnd w:id="11"/>
      <w:r>
        <w:rPr>
          <w:rFonts w:ascii="Arial" w:hAnsi="Arial"/>
          <w:b/>
          <w:i w:val="false"/>
          <w:caps w:val="false"/>
          <w:smallCaps w:val="false"/>
          <w:sz w:val="36"/>
        </w:rPr>
        <w:t>Group Description</w:t>
      </w:r>
    </w:p>
    <w:p>
      <w:pPr>
        <w:pStyle w:val="TextBody"/>
        <w:bidi w:val="0"/>
        <w:spacing w:before="60" w:after="60"/>
        <w:ind w:left="360" w:right="0" w:hanging="36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595959"/>
          <w:sz w:val="28"/>
        </w:rPr>
      </w:pPr>
      <w:r>
        <w:rPr>
          <w:rFonts w:ascii="Arial" w:hAnsi="Arial"/>
          <w:b/>
          <w:i w:val="false"/>
          <w:caps w:val="false"/>
          <w:smallCaps w:val="false"/>
          <w:color w:val="595959"/>
          <w:sz w:val="28"/>
        </w:rPr>
        <w:t>General Information</w:t>
      </w:r>
    </w:p>
    <w:p>
      <w:pPr>
        <w:pStyle w:val="TextBody"/>
        <w:bidi w:val="0"/>
        <w:spacing w:before="0" w:after="0"/>
        <w:ind w:left="0" w:right="0" w:hanging="0"/>
        <w:jc w:val="left"/>
        <w:rPr>
          <w:caps w:val="false"/>
          <w:smallCaps w:val="false"/>
          <w:color w:val="595959"/>
        </w:rPr>
      </w:pPr>
      <w:r>
        <w:rPr>
          <w:caps w:val="false"/>
          <w:smallCaps w:val="false"/>
          <w:color w:val="595959"/>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i/>
          <w:caps w:val="false"/>
          <w:smallCaps w:val="false"/>
          <w:sz w:val="20"/>
        </w:rPr>
        <w:t xml:space="preserve">GRI </w:t>
      </w:r>
      <w:r>
        <w:rPr>
          <w:rFonts w:ascii="Arial" w:hAnsi="Arial"/>
          <w:b w:val="false"/>
          <w:i/>
          <w:caps w:val="false"/>
          <w:smallCaps w:val="false"/>
          <w:sz w:val="20"/>
        </w:rPr>
        <w:t>2-1, 2-6</w:t>
      </w:r>
    </w:p>
    <w:p>
      <w:pPr>
        <w:pStyle w:val="TextBody"/>
        <w:bidi w:val="0"/>
        <w:spacing w:before="0" w:after="0"/>
        <w:ind w:left="0" w:right="0" w:hanging="0"/>
        <w:jc w:val="both"/>
        <w:rPr>
          <w:caps w:val="false"/>
          <w:smallCaps w:val="false"/>
        </w:rPr>
      </w:pPr>
      <w:r>
        <w:rPr>
          <w:caps w:val="false"/>
          <w:smallCaps w:val="false"/>
        </w:rPr>
        <w:t> </w:t>
      </w:r>
    </w:p>
    <w:tbl>
      <w:tblPr>
        <w:tblW w:w="8575" w:type="dxa"/>
        <w:jc w:val="center"/>
        <w:tblInd w:w="0" w:type="dxa"/>
        <w:tblLayout w:type="fixed"/>
        <w:tblCellMar>
          <w:top w:w="28" w:type="dxa"/>
          <w:left w:w="108" w:type="dxa"/>
          <w:bottom w:w="28" w:type="dxa"/>
          <w:right w:w="108" w:type="dxa"/>
        </w:tblCellMar>
      </w:tblPr>
      <w:tblGrid>
        <w:gridCol w:w="4715"/>
        <w:gridCol w:w="3860"/>
      </w:tblGrid>
      <w:tr>
        <w:trPr/>
        <w:tc>
          <w:tcPr>
            <w:tcW w:w="8575" w:type="dxa"/>
            <w:gridSpan w:val="2"/>
            <w:tcBorders>
              <w:top w:val="single" w:sz="8" w:space="0" w:color="FFFFFF"/>
              <w:left w:val="single" w:sz="8" w:space="0" w:color="FFFFFF"/>
              <w:bottom w:val="single" w:sz="8" w:space="0" w:color="F3F2E9"/>
              <w:right w:val="single" w:sz="8" w:space="0" w:color="FFFFFF"/>
            </w:tcBorders>
            <w:shd w:fill="2AD2C9" w:val="clear"/>
            <w:vAlign w:val="center"/>
          </w:tcPr>
          <w:p>
            <w:pPr>
              <w:pStyle w:val="TableContents"/>
              <w:bidi w:val="0"/>
              <w:spacing w:before="0" w:after="283"/>
              <w:jc w:val="left"/>
              <w:rPr>
                <w:caps w:val="false"/>
                <w:smallCaps w:val="false"/>
              </w:rPr>
            </w:pPr>
            <w:r>
              <w:rPr>
                <w:caps w:val="false"/>
                <w:smallCaps w:val="false"/>
              </w:rPr>
              <w:t> </w:t>
            </w:r>
          </w:p>
        </w:tc>
      </w:tr>
      <w:tr>
        <w:trPr/>
        <w:tc>
          <w:tcPr>
            <w:tcW w:w="4715" w:type="dxa"/>
            <w:tcBorders>
              <w:left w:val="single" w:sz="8" w:space="0" w:color="FFFFFF"/>
              <w:bottom w:val="single" w:sz="8" w:space="0" w:color="000066"/>
              <w:right w:val="single" w:sz="8" w:space="0" w:color="F3F2E9"/>
            </w:tcBorders>
            <w:shd w:fill="FFFFFF" w:val="clear"/>
            <w:tcMar>
              <w:top w:w="0"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Commercial Name:</w:t>
            </w:r>
          </w:p>
        </w:tc>
        <w:tc>
          <w:tcPr>
            <w:tcW w:w="3860" w:type="dxa"/>
            <w:tcBorders>
              <w:bottom w:val="single" w:sz="8" w:space="0" w:color="000066"/>
              <w:right w:val="single" w:sz="8" w:space="0" w:color="FFFFFF"/>
            </w:tcBorders>
            <w:shd w:fill="FFFFFF"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Credicorp Ltd.</w:t>
            </w:r>
          </w:p>
        </w:tc>
      </w:tr>
      <w:tr>
        <w:trPr/>
        <w:tc>
          <w:tcPr>
            <w:tcW w:w="4715" w:type="dxa"/>
            <w:tcBorders>
              <w:left w:val="single" w:sz="8" w:space="0" w:color="FFFFFF"/>
              <w:bottom w:val="single" w:sz="8" w:space="0" w:color="000066"/>
              <w:right w:val="single" w:sz="8" w:space="0" w:color="F3F2E9"/>
            </w:tcBorders>
            <w:shd w:fill="FFFFFF" w:val="clear"/>
            <w:tcMar>
              <w:top w:w="0"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Address:</w:t>
            </w:r>
          </w:p>
        </w:tc>
        <w:tc>
          <w:tcPr>
            <w:tcW w:w="3860" w:type="dxa"/>
            <w:tcBorders>
              <w:bottom w:val="single" w:sz="8" w:space="0" w:color="000066"/>
              <w:right w:val="single" w:sz="8" w:space="0" w:color="FFFFFF"/>
            </w:tcBorders>
            <w:shd w:fill="FFFFFF"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Clarendon House</w:t>
              <w:br/>
              <w:t>2 Church Street</w:t>
              <w:br/>
              <w:t>Hamilton, Bermuda</w:t>
            </w:r>
          </w:p>
        </w:tc>
      </w:tr>
      <w:tr>
        <w:trPr/>
        <w:tc>
          <w:tcPr>
            <w:tcW w:w="4715" w:type="dxa"/>
            <w:tcBorders>
              <w:left w:val="single" w:sz="8" w:space="0" w:color="FFFFFF"/>
              <w:bottom w:val="single" w:sz="8" w:space="0" w:color="000066"/>
              <w:right w:val="single" w:sz="8" w:space="0" w:color="F3F2E9"/>
            </w:tcBorders>
            <w:shd w:fill="FFFFFF" w:val="clear"/>
            <w:tcMar>
              <w:top w:w="0"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Address of the Main Subsidiary and Headquarters:</w:t>
            </w:r>
          </w:p>
        </w:tc>
        <w:tc>
          <w:tcPr>
            <w:tcW w:w="3860" w:type="dxa"/>
            <w:tcBorders>
              <w:bottom w:val="single" w:sz="8" w:space="0" w:color="000066"/>
              <w:right w:val="single" w:sz="8" w:space="0" w:color="FFFFFF"/>
            </w:tcBorders>
            <w:shd w:fill="FFFFFF"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Calle Centenario 156, La Molina. Lima, Perú</w:t>
            </w:r>
          </w:p>
        </w:tc>
      </w:tr>
      <w:tr>
        <w:trPr/>
        <w:tc>
          <w:tcPr>
            <w:tcW w:w="4715" w:type="dxa"/>
            <w:tcBorders>
              <w:left w:val="single" w:sz="8" w:space="0" w:color="FFFFFF"/>
              <w:bottom w:val="single" w:sz="8" w:space="0" w:color="000066"/>
              <w:right w:val="single" w:sz="8" w:space="0" w:color="F3F2E9"/>
            </w:tcBorders>
            <w:shd w:fill="FFFFFF" w:val="clear"/>
            <w:tcMar>
              <w:top w:w="0"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Telephone:</w:t>
            </w:r>
          </w:p>
        </w:tc>
        <w:tc>
          <w:tcPr>
            <w:tcW w:w="3860" w:type="dxa"/>
            <w:tcBorders>
              <w:bottom w:val="single" w:sz="8" w:space="0" w:color="000066"/>
              <w:right w:val="single" w:sz="8" w:space="0" w:color="FFFFFF"/>
            </w:tcBorders>
            <w:shd w:fill="FFFFFF"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+51 1 313-2000</w:t>
            </w:r>
          </w:p>
        </w:tc>
      </w:tr>
      <w:tr>
        <w:trPr/>
        <w:tc>
          <w:tcPr>
            <w:tcW w:w="4715" w:type="dxa"/>
            <w:tcBorders>
              <w:left w:val="single" w:sz="8" w:space="0" w:color="FFFFFF"/>
              <w:bottom w:val="single" w:sz="8" w:space="0" w:color="F3F2E9"/>
              <w:right w:val="single" w:sz="8" w:space="0" w:color="F3F2E9"/>
            </w:tcBorders>
            <w:shd w:fill="FFFFFF" w:val="clear"/>
            <w:tcMar>
              <w:top w:w="0"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Fax:</w:t>
            </w:r>
          </w:p>
        </w:tc>
        <w:tc>
          <w:tcPr>
            <w:tcW w:w="3860" w:type="dxa"/>
            <w:tcBorders>
              <w:bottom w:val="single" w:sz="8" w:space="0" w:color="F3F2E9"/>
              <w:right w:val="single" w:sz="8" w:space="0" w:color="FFFFFF"/>
            </w:tcBorders>
            <w:shd w:fill="FFFFFF"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+51 1 313-2121</w:t>
            </w:r>
          </w:p>
        </w:tc>
      </w:tr>
      <w:tr>
        <w:trPr/>
        <w:tc>
          <w:tcPr>
            <w:tcW w:w="8575" w:type="dxa"/>
            <w:gridSpan w:val="2"/>
            <w:tcBorders>
              <w:left w:val="single" w:sz="8" w:space="0" w:color="FFFFFF"/>
              <w:bottom w:val="single" w:sz="8" w:space="0" w:color="FFFFFF"/>
              <w:right w:val="single" w:sz="8" w:space="0" w:color="FFFFFF"/>
            </w:tcBorders>
            <w:shd w:fill="2AD2C9" w:val="clear"/>
            <w:tcMar>
              <w:top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Credicorp Ltd. was established on August 17, 1995, in the City of Hamilton in Bermuda and is registered under registry No. EC21045. The company’s duration is indefinite.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595959"/>
          <w:sz w:val="28"/>
        </w:rPr>
      </w:pPr>
      <w:r>
        <w:rPr>
          <w:rFonts w:ascii="Arial" w:hAnsi="Arial"/>
          <w:b/>
          <w:i w:val="false"/>
          <w:caps w:val="false"/>
          <w:smallCaps w:val="false"/>
          <w:color w:val="595959"/>
          <w:sz w:val="28"/>
        </w:rPr>
        <w:t>Company Purpose</w:t>
      </w:r>
    </w:p>
    <w:p>
      <w:pPr>
        <w:pStyle w:val="TextBody"/>
        <w:bidi w:val="0"/>
        <w:spacing w:before="0" w:after="0"/>
        <w:ind w:left="0" w:right="0" w:hanging="0"/>
        <w:jc w:val="left"/>
        <w:rPr>
          <w:caps w:val="false"/>
          <w:smallCaps w:val="false"/>
          <w:color w:val="595959"/>
        </w:rPr>
      </w:pPr>
      <w:r>
        <w:rPr>
          <w:caps w:val="false"/>
          <w:smallCaps w:val="false"/>
          <w:color w:val="595959"/>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Credicorp is a business group that, through its subsidiaries and associates, offers a wide range of financial, insurance and health services and products, mainly throughout Peru and in other countries such as Colombia, Bolivia, Chile, Panama and the United States. Its main subsidiaries are: Banco de Crédito del Peru (BCP), Mibanco, BCP Bolivia, Pacífico Compania de Seguros y Reaseguros, Prima AFP, ASB Bank Corp. (formerly Atlantic Security Bank) and Credicorp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Credicorp was set up in 1995 through the acquisition of common shares of the Banco de Crédito del Peru (BCP), Atlantic Security Holding Corporation (ASHC) and Pacífico Compania de Seguros y Reaseguros S.A. (PPS). Through an Exchange Offer in October 1995, Credicorp acquired 90.1% of the shares of BCP, 98.2% of the shares of ASHC, and 75.8% of those of PPS. Trading of the common shares on the New York Stock Exchange began immediately after the Exchange Offer culminated and the closing price on this date was US$ 11.61 (adjusted to reflect stock dividends). On March 19, 1996, Credicorp acquired, through an Exchange Offer with similar terms to the one made in October 1995, the remaining 1.8% of shares in circulation of ASHC.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2012, Credicorp, as part of its strategic plan, embarked on efforts to create a regional platform and a reorganization process to regroup the company’s businesses. In April 2012, Credicorp, through its BCP subsidiary, acquired 51% of the shares of Correval S.A. Sociedad Comisionista de Bolsa, an investment bank in Bogota, Colombia. In July 2012, Credicorp, through its BCP subsidiary, acquired 60.6% of the shares of IM Trust S.A. Corredores de Bolsa, an investment bank in Santiago, Chile. In November 2012 and June 2013 respectively, IM Trust and Correval were transferred to Credicorp Capital Ltd. (subsidiary chartered in Bermuda to engage in investment banking activities in Chile, Colombia and Peru); this had no impact on Credicorp’s financial statements. To conduct investment banking operations in Peru, Credicorp Capital Peru S.A.A. was chartered in Peru in April 2012 through a spin-off of a block of BCP’s assets. The assets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were transferred include Credibolsa, Credititulos, Credifondo and BCP’s investment banking activities. The spin-off of this block of assets had no impact on Credicorp’s consolidated financial statements. In addition, in 2014, through Financiera Edyficar (a subsidiary of Banco de Crédito del Peru), Credicorp acquired a majority stake of Mibanco’s shares. In November 2015, the 85.50% share that Grupo Crédito held in Credicorp Capital Peru S.A.A. was spun off and placed in Credicorp Capital Holding Peru, a subsidiary of Credicorp Capital Ltd. This act concluded the company’s reorganization process, whose purpose was to regroup the subsidiaries and shareholdings of Credicorp Capital Ltd. to improve business management. The split-off of this equity had no impact on Credicorp’s consolidated financial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At the beginning of 2016, BCP Bolivia ceased to exist as a subsidiary of BCP and became a subsidiary of the holding known as Inversiones Credicorp Bolivia S.A. (ICBSA), which is in turn a direct subsidiary of the Grupo Crédito. In May and August 2016, Credicorp Capital Ltd., through Credicorp Capital Holding Chile, acquired 39.4% of the shares of Inversiones IMT S.A., becoming the owner of 100% of total shares in the company. Between May and September 2016, Credicorp Capital Ltd., through Credicorp Holding Colombia S.A.S., acquired 49% of the shares of Credicorp Capital Colombia S.A., achieving a 100% stake in the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January 2017, May 2018 and May 2019, as part of the reorganization of subsidiaries, Grupo Crédito purchased 9%, 2.77% and 0.96% of BCP’s shares respectively from Credicorp Ltd. By December 2019, Grupo Crédito possessed 97.71% of BCP and Credicorp Ltd. ceased to hold direct shares in BCP.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January 2019, 91.36% of the Compania Incubadora de Soluciones Moviles S.A. – Culqi was acquired and Tenpo S.P.A (formerly Krealo S.P.A) was chartered. In March 2019, Credicorp Capital Negocios Digitales S.A.S. was chartered; in July, 100% of Tenpo Technologies S.P.A. (formerly Tenpo SPA) and 100% of Tenpo Prepago (formerly Multicaja Prepago S.A.) were acquired; in September, 85% of Fondo de Inversion Independencia II was acquired; and in November, 100% of Ultraserfinco S.A. was acquired. Finally, in December, 77.46% of Banco Compartir S.A was acquired.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June 2020, the merger by absorption between Credicorp Capital Colombia S.A. and Ultraserfinco S.A. was carried out; the latter being extinguished. Likewise, in October 2020, the merger by absorption between Banco Compartir S.A and Edyficar S.A.S. was carried out and formed Mibanco - Banco de la Microempresa de Colombia 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On January 2, 2021, Ultralat Capital Market Inc. and Credicorp Capital Securities Inc. merged into a single entity. The new company operates under the corporate name of “Credicorp Capital LLC.”, which was authorized on February 2,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On August 2, 2021, the merger by absorption between Atlantic Security Bank and ASB Bank Corp. was approved and registered in the Public Registry of Panama, leaving ASB Bank Corp as the surviving entity. In addition, ASB Bank Corp owns a 100% stake in Laurentian Corporate Service Ltd. since the merger with Atlantic Security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Credicorp’s subsidiaries are organized into four lines of business (LoBs):</w:t>
      </w:r>
    </w:p>
    <w:p>
      <w:pPr>
        <w:pStyle w:val="TextBody"/>
        <w:bidi w:val="0"/>
        <w:spacing w:before="0" w:after="0"/>
        <w:ind w:left="0" w:right="0" w:hanging="0"/>
        <w:jc w:val="both"/>
        <w:rPr>
          <w:caps w:val="false"/>
          <w:smallCaps w:val="false"/>
        </w:rPr>
      </w:pPr>
      <w:r>
        <w:rPr>
          <w:caps w:val="false"/>
          <w:smallCaps w:val="false"/>
        </w:rPr>
        <w:t> </w:t>
      </w:r>
    </w:p>
    <w:tbl>
      <w:tblPr>
        <w:tblW w:w="8493" w:type="dxa"/>
        <w:jc w:val="left"/>
        <w:tblInd w:w="0" w:type="dxa"/>
        <w:tblLayout w:type="fixed"/>
        <w:tblCellMar>
          <w:top w:w="0" w:type="dxa"/>
          <w:left w:w="0" w:type="dxa"/>
          <w:bottom w:w="0" w:type="dxa"/>
          <w:right w:w="0" w:type="dxa"/>
        </w:tblCellMar>
      </w:tblPr>
      <w:tblGrid>
        <w:gridCol w:w="38"/>
        <w:gridCol w:w="80"/>
        <w:gridCol w:w="8375"/>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w:t>
            </w:r>
          </w:p>
        </w:tc>
        <w:tc>
          <w:tcPr>
            <w:tcW w:w="8375"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i w:val="false"/>
                <w:caps w:val="false"/>
                <w:smallCaps w:val="false"/>
                <w:sz w:val="20"/>
              </w:rPr>
              <w:t>Universal Banking</w:t>
            </w:r>
            <w:r>
              <w:rPr>
                <w:rFonts w:ascii="Arial" w:hAnsi="Arial"/>
                <w:b w:val="false"/>
                <w:i w:val="false"/>
                <w:caps w:val="false"/>
                <w:smallCaps w:val="false"/>
                <w:sz w:val="20"/>
              </w:rPr>
              <w:t>, which includes Banco de Crédito del Peru and Banco de Crédito de Bolivia.</w:t>
            </w:r>
          </w:p>
        </w:tc>
      </w:tr>
    </w:tbl>
    <w:tbl>
      <w:tblPr>
        <w:tblW w:w="5643" w:type="dxa"/>
        <w:jc w:val="left"/>
        <w:tblInd w:w="0" w:type="dxa"/>
        <w:tblLayout w:type="fixed"/>
        <w:tblCellMar>
          <w:top w:w="0" w:type="dxa"/>
          <w:left w:w="0" w:type="dxa"/>
          <w:bottom w:w="0" w:type="dxa"/>
          <w:right w:w="0" w:type="dxa"/>
        </w:tblCellMar>
      </w:tblPr>
      <w:tblGrid>
        <w:gridCol w:w="38"/>
        <w:gridCol w:w="80"/>
        <w:gridCol w:w="5525"/>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w:t>
            </w:r>
          </w:p>
        </w:tc>
        <w:tc>
          <w:tcPr>
            <w:tcW w:w="5525"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i w:val="false"/>
                <w:caps w:val="false"/>
                <w:smallCaps w:val="false"/>
                <w:sz w:val="20"/>
              </w:rPr>
              <w:t>Microfinance</w:t>
            </w:r>
            <w:r>
              <w:rPr>
                <w:rFonts w:ascii="Arial" w:hAnsi="Arial"/>
                <w:b w:val="false"/>
                <w:i w:val="false"/>
                <w:caps w:val="false"/>
                <w:smallCaps w:val="false"/>
                <w:sz w:val="20"/>
              </w:rPr>
              <w:t>, which includes Mibanco and Mibanco Colombia.</w:t>
            </w:r>
          </w:p>
        </w:tc>
      </w:tr>
    </w:tbl>
    <w:tbl>
      <w:tblPr>
        <w:tblW w:w="6513" w:type="dxa"/>
        <w:jc w:val="left"/>
        <w:tblInd w:w="0" w:type="dxa"/>
        <w:tblLayout w:type="fixed"/>
        <w:tblCellMar>
          <w:top w:w="0" w:type="dxa"/>
          <w:left w:w="0" w:type="dxa"/>
          <w:bottom w:w="0" w:type="dxa"/>
          <w:right w:w="0" w:type="dxa"/>
        </w:tblCellMar>
      </w:tblPr>
      <w:tblGrid>
        <w:gridCol w:w="38"/>
        <w:gridCol w:w="80"/>
        <w:gridCol w:w="6395"/>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w:t>
            </w:r>
          </w:p>
        </w:tc>
        <w:tc>
          <w:tcPr>
            <w:tcW w:w="6395"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i w:val="false"/>
                <w:caps w:val="false"/>
                <w:smallCaps w:val="false"/>
                <w:sz w:val="20"/>
              </w:rPr>
              <w:t>Insurance and Pension</w:t>
            </w:r>
            <w:r>
              <w:rPr>
                <w:rFonts w:ascii="Arial" w:hAnsi="Arial"/>
                <w:b w:val="false"/>
                <w:i w:val="false"/>
                <w:caps w:val="false"/>
                <w:smallCaps w:val="false"/>
                <w:sz w:val="20"/>
              </w:rPr>
              <w:t>, which includes Grupo Pacífico and Prima AFP.</w:t>
            </w:r>
          </w:p>
        </w:tc>
      </w:tr>
    </w:tbl>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w:t>
            </w:r>
          </w:p>
        </w:tc>
        <w:tc>
          <w:tcPr>
            <w:tcW w:w="10087"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i w:val="false"/>
                <w:caps w:val="false"/>
                <w:smallCaps w:val="false"/>
                <w:sz w:val="20"/>
              </w:rPr>
              <w:t>Investment Management &amp; Advisory</w:t>
            </w:r>
            <w:r>
              <w:rPr>
                <w:rFonts w:ascii="Arial" w:hAnsi="Arial"/>
                <w:b w:val="false"/>
                <w:i w:val="false"/>
                <w:caps w:val="false"/>
                <w:smallCaps w:val="false"/>
                <w:sz w:val="20"/>
              </w:rPr>
              <w:t>, which includes Credicorp Capital and ASB Bank Corp (formerly Atlantic Security Bank).</w:t>
            </w:r>
          </w:p>
        </w:tc>
      </w:tr>
    </w:tbl>
    <w:p>
      <w:pPr>
        <w:pStyle w:val="TextBody"/>
        <w:bidi w:val="0"/>
        <w:spacing w:before="0" w:after="0"/>
        <w:jc w:val="left"/>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These LoBs are complemented by Krealo, Credicorp’s corporate arm for venture capital investments. Krealo identifies and invests in opportunities that complement Credicorp’s lines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color w:val="595959"/>
          <w:sz w:val="28"/>
        </w:rPr>
      </w:pPr>
      <w:r>
        <w:rPr>
          <w:rFonts w:ascii="Arial" w:hAnsi="Arial"/>
          <w:b/>
          <w:i w:val="false"/>
          <w:caps w:val="false"/>
          <w:smallCaps w:val="false"/>
          <w:color w:val="595959"/>
          <w:sz w:val="28"/>
        </w:rPr>
        <w:t>Credicorp’s Organizational Chart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chart below depicts Credicorp’s configuration: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 w:hAnsi="Arial"/>
          <w:b/>
          <w:i w:val="false"/>
          <w:caps w:val="false"/>
          <w:smallCaps w:val="false"/>
          <w:color w:val="FF6600"/>
          <w:sz w:val="40"/>
        </w:rPr>
      </w:pPr>
      <w:r>
        <w:rPr>
          <w:rFonts w:ascii="Arial" w:hAnsi="Arial"/>
          <w:b/>
          <w:i w:val="false"/>
          <w:caps w:val="false"/>
          <w:smallCaps w:val="false"/>
          <w:color w:val="FF6600"/>
          <w:sz w:val="40"/>
        </w:rPr>
        <w:t>Credicorp Ltd. and Subsidiaries</w:t>
      </w:r>
    </w:p>
    <w:p>
      <w:pPr>
        <w:pStyle w:val="TextBody"/>
        <w:bidi w:val="0"/>
        <w:spacing w:before="0" w:after="0"/>
        <w:ind w:left="0" w:right="0" w:hanging="0"/>
        <w:jc w:val="center"/>
        <w:rPr>
          <w:caps w:val="false"/>
          <w:smallCaps w:val="false"/>
          <w:color w:val="FF6600"/>
        </w:rPr>
      </w:pPr>
      <w:r>
        <w:rPr>
          <w:caps w:val="false"/>
          <w:smallCaps w:val="false"/>
          <w:color w:val="FF6600"/>
        </w:rPr>
        <w:t> </w:t>
      </w:r>
    </w:p>
    <w:p>
      <w:pPr>
        <w:pStyle w:val="TextBody"/>
        <w:bidi w:val="0"/>
        <w:spacing w:before="0" w:after="0"/>
        <w:ind w:left="0" w:right="0" w:hanging="0"/>
        <w:jc w:val="center"/>
        <w:rPr>
          <w:caps w:val="false"/>
          <w:smallCaps w:val="false"/>
          <w:color w:val="FF6600"/>
        </w:rPr>
      </w:pPr>
      <w:r>
        <w:rPr>
          <w:caps w:val="false"/>
          <w:smallCaps w:val="false"/>
          <w:color w:val="FF6600"/>
        </w:rPr>
        <w:drawing>
          <wp:inline distT="0" distB="0" distL="0" distR="0">
            <wp:extent cx="7620000" cy="3390900"/>
            <wp:effectExtent l="0" t="0" r="0" b="0"/>
            <wp:docPr id="1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 descr=""/>
                    <pic:cNvPicPr>
                      <a:picLocks noChangeAspect="1" noChangeArrowheads="1"/>
                    </pic:cNvPicPr>
                  </pic:nvPicPr>
                  <pic:blipFill>
                    <a:blip r:embed="rId12"/>
                    <a:stretch>
                      <a:fillRect/>
                    </a:stretch>
                  </pic:blipFill>
                  <pic:spPr bwMode="auto">
                    <a:xfrm>
                      <a:off x="0" y="0"/>
                      <a:ext cx="7620000" cy="3390900"/>
                    </a:xfrm>
                    <a:prstGeom prst="rect">
                      <a:avLst/>
                    </a:prstGeom>
                  </pic:spPr>
                </pic:pic>
              </a:graphicData>
            </a:graphic>
          </wp:inline>
        </w:drawing>
      </w:r>
      <w:r>
        <w:rPr>
          <w:caps w:val="false"/>
          <w:smallCaps w:val="false"/>
          <w:color w:val="FF6600"/>
        </w:rPr>
        <w:t> </w:t>
      </w:r>
    </w:p>
    <w:p>
      <w:pPr>
        <w:pStyle w:val="TextBody"/>
        <w:bidi w:val="0"/>
        <w:spacing w:before="0" w:after="0"/>
        <w:ind w:left="0" w:right="0" w:hanging="0"/>
        <w:jc w:val="center"/>
        <w:rPr>
          <w:caps w:val="false"/>
          <w:smallCaps w:val="false"/>
          <w:color w:val="FF6600"/>
        </w:rPr>
      </w:pPr>
      <w:r>
        <w:rPr>
          <w:caps w:val="false"/>
          <w:smallCaps w:val="false"/>
          <w:color w:val="FF6600"/>
        </w:rPr>
        <w:t> </w:t>
      </w:r>
    </w:p>
    <w:p>
      <w:pPr>
        <w:pStyle w:val="TextBody"/>
        <w:bidi w:val="0"/>
        <w:spacing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 Percentage of participation of the controlling majority shareholder.</w:t>
      </w:r>
    </w:p>
    <w:p>
      <w:pPr>
        <w:pStyle w:val="TextBody"/>
        <w:bidi w:val="0"/>
        <w:spacing w:lineRule="auto" w:line="240"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(1) Grupo Crédito has a 33.66% stake.</w:t>
      </w:r>
    </w:p>
    <w:p>
      <w:pPr>
        <w:pStyle w:val="TextBody"/>
        <w:bidi w:val="0"/>
        <w:spacing w:lineRule="auto" w:line="240"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(2) Credicorp Capital Ltd. has a 12.84% stake.</w:t>
      </w:r>
    </w:p>
    <w:p>
      <w:pPr>
        <w:pStyle w:val="TextBody"/>
        <w:bidi w:val="0"/>
        <w:spacing w:lineRule="auto" w:line="240"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(3) Processing Solutions S.A. (Peru) and Inversiones 2020 has a 2.0% stake.</w:t>
      </w:r>
    </w:p>
    <w:p>
      <w:pPr>
        <w:pStyle w:val="TextBody"/>
        <w:bidi w:val="0"/>
        <w:spacing w:lineRule="auto" w:line="240"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(4) Pacífico Seguros is the controlling entity. Inversiones Credicorp, Bolivia S.A has a 51.95% stake.</w:t>
      </w:r>
    </w:p>
    <w:p>
      <w:pPr>
        <w:pStyle w:val="TextBody"/>
        <w:bidi w:val="0"/>
        <w:spacing w:lineRule="auto" w:line="240"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(5) Pacífico Seguros is the controlling entity. Inversiones Credicorp, Bolivia S.A has a 51.87% stake.</w:t>
      </w:r>
    </w:p>
    <w:p>
      <w:pPr>
        <w:pStyle w:val="TextBody"/>
        <w:bidi w:val="0"/>
        <w:spacing w:lineRule="auto" w:line="240"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(6) Grupo Crédito S.A. has a 14.26% stake.</w:t>
      </w:r>
    </w:p>
    <w:p>
      <w:pPr>
        <w:pStyle w:val="TextBody"/>
        <w:bidi w:val="0"/>
        <w:spacing w:before="0" w:after="0"/>
        <w:ind w:left="426" w:right="0" w:hanging="0"/>
        <w:jc w:val="both"/>
        <w:rPr>
          <w:caps w:val="false"/>
          <w:smallCaps w:val="false"/>
        </w:rPr>
      </w:pPr>
      <w:r>
        <w:rPr>
          <w:caps w:val="false"/>
          <w:smallCaps w:val="false"/>
        </w:rPr>
        <w:t> </w:t>
      </w:r>
    </w:p>
    <w:p>
      <w:pPr>
        <w:pStyle w:val="TextBody"/>
        <w:bidi w:val="0"/>
        <w:spacing w:before="200" w:after="200"/>
        <w:ind w:left="426"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w:t>
      </w:r>
    </w:p>
    <w:p>
      <w:pPr>
        <w:pStyle w:val="HorizontalLine"/>
        <w:pBdr>
          <w:bottom w:val="single" w:sz="12" w:space="0" w:color="808080"/>
        </w:pBdr>
        <w:bidi w:val="0"/>
        <w:spacing w:before="200" w:after="200"/>
        <w:jc w:val="left"/>
        <w:rPr/>
      </w:pPr>
      <w:r>
        <w:rPr/>
      </w:r>
    </w:p>
    <w:p>
      <w:pPr>
        <w:pStyle w:val="TextBody"/>
        <w:bidi w:val="0"/>
        <w:spacing w:before="0" w:after="0"/>
        <w:ind w:left="426" w:right="0" w:hanging="0"/>
        <w:jc w:val="both"/>
        <w:rPr>
          <w:caps w:val="false"/>
          <w:smallCaps w:val="false"/>
        </w:rPr>
      </w:pPr>
      <w:r>
        <w:rPr>
          <w:caps w:val="false"/>
          <w:smallCaps w:val="false"/>
        </w:rPr>
        <w:t> </w:t>
      </w:r>
    </w:p>
    <w:p>
      <w:pPr>
        <w:pStyle w:val="TextBody"/>
        <w:bidi w:val="0"/>
        <w:spacing w:before="0" w:after="0"/>
        <w:jc w:val="center"/>
        <w:rPr>
          <w:rFonts w:ascii="Arial" w:hAnsi="Arial"/>
          <w:b/>
          <w:i w:val="false"/>
          <w:caps w:val="false"/>
          <w:smallCaps w:val="false"/>
          <w:color w:val="FF6600"/>
          <w:sz w:val="40"/>
        </w:rPr>
      </w:pPr>
      <w:r>
        <w:rPr>
          <w:rFonts w:ascii="Arial" w:hAnsi="Arial"/>
          <w:b/>
          <w:i w:val="false"/>
          <w:caps w:val="false"/>
          <w:smallCaps w:val="false"/>
          <w:color w:val="FF6600"/>
          <w:sz w:val="40"/>
        </w:rPr>
        <w:t>Grupo Credito S.A. and Subsidiaries</w:t>
      </w:r>
    </w:p>
    <w:p>
      <w:pPr>
        <w:pStyle w:val="TextBody"/>
        <w:bidi w:val="0"/>
        <w:spacing w:before="0" w:after="0"/>
        <w:jc w:val="center"/>
        <w:rPr>
          <w:caps w:val="false"/>
          <w:smallCaps w:val="false"/>
          <w:color w:val="FF6600"/>
        </w:rPr>
      </w:pPr>
      <w:r>
        <w:rPr>
          <w:caps w:val="false"/>
          <w:smallCaps w:val="false"/>
          <w:color w:val="FF6600"/>
        </w:rPr>
        <w:t> </w:t>
      </w:r>
    </w:p>
    <w:p>
      <w:pPr>
        <w:pStyle w:val="TextBody"/>
        <w:bidi w:val="0"/>
        <w:spacing w:before="0" w:after="0"/>
        <w:jc w:val="center"/>
        <w:rPr>
          <w:caps w:val="false"/>
          <w:smallCaps w:val="false"/>
          <w:color w:val="FF6600"/>
        </w:rPr>
      </w:pPr>
      <w:r>
        <w:rPr>
          <w:caps w:val="false"/>
          <w:smallCaps w:val="false"/>
          <w:color w:val="FF6600"/>
        </w:rPr>
        <w:drawing>
          <wp:inline distT="0" distB="0" distL="0" distR="0">
            <wp:extent cx="7620000" cy="3905250"/>
            <wp:effectExtent l="0" t="0" r="0" b="0"/>
            <wp:docPr id="1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1" descr=""/>
                    <pic:cNvPicPr>
                      <a:picLocks noChangeAspect="1" noChangeArrowheads="1"/>
                    </pic:cNvPicPr>
                  </pic:nvPicPr>
                  <pic:blipFill>
                    <a:blip r:embed="rId13"/>
                    <a:stretch>
                      <a:fillRect/>
                    </a:stretch>
                  </pic:blipFill>
                  <pic:spPr bwMode="auto">
                    <a:xfrm>
                      <a:off x="0" y="0"/>
                      <a:ext cx="7620000" cy="3905250"/>
                    </a:xfrm>
                    <a:prstGeom prst="rect">
                      <a:avLst/>
                    </a:prstGeom>
                  </pic:spPr>
                </pic:pic>
              </a:graphicData>
            </a:graphic>
          </wp:inline>
        </w:drawing>
      </w:r>
      <w:r>
        <w:rPr>
          <w:caps w:val="false"/>
          <w:smallCaps w:val="false"/>
          <w:color w:val="FF6600"/>
        </w:rPr>
        <w:t> </w:t>
      </w:r>
    </w:p>
    <w:p>
      <w:pPr>
        <w:pStyle w:val="TextBody"/>
        <w:bidi w:val="0"/>
        <w:spacing w:before="0" w:after="0"/>
        <w:jc w:val="center"/>
        <w:rPr>
          <w:caps w:val="false"/>
          <w:smallCaps w:val="false"/>
          <w:color w:val="FF6600"/>
        </w:rPr>
      </w:pPr>
      <w:r>
        <w:rPr>
          <w:caps w:val="false"/>
          <w:smallCaps w:val="false"/>
          <w:color w:val="FF6600"/>
        </w:rPr>
        <w:t> </w:t>
      </w:r>
    </w:p>
    <w:p>
      <w:pPr>
        <w:pStyle w:val="TextBody"/>
        <w:bidi w:val="0"/>
        <w:spacing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*Percentage of participation of the direct majority shareholder</w:t>
      </w:r>
    </w:p>
    <w:p>
      <w:pPr>
        <w:pStyle w:val="TextBody"/>
        <w:bidi w:val="0"/>
        <w:spacing w:lineRule="auto" w:line="240"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(1) BCP has a 1.77% stake and Credicorp Ltd. has a 0.08% stake.</w:t>
      </w:r>
    </w:p>
    <w:p>
      <w:pPr>
        <w:pStyle w:val="TextBody"/>
        <w:bidi w:val="0"/>
        <w:spacing w:lineRule="auto" w:line="240"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(2) Grupo Crédito S.A. has a 4.99% stake.</w:t>
      </w:r>
    </w:p>
    <w:p>
      <w:pPr>
        <w:pStyle w:val="TextBody"/>
        <w:bidi w:val="0"/>
        <w:spacing w:lineRule="auto" w:line="240"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(3) Tenpo Technologies SpA has a 0.10% stake.</w:t>
      </w:r>
    </w:p>
    <w:p>
      <w:pPr>
        <w:pStyle w:val="TextBody"/>
        <w:bidi w:val="0"/>
        <w:spacing w:lineRule="auto" w:line="240"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(4) BCP has a 0.07% stake.</w:t>
      </w:r>
    </w:p>
    <w:p>
      <w:pPr>
        <w:pStyle w:val="TextBody"/>
        <w:bidi w:val="0"/>
        <w:spacing w:lineRule="auto" w:line="240"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(5) Credicorp Ltd. has a 4.01% stake. Inversiones 2020, Mibanco S.A and SEAH has a 0.028% stake, each one.</w:t>
      </w:r>
    </w:p>
    <w:p>
      <w:pPr>
        <w:pStyle w:val="TextBody"/>
        <w:bidi w:val="0"/>
        <w:spacing w:lineRule="auto" w:line="240"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(6) BCP y Grupo Crédito S.A. are the only associates of “Patronato BCP” and “Instituto Bicentenario”, a non-profit civil association.</w:t>
      </w:r>
    </w:p>
    <w:p>
      <w:pPr>
        <w:pStyle w:val="TextBody"/>
        <w:bidi w:val="0"/>
        <w:spacing w:lineRule="auto" w:line="240"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(7) Credicorp Peru S.A.C. has a 0.01% stake.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595959"/>
          <w:sz w:val="28"/>
        </w:rPr>
      </w:pPr>
      <w:r>
        <w:rPr>
          <w:rFonts w:ascii="Arial" w:hAnsi="Arial"/>
          <w:b/>
          <w:i w:val="false"/>
          <w:caps w:val="false"/>
          <w:smallCaps w:val="false"/>
          <w:color w:val="595959"/>
          <w:sz w:val="28"/>
        </w:rPr>
        <w:t xml:space="preserve">Capital and Main Shareholders </w:t>
      </w:r>
    </w:p>
    <w:p>
      <w:pPr>
        <w:pStyle w:val="TextBody"/>
        <w:bidi w:val="0"/>
        <w:spacing w:before="0" w:after="0"/>
        <w:ind w:left="0" w:right="0" w:hanging="0"/>
        <w:jc w:val="left"/>
        <w:rPr>
          <w:caps w:val="false"/>
          <w:smallCaps w:val="false"/>
          <w:color w:val="595959"/>
        </w:rPr>
      </w:pPr>
      <w:r>
        <w:rPr>
          <w:caps w:val="false"/>
          <w:smallCaps w:val="false"/>
          <w:color w:val="595959"/>
        </w:rPr>
        <w:t> </w:t>
      </w:r>
    </w:p>
    <w:p>
      <w:pPr>
        <w:pStyle w:val="TextBody"/>
        <w:shd w:fill="FFFFFF" w:val="clear"/>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Capital issued by Credicorp Ltd. amounts to US$ 471,911,585 and is represented by 94,382,317 shares with a nominal value of US$ 5.00 each. All of Credicorp’s issued shares are common and equal, and shareholders have the same rights conferred by Bermuda Law and Credicorp’s Bylaws, which are detailed in the </w:t>
      </w:r>
      <w:r>
        <w:rPr>
          <w:rFonts w:ascii="Arial" w:hAnsi="Arial"/>
          <w:b w:val="false"/>
          <w:i w:val="false"/>
          <w:caps w:val="false"/>
          <w:smallCaps w:val="false"/>
          <w:color w:val="3265FF"/>
          <w:sz w:val="20"/>
          <w:u w:val="single"/>
        </w:rPr>
        <w:t>Shareholder’s Guide</w:t>
      </w:r>
      <w:r>
        <w:rPr>
          <w:rFonts w:ascii="Arial" w:hAnsi="Arial"/>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lineRule="auto" w:line="240" w:before="0" w:after="0"/>
        <w:ind w:left="0" w:right="0" w:hanging="0"/>
        <w:jc w:val="center"/>
        <w:rPr>
          <w:rFonts w:ascii="Arial" w:hAnsi="Arial"/>
          <w:b/>
          <w:i w:val="false"/>
          <w:caps w:val="false"/>
          <w:smallCaps w:val="false"/>
          <w:sz w:val="20"/>
        </w:rPr>
      </w:pPr>
      <w:r>
        <w:rPr>
          <w:rFonts w:ascii="Arial" w:hAnsi="Arial"/>
          <w:b/>
          <w:i w:val="false"/>
          <w:caps w:val="false"/>
          <w:smallCaps w:val="false"/>
          <w:sz w:val="20"/>
        </w:rPr>
        <w:t>Shareholder Structure (%)1</w:t>
      </w:r>
    </w:p>
    <w:p>
      <w:pPr>
        <w:pStyle w:val="TextBody"/>
        <w:shd w:fill="FFFFFF" w:val="clear"/>
        <w:bidi w:val="0"/>
        <w:spacing w:before="0" w:after="0"/>
        <w:ind w:left="0" w:right="0" w:hanging="0"/>
        <w:jc w:val="center"/>
        <w:rPr>
          <w:rFonts w:ascii="Arial" w:hAnsi="Arial"/>
          <w:b/>
          <w:i w:val="false"/>
          <w:caps w:val="false"/>
          <w:smallCaps w:val="false"/>
          <w:sz w:val="20"/>
        </w:rPr>
      </w:pPr>
      <w:r>
        <w:rPr>
          <w:rFonts w:ascii="Arial" w:hAnsi="Arial"/>
          <w:b/>
          <w:i w:val="false"/>
          <w:caps w:val="false"/>
          <w:smallCaps w:val="false"/>
          <w:sz w:val="20"/>
        </w:rPr>
        <w:t>As of February 14th, 2024</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10425" w:type="dxa"/>
        <w:jc w:val="center"/>
        <w:tblInd w:w="0" w:type="dxa"/>
        <w:tblLayout w:type="fixed"/>
        <w:tblCellMar>
          <w:top w:w="0" w:type="dxa"/>
          <w:left w:w="0" w:type="dxa"/>
          <w:bottom w:w="0" w:type="dxa"/>
          <w:right w:w="0" w:type="dxa"/>
        </w:tblCellMar>
      </w:tblPr>
      <w:tblGrid>
        <w:gridCol w:w="10425"/>
      </w:tblGrid>
      <w:tr>
        <w:trPr/>
        <w:tc>
          <w:tcPr>
            <w:tcW w:w="10425" w:type="dxa"/>
            <w:tcBorders/>
            <w:vAlign w:val="center"/>
          </w:tcPr>
          <w:p>
            <w:pPr>
              <w:pStyle w:val="TableContents"/>
              <w:bidi w:val="0"/>
              <w:spacing w:before="0" w:after="283"/>
              <w:jc w:val="center"/>
              <w:rPr/>
            </w:pPr>
            <w:r>
              <w:rPr/>
              <w:drawing>
                <wp:inline distT="0" distB="0" distL="0" distR="0">
                  <wp:extent cx="6562725" cy="2209800"/>
                  <wp:effectExtent l="0" t="0" r="0" b="0"/>
                  <wp:docPr id="1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2" descr=""/>
                          <pic:cNvPicPr>
                            <a:picLocks noChangeAspect="1" noChangeArrowheads="1"/>
                          </pic:cNvPicPr>
                        </pic:nvPicPr>
                        <pic:blipFill>
                          <a:blip r:embed="rId14"/>
                          <a:stretch>
                            <a:fillRect/>
                          </a:stretch>
                        </pic:blipFill>
                        <pic:spPr bwMode="auto">
                          <a:xfrm>
                            <a:off x="0" y="0"/>
                            <a:ext cx="6562725" cy="2209800"/>
                          </a:xfrm>
                          <a:prstGeom prst="rect">
                            <a:avLst/>
                          </a:prstGeom>
                        </pic:spPr>
                      </pic:pic>
                    </a:graphicData>
                  </a:graphic>
                </wp:inline>
              </w:drawing>
            </w:r>
            <w:r>
              <w:rPr/>
              <w:t> </w:t>
            </w:r>
          </w:p>
        </w:tc>
      </w:tr>
      <w:tr>
        <w:trPr/>
        <w:tc>
          <w:tcPr>
            <w:tcW w:w="10425" w:type="dxa"/>
            <w:tcBorders/>
            <w:vAlign w:val="center"/>
          </w:tcPr>
          <w:p>
            <w:pPr>
              <w:pStyle w:val="TableContents"/>
              <w:bidi w:val="0"/>
              <w:spacing w:before="0" w:after="283"/>
              <w:jc w:val="center"/>
              <w:rPr/>
            </w:pPr>
            <w:r>
              <w:rPr/>
              <w:t> </w:t>
            </w:r>
          </w:p>
        </w:tc>
      </w:tr>
      <w:tr>
        <w:trPr/>
        <w:tc>
          <w:tcPr>
            <w:tcW w:w="10425" w:type="dxa"/>
            <w:tcBorders/>
            <w:vAlign w:val="center"/>
          </w:tcPr>
          <w:p>
            <w:pPr>
              <w:pStyle w:val="TableContents"/>
              <w:bidi w:val="0"/>
              <w:spacing w:before="0" w:after="283"/>
              <w:jc w:val="left"/>
              <w:rPr>
                <w:rFonts w:ascii="Arial" w:hAnsi="Arial"/>
                <w:sz w:val="16"/>
              </w:rPr>
            </w:pPr>
            <w:r>
              <w:rPr>
                <w:rFonts w:ascii="Arial" w:hAnsi="Arial"/>
                <w:sz w:val="16"/>
              </w:rPr>
              <w:t xml:space="preserve">Source: </w:t>
            </w:r>
            <w:r>
              <w:rPr>
                <w:rFonts w:ascii="Arial" w:hAnsi="Arial"/>
                <w:i/>
                <w:sz w:val="16"/>
              </w:rPr>
              <w:t>Form 13G</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table below shows the composition of shares with voting rights as of December 31, 2023, considering the percentage of share ownership relative to the total number of shares:</w:t>
      </w:r>
    </w:p>
    <w:p>
      <w:pPr>
        <w:pStyle w:val="TextBody"/>
        <w:bidi w:val="0"/>
        <w:spacing w:before="0" w:after="0"/>
        <w:ind w:left="0" w:right="0" w:hanging="0"/>
        <w:jc w:val="both"/>
        <w:rPr>
          <w:caps w:val="false"/>
          <w:smallCaps w:val="false"/>
        </w:rPr>
      </w:pPr>
      <w:r>
        <w:rPr>
          <w:caps w:val="false"/>
          <w:smallCaps w:val="false"/>
        </w:rPr>
        <w:t> </w:t>
      </w:r>
    </w:p>
    <w:tbl>
      <w:tblPr>
        <w:tblW w:w="4710" w:type="dxa"/>
        <w:jc w:val="center"/>
        <w:tblInd w:w="0" w:type="dxa"/>
        <w:tblLayout w:type="fixed"/>
        <w:tblCellMar>
          <w:top w:w="28" w:type="dxa"/>
          <w:left w:w="70" w:type="dxa"/>
          <w:bottom w:w="28" w:type="dxa"/>
          <w:right w:w="70" w:type="dxa"/>
        </w:tblCellMar>
      </w:tblPr>
      <w:tblGrid>
        <w:gridCol w:w="2375"/>
        <w:gridCol w:w="1265"/>
        <w:gridCol w:w="1070"/>
      </w:tblGrid>
      <w:tr>
        <w:trPr/>
        <w:tc>
          <w:tcPr>
            <w:tcW w:w="2375" w:type="dxa"/>
            <w:vMerge w:val="restart"/>
            <w:tcBorders>
              <w:top w:val="single" w:sz="8" w:space="0" w:color="000000"/>
              <w:left w:val="single" w:sz="8" w:space="0" w:color="000000"/>
              <w:bottom w:val="single" w:sz="8" w:space="0" w:color="000000"/>
              <w:right w:val="single" w:sz="8" w:space="0" w:color="000000"/>
            </w:tcBorders>
            <w:shd w:fill="2AD2C9" w:val="cle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Percentage of Ownership</w:t>
            </w:r>
          </w:p>
        </w:tc>
        <w:tc>
          <w:tcPr>
            <w:tcW w:w="1265" w:type="dxa"/>
            <w:tcBorders>
              <w:top w:val="single" w:sz="8" w:space="0" w:color="000000"/>
              <w:right w:val="single" w:sz="8" w:space="0" w:color="000000"/>
            </w:tcBorders>
            <w:shd w:fill="2AD2C9" w:val="clear"/>
            <w:tcMar>
              <w:left w:w="0" w:type="dxa"/>
              <w:bottom w:w="0" w:type="dxa"/>
            </w:tcM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 xml:space="preserve">Number of </w:t>
            </w:r>
          </w:p>
        </w:tc>
        <w:tc>
          <w:tcPr>
            <w:tcW w:w="1070" w:type="dxa"/>
            <w:tcBorders>
              <w:top w:val="single" w:sz="8" w:space="0" w:color="000000"/>
              <w:right w:val="single" w:sz="8" w:space="0" w:color="000000"/>
            </w:tcBorders>
            <w:shd w:fill="2AD2C9" w:val="clear"/>
            <w:tcMar>
              <w:left w:w="0" w:type="dxa"/>
              <w:bottom w:w="0" w:type="dxa"/>
            </w:tcM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Share</w:t>
            </w:r>
          </w:p>
        </w:tc>
      </w:tr>
      <w:tr>
        <w:trPr/>
        <w:tc>
          <w:tcPr>
            <w:tcW w:w="2375" w:type="dxa"/>
            <w:vMerge w:val="continue"/>
            <w:tcBorders>
              <w:top w:val="single" w:sz="8" w:space="0" w:color="000000"/>
              <w:left w:val="single" w:sz="8" w:space="0" w:color="000000"/>
              <w:bottom w:val="single" w:sz="8" w:space="0" w:color="000000"/>
              <w:right w:val="single" w:sz="8" w:space="0" w:color="000000"/>
            </w:tcBorders>
            <w:shd w:fill="2AD2C9" w:val="clear"/>
            <w:vAlign w:val="center"/>
          </w:tcPr>
          <w:p>
            <w:pPr>
              <w:pStyle w:val="Normal"/>
              <w:bidi w:val="0"/>
              <w:jc w:val="left"/>
              <w:rPr/>
            </w:pPr>
            <w:r>
              <w:rPr/>
            </w:r>
          </w:p>
        </w:tc>
        <w:tc>
          <w:tcPr>
            <w:tcW w:w="1265" w:type="dxa"/>
            <w:tcBorders>
              <w:bottom w:val="single" w:sz="8" w:space="0" w:color="000000"/>
              <w:right w:val="single" w:sz="8" w:space="0" w:color="000000"/>
            </w:tcBorders>
            <w:shd w:fill="2AD2C9" w:val="clear"/>
            <w:tcMar>
              <w:top w:w="0" w:type="dxa"/>
              <w:left w:w="0" w:type="dxa"/>
            </w:tcM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Shareholders</w:t>
            </w:r>
          </w:p>
        </w:tc>
        <w:tc>
          <w:tcPr>
            <w:tcW w:w="1070" w:type="dxa"/>
            <w:tcBorders>
              <w:bottom w:val="single" w:sz="8" w:space="0" w:color="000000"/>
              <w:right w:val="single" w:sz="8" w:space="0" w:color="000000"/>
            </w:tcBorders>
            <w:shd w:fill="2AD2C9" w:val="clear"/>
            <w:tcMar>
              <w:top w:w="0" w:type="dxa"/>
              <w:left w:w="0" w:type="dxa"/>
            </w:tcM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Percentage</w:t>
            </w:r>
          </w:p>
        </w:tc>
      </w:tr>
      <w:tr>
        <w:trPr/>
        <w:tc>
          <w:tcPr>
            <w:tcW w:w="2375" w:type="dxa"/>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Less than 1%</w:t>
            </w:r>
          </w:p>
        </w:tc>
        <w:tc>
          <w:tcPr>
            <w:tcW w:w="126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5,510</w:t>
            </w:r>
          </w:p>
        </w:tc>
        <w:tc>
          <w:tcPr>
            <w:tcW w:w="1070"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5.58%</w:t>
            </w:r>
          </w:p>
        </w:tc>
      </w:tr>
      <w:tr>
        <w:trPr/>
        <w:tc>
          <w:tcPr>
            <w:tcW w:w="2375" w:type="dxa"/>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Between 1% - 4.9%</w:t>
            </w:r>
          </w:p>
        </w:tc>
        <w:tc>
          <w:tcPr>
            <w:tcW w:w="126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w:t>
            </w:r>
          </w:p>
        </w:tc>
        <w:tc>
          <w:tcPr>
            <w:tcW w:w="1070"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4.92%</w:t>
            </w:r>
          </w:p>
        </w:tc>
      </w:tr>
      <w:tr>
        <w:trPr/>
        <w:tc>
          <w:tcPr>
            <w:tcW w:w="2375" w:type="dxa"/>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Between 5% - 9.9%</w:t>
            </w:r>
          </w:p>
        </w:tc>
        <w:tc>
          <w:tcPr>
            <w:tcW w:w="126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w:t>
            </w:r>
          </w:p>
        </w:tc>
        <w:tc>
          <w:tcPr>
            <w:tcW w:w="1070"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5.41%</w:t>
            </w:r>
          </w:p>
        </w:tc>
      </w:tr>
      <w:tr>
        <w:trPr/>
        <w:tc>
          <w:tcPr>
            <w:tcW w:w="2375" w:type="dxa"/>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Greater than 10%</w:t>
            </w:r>
          </w:p>
        </w:tc>
        <w:tc>
          <w:tcPr>
            <w:tcW w:w="126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w:t>
            </w:r>
          </w:p>
        </w:tc>
        <w:tc>
          <w:tcPr>
            <w:tcW w:w="1070"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15.49%</w:t>
            </w:r>
          </w:p>
        </w:tc>
      </w:tr>
      <w:tr>
        <w:trPr/>
        <w:tc>
          <w:tcPr>
            <w:tcW w:w="2375"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lineRule="auto" w:line="240" w:before="0" w:after="283"/>
              <w:jc w:val="both"/>
              <w:rPr>
                <w:rFonts w:ascii="Arial" w:hAnsi="Arial"/>
                <w:b w:val="false"/>
                <w:i w:val="false"/>
                <w:caps w:val="false"/>
                <w:smallCaps w:val="false"/>
                <w:sz w:val="20"/>
              </w:rPr>
            </w:pPr>
            <w:r>
              <w:rPr>
                <w:rFonts w:ascii="Arial" w:hAnsi="Arial"/>
                <w:b w:val="false"/>
                <w:i w:val="false"/>
                <w:caps w:val="false"/>
                <w:smallCaps w:val="false"/>
                <w:sz w:val="20"/>
              </w:rPr>
              <w:t>N.D.4</w:t>
            </w:r>
          </w:p>
        </w:tc>
        <w:tc>
          <w:tcPr>
            <w:tcW w:w="126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N.D.</w:t>
            </w:r>
          </w:p>
        </w:tc>
        <w:tc>
          <w:tcPr>
            <w:tcW w:w="107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68.60%</w:t>
            </w:r>
          </w:p>
        </w:tc>
      </w:tr>
    </w:tbl>
    <w:p>
      <w:pPr>
        <w:pStyle w:val="TextBody"/>
        <w:bidi w:val="0"/>
        <w:jc w:val="left"/>
        <w:rPr>
          <w:caps w:val="false"/>
          <w:smallCaps w:val="false"/>
        </w:rPr>
      </w:pPr>
      <w:r>
        <w:rPr>
          <w:caps w:val="false"/>
          <w:smallCaps w:val="false"/>
        </w:rPr>
        <w:t> </w:t>
      </w:r>
    </w:p>
    <w:p>
      <w:pPr>
        <w:pStyle w:val="TextBody"/>
        <w:bidi w:val="0"/>
        <w:spacing w:before="0" w:after="0"/>
        <w:jc w:val="left"/>
        <w:rPr>
          <w:rFonts w:ascii="Arial" w:hAnsi="Arial"/>
          <w:b w:val="false"/>
          <w:i w:val="false"/>
          <w:caps w:val="false"/>
          <w:smallCaps w:val="false"/>
          <w:sz w:val="16"/>
        </w:rPr>
      </w:pPr>
      <w:r>
        <w:rPr>
          <w:rFonts w:ascii="Arial" w:hAnsi="Arial"/>
          <w:b w:val="false"/>
          <w:i w:val="false"/>
          <w:caps w:val="false"/>
          <w:smallCaps w:val="false"/>
          <w:sz w:val="16"/>
        </w:rPr>
        <w:t>(1) Ownership is calculated including those declared by shareholders in their Form 13G filed as of February 14, 2024.</w:t>
      </w:r>
    </w:p>
    <w:p>
      <w:pPr>
        <w:pStyle w:val="TextBody"/>
        <w:bidi w:val="0"/>
        <w:spacing w:before="0" w:after="0"/>
        <w:jc w:val="left"/>
        <w:rPr>
          <w:rFonts w:ascii="Arial" w:hAnsi="Arial"/>
          <w:b w:val="false"/>
          <w:i w:val="false"/>
          <w:caps w:val="false"/>
          <w:smallCaps w:val="false"/>
          <w:sz w:val="16"/>
        </w:rPr>
      </w:pPr>
      <w:r>
        <w:rPr>
          <w:rFonts w:ascii="Arial" w:hAnsi="Arial"/>
          <w:b w:val="false"/>
          <w:i w:val="false"/>
          <w:caps w:val="false"/>
          <w:smallCaps w:val="false"/>
          <w:sz w:val="16"/>
        </w:rPr>
        <w:t>(2) Ownership is calculated considering what was declared by the Romero Family in the last Form 13G sent to the SEC dated February 13, 2024.</w:t>
      </w:r>
    </w:p>
    <w:p>
      <w:pPr>
        <w:pStyle w:val="TextBody"/>
        <w:bidi w:val="0"/>
        <w:spacing w:before="0" w:after="0"/>
        <w:jc w:val="left"/>
        <w:rPr>
          <w:rFonts w:ascii="Arial" w:hAnsi="Arial"/>
          <w:b w:val="false"/>
          <w:i w:val="false"/>
          <w:caps w:val="false"/>
          <w:smallCaps w:val="false"/>
          <w:sz w:val="16"/>
        </w:rPr>
      </w:pPr>
      <w:r>
        <w:rPr>
          <w:rFonts w:ascii="Arial" w:hAnsi="Arial"/>
          <w:b w:val="false"/>
          <w:i w:val="false"/>
          <w:caps w:val="false"/>
          <w:smallCaps w:val="false"/>
          <w:sz w:val="16"/>
        </w:rPr>
        <w:t>(3) Group of shareholders. Includes shares that are directly or indirectly held by the Romero family or by companies that they own or represent.</w:t>
      </w:r>
    </w:p>
    <w:p>
      <w:pPr>
        <w:pStyle w:val="TextBody"/>
        <w:bidi w:val="0"/>
        <w:spacing w:before="0" w:after="0"/>
        <w:jc w:val="left"/>
        <w:rPr>
          <w:rFonts w:ascii="Arial" w:hAnsi="Arial"/>
          <w:b w:val="false"/>
          <w:i w:val="false"/>
          <w:caps w:val="false"/>
          <w:smallCaps w:val="false"/>
          <w:sz w:val="16"/>
        </w:rPr>
      </w:pPr>
      <w:r>
        <w:rPr>
          <w:rFonts w:ascii="Arial" w:hAnsi="Arial"/>
          <w:b w:val="false"/>
          <w:i w:val="false"/>
          <w:caps w:val="false"/>
          <w:smallCaps w:val="false"/>
          <w:sz w:val="16"/>
        </w:rPr>
        <w:t>(4) 68.60% of Credicorp’s shares correspond to holdings whose purchase or sale was conducted through the NYSE, where it is not possible to identify the final beneficiary due to NYSE’s rules of disclosure.  </w:t>
      </w:r>
    </w:p>
    <w:p>
      <w:pPr>
        <w:pStyle w:val="TextBody"/>
        <w:bidi w:val="0"/>
        <w:spacing w:before="0" w:after="0"/>
        <w:ind w:left="0" w:right="0" w:hanging="0"/>
        <w:jc w:val="left"/>
        <w:rPr>
          <w:caps w:val="false"/>
          <w:smallCaps w:val="false"/>
          <w:color w:val="595959"/>
        </w:rPr>
      </w:pPr>
      <w:r>
        <w:rPr>
          <w:caps w:val="false"/>
          <w:smallCaps w:val="false"/>
          <w:color w:val="595959"/>
        </w:rPr>
        <w:t> </w:t>
      </w:r>
    </w:p>
    <w:p>
      <w:pPr>
        <w:pStyle w:val="TextBody"/>
        <w:bidi w:val="0"/>
        <w:spacing w:before="200" w:after="20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color w:val="595959"/>
        </w:rPr>
      </w:pPr>
      <w:r>
        <w:rPr>
          <w:caps w:val="false"/>
          <w:smallCaps w:val="false"/>
          <w:color w:val="595959"/>
        </w:rPr>
        <w:t> </w:t>
      </w:r>
    </w:p>
    <w:p>
      <w:pPr>
        <w:pStyle w:val="TextBody"/>
        <w:bidi w:val="0"/>
        <w:spacing w:before="0" w:after="0"/>
        <w:ind w:left="0" w:right="0" w:hanging="0"/>
        <w:jc w:val="left"/>
        <w:rPr>
          <w:rFonts w:ascii="Arial" w:hAnsi="Arial"/>
          <w:b/>
          <w:i w:val="false"/>
          <w:caps w:val="false"/>
          <w:smallCaps w:val="false"/>
          <w:color w:val="595959"/>
          <w:sz w:val="28"/>
        </w:rPr>
      </w:pPr>
      <w:r>
        <w:rPr>
          <w:rFonts w:ascii="Arial" w:hAnsi="Arial"/>
          <w:b/>
          <w:i w:val="false"/>
          <w:caps w:val="false"/>
          <w:smallCaps w:val="false"/>
          <w:color w:val="595959"/>
          <w:sz w:val="28"/>
        </w:rPr>
        <w:t>Market Dynamics</w:t>
      </w:r>
    </w:p>
    <w:p>
      <w:pPr>
        <w:pStyle w:val="TextBody"/>
        <w:bidi w:val="0"/>
        <w:spacing w:before="0" w:after="0"/>
        <w:ind w:left="0" w:right="0" w:hanging="0"/>
        <w:jc w:val="left"/>
        <w:rPr>
          <w:caps w:val="false"/>
          <w:smallCaps w:val="false"/>
          <w:color w:val="595959"/>
        </w:rPr>
      </w:pPr>
      <w:r>
        <w:rPr>
          <w:caps w:val="false"/>
          <w:smallCaps w:val="false"/>
          <w:color w:val="595959"/>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main financial markets registered positive results are year-end, bolstered mainly by the resilience of the US economy; adequate control of inflationary pressures; anticipation that FED’s rate hike cycle had come to an end; and market enthusiasm for the potential of new AI technologies. These dynamics offset market concerns about the impact of the crisis that hit regional banks in the United States in the second half of the year and market turbulence fueled by geopolitical tensions in Ukraine; Gaza and the Persian Gulf; as well as between China and Taiwan. The S&amp;P 500, Dow Jones Industrial (DJIA) and Nasdaq registered growth 24.2%, 13.7%, 43.4% over the figures reported for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local securities market also posted positive results at the end of 2023 despite an adverse macroeconomic context impacted by negative transitory shocks (social protests, Yaku Cyclone and Coastal El Niño Phenomenon). The Lima Stock Exchange reported growth of 21.7% in 2023, which was driven by a significant improvement in the outlook for different economic sectors, and the mining sector in particular, at year-end.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color w:val="595959"/>
          <w:sz w:val="28"/>
        </w:rPr>
      </w:pPr>
      <w:r>
        <w:rPr>
          <w:rFonts w:ascii="Arial" w:hAnsi="Arial"/>
          <w:b/>
          <w:i w:val="false"/>
          <w:caps w:val="false"/>
          <w:smallCaps w:val="false"/>
          <w:color w:val="595959"/>
          <w:sz w:val="28"/>
        </w:rPr>
        <w:t xml:space="preserve">Share Price </w:t>
      </w:r>
    </w:p>
    <w:p>
      <w:pPr>
        <w:pStyle w:val="TextBody"/>
        <w:bidi w:val="0"/>
        <w:spacing w:before="0" w:after="0"/>
        <w:ind w:left="0" w:right="0" w:hanging="0"/>
        <w:jc w:val="both"/>
        <w:rPr>
          <w:caps w:val="false"/>
          <w:smallCaps w:val="false"/>
          <w:color w:val="595959"/>
        </w:rPr>
      </w:pPr>
      <w:r>
        <w:rPr>
          <w:caps w:val="false"/>
          <w:smallCaps w:val="false"/>
          <w:color w:val="595959"/>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2023, the Coastal El Niño Phenomenon; limited private investment; and political uncertainty at the start of the year negatively impacted Peru’s economic performance and expectations. Despite this adverse scenario, Credicorp remained resilient and registered positive results. In this context, Credicorp’s share Price at year-end stood at US$ 149.93, which represented growth of 8.6% versus the figure in 2022. In 2023, the share price hit a peak of US$158.47 and a minimum of US$116.42.</w:t>
      </w:r>
      <w:r>
        <w:rPr>
          <w:rFonts w:ascii="Arial" w:hAnsi="Arial"/>
          <w:b w:val="false"/>
          <w:i w:val="false"/>
          <w:caps w:val="false"/>
          <w:smallCaps w:val="false"/>
          <w:color w:val="595959"/>
          <w:sz w:val="20"/>
        </w:rPr>
        <w:t xml:space="preserve"> </w:t>
      </w:r>
    </w:p>
    <w:p>
      <w:pPr>
        <w:pStyle w:val="TextBody"/>
        <w:bidi w:val="0"/>
        <w:spacing w:before="0" w:after="0"/>
        <w:ind w:left="0" w:right="0" w:hanging="0"/>
        <w:jc w:val="both"/>
        <w:rPr>
          <w:caps w:val="false"/>
          <w:smallCaps w:val="false"/>
        </w:rPr>
      </w:pPr>
      <w:r>
        <w:rPr>
          <w:caps w:val="false"/>
          <w:smallCaps w:val="false"/>
        </w:rPr>
        <w:t> </w:t>
      </w:r>
    </w:p>
    <w:tbl>
      <w:tblPr>
        <w:tblW w:w="8550" w:type="dxa"/>
        <w:jc w:val="center"/>
        <w:tblInd w:w="0" w:type="dxa"/>
        <w:tblLayout w:type="fixed"/>
        <w:tblCellMar>
          <w:top w:w="0" w:type="dxa"/>
          <w:left w:w="0" w:type="dxa"/>
          <w:bottom w:w="0" w:type="dxa"/>
          <w:right w:w="0" w:type="dxa"/>
        </w:tblCellMar>
      </w:tblPr>
      <w:tblGrid>
        <w:gridCol w:w="75"/>
        <w:gridCol w:w="8400"/>
        <w:gridCol w:w="75"/>
      </w:tblGrid>
      <w:tr>
        <w:trPr/>
        <w:tc>
          <w:tcPr>
            <w:tcW w:w="75" w:type="dxa"/>
            <w:tcBorders/>
            <w:vAlign w:val="center"/>
          </w:tcPr>
          <w:p>
            <w:pPr>
              <w:pStyle w:val="TableContents"/>
              <w:bidi w:val="0"/>
              <w:spacing w:before="0" w:after="283"/>
              <w:jc w:val="left"/>
              <w:rPr/>
            </w:pPr>
            <w:r>
              <w:rPr/>
              <w:t> </w:t>
            </w:r>
          </w:p>
        </w:tc>
        <w:tc>
          <w:tcPr>
            <w:tcW w:w="8400" w:type="dxa"/>
            <w:tcBorders/>
            <w:vAlign w:val="center"/>
          </w:tcPr>
          <w:p>
            <w:pPr>
              <w:pStyle w:val="TableContents"/>
              <w:bidi w:val="0"/>
              <w:spacing w:before="0" w:after="283"/>
              <w:jc w:val="center"/>
              <w:rPr/>
            </w:pPr>
            <w:r>
              <w:rPr/>
              <w:drawing>
                <wp:inline distT="0" distB="0" distL="0" distR="0">
                  <wp:extent cx="5334000" cy="2609850"/>
                  <wp:effectExtent l="0" t="0" r="0" b="0"/>
                  <wp:docPr id="1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3" descr=""/>
                          <pic:cNvPicPr>
                            <a:picLocks noChangeAspect="1" noChangeArrowheads="1"/>
                          </pic:cNvPicPr>
                        </pic:nvPicPr>
                        <pic:blipFill>
                          <a:blip r:embed="rId15"/>
                          <a:stretch>
                            <a:fillRect/>
                          </a:stretch>
                        </pic:blipFill>
                        <pic:spPr bwMode="auto">
                          <a:xfrm>
                            <a:off x="0" y="0"/>
                            <a:ext cx="5334000" cy="2609850"/>
                          </a:xfrm>
                          <a:prstGeom prst="rect">
                            <a:avLst/>
                          </a:prstGeom>
                        </pic:spPr>
                      </pic:pic>
                    </a:graphicData>
                  </a:graphic>
                </wp:inline>
              </w:drawing>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400" w:type="dxa"/>
            <w:tcBorders/>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Source: Bloomberg.</w:t>
            </w:r>
          </w:p>
        </w:tc>
        <w:tc>
          <w:tcPr>
            <w:tcW w:w="75" w:type="dxa"/>
            <w:tcBorders/>
            <w:vAlign w:val="center"/>
          </w:tcPr>
          <w:p>
            <w:pPr>
              <w:pStyle w:val="TableContents"/>
              <w:bidi w:val="0"/>
              <w:spacing w:before="0" w:after="283"/>
              <w:jc w:val="left"/>
              <w:rPr/>
            </w:pPr>
            <w:r>
              <w:rPr/>
              <w:t> </w:t>
            </w:r>
          </w:p>
        </w:tc>
      </w:tr>
    </w:tbl>
    <w:p>
      <w:pPr>
        <w:pStyle w:val="TextBody"/>
        <w:bidi w:val="0"/>
        <w:spacing w:before="200" w:after="20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color w:val="595959"/>
          <w:sz w:val="28"/>
        </w:rPr>
      </w:pPr>
      <w:r>
        <w:rPr>
          <w:rFonts w:ascii="Arial" w:hAnsi="Arial"/>
          <w:b/>
          <w:i w:val="false"/>
          <w:caps w:val="false"/>
          <w:smallCaps w:val="false"/>
          <w:color w:val="595959"/>
          <w:sz w:val="28"/>
        </w:rPr>
        <w:t>Market Capitalization and Liquidity</w:t>
      </w:r>
    </w:p>
    <w:p>
      <w:pPr>
        <w:pStyle w:val="TextBody"/>
        <w:bidi w:val="0"/>
        <w:spacing w:before="0" w:after="0"/>
        <w:ind w:left="0" w:right="0" w:hanging="0"/>
        <w:jc w:val="both"/>
        <w:rPr>
          <w:caps w:val="false"/>
          <w:smallCaps w:val="false"/>
          <w:color w:val="595959"/>
        </w:rPr>
      </w:pPr>
      <w:r>
        <w:rPr>
          <w:caps w:val="false"/>
          <w:smallCaps w:val="false"/>
          <w:color w:val="595959"/>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At the end of 2023, Credicorp’s market capitalization was situated at US$ 11,924.76 million. This represents an increase of 10.5% over the figure of US$ 10,789.46 million registered at the end of 2022. Credicorp’s daily trading volume was 325,650 shares in 2023, which reflects a 20.5% decrease with regard to the average posted last year.</w:t>
      </w:r>
    </w:p>
    <w:p>
      <w:pPr>
        <w:pStyle w:val="TextBody"/>
        <w:bidi w:val="0"/>
        <w:spacing w:before="0" w:after="0"/>
        <w:ind w:left="0" w:right="0" w:hanging="0"/>
        <w:jc w:val="both"/>
        <w:rPr>
          <w:caps w:val="false"/>
          <w:smallCaps w:val="false"/>
        </w:rPr>
      </w:pPr>
      <w:r>
        <w:rPr>
          <w:caps w:val="false"/>
          <w:smallCaps w:val="false"/>
        </w:rPr>
        <w:t> </w:t>
      </w:r>
    </w:p>
    <w:tbl>
      <w:tblPr>
        <w:tblW w:w="6465" w:type="dxa"/>
        <w:jc w:val="center"/>
        <w:tblInd w:w="0" w:type="dxa"/>
        <w:tblLayout w:type="fixed"/>
        <w:tblCellMar>
          <w:top w:w="0" w:type="dxa"/>
          <w:left w:w="0" w:type="dxa"/>
          <w:bottom w:w="0" w:type="dxa"/>
          <w:right w:w="0" w:type="dxa"/>
        </w:tblCellMar>
      </w:tblPr>
      <w:tblGrid>
        <w:gridCol w:w="6465"/>
      </w:tblGrid>
      <w:tr>
        <w:trPr/>
        <w:tc>
          <w:tcPr>
            <w:tcW w:w="6465" w:type="dxa"/>
            <w:tcBorders/>
            <w:vAlign w:val="center"/>
          </w:tcPr>
          <w:p>
            <w:pPr>
              <w:pStyle w:val="TableContents"/>
              <w:bidi w:val="0"/>
              <w:spacing w:before="0" w:after="283"/>
              <w:jc w:val="center"/>
              <w:rPr/>
            </w:pPr>
            <w:r>
              <w:rPr/>
              <w:drawing>
                <wp:inline distT="0" distB="0" distL="0" distR="0">
                  <wp:extent cx="4086225" cy="2371725"/>
                  <wp:effectExtent l="0" t="0" r="0" b="0"/>
                  <wp:docPr id="2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4" descr=""/>
                          <pic:cNvPicPr>
                            <a:picLocks noChangeAspect="1" noChangeArrowheads="1"/>
                          </pic:cNvPicPr>
                        </pic:nvPicPr>
                        <pic:blipFill>
                          <a:blip r:embed="rId16"/>
                          <a:stretch>
                            <a:fillRect/>
                          </a:stretch>
                        </pic:blipFill>
                        <pic:spPr bwMode="auto">
                          <a:xfrm>
                            <a:off x="0" y="0"/>
                            <a:ext cx="4086225" cy="2371725"/>
                          </a:xfrm>
                          <a:prstGeom prst="rect">
                            <a:avLst/>
                          </a:prstGeom>
                        </pic:spPr>
                      </pic:pic>
                    </a:graphicData>
                  </a:graphic>
                </wp:inline>
              </w:drawing>
            </w:r>
          </w:p>
        </w:tc>
      </w:tr>
      <w:tr>
        <w:trPr/>
        <w:tc>
          <w:tcPr>
            <w:tcW w:w="6465" w:type="dxa"/>
            <w:tcBorders/>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Source: Bloomberg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595959"/>
          <w:sz w:val="28"/>
        </w:rPr>
      </w:pPr>
      <w:r>
        <w:rPr>
          <w:rFonts w:ascii="Arial" w:hAnsi="Arial"/>
          <w:b/>
          <w:i w:val="false"/>
          <w:caps w:val="false"/>
          <w:smallCaps w:val="false"/>
          <w:color w:val="595959"/>
          <w:sz w:val="28"/>
        </w:rPr>
        <w:t xml:space="preserve">Dividends </w:t>
      </w:r>
    </w:p>
    <w:p>
      <w:pPr>
        <w:pStyle w:val="TextBody"/>
        <w:bidi w:val="0"/>
        <w:spacing w:before="0" w:after="0"/>
        <w:ind w:left="0" w:right="0" w:hanging="0"/>
        <w:jc w:val="left"/>
        <w:rPr>
          <w:caps w:val="false"/>
          <w:smallCaps w:val="false"/>
          <w:color w:val="595959"/>
        </w:rPr>
      </w:pPr>
      <w:r>
        <w:rPr>
          <w:caps w:val="false"/>
          <w:smallCaps w:val="false"/>
          <w:color w:val="595959"/>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accordance with our dividend policy, and aligned with prudent capital management, Credicorp Ltd.s’ Board, in its session on April 28, 2023, announced the distribution of dividends equivalent to S/ 25 per share. It is important to note that Credicorp makes every effort to compensate our shareholders’ investments within a framework defined by our obligations, results, plans and stakeholders’ expectations.</w:t>
      </w:r>
    </w:p>
    <w:p>
      <w:pPr>
        <w:pStyle w:val="TextBody"/>
        <w:bidi w:val="0"/>
        <w:spacing w:before="0" w:after="0"/>
        <w:ind w:left="0" w:right="0" w:hanging="0"/>
        <w:jc w:val="both"/>
        <w:rPr>
          <w:caps w:val="false"/>
          <w:smallCaps w:val="false"/>
        </w:rPr>
      </w:pPr>
      <w:r>
        <w:rPr>
          <w:caps w:val="false"/>
          <w:smallCaps w:val="false"/>
        </w:rPr>
        <w:t> </w:t>
      </w:r>
    </w:p>
    <w:tbl>
      <w:tblPr>
        <w:tblW w:w="7515" w:type="dxa"/>
        <w:jc w:val="center"/>
        <w:tblInd w:w="0" w:type="dxa"/>
        <w:tblLayout w:type="fixed"/>
        <w:tblCellMar>
          <w:top w:w="0" w:type="dxa"/>
          <w:left w:w="0" w:type="dxa"/>
          <w:bottom w:w="0" w:type="dxa"/>
          <w:right w:w="0" w:type="dxa"/>
        </w:tblCellMar>
      </w:tblPr>
      <w:tblGrid>
        <w:gridCol w:w="7515"/>
      </w:tblGrid>
      <w:tr>
        <w:trPr/>
        <w:tc>
          <w:tcPr>
            <w:tcW w:w="7515" w:type="dxa"/>
            <w:tcBorders/>
            <w:vAlign w:val="center"/>
          </w:tcPr>
          <w:p>
            <w:pPr>
              <w:pStyle w:val="TableContents"/>
              <w:bidi w:val="0"/>
              <w:spacing w:before="0" w:after="283"/>
              <w:jc w:val="center"/>
              <w:rPr/>
            </w:pPr>
            <w:r>
              <w:rPr/>
              <w:drawing>
                <wp:inline distT="0" distB="0" distL="0" distR="0">
                  <wp:extent cx="4752975" cy="2686050"/>
                  <wp:effectExtent l="0" t="0" r="0" b="0"/>
                  <wp:docPr id="2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5" descr=""/>
                          <pic:cNvPicPr>
                            <a:picLocks noChangeAspect="1" noChangeArrowheads="1"/>
                          </pic:cNvPicPr>
                        </pic:nvPicPr>
                        <pic:blipFill>
                          <a:blip r:embed="rId17"/>
                          <a:stretch>
                            <a:fillRect/>
                          </a:stretch>
                        </pic:blipFill>
                        <pic:spPr bwMode="auto">
                          <a:xfrm>
                            <a:off x="0" y="0"/>
                            <a:ext cx="4752975" cy="2686050"/>
                          </a:xfrm>
                          <a:prstGeom prst="rect">
                            <a:avLst/>
                          </a:prstGeom>
                        </pic:spPr>
                      </pic:pic>
                    </a:graphicData>
                  </a:graphic>
                </wp:inline>
              </w:drawing>
            </w:r>
          </w:p>
        </w:tc>
      </w:tr>
      <w:tr>
        <w:trPr/>
        <w:tc>
          <w:tcPr>
            <w:tcW w:w="7515" w:type="dxa"/>
            <w:tcBorders/>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 Distribution of dividends, net of the effect of treasury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48"/>
        </w:rPr>
      </w:pPr>
      <w:r>
        <w:rPr>
          <w:rFonts w:ascii="Arial" w:hAnsi="Arial"/>
          <w:b/>
          <w:i w:val="false"/>
          <w:caps w:val="false"/>
          <w:smallCaps w:val="false"/>
          <w:sz w:val="48"/>
        </w:rPr>
        <w:t>Chapter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Arial" w:hAnsi="Arial"/>
          <w:b/>
          <w:i w:val="false"/>
          <w:caps w:val="false"/>
          <w:smallCaps w:val="false"/>
          <w:sz w:val="36"/>
        </w:rPr>
      </w:pPr>
      <w:bookmarkStart w:id="12" w:name="a005_v1"/>
      <w:bookmarkEnd w:id="12"/>
      <w:r>
        <w:rPr>
          <w:rFonts w:ascii="Arial" w:hAnsi="Arial"/>
          <w:b/>
          <w:i w:val="false"/>
          <w:caps w:val="false"/>
          <w:smallCaps w:val="false"/>
          <w:sz w:val="36"/>
        </w:rPr>
        <w:t>Our businesses in 2023</w:t>
      </w:r>
    </w:p>
    <w:p>
      <w:pPr>
        <w:pStyle w:val="TextBody"/>
        <w:bidi w:val="0"/>
        <w:spacing w:before="60" w:after="60"/>
        <w:ind w:left="360" w:right="0" w:hanging="36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i w:val="false"/>
          <w:caps w:val="false"/>
          <w:smallCaps w:val="false"/>
          <w:sz w:val="20"/>
        </w:rPr>
        <w:t xml:space="preserve">Material Issue: </w:t>
      </w:r>
      <w:r>
        <w:rPr>
          <w:rFonts w:ascii="Arial" w:hAnsi="Arial"/>
          <w:b w:val="false"/>
          <w:i w:val="false"/>
          <w:caps w:val="false"/>
          <w:smallCaps w:val="false"/>
          <w:sz w:val="20"/>
        </w:rPr>
        <w:t>Innovation and Digital Transformation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i/>
          <w:caps w:val="false"/>
          <w:smallCaps w:val="false"/>
          <w:sz w:val="20"/>
        </w:rPr>
        <w:t xml:space="preserve">GRI </w:t>
      </w:r>
      <w:r>
        <w:rPr>
          <w:rFonts w:ascii="Arial" w:hAnsi="Arial"/>
          <w:b w:val="false"/>
          <w:i/>
          <w:caps w:val="false"/>
          <w:smallCaps w:val="false"/>
          <w:sz w:val="20"/>
        </w:rPr>
        <w:t>2-6, 3-3</w:t>
      </w:r>
      <w:r>
        <w:rPr>
          <w:rFonts w:ascii="Arial" w:hAnsi="Arial"/>
          <w:b w:val="false"/>
          <w:i w:val="false"/>
          <w:caps w:val="false"/>
          <w:smallCaps w:val="false"/>
          <w:sz w:val="2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i w:val="false"/>
          <w:caps w:val="false"/>
          <w:smallCaps w:val="false"/>
          <w:sz w:val="20"/>
        </w:rPr>
        <w:t xml:space="preserve">Pillar </w:t>
      </w:r>
      <w:r>
        <w:rPr>
          <w:rFonts w:ascii="Arial" w:hAnsi="Arial"/>
          <w:b w:val="false"/>
          <w:i w:val="false"/>
          <w:caps w:val="false"/>
          <w:smallCaps w:val="false"/>
          <w:sz w:val="2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Credicorp is a financial holding. It is comprised of 4 business lines and our Innovation Portfolio.</w:t>
      </w:r>
    </w:p>
    <w:p>
      <w:pPr>
        <w:pStyle w:val="TextBody"/>
        <w:bidi w:val="0"/>
        <w:spacing w:before="0" w:after="0"/>
        <w:ind w:left="0" w:right="0" w:hanging="0"/>
        <w:jc w:val="both"/>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26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Arial" w:hAnsi="Arial"/>
                <w:b/>
                <w:i w:val="false"/>
                <w:caps w:val="false"/>
                <w:smallCaps w:val="false"/>
                <w:sz w:val="28"/>
              </w:rPr>
            </w:pPr>
            <w:r>
              <w:rPr>
                <w:rFonts w:ascii="Arial" w:hAnsi="Arial"/>
                <w:b/>
                <w:i w:val="false"/>
                <w:caps w:val="false"/>
                <w:smallCaps w:val="false"/>
                <w:sz w:val="28"/>
              </w:rPr>
              <w:t>1.</w:t>
            </w:r>
          </w:p>
        </w:tc>
        <w:tc>
          <w:tcPr>
            <w:tcW w:w="2570" w:type="dxa"/>
            <w:tcBorders/>
            <w:vAlign w:val="center"/>
          </w:tcPr>
          <w:p>
            <w:pPr>
              <w:pStyle w:val="TableContents"/>
              <w:bidi w:val="0"/>
              <w:spacing w:before="0" w:after="283"/>
              <w:jc w:val="left"/>
              <w:rPr>
                <w:rFonts w:ascii="Arial" w:hAnsi="Arial"/>
                <w:b/>
                <w:i w:val="false"/>
                <w:caps w:val="false"/>
                <w:smallCaps w:val="false"/>
                <w:sz w:val="28"/>
              </w:rPr>
            </w:pPr>
            <w:r>
              <w:rPr>
                <w:rFonts w:ascii="Arial" w:hAnsi="Arial"/>
                <w:b/>
                <w:i w:val="false"/>
                <w:caps w:val="false"/>
                <w:smallCaps w:val="false"/>
                <w:sz w:val="28"/>
              </w:rPr>
              <w:t>Universal Banking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808080"/>
          <w:sz w:val="22"/>
        </w:rPr>
      </w:pPr>
      <w:r>
        <w:rPr>
          <w:rFonts w:ascii="Arial" w:hAnsi="Arial"/>
          <w:b/>
          <w:i w:val="false"/>
          <w:caps w:val="false"/>
          <w:smallCaps w:val="false"/>
          <w:color w:val="808080"/>
          <w:sz w:val="22"/>
        </w:rPr>
        <w:t>Banco de Crédito BCP – The N°1 bank in loans and deposits in Peru</w:t>
      </w:r>
    </w:p>
    <w:p>
      <w:pPr>
        <w:pStyle w:val="TextBody"/>
        <w:bidi w:val="0"/>
        <w:spacing w:before="0" w:after="0"/>
        <w:ind w:left="0" w:right="0" w:hanging="0"/>
        <w:jc w:val="left"/>
        <w:rPr>
          <w:caps w:val="false"/>
          <w:smallCaps w:val="false"/>
          <w:color w:val="808080"/>
        </w:rPr>
      </w:pPr>
      <w:r>
        <w:rPr>
          <w:caps w:val="false"/>
          <w:smallCaps w:val="false"/>
          <w:color w:val="808080"/>
        </w:rPr>
        <w:t> </w:t>
      </w:r>
    </w:p>
    <w:p>
      <w:pPr>
        <w:pStyle w:val="TextBody"/>
        <w:bidi w:val="0"/>
        <w:spacing w:lineRule="auto" w:line="240"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BCP is a part of the Peruvian financial system and acts and a financial service provider. It engages in commercial banking and provides financing and savings solutions. Through its Wholesale Banking division, the bank offers services that have been specially designed for corporate clients and large companies, while the SME- Business and Individuals1 serves small and medium businesses as well as individuals.</w:t>
      </w:r>
    </w:p>
    <w:p>
      <w:pPr>
        <w:pStyle w:val="TextBody"/>
        <w:bidi w:val="0"/>
        <w:spacing w:before="0" w:after="0"/>
        <w:ind w:left="0" w:right="0" w:hanging="0"/>
        <w:jc w:val="both"/>
        <w:rPr>
          <w:caps w:val="false"/>
          <w:smallCaps w:val="false"/>
        </w:rPr>
      </w:pPr>
      <w:r>
        <w:rPr>
          <w:caps w:val="false"/>
          <w:smallCaps w:val="false"/>
        </w:rPr>
        <w:t> </w:t>
      </w:r>
    </w:p>
    <w:tbl>
      <w:tblPr>
        <w:tblW w:w="7083" w:type="dxa"/>
        <w:jc w:val="left"/>
        <w:tblInd w:w="0" w:type="dxa"/>
        <w:tblLayout w:type="fixed"/>
        <w:tblCellMar>
          <w:top w:w="0" w:type="dxa"/>
          <w:left w:w="0" w:type="dxa"/>
          <w:bottom w:w="0" w:type="dxa"/>
          <w:right w:w="0" w:type="dxa"/>
        </w:tblCellMar>
      </w:tblPr>
      <w:tblGrid>
        <w:gridCol w:w="38"/>
        <w:gridCol w:w="170"/>
        <w:gridCol w:w="68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75" w:type="dxa"/>
            <w:tcBorders/>
            <w:vAlign w:val="center"/>
          </w:tcPr>
          <w:p>
            <w:pPr>
              <w:pStyle w:val="TableContents"/>
              <w:bidi w:val="0"/>
              <w:spacing w:lineRule="auto" w:line="240" w:before="0" w:after="283"/>
              <w:jc w:val="left"/>
              <w:rPr>
                <w:rFonts w:ascii="Arial" w:hAnsi="Arial"/>
                <w:b w:val="false"/>
                <w:i w:val="false"/>
                <w:caps w:val="false"/>
                <w:smallCaps w:val="false"/>
                <w:sz w:val="20"/>
              </w:rPr>
            </w:pPr>
            <w:r>
              <w:rPr>
                <w:rFonts w:ascii="Arial" w:hAnsi="Arial"/>
                <w:b w:val="false"/>
                <w:i w:val="false"/>
                <w:caps w:val="false"/>
                <w:smallCaps w:val="false"/>
                <w:sz w:val="20"/>
              </w:rPr>
              <w:t>Leader in Loans and Deposits in Peru. MS2 of 29.1% and 32.0%, respectively.</w:t>
            </w:r>
          </w:p>
        </w:tc>
      </w:tr>
    </w:tbl>
    <w:tbl>
      <w:tblPr>
        <w:tblW w:w="2733" w:type="dxa"/>
        <w:jc w:val="left"/>
        <w:tblInd w:w="0" w:type="dxa"/>
        <w:tblLayout w:type="fixed"/>
        <w:tblCellMar>
          <w:top w:w="0" w:type="dxa"/>
          <w:left w:w="0" w:type="dxa"/>
          <w:bottom w:w="0" w:type="dxa"/>
          <w:right w:w="0" w:type="dxa"/>
        </w:tblCellMar>
      </w:tblPr>
      <w:tblGrid>
        <w:gridCol w:w="38"/>
        <w:gridCol w:w="170"/>
        <w:gridCol w:w="2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25"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Loans for S/ 112,210 million.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BCP’s purpose is to “Transform plans into reality.” The bank has two north stars that guide its journey: (i) to be number 1 in client experience, and (ii) register the best efficiency ratio in Latin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At BCP, we strive to unlock potential growth in underpenetrated financial markets like Peru’s. To achieve this, we have developed advanced credit models as we leverage our capacities in Data &amp; Analytics, Pricing and Risk Management and implement strategies for digital distribution. Moving forward, as we grow alongside the economy in the segments where we are already present, our most relevant avenues for new growth will be: (i) financial inclusion, to expand the size of the market, and (ii) new business development. We provide an integral experience with an increasingly digital focus, which leads to high transactionality to cover our clients’ day-to-day banking needs. In that sense, we grew by more than 80% in terms of number of transactions in 2023 and low-cost deposits (where volumes are highly correlated with transactionality) represent more than 76% of our deposit base. Additionally, fee income at BCP (also related to transactionality) accounts for 21% of our total income and has bolstered our resilience during adverse economic cycles.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To provide the best experience, we need to ensure that our operating stability is exceptional and count on our ability to roll out new functionalities quickly. As such, we have been aggressively investing in modern and flexible information technology architecture that permits reuse of components. Today, our average uptime indicator is world-class (99.8%); 100% of our front-end applications are cloud-based; and we have 500 reusable APIs. This year, new functionalities and improvements have been included in the user interface, which led to a 4-point increase in the NPS for Mobile Banking and growth of 11 percentage points in the indicator for digital clients, which stood at 68% at year 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Arial" w:hAnsi="Arial"/>
          <w:b w:val="false"/>
          <w:i w:val="false"/>
          <w:caps w:val="false"/>
          <w:smallCaps w:val="false"/>
          <w:sz w:val="16"/>
        </w:rPr>
      </w:pPr>
      <w:r>
        <w:rPr>
          <w:rFonts w:ascii="Arial" w:hAnsi="Arial"/>
          <w:b w:val="false"/>
          <w:i w:val="false"/>
          <w:caps w:val="false"/>
          <w:smallCaps w:val="false"/>
          <w:sz w:val="16"/>
        </w:rPr>
        <w:t>(1) As of 2024, Retail Banking’s name will be changed to SME-Business and Individuals.</w:t>
      </w:r>
    </w:p>
    <w:p>
      <w:pPr>
        <w:pStyle w:val="TextBody"/>
        <w:bidi w:val="0"/>
        <w:spacing w:before="0" w:after="0"/>
        <w:jc w:val="left"/>
        <w:rPr>
          <w:rFonts w:ascii="Arial" w:hAnsi="Arial"/>
          <w:b w:val="false"/>
          <w:i w:val="false"/>
          <w:caps w:val="false"/>
          <w:smallCaps w:val="false"/>
          <w:sz w:val="16"/>
        </w:rPr>
      </w:pPr>
      <w:r>
        <w:rPr>
          <w:rFonts w:ascii="Arial" w:hAnsi="Arial"/>
          <w:b w:val="false"/>
          <w:i w:val="false"/>
          <w:caps w:val="false"/>
          <w:smallCaps w:val="false"/>
          <w:sz w:val="16"/>
        </w:rPr>
        <w:t>(2) Share of the market within the Financial System (includes Multiple Banking, financial companies, municipal savings and loans and lending companies). To December 2023.</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19</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808080"/>
          <w:sz w:val="22"/>
        </w:rPr>
      </w:pPr>
      <w:r>
        <w:rPr>
          <w:rFonts w:ascii="Arial" w:hAnsi="Arial"/>
          <w:b/>
          <w:i w:val="false"/>
          <w:caps w:val="false"/>
          <w:smallCaps w:val="false"/>
          <w:color w:val="808080"/>
          <w:sz w:val="22"/>
        </w:rPr>
        <w:t>Banco de Crédito de Bolivia – Top 5 in loans and deposits in the Bolivian Financial System</w:t>
      </w:r>
    </w:p>
    <w:p>
      <w:pPr>
        <w:pStyle w:val="TextBody"/>
        <w:bidi w:val="0"/>
        <w:spacing w:before="0" w:after="0"/>
        <w:ind w:left="0" w:right="0" w:hanging="0"/>
        <w:jc w:val="left"/>
        <w:rPr>
          <w:caps w:val="false"/>
          <w:smallCaps w:val="false"/>
          <w:color w:val="808080"/>
        </w:rPr>
      </w:pPr>
      <w:r>
        <w:rPr>
          <w:caps w:val="false"/>
          <w:smallCaps w:val="false"/>
          <w:color w:val="808080"/>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The Banco de Crédito de Bolivia is a universal bank with a solid position at the national level. It has an extensive network of service and sales channels (more than 1,700 points of service). BCP Bolivia engages in on-going innovation to position itself as the bank of choice in the Bolivian financial system.</w:t>
      </w:r>
    </w:p>
    <w:p>
      <w:pPr>
        <w:pStyle w:val="TextBody"/>
        <w:bidi w:val="0"/>
        <w:spacing w:before="0" w:after="0"/>
        <w:ind w:left="0" w:right="0" w:hanging="0"/>
        <w:jc w:val="left"/>
        <w:rPr>
          <w:caps w:val="false"/>
          <w:smallCaps w:val="false"/>
        </w:rPr>
      </w:pPr>
      <w:r>
        <w:rPr>
          <w:caps w:val="false"/>
          <w:smallCaps w:val="false"/>
        </w:rPr>
        <w:t> </w:t>
      </w:r>
    </w:p>
    <w:tbl>
      <w:tblPr>
        <w:tblW w:w="4548" w:type="dxa"/>
        <w:jc w:val="left"/>
        <w:tblInd w:w="0" w:type="dxa"/>
        <w:tblLayout w:type="fixed"/>
        <w:tblCellMar>
          <w:top w:w="0" w:type="dxa"/>
          <w:left w:w="0" w:type="dxa"/>
          <w:bottom w:w="0" w:type="dxa"/>
          <w:right w:w="0" w:type="dxa"/>
        </w:tblCellMar>
      </w:tblPr>
      <w:tblGrid>
        <w:gridCol w:w="38"/>
        <w:gridCol w:w="170"/>
        <w:gridCol w:w="43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340"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Loans totaled S/ 9,402 million with a MS of 8.8%.</w:t>
            </w:r>
          </w:p>
        </w:tc>
      </w:tr>
    </w:tbl>
    <w:tbl>
      <w:tblPr>
        <w:tblW w:w="4833" w:type="dxa"/>
        <w:jc w:val="left"/>
        <w:tblInd w:w="0" w:type="dxa"/>
        <w:tblLayout w:type="fixed"/>
        <w:tblCellMar>
          <w:top w:w="0" w:type="dxa"/>
          <w:left w:w="0" w:type="dxa"/>
          <w:bottom w:w="0" w:type="dxa"/>
          <w:right w:w="0" w:type="dxa"/>
        </w:tblCellMar>
      </w:tblPr>
      <w:tblGrid>
        <w:gridCol w:w="38"/>
        <w:gridCol w:w="170"/>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25"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Deposits totaled S/11,482 million with a MS of 9.0%.</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BCP Bolivia’s purpose is to “give opportunities”. We aspire to lead the banking system for profitability; be the N° 1 bank in client experience; and lead the payment market through Yape. We focus on strengthening our digital channels to improve transactionality and increase low-cost deposit balances. By the end of December 2023, the number of accounts opened monthly rose two-fold compared to the figure in 2022, driven by growth in Yape Bolivia, which topped one million users at year-end.</w:t>
      </w:r>
    </w:p>
    <w:p>
      <w:pPr>
        <w:pStyle w:val="TextBody"/>
        <w:bidi w:val="0"/>
        <w:spacing w:before="0" w:after="0"/>
        <w:ind w:left="0" w:right="0" w:hanging="0"/>
        <w:jc w:val="both"/>
        <w:rPr>
          <w:caps w:val="false"/>
          <w:smallCaps w:val="false"/>
        </w:rPr>
      </w:pPr>
      <w:r>
        <w:rPr>
          <w:caps w:val="false"/>
          <w:smallCaps w:val="false"/>
        </w:rPr>
        <w:t> </w:t>
      </w:r>
    </w:p>
    <w:tbl>
      <w:tblPr>
        <w:tblW w:w="2118" w:type="dxa"/>
        <w:jc w:val="left"/>
        <w:tblInd w:w="0" w:type="dxa"/>
        <w:tblLayout w:type="fixed"/>
        <w:tblCellMar>
          <w:top w:w="0" w:type="dxa"/>
          <w:left w:w="0" w:type="dxa"/>
          <w:bottom w:w="0" w:type="dxa"/>
          <w:right w:w="0" w:type="dxa"/>
        </w:tblCellMar>
      </w:tblPr>
      <w:tblGrid>
        <w:gridCol w:w="38"/>
        <w:gridCol w:w="260"/>
        <w:gridCol w:w="182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Arial" w:hAnsi="Arial"/>
                <w:b/>
                <w:i w:val="false"/>
                <w:caps w:val="false"/>
                <w:smallCaps w:val="false"/>
                <w:sz w:val="28"/>
              </w:rPr>
            </w:pPr>
            <w:r>
              <w:rPr>
                <w:rFonts w:ascii="Arial" w:hAnsi="Arial"/>
                <w:b/>
                <w:i w:val="false"/>
                <w:caps w:val="false"/>
                <w:smallCaps w:val="false"/>
                <w:sz w:val="28"/>
              </w:rPr>
              <w:t>2.</w:t>
            </w:r>
          </w:p>
        </w:tc>
        <w:tc>
          <w:tcPr>
            <w:tcW w:w="1820" w:type="dxa"/>
            <w:tcBorders/>
            <w:vAlign w:val="center"/>
          </w:tcPr>
          <w:p>
            <w:pPr>
              <w:pStyle w:val="TableContents"/>
              <w:bidi w:val="0"/>
              <w:spacing w:before="0" w:after="283"/>
              <w:jc w:val="left"/>
              <w:rPr>
                <w:rFonts w:ascii="Arial" w:hAnsi="Arial"/>
                <w:b/>
                <w:i w:val="false"/>
                <w:caps w:val="false"/>
                <w:smallCaps w:val="false"/>
                <w:sz w:val="28"/>
              </w:rPr>
            </w:pPr>
            <w:r>
              <w:rPr>
                <w:rFonts w:ascii="Arial" w:hAnsi="Arial"/>
                <w:b/>
                <w:i w:val="false"/>
                <w:caps w:val="false"/>
                <w:smallCaps w:val="false"/>
                <w:sz w:val="28"/>
              </w:rPr>
              <w:t>Microfinance</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40" w:before="0" w:after="0"/>
        <w:ind w:left="0" w:right="0" w:hanging="0"/>
        <w:jc w:val="left"/>
        <w:rPr>
          <w:rFonts w:ascii="Arial" w:hAnsi="Arial"/>
          <w:b/>
          <w:i w:val="false"/>
          <w:caps w:val="false"/>
          <w:smallCaps w:val="false"/>
          <w:color w:val="808080"/>
          <w:sz w:val="22"/>
        </w:rPr>
      </w:pPr>
      <w:r>
        <w:rPr>
          <w:rFonts w:ascii="Arial" w:hAnsi="Arial"/>
          <w:b/>
          <w:i w:val="false"/>
          <w:caps w:val="false"/>
          <w:smallCaps w:val="false"/>
          <w:color w:val="808080"/>
          <w:sz w:val="22"/>
        </w:rPr>
        <w:t>Mibanco – Leader in Microfinance in Latin America and second most relevant player in the world3</w:t>
      </w:r>
    </w:p>
    <w:p>
      <w:pPr>
        <w:pStyle w:val="TextBody"/>
        <w:bidi w:val="0"/>
        <w:spacing w:before="0" w:after="0"/>
        <w:ind w:left="0" w:right="0" w:hanging="0"/>
        <w:jc w:val="left"/>
        <w:rPr>
          <w:caps w:val="false"/>
          <w:smallCaps w:val="false"/>
          <w:color w:val="808080"/>
        </w:rPr>
      </w:pPr>
      <w:r>
        <w:rPr>
          <w:caps w:val="false"/>
          <w:smallCaps w:val="false"/>
          <w:color w:val="80808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Mibanco is an entity in the Peruvian Financial System that serves micro and small businesses. It has an extensive network of points of service, including mobile banking, App Mibanco, Telephone Banking, correspondent agents and BCP ATMs.</w:t>
      </w:r>
    </w:p>
    <w:p>
      <w:pPr>
        <w:pStyle w:val="TextBody"/>
        <w:bidi w:val="0"/>
        <w:spacing w:before="0" w:after="0"/>
        <w:ind w:left="0" w:right="0" w:hanging="0"/>
        <w:jc w:val="both"/>
        <w:rPr>
          <w:caps w:val="false"/>
          <w:smallCaps w:val="false"/>
        </w:rPr>
      </w:pPr>
      <w:r>
        <w:rPr>
          <w:caps w:val="false"/>
          <w:smallCaps w:val="false"/>
        </w:rPr>
        <w:t> </w:t>
      </w:r>
    </w:p>
    <w:tbl>
      <w:tblPr>
        <w:tblW w:w="6978" w:type="dxa"/>
        <w:jc w:val="left"/>
        <w:tblInd w:w="0" w:type="dxa"/>
        <w:tblLayout w:type="fixed"/>
        <w:tblCellMar>
          <w:top w:w="0" w:type="dxa"/>
          <w:left w:w="0" w:type="dxa"/>
          <w:bottom w:w="0" w:type="dxa"/>
          <w:right w:w="0" w:type="dxa"/>
        </w:tblCellMar>
      </w:tblPr>
      <w:tblGrid>
        <w:gridCol w:w="38"/>
        <w:gridCol w:w="17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70" w:type="dxa"/>
            <w:tcBorders/>
            <w:vAlign w:val="center"/>
          </w:tcPr>
          <w:p>
            <w:pPr>
              <w:pStyle w:val="TableContents"/>
              <w:bidi w:val="0"/>
              <w:spacing w:lineRule="auto" w:line="240" w:before="0" w:after="283"/>
              <w:jc w:val="left"/>
              <w:rPr>
                <w:rFonts w:ascii="Arial" w:hAnsi="Arial"/>
                <w:b w:val="false"/>
                <w:i w:val="false"/>
                <w:caps w:val="false"/>
                <w:smallCaps w:val="false"/>
                <w:sz w:val="20"/>
              </w:rPr>
            </w:pPr>
            <w:r>
              <w:rPr>
                <w:rFonts w:ascii="Arial" w:hAnsi="Arial"/>
                <w:b w:val="false"/>
                <w:i w:val="false"/>
                <w:caps w:val="false"/>
                <w:smallCaps w:val="false"/>
                <w:sz w:val="20"/>
              </w:rPr>
              <w:t>Regional leader in microfinance, with 22.3% of MS4 in Peru in terms of loans.</w:t>
            </w:r>
          </w:p>
        </w:tc>
      </w:tr>
    </w:tbl>
    <w:tbl>
      <w:tblPr>
        <w:tblW w:w="2988" w:type="dxa"/>
        <w:jc w:val="left"/>
        <w:tblInd w:w="0" w:type="dxa"/>
        <w:tblLayout w:type="fixed"/>
        <w:tblCellMar>
          <w:top w:w="0" w:type="dxa"/>
          <w:left w:w="0" w:type="dxa"/>
          <w:bottom w:w="0" w:type="dxa"/>
          <w:right w:w="0" w:type="dxa"/>
        </w:tblCellMar>
      </w:tblPr>
      <w:tblGrid>
        <w:gridCol w:w="38"/>
        <w:gridCol w:w="170"/>
        <w:gridCol w:w="27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80"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Loans totaled S/ 13,269 million.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Mibanco’s purpose is to “</w:t>
      </w:r>
      <w:r>
        <w:rPr>
          <w:rFonts w:ascii="Arial" w:hAnsi="Arial"/>
          <w:b/>
          <w:i w:val="false"/>
          <w:caps w:val="false"/>
          <w:smallCaps w:val="false"/>
          <w:sz w:val="20"/>
        </w:rPr>
        <w:t>Transform people’s lives while maintaining a commitment to financial inclusion, progress and working together to contribute to the country’s growth.”</w:t>
      </w:r>
      <w:r>
        <w:rPr>
          <w:rFonts w:ascii="Arial" w:hAnsi="Arial"/>
          <w:b w:val="false"/>
          <w:i w:val="false"/>
          <w:caps w:val="false"/>
          <w:smallCaps w:val="false"/>
          <w:sz w:val="20"/>
        </w:rPr>
        <w:t xml:space="preserve"> We aspire to provide the best experience in the microfinance system; achieve higher profitability; and be N°1 in responsible financial inclusion.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Peru, we continue to consolidate our hybrid model, which leverages 3 enablers: (i) centralized enablers, (ii) alternative channels, (iii) commercial execution. On the centralized intelligence front, loans disbursed via commercial offerings generated by the centralized intelligence engine represented 70.7% of total disbursements in 2023. Fifteen percent (15.0%) of total disbursements were made through alternative channels in 2023. In the short-term, we plan to strengthen capacities to implement more preventive risk models and will conduct more granular follow-up on the portfolio. In the medium term, we aspire to provide our clients with a comprehensive value proposition to diversify the bank’s sources of income. We would like to build a hybrid Plus model, where centralized intelligence will play a role in offering loans, liability products and transactional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Arial" w:hAnsi="Arial"/>
          <w:b w:val="false"/>
          <w:i w:val="false"/>
          <w:caps w:val="false"/>
          <w:smallCaps w:val="false"/>
          <w:sz w:val="16"/>
        </w:rPr>
      </w:pPr>
      <w:r>
        <w:rPr>
          <w:rFonts w:ascii="Arial" w:hAnsi="Arial"/>
          <w:b w:val="false"/>
          <w:i w:val="false"/>
          <w:caps w:val="false"/>
          <w:smallCaps w:val="false"/>
          <w:sz w:val="16"/>
        </w:rPr>
        <w:t>(3) According to FMO, The Dutch Entrepreneurial Development Bank.</w:t>
      </w:r>
    </w:p>
    <w:p>
      <w:pPr>
        <w:pStyle w:val="TextBody"/>
        <w:bidi w:val="0"/>
        <w:spacing w:before="0" w:after="0"/>
        <w:jc w:val="left"/>
        <w:rPr>
          <w:rFonts w:ascii="Arial" w:hAnsi="Arial"/>
          <w:b w:val="false"/>
          <w:i w:val="false"/>
          <w:caps w:val="false"/>
          <w:smallCaps w:val="false"/>
          <w:sz w:val="16"/>
        </w:rPr>
      </w:pPr>
      <w:r>
        <w:rPr>
          <w:rFonts w:ascii="Arial" w:hAnsi="Arial"/>
          <w:b w:val="false"/>
          <w:i w:val="false"/>
          <w:caps w:val="false"/>
          <w:smallCaps w:val="false"/>
          <w:sz w:val="16"/>
        </w:rPr>
        <w:t>(4) To November 2023</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tbl>
      <w:tblPr>
        <w:tblW w:w="3693" w:type="dxa"/>
        <w:jc w:val="left"/>
        <w:tblInd w:w="0" w:type="dxa"/>
        <w:tblLayout w:type="fixed"/>
        <w:tblCellMar>
          <w:top w:w="0" w:type="dxa"/>
          <w:left w:w="0" w:type="dxa"/>
          <w:bottom w:w="0" w:type="dxa"/>
          <w:right w:w="0" w:type="dxa"/>
        </w:tblCellMar>
      </w:tblPr>
      <w:tblGrid>
        <w:gridCol w:w="38"/>
        <w:gridCol w:w="260"/>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Arial" w:hAnsi="Arial"/>
                <w:b/>
                <w:i w:val="false"/>
                <w:caps w:val="false"/>
                <w:smallCaps w:val="false"/>
                <w:sz w:val="28"/>
              </w:rPr>
            </w:pPr>
            <w:r>
              <w:rPr>
                <w:rFonts w:ascii="Arial" w:hAnsi="Arial"/>
                <w:b/>
                <w:i w:val="false"/>
                <w:caps w:val="false"/>
                <w:smallCaps w:val="false"/>
                <w:sz w:val="28"/>
              </w:rPr>
              <w:t>3.</w:t>
            </w:r>
          </w:p>
        </w:tc>
        <w:tc>
          <w:tcPr>
            <w:tcW w:w="3395" w:type="dxa"/>
            <w:tcBorders/>
            <w:vAlign w:val="center"/>
          </w:tcPr>
          <w:p>
            <w:pPr>
              <w:pStyle w:val="TableContents"/>
              <w:bidi w:val="0"/>
              <w:spacing w:before="0" w:after="283"/>
              <w:jc w:val="left"/>
              <w:rPr>
                <w:rFonts w:ascii="Arial" w:hAnsi="Arial"/>
                <w:b/>
                <w:i w:val="false"/>
                <w:caps w:val="false"/>
                <w:smallCaps w:val="false"/>
                <w:sz w:val="28"/>
              </w:rPr>
            </w:pPr>
            <w:r>
              <w:rPr>
                <w:rFonts w:ascii="Arial" w:hAnsi="Arial"/>
                <w:b/>
                <w:i w:val="false"/>
                <w:caps w:val="false"/>
                <w:smallCaps w:val="false"/>
                <w:sz w:val="28"/>
              </w:rPr>
              <w:t>Insurance and Pensions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808080"/>
          <w:sz w:val="22"/>
        </w:rPr>
      </w:pPr>
      <w:r>
        <w:rPr>
          <w:rFonts w:ascii="Arial" w:hAnsi="Arial"/>
          <w:b/>
          <w:i w:val="false"/>
          <w:caps w:val="false"/>
          <w:smallCaps w:val="false"/>
          <w:color w:val="808080"/>
          <w:sz w:val="22"/>
        </w:rPr>
        <w:t>Grupo Pacifico – Top 2 in net earned premiums in the Peruvian Insurance market.</w:t>
      </w:r>
    </w:p>
    <w:p>
      <w:pPr>
        <w:pStyle w:val="TextBody"/>
        <w:bidi w:val="0"/>
        <w:spacing w:before="0" w:after="0"/>
        <w:ind w:left="0" w:right="0" w:hanging="0"/>
        <w:jc w:val="left"/>
        <w:rPr>
          <w:caps w:val="false"/>
          <w:smallCaps w:val="false"/>
          <w:color w:val="808080"/>
        </w:rPr>
      </w:pPr>
      <w:r>
        <w:rPr>
          <w:caps w:val="false"/>
          <w:smallCaps w:val="false"/>
          <w:color w:val="80808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Grupo Pacífico is a leading institution in the Peruvian insurance system. The company has two businesses that serve a diverse cross-section of the market: Life and P &amp; C. In 2015, Grupo Pacífico signed a participation in association agreement with Banmédica to participate as equal partners in the health and medical insurance services. This agreement covers private medical insurance (Medical Assistance), currently managed by Pacifico Seguros (and reported within the P &amp; C business), corporate health insurance for employees (insurance EPS), and medical service subsidiaries (clinics, laboratories, oncological centers). Under the terms of the contract, Grupo Pacifico transferred operating control of EPS insurance and the medical service subsidiaries to Banmédica. Consequently, the results for EPS insurance and medical services are not consolidated in Grupo Pacifico’s accounting balances and are reported as investment in associates.</w:t>
      </w:r>
    </w:p>
    <w:p>
      <w:pPr>
        <w:pStyle w:val="TextBody"/>
        <w:bidi w:val="0"/>
        <w:spacing w:before="0" w:after="0"/>
        <w:ind w:left="0" w:right="0" w:hanging="0"/>
        <w:jc w:val="both"/>
        <w:rPr>
          <w:caps w:val="false"/>
          <w:smallCaps w:val="false"/>
        </w:rPr>
      </w:pPr>
      <w:r>
        <w:rPr>
          <w:caps w:val="false"/>
          <w:smallCaps w:val="false"/>
        </w:rPr>
        <w:t> </w:t>
      </w:r>
    </w:p>
    <w:tbl>
      <w:tblPr>
        <w:tblW w:w="8178" w:type="dxa"/>
        <w:jc w:val="left"/>
        <w:tblInd w:w="0" w:type="dxa"/>
        <w:tblLayout w:type="fixed"/>
        <w:tblCellMar>
          <w:top w:w="0" w:type="dxa"/>
          <w:left w:w="0" w:type="dxa"/>
          <w:bottom w:w="0" w:type="dxa"/>
          <w:right w:w="0" w:type="dxa"/>
        </w:tblCellMar>
      </w:tblPr>
      <w:tblGrid>
        <w:gridCol w:w="38"/>
        <w:gridCol w:w="170"/>
        <w:gridCol w:w="79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70" w:type="dxa"/>
            <w:tcBorders/>
            <w:vAlign w:val="center"/>
          </w:tcPr>
          <w:p>
            <w:pPr>
              <w:pStyle w:val="TableContents"/>
              <w:bidi w:val="0"/>
              <w:spacing w:lineRule="auto" w:line="240" w:before="0" w:after="283"/>
              <w:jc w:val="left"/>
              <w:rPr>
                <w:rFonts w:ascii="Arial" w:hAnsi="Arial"/>
                <w:b w:val="false"/>
                <w:i w:val="false"/>
                <w:caps w:val="false"/>
                <w:smallCaps w:val="false"/>
                <w:sz w:val="20"/>
              </w:rPr>
            </w:pPr>
            <w:r>
              <w:rPr>
                <w:rFonts w:ascii="Arial" w:hAnsi="Arial"/>
                <w:b w:val="false"/>
                <w:i w:val="false"/>
                <w:caps w:val="false"/>
                <w:smallCaps w:val="false"/>
                <w:sz w:val="20"/>
              </w:rPr>
              <w:t>2nd place in Net Earned Premiums5 with S/ 3,232 million in the Peruvian insurance market.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Pacifico Seguros’s purpose is to “</w:t>
      </w:r>
      <w:r>
        <w:rPr>
          <w:rFonts w:ascii="Arial" w:hAnsi="Arial"/>
          <w:b/>
          <w:i w:val="false"/>
          <w:caps w:val="false"/>
          <w:smallCaps w:val="false"/>
          <w:sz w:val="20"/>
        </w:rPr>
        <w:t>Protect people’s happiness.”</w:t>
      </w:r>
      <w:r>
        <w:rPr>
          <w:rFonts w:ascii="Arial" w:hAnsi="Arial"/>
          <w:b w:val="false"/>
          <w:i w:val="false"/>
          <w:caps w:val="false"/>
          <w:smallCaps w:val="false"/>
          <w:sz w:val="20"/>
        </w:rPr>
        <w:t xml:space="preserve"> Three objectives guide the company on its journey: (i) Increase our sales so that more people are protected; this implies developing new products and channels and leveraging the scope offered by Credicorp’s channels, (ii) Have the highest NPS in the market, surprising clients with an extraordinary experience and putting them at the center of everything we do, and, (iii) Continue leading the market in efficiency to offer better protection and value for clients and our stakeholders. We know that talent is key to developing and strengthening internal capacities to achieve our objectives. To this end, approximately 25% of our staff is “technological talent.”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2023, we were ranked #1 for both NPS and efficiency. In this context, our client NPS rose 7 percentage points to stand at 40 at year-end. We also scaled our digital assets, such as Mi Espacio Pacifico, which reported 487 thousand active users at the end of December. In this scenario, premiums sold through digital channels rose 18% this year while the number of transactions that were self-managed by clients rose 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808080"/>
          <w:sz w:val="22"/>
        </w:rPr>
      </w:pPr>
      <w:r>
        <w:rPr>
          <w:rFonts w:ascii="Arial" w:hAnsi="Arial"/>
          <w:b/>
          <w:i w:val="false"/>
          <w:caps w:val="false"/>
          <w:smallCaps w:val="false"/>
          <w:color w:val="808080"/>
          <w:sz w:val="22"/>
        </w:rPr>
        <w:t>Prima AFP – Second largest actor in the Peruvian Pensions Market</w:t>
      </w:r>
    </w:p>
    <w:p>
      <w:pPr>
        <w:pStyle w:val="TextBody"/>
        <w:bidi w:val="0"/>
        <w:spacing w:before="0" w:after="0"/>
        <w:ind w:left="0" w:right="0" w:hanging="0"/>
        <w:jc w:val="left"/>
        <w:rPr>
          <w:caps w:val="false"/>
          <w:smallCaps w:val="false"/>
          <w:color w:val="808080"/>
        </w:rPr>
      </w:pPr>
      <w:r>
        <w:rPr>
          <w:caps w:val="false"/>
          <w:smallCaps w:val="false"/>
          <w:color w:val="808080"/>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Prima is a private pension fund manager. It was chartered in 2005 and currently ranks 2nd in the market for funds under management, which totaled S/ 36,851 million at the end of 2023 and represented an MS of 30.0%. Prima AFP’s purpose is to “</w:t>
      </w:r>
      <w:r>
        <w:rPr>
          <w:rFonts w:ascii="Arial" w:hAnsi="Arial"/>
          <w:b/>
          <w:i w:val="false"/>
          <w:caps w:val="false"/>
          <w:smallCaps w:val="false"/>
          <w:sz w:val="20"/>
        </w:rPr>
        <w:t>Guide and accompany people as they progress”.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(5) Net earned premiums: Retained premiums from insurance and accepted reinsurance plus an adjustment for underwriting reserves and accepted reinsurance. Definition of the Superintendency of Banking, Insurance and AFP (SBS).</w:t>
      </w:r>
    </w:p>
    <w:p>
      <w:pPr>
        <w:pStyle w:val="TextBody"/>
        <w:bidi w:val="0"/>
        <w:spacing w:before="0" w:after="0"/>
        <w:ind w:left="0" w:right="0" w:hanging="0"/>
        <w:jc w:val="left"/>
        <w:rPr>
          <w:caps w:val="false"/>
          <w:smallCaps w:val="false"/>
        </w:rPr>
      </w:pPr>
      <w:r>
        <w:rPr>
          <w:caps w:val="false"/>
          <w:smallCaps w:val="false"/>
        </w:rPr>
        <w:t> </w:t>
      </w:r>
    </w:p>
    <w:tbl>
      <w:tblPr>
        <w:tblW w:w="5328" w:type="dxa"/>
        <w:jc w:val="left"/>
        <w:tblInd w:w="0" w:type="dxa"/>
        <w:tblLayout w:type="fixed"/>
        <w:tblCellMar>
          <w:top w:w="0" w:type="dxa"/>
          <w:left w:w="0" w:type="dxa"/>
          <w:bottom w:w="0" w:type="dxa"/>
          <w:right w:w="0" w:type="dxa"/>
        </w:tblCellMar>
      </w:tblPr>
      <w:tblGrid>
        <w:gridCol w:w="38"/>
        <w:gridCol w:w="260"/>
        <w:gridCol w:w="503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Arial" w:hAnsi="Arial"/>
                <w:b/>
                <w:i w:val="false"/>
                <w:caps w:val="false"/>
                <w:smallCaps w:val="false"/>
                <w:sz w:val="28"/>
              </w:rPr>
            </w:pPr>
            <w:r>
              <w:rPr>
                <w:rFonts w:ascii="Arial" w:hAnsi="Arial"/>
                <w:b/>
                <w:i w:val="false"/>
                <w:caps w:val="false"/>
                <w:smallCaps w:val="false"/>
                <w:sz w:val="28"/>
              </w:rPr>
              <w:t>4.</w:t>
            </w:r>
          </w:p>
        </w:tc>
        <w:tc>
          <w:tcPr>
            <w:tcW w:w="5030" w:type="dxa"/>
            <w:tcBorders/>
            <w:vAlign w:val="center"/>
          </w:tcPr>
          <w:p>
            <w:pPr>
              <w:pStyle w:val="TableContents"/>
              <w:bidi w:val="0"/>
              <w:spacing w:before="0" w:after="283"/>
              <w:jc w:val="left"/>
              <w:rPr>
                <w:rFonts w:ascii="Arial" w:hAnsi="Arial"/>
                <w:b/>
                <w:i w:val="false"/>
                <w:caps w:val="false"/>
                <w:smallCaps w:val="false"/>
                <w:sz w:val="28"/>
              </w:rPr>
            </w:pPr>
            <w:r>
              <w:rPr>
                <w:rFonts w:ascii="Arial" w:hAnsi="Arial"/>
                <w:b/>
                <w:i w:val="false"/>
                <w:caps w:val="false"/>
                <w:smallCaps w:val="false"/>
                <w:sz w:val="28"/>
              </w:rPr>
              <w:t>Investment Management &amp; Advisory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808080"/>
          <w:sz w:val="22"/>
        </w:rPr>
      </w:pPr>
      <w:r>
        <w:rPr>
          <w:rFonts w:ascii="Arial" w:hAnsi="Arial"/>
          <w:b/>
          <w:i w:val="false"/>
          <w:caps w:val="false"/>
          <w:smallCaps w:val="false"/>
          <w:color w:val="808080"/>
          <w:sz w:val="22"/>
        </w:rPr>
        <w:t>Credicorp Capital</w:t>
      </w:r>
    </w:p>
    <w:p>
      <w:pPr>
        <w:pStyle w:val="TextBody"/>
        <w:bidi w:val="0"/>
        <w:spacing w:before="0" w:after="0"/>
        <w:ind w:left="0" w:right="0" w:hanging="0"/>
        <w:jc w:val="left"/>
        <w:rPr>
          <w:caps w:val="false"/>
          <w:smallCaps w:val="false"/>
          <w:color w:val="808080"/>
        </w:rPr>
      </w:pPr>
      <w:r>
        <w:rPr>
          <w:caps w:val="false"/>
          <w:smallCaps w:val="false"/>
          <w:color w:val="80808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Credicorp Capital aspires to be the preferred provider of advisory services and investment management with the best talent in the region. It runs operations in Peru, Colombia, Chile and the United States through four business units: (i) Asset Management, (ii) Wealth Management, (iii) Capital Markets and (iv) Fiduciary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808080"/>
          <w:sz w:val="22"/>
        </w:rPr>
      </w:pPr>
      <w:r>
        <w:rPr>
          <w:rFonts w:ascii="Arial" w:hAnsi="Arial"/>
          <w:b/>
          <w:i w:val="false"/>
          <w:caps w:val="false"/>
          <w:smallCaps w:val="false"/>
          <w:color w:val="808080"/>
          <w:sz w:val="22"/>
        </w:rPr>
        <w:t>ASB Bank Corp</w:t>
      </w:r>
    </w:p>
    <w:p>
      <w:pPr>
        <w:pStyle w:val="TextBody"/>
        <w:bidi w:val="0"/>
        <w:spacing w:before="0" w:after="0"/>
        <w:ind w:left="0" w:right="0" w:hanging="0"/>
        <w:jc w:val="left"/>
        <w:rPr>
          <w:caps w:val="false"/>
          <w:smallCaps w:val="false"/>
          <w:color w:val="808080"/>
        </w:rPr>
      </w:pPr>
      <w:r>
        <w:rPr>
          <w:caps w:val="false"/>
          <w:smallCaps w:val="false"/>
          <w:color w:val="80808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ASB is our banking platform in Panama. Its balance backs Credicorp’s Wealth Management business. Additionally, ASB serves as a platform for a portion of the Group’s trading strategies in the Capital Markets business.</w:t>
      </w:r>
    </w:p>
    <w:p>
      <w:pPr>
        <w:pStyle w:val="TextBody"/>
        <w:bidi w:val="0"/>
        <w:spacing w:before="0" w:after="0"/>
        <w:ind w:left="0" w:right="0" w:hanging="0"/>
        <w:jc w:val="both"/>
        <w:rPr>
          <w:caps w:val="false"/>
          <w:smallCaps w:val="false"/>
        </w:rPr>
      </w:pPr>
      <w:r>
        <w:rPr>
          <w:caps w:val="false"/>
          <w:smallCaps w:val="false"/>
        </w:rPr>
        <w:t> </w:t>
      </w:r>
    </w:p>
    <w:tbl>
      <w:tblPr>
        <w:tblW w:w="7893" w:type="dxa"/>
        <w:jc w:val="left"/>
        <w:tblInd w:w="0" w:type="dxa"/>
        <w:tblLayout w:type="fixed"/>
        <w:tblCellMar>
          <w:top w:w="0" w:type="dxa"/>
          <w:left w:w="0" w:type="dxa"/>
          <w:bottom w:w="0" w:type="dxa"/>
          <w:right w:w="0" w:type="dxa"/>
        </w:tblCellMar>
      </w:tblPr>
      <w:tblGrid>
        <w:gridCol w:w="38"/>
        <w:gridCol w:w="170"/>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85"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Assets under management for approximately US$ 16,520 million in Wealth Management</w:t>
            </w:r>
          </w:p>
        </w:tc>
      </w:tr>
    </w:tbl>
    <w:tbl>
      <w:tblPr>
        <w:tblW w:w="7803" w:type="dxa"/>
        <w:jc w:val="left"/>
        <w:tblInd w:w="0" w:type="dxa"/>
        <w:tblLayout w:type="fixed"/>
        <w:tblCellMar>
          <w:top w:w="0" w:type="dxa"/>
          <w:left w:w="0" w:type="dxa"/>
          <w:bottom w:w="0" w:type="dxa"/>
          <w:right w:w="0" w:type="dxa"/>
        </w:tblCellMar>
      </w:tblPr>
      <w:tblGrid>
        <w:gridCol w:w="38"/>
        <w:gridCol w:w="170"/>
        <w:gridCol w:w="75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95"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Assets under management for approximately US$ 19,634 million in Asset Management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At Credicorp Capital and ASB Bank Corp., we review our strategy and reorganize our business to drive profitable and sustainable growth through our asset management, wealth management, capital markets and fiduciary businesses. To accomplish this, we rationalize businesses that consume elevated levels of capital and are highly volatile, such as trading, and have eliminated our corporate finance business. In 2023, we focused on i) strengthening our Business Center in the United States, where we will increase our commercial capacities and include banking services, and ii) generating a new value proposition for the affluent segment in Colombia, hand-in-hand with the development of our digital investment platform, Tyba.</w:t>
      </w:r>
    </w:p>
    <w:p>
      <w:pPr>
        <w:pStyle w:val="TextBody"/>
        <w:bidi w:val="0"/>
        <w:spacing w:before="0" w:after="0"/>
        <w:ind w:left="0" w:right="0" w:hanging="0"/>
        <w:jc w:val="both"/>
        <w:rPr>
          <w:caps w:val="false"/>
          <w:smallCaps w:val="false"/>
        </w:rPr>
      </w:pPr>
      <w:r>
        <w:rPr>
          <w:caps w:val="false"/>
          <w:smallCaps w:val="false"/>
        </w:rPr>
        <w:t> </w:t>
      </w:r>
    </w:p>
    <w:tbl>
      <w:tblPr>
        <w:tblW w:w="3648" w:type="dxa"/>
        <w:jc w:val="left"/>
        <w:tblInd w:w="0" w:type="dxa"/>
        <w:tblLayout w:type="fixed"/>
        <w:tblCellMar>
          <w:top w:w="0" w:type="dxa"/>
          <w:left w:w="0" w:type="dxa"/>
          <w:bottom w:w="0" w:type="dxa"/>
          <w:right w:w="0" w:type="dxa"/>
        </w:tblCellMar>
      </w:tblPr>
      <w:tblGrid>
        <w:gridCol w:w="38"/>
        <w:gridCol w:w="260"/>
        <w:gridCol w:w="335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Arial" w:hAnsi="Arial"/>
                <w:b/>
                <w:i w:val="false"/>
                <w:caps w:val="false"/>
                <w:smallCaps w:val="false"/>
                <w:sz w:val="28"/>
              </w:rPr>
            </w:pPr>
            <w:r>
              <w:rPr>
                <w:rFonts w:ascii="Arial" w:hAnsi="Arial"/>
                <w:b/>
                <w:i w:val="false"/>
                <w:caps w:val="false"/>
                <w:smallCaps w:val="false"/>
                <w:sz w:val="28"/>
              </w:rPr>
              <w:t>5.</w:t>
            </w:r>
          </w:p>
        </w:tc>
        <w:tc>
          <w:tcPr>
            <w:tcW w:w="3350" w:type="dxa"/>
            <w:tcBorders/>
            <w:vAlign w:val="center"/>
          </w:tcPr>
          <w:p>
            <w:pPr>
              <w:pStyle w:val="TableContents"/>
              <w:bidi w:val="0"/>
              <w:spacing w:before="0" w:after="283"/>
              <w:jc w:val="left"/>
              <w:rPr>
                <w:rFonts w:ascii="Arial" w:hAnsi="Arial"/>
                <w:b/>
                <w:i w:val="false"/>
                <w:caps w:val="false"/>
                <w:smallCaps w:val="false"/>
                <w:sz w:val="28"/>
              </w:rPr>
            </w:pPr>
            <w:r>
              <w:rPr>
                <w:rFonts w:ascii="Arial" w:hAnsi="Arial"/>
                <w:b/>
                <w:i w:val="false"/>
                <w:caps w:val="false"/>
                <w:smallCaps w:val="false"/>
                <w:sz w:val="28"/>
              </w:rPr>
              <w:t xml:space="preserve">Innovation at Credicorp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Credicorp believes that digital transformation is fundamental to ensuring that its businesses can further their purpose to contribute to improving people’s lives by driving the changes our countries need. For this reason, and to strengthen our culture of innovation and entrepreneurship at the corporate level; align the spaces in which we can innovate; and optimize the return on our innovation portfolio, we have begun the process to implement our system for corporate innovation.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This system focuses on the most disruptive initiatives, which i) seek to generate new sources of income through our business models, ii) can compete with our traditional businesses and/or iii) are supported by the most technological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main bodies of governance of this system can be summarized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i w:val="false"/>
                <w:caps w:val="false"/>
                <w:smallCaps w:val="false"/>
                <w:sz w:val="20"/>
              </w:rPr>
              <w:t>Innovation committee:</w:t>
            </w:r>
            <w:r>
              <w:rPr>
                <w:rFonts w:ascii="Arial" w:hAnsi="Arial"/>
                <w:b w:val="false"/>
                <w:i w:val="false"/>
                <w:caps w:val="false"/>
                <w:smallCaps w:val="false"/>
                <w:sz w:val="20"/>
              </w:rPr>
              <w:t xml:space="preserve"> defines the innovation strategy and guidelines for portfolio management, on behalf of the Board. It is comprised of the CEO, COO and Chief Innovation Officer (CINO) and the CFO and CEO of Krealo participate on a recurring basis.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i w:val="false"/>
                <w:caps w:val="false"/>
                <w:smallCaps w:val="false"/>
                <w:sz w:val="20"/>
              </w:rPr>
              <w:t>Valuation Committee:</w:t>
            </w:r>
            <w:r>
              <w:rPr>
                <w:rFonts w:ascii="Arial" w:hAnsi="Arial"/>
                <w:b w:val="false"/>
                <w:i w:val="false"/>
                <w:caps w:val="false"/>
                <w:smallCaps w:val="false"/>
                <w:sz w:val="20"/>
              </w:rPr>
              <w:t xml:space="preserve"> defines the methodologies and parameters to conduct valuations of the investments that comprise the disruptive innovation portfolio. This is presided by the CFO.</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i w:val="false"/>
                <w:caps w:val="false"/>
                <w:smallCaps w:val="false"/>
                <w:sz w:val="20"/>
              </w:rPr>
              <w:t>Innovation Round Table:</w:t>
            </w:r>
            <w:r>
              <w:rPr>
                <w:rFonts w:ascii="Arial" w:hAnsi="Arial"/>
                <w:b w:val="false"/>
                <w:i w:val="false"/>
                <w:caps w:val="false"/>
                <w:smallCaps w:val="false"/>
                <w:sz w:val="20"/>
              </w:rPr>
              <w:t xml:space="preserve"> Forum of discussion, coordination and collaboration for the leaders of the Innovation Units (UdI).</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i w:val="false"/>
                <w:caps w:val="false"/>
                <w:smallCaps w:val="false"/>
                <w:sz w:val="20"/>
              </w:rPr>
              <w:t>Innovation Office:</w:t>
            </w:r>
            <w:r>
              <w:rPr>
                <w:rFonts w:ascii="Arial" w:hAnsi="Arial"/>
                <w:b w:val="false"/>
                <w:i w:val="false"/>
                <w:caps w:val="false"/>
                <w:smallCaps w:val="false"/>
                <w:sz w:val="20"/>
              </w:rPr>
              <w:t xml:space="preserve"> in conjunction with CINO, designs and makes recommends the disruptive innovation strategy at the corporate level; manages the innovation portfolio; and works to develop the enablers that optimize the innovation efforts of the innovation units.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The Innovation Committee, Innovation Round Table, and Innovation Office are led by the CINO; their objective is to provide support and constantly develop the system and governance model for corporate innovation.</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i w:val="false"/>
                <w:caps w:val="false"/>
                <w:smallCaps w:val="false"/>
                <w:sz w:val="20"/>
              </w:rPr>
              <w:t>Innovation Units (UdI):</w:t>
            </w:r>
            <w:r>
              <w:rPr>
                <w:rFonts w:ascii="Arial" w:hAnsi="Arial"/>
                <w:b w:val="false"/>
                <w:i w:val="false"/>
                <w:caps w:val="false"/>
                <w:smallCaps w:val="false"/>
                <w:sz w:val="20"/>
              </w:rPr>
              <w:t xml:space="preserve"> explore and develop innovation initiatives. These units are established in our Lines of Business to maintain a decentralized system for innovation and entrepreneurship. Accordingly, each innovation unit receives a mandate that is aligned with the needs of the Business Line to which it belongs and with the transversal innovation system. There are 4 main units: i) Innovation laboratories; ii) Krealo, our corporate venture capital; iii) a special unit that focuses on scaling initiatives with proven potential; and iv) selected disruptive initiatives that are key to the business.</w:t>
            </w:r>
          </w:p>
        </w:tc>
      </w:tr>
    </w:tbl>
    <w:p>
      <w:pPr>
        <w:pStyle w:val="TextBody"/>
        <w:bidi w:val="0"/>
        <w:spacing w:before="0" w:after="0"/>
        <w:jc w:val="left"/>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22</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5848350" cy="4581525"/>
            <wp:effectExtent l="0" t="0" r="0" b="0"/>
            <wp:docPr id="2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6" descr=""/>
                    <pic:cNvPicPr>
                      <a:picLocks noChangeAspect="1" noChangeArrowheads="1"/>
                    </pic:cNvPicPr>
                  </pic:nvPicPr>
                  <pic:blipFill>
                    <a:blip r:embed="rId18"/>
                    <a:stretch>
                      <a:fillRect/>
                    </a:stretch>
                  </pic:blipFill>
                  <pic:spPr bwMode="auto">
                    <a:xfrm>
                      <a:off x="0" y="0"/>
                      <a:ext cx="5848350" cy="4581525"/>
                    </a:xfrm>
                    <a:prstGeom prst="rect">
                      <a:avLst/>
                    </a:prstGeom>
                  </pic:spPr>
                </pic:pic>
              </a:graphicData>
            </a:graphic>
          </wp:inline>
        </w:drawing>
      </w: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808080"/>
          <w:sz w:val="28"/>
        </w:rPr>
      </w:pPr>
      <w:r>
        <w:rPr>
          <w:rFonts w:ascii="Arial" w:hAnsi="Arial"/>
          <w:b/>
          <w:i w:val="false"/>
          <w:caps w:val="false"/>
          <w:smallCaps w:val="false"/>
          <w:color w:val="808080"/>
          <w:sz w:val="28"/>
        </w:rPr>
        <w:t>Initiatives in the Innovation Portfolio</w:t>
      </w:r>
    </w:p>
    <w:p>
      <w:pPr>
        <w:pStyle w:val="TextBody"/>
        <w:bidi w:val="0"/>
        <w:spacing w:before="0" w:after="0"/>
        <w:ind w:left="0" w:right="0" w:hanging="0"/>
        <w:jc w:val="left"/>
        <w:rPr>
          <w:caps w:val="false"/>
          <w:smallCaps w:val="false"/>
          <w:color w:val="808080"/>
        </w:rPr>
      </w:pPr>
      <w:r>
        <w:rPr>
          <w:caps w:val="false"/>
          <w:smallCaps w:val="false"/>
          <w:color w:val="80808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Yape, with more than 10.5 million active users in Peru, is our most mature initiative and is currently in the monetization and value proposition expansion stage. This year alone, we launched 10 functionalities; the traction we have experienced has allowed us to set more aggressive targets.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Initiatives at our corporate center for risk capital are evolving and Tenpo, our digital wallet in Chile, stands out. In 2023, Tenpo launched the first 100% digital credit card in the Chilean market and has entered the scaling phase. Krealo, in turn, expanded its portfolio with three investments: i) Plurall, which offers financial solutions for microbusiness owners in Colombia by leveraging use of data and artificial intelligence, and ii) Finnerio Connect, a pioneer in the development of ecosystems for Open Finance in Latin America, and ii) Datamart, which is redefining the way private information is shared between financial institutions and their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48"/>
        </w:rPr>
      </w:pPr>
      <w:r>
        <w:rPr>
          <w:rFonts w:ascii="Arial" w:hAnsi="Arial"/>
          <w:b/>
          <w:i w:val="false"/>
          <w:caps w:val="false"/>
          <w:smallCaps w:val="false"/>
          <w:sz w:val="48"/>
        </w:rPr>
        <w:t>Chapter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Arial" w:hAnsi="Arial"/>
          <w:b/>
          <w:i w:val="false"/>
          <w:caps w:val="false"/>
          <w:smallCaps w:val="false"/>
          <w:sz w:val="36"/>
        </w:rPr>
      </w:pPr>
      <w:bookmarkStart w:id="13" w:name="a006_v1"/>
      <w:bookmarkEnd w:id="13"/>
      <w:r>
        <w:rPr>
          <w:rFonts w:ascii="Arial" w:hAnsi="Arial"/>
          <w:b/>
          <w:i w:val="false"/>
          <w:caps w:val="false"/>
          <w:smallCaps w:val="false"/>
          <w:sz w:val="36"/>
        </w:rPr>
        <w:t>Economic Environment</w:t>
      </w:r>
    </w:p>
    <w:p>
      <w:pPr>
        <w:pStyle w:val="TextBody"/>
        <w:bidi w:val="0"/>
        <w:spacing w:before="60" w:after="60"/>
        <w:ind w:left="360" w:right="0" w:hanging="36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595959"/>
          <w:sz w:val="28"/>
        </w:rPr>
      </w:pPr>
      <w:r>
        <w:rPr>
          <w:rFonts w:ascii="Arial" w:hAnsi="Arial"/>
          <w:b/>
          <w:i w:val="false"/>
          <w:caps w:val="false"/>
          <w:smallCaps w:val="false"/>
          <w:color w:val="595959"/>
          <w:sz w:val="28"/>
        </w:rPr>
        <w:t xml:space="preserve">A. Growth </w:t>
      </w:r>
    </w:p>
    <w:p>
      <w:pPr>
        <w:pStyle w:val="TextBody"/>
        <w:bidi w:val="0"/>
        <w:spacing w:before="0" w:after="0"/>
        <w:jc w:val="center"/>
        <w:rPr>
          <w:caps w:val="false"/>
          <w:smallCaps w:val="false"/>
          <w:color w:val="595959"/>
        </w:rPr>
      </w:pPr>
      <w:r>
        <w:rPr>
          <w:caps w:val="false"/>
          <w:smallCaps w:val="false"/>
          <w:color w:val="595959"/>
        </w:rPr>
        <w:t> </w:t>
      </w:r>
    </w:p>
    <w:p>
      <w:pPr>
        <w:pStyle w:val="TextBody"/>
        <w:bidi w:val="0"/>
        <w:spacing w:before="0" w:after="0"/>
        <w:jc w:val="center"/>
        <w:rPr>
          <w:caps w:val="false"/>
          <w:smallCaps w:val="false"/>
          <w:color w:val="595959"/>
        </w:rPr>
      </w:pPr>
      <w:r>
        <w:rPr>
          <w:caps w:val="false"/>
          <w:smallCaps w:val="false"/>
          <w:color w:val="595959"/>
        </w:rPr>
        <w:drawing>
          <wp:inline distT="0" distB="0" distL="0" distR="0">
            <wp:extent cx="5153025" cy="2800350"/>
            <wp:effectExtent l="0" t="0" r="0" b="0"/>
            <wp:docPr id="2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7" descr=""/>
                    <pic:cNvPicPr>
                      <a:picLocks noChangeAspect="1" noChangeArrowheads="1"/>
                    </pic:cNvPicPr>
                  </pic:nvPicPr>
                  <pic:blipFill>
                    <a:blip r:embed="rId19"/>
                    <a:stretch>
                      <a:fillRect/>
                    </a:stretch>
                  </pic:blipFill>
                  <pic:spPr bwMode="auto">
                    <a:xfrm>
                      <a:off x="0" y="0"/>
                      <a:ext cx="5153025" cy="2800350"/>
                    </a:xfrm>
                    <a:prstGeom prst="rect">
                      <a:avLst/>
                    </a:prstGeom>
                  </pic:spPr>
                </pic:pic>
              </a:graphicData>
            </a:graphic>
          </wp:inline>
        </w:drawing>
      </w:r>
      <w:r>
        <w:rPr>
          <w:caps w:val="false"/>
          <w:smallCaps w:val="false"/>
          <w:color w:val="595959"/>
        </w:rPr>
        <w:t> </w:t>
      </w:r>
    </w:p>
    <w:p>
      <w:pPr>
        <w:pStyle w:val="TextBody"/>
        <w:bidi w:val="0"/>
        <w:spacing w:before="0" w:after="0"/>
        <w:jc w:val="center"/>
        <w:rPr>
          <w:caps w:val="false"/>
          <w:smallCaps w:val="false"/>
          <w:color w:val="595959"/>
        </w:rPr>
      </w:pPr>
      <w:r>
        <w:rPr>
          <w:caps w:val="false"/>
          <w:smallCaps w:val="false"/>
          <w:color w:val="595959"/>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2023, GDP fell 0.6%, the worst print registered by the Peruvian economy since 1990 (-5.0%), excluding the pandemic. Several factors led to this contraction, the most important of which were social conflicts and El Niño Costero, which reduced GDP growth by almost two percentage points (BCRP).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The social protests at beginning of the year, triggered by the failed </w:t>
      </w:r>
      <w:r>
        <w:rPr>
          <w:rFonts w:ascii="Arial" w:hAnsi="Arial"/>
          <w:b w:val="false"/>
          <w:i/>
          <w:caps w:val="false"/>
          <w:smallCaps w:val="false"/>
          <w:sz w:val="20"/>
        </w:rPr>
        <w:t>coup d’état</w:t>
      </w:r>
      <w:r>
        <w:rPr>
          <w:rFonts w:ascii="Arial" w:hAnsi="Arial"/>
          <w:b w:val="false"/>
          <w:i w:val="false"/>
          <w:caps w:val="false"/>
          <w:smallCaps w:val="false"/>
          <w:sz w:val="20"/>
        </w:rPr>
        <w:t xml:space="preserve"> by former president Pedro Castillo, were concentrated in regions that represent around 15% of GDP and affected non-primary sectors (commerce, services, transportation, construction) as well as some mining units, which experienced blockages and supply shortages.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coastal El Niño was an unanticipated shock that affected the economy for at least ten months. In February, the Multisectoral Commission in charge of studying the El Niño phenomenon (ENFEN) indicated in that it did not expect an occurrence in 2023. One month later, in March, it activated the alert for a weak El Niño. It April, it changed its alert to moderate and in August, to strong. The climate anomalies mainly affected the anchovy fishing, agricultural and primary manufacturing sectors as well as textile production for the domestic market. These sectors registered their worst performance in more than two decades. Furthermore, the expectation that El Niño Costero would extend and intensify its destructive impact in the first quarter of 2024 led economic agents to exercise more caution on the consumption and investment fronts.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addition to the social conflicts at the beginning of the year and El Niño Costero, the Peruvian economy in 2023 was also affected by: (i) persistently high inflation (especially in food prices) despite a recent slowdown, (ii) real wages that remained below pre-pandemic levels, (iii) real interest rates at two-decade highs due to the Central Bank’s effort to control inflation, (iv) political uncertainty, and (v) an absence of new large private investment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sum, GDP fell 0.6% in 2023. The agricultural and fishing sectors fell 2.9% and 19.7%, respectively. Primary manufacturing fell 1.8%, while mining production increased 9.5% due to the first full year of copper production at Quellaveco. In this context, primary GDP grew 2.9% while non-primary GDP fell 1.5%, driven mainly by contractions in construction (-7.9%), non-primary manufacturing (-8.2%) and services (-0.4%).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Finally, domestic demand fell 1.7% due to a 7.2% drop in private investment (lack of large new projects after Quellaveco began operating, which required an investment of US$ 5.5 billion); private consumption grew just 0.1%, its worst print since 1999 (-1.4%), excluding the pandemic.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595959"/>
          <w:sz w:val="28"/>
        </w:rPr>
      </w:pPr>
      <w:r>
        <w:rPr>
          <w:rFonts w:ascii="Arial" w:hAnsi="Arial"/>
          <w:b/>
          <w:i w:val="false"/>
          <w:caps w:val="false"/>
          <w:smallCaps w:val="false"/>
          <w:color w:val="595959"/>
          <w:sz w:val="28"/>
        </w:rPr>
        <w:t>B. Inflation</w:t>
      </w:r>
    </w:p>
    <w:p>
      <w:pPr>
        <w:pStyle w:val="TextBody"/>
        <w:bidi w:val="0"/>
        <w:spacing w:before="0" w:after="0"/>
        <w:ind w:left="0" w:right="0" w:hanging="0"/>
        <w:jc w:val="left"/>
        <w:rPr>
          <w:caps w:val="false"/>
          <w:smallCaps w:val="false"/>
          <w:color w:val="595959"/>
        </w:rPr>
      </w:pPr>
      <w:r>
        <w:rPr>
          <w:caps w:val="false"/>
          <w:smallCaps w:val="false"/>
          <w:color w:val="595959"/>
        </w:rPr>
        <w:t> </w:t>
      </w:r>
    </w:p>
    <w:p>
      <w:pPr>
        <w:pStyle w:val="TextBody"/>
        <w:bidi w:val="0"/>
        <w:spacing w:before="0" w:after="0"/>
        <w:jc w:val="center"/>
        <w:rPr>
          <w:caps w:val="false"/>
          <w:smallCaps w:val="false"/>
          <w:color w:val="595959"/>
        </w:rPr>
      </w:pPr>
      <w:r>
        <w:rPr>
          <w:caps w:val="false"/>
          <w:smallCaps w:val="false"/>
          <w:color w:val="595959"/>
        </w:rPr>
        <w:drawing>
          <wp:inline distT="0" distB="0" distL="0" distR="0">
            <wp:extent cx="5257800" cy="2781300"/>
            <wp:effectExtent l="0" t="0" r="0" b="0"/>
            <wp:docPr id="2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8" descr=""/>
                    <pic:cNvPicPr>
                      <a:picLocks noChangeAspect="1" noChangeArrowheads="1"/>
                    </pic:cNvPicPr>
                  </pic:nvPicPr>
                  <pic:blipFill>
                    <a:blip r:embed="rId20"/>
                    <a:stretch>
                      <a:fillRect/>
                    </a:stretch>
                  </pic:blipFill>
                  <pic:spPr bwMode="auto">
                    <a:xfrm>
                      <a:off x="0" y="0"/>
                      <a:ext cx="5257800" cy="2781300"/>
                    </a:xfrm>
                    <a:prstGeom prst="rect">
                      <a:avLst/>
                    </a:prstGeom>
                  </pic:spPr>
                </pic:pic>
              </a:graphicData>
            </a:graphic>
          </wp:inline>
        </w:drawing>
      </w:r>
      <w:r>
        <w:rPr>
          <w:caps w:val="false"/>
          <w:smallCaps w:val="false"/>
          <w:color w:val="595959"/>
        </w:rPr>
        <w:t> </w:t>
      </w:r>
    </w:p>
    <w:p>
      <w:pPr>
        <w:pStyle w:val="TextBody"/>
        <w:bidi w:val="0"/>
        <w:spacing w:before="0" w:after="0"/>
        <w:ind w:left="0" w:right="0" w:hanging="0"/>
        <w:jc w:val="left"/>
        <w:rPr>
          <w:caps w:val="false"/>
          <w:smallCaps w:val="false"/>
          <w:color w:val="595959"/>
        </w:rPr>
      </w:pPr>
      <w:r>
        <w:rPr>
          <w:caps w:val="false"/>
          <w:smallCaps w:val="false"/>
          <w:color w:val="595959"/>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Inflation slowed from 8.5% in December 2022 to 3.2% in December 2023 due to the reversal of supply shocks in the agriculture and livestock sector at the beginning of the year; normalization of global supply chains; and a drop in average commodity prices (wheat: -28%, corn: -18%; soy: -8%) and crude oil (WTI -17%) for 2023. Core inflation (excludes food and energy) closed the year 2023 at 2.9% YoY, returning to BCRP’s target range of between 1% and 3% after two consecutive years of surpassing the upper limit.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595959"/>
          <w:sz w:val="28"/>
        </w:rPr>
      </w:pPr>
      <w:r>
        <w:rPr>
          <w:rFonts w:ascii="Arial" w:hAnsi="Arial"/>
          <w:b/>
          <w:i w:val="false"/>
          <w:caps w:val="false"/>
          <w:smallCaps w:val="false"/>
          <w:color w:val="595959"/>
          <w:sz w:val="28"/>
        </w:rPr>
        <w:t>C. Reference Rate</w:t>
      </w:r>
    </w:p>
    <w:p>
      <w:pPr>
        <w:pStyle w:val="TextBody"/>
        <w:bidi w:val="0"/>
        <w:spacing w:before="0" w:after="0"/>
        <w:jc w:val="center"/>
        <w:rPr>
          <w:caps w:val="false"/>
          <w:smallCaps w:val="false"/>
          <w:color w:val="595959"/>
        </w:rPr>
      </w:pPr>
      <w:r>
        <w:rPr>
          <w:caps w:val="false"/>
          <w:smallCaps w:val="false"/>
          <w:color w:val="595959"/>
        </w:rPr>
        <w:t> </w:t>
      </w:r>
    </w:p>
    <w:tbl>
      <w:tblPr>
        <w:tblW w:w="7230" w:type="dxa"/>
        <w:jc w:val="center"/>
        <w:tblInd w:w="0" w:type="dxa"/>
        <w:tblLayout w:type="fixed"/>
        <w:tblCellMar>
          <w:top w:w="0" w:type="dxa"/>
          <w:left w:w="0" w:type="dxa"/>
          <w:bottom w:w="0" w:type="dxa"/>
          <w:right w:w="0" w:type="dxa"/>
        </w:tblCellMar>
      </w:tblPr>
      <w:tblGrid>
        <w:gridCol w:w="7230"/>
      </w:tblGrid>
      <w:tr>
        <w:trPr/>
        <w:tc>
          <w:tcPr>
            <w:tcW w:w="7230" w:type="dxa"/>
            <w:tcBorders/>
            <w:vAlign w:val="center"/>
          </w:tcPr>
          <w:p>
            <w:pPr>
              <w:pStyle w:val="TableContents"/>
              <w:bidi w:val="0"/>
              <w:spacing w:before="0" w:after="283"/>
              <w:jc w:val="center"/>
              <w:rPr/>
            </w:pPr>
            <w:r>
              <w:rPr/>
              <w:drawing>
                <wp:inline distT="0" distB="0" distL="0" distR="0">
                  <wp:extent cx="4572000" cy="1905000"/>
                  <wp:effectExtent l="0" t="0" r="0" b="0"/>
                  <wp:docPr id="2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9" descr=""/>
                          <pic:cNvPicPr>
                            <a:picLocks noChangeAspect="1" noChangeArrowheads="1"/>
                          </pic:cNvPicPr>
                        </pic:nvPicPr>
                        <pic:blipFill>
                          <a:blip r:embed="rId21"/>
                          <a:stretch>
                            <a:fillRect/>
                          </a:stretch>
                        </pic:blipFill>
                        <pic:spPr bwMode="auto">
                          <a:xfrm>
                            <a:off x="0" y="0"/>
                            <a:ext cx="4572000" cy="1905000"/>
                          </a:xfrm>
                          <a:prstGeom prst="rect">
                            <a:avLst/>
                          </a:prstGeom>
                        </pic:spPr>
                      </pic:pic>
                    </a:graphicData>
                  </a:graphic>
                </wp:inline>
              </w:drawing>
            </w:r>
          </w:p>
        </w:tc>
      </w:tr>
      <w:tr>
        <w:trPr/>
        <w:tc>
          <w:tcPr>
            <w:tcW w:w="7230" w:type="dxa"/>
            <w:tcBorders/>
            <w:vAlign w:val="center"/>
          </w:tcPr>
          <w:p>
            <w:pPr>
              <w:pStyle w:val="TableContents"/>
              <w:bidi w:val="0"/>
              <w:spacing w:before="0" w:after="283"/>
              <w:jc w:val="left"/>
              <w:rPr/>
            </w:pPr>
            <w:r>
              <w:rPr/>
              <w:t> </w:t>
            </w:r>
          </w:p>
        </w:tc>
      </w:tr>
      <w:tr>
        <w:trPr/>
        <w:tc>
          <w:tcPr>
            <w:tcW w:w="7230" w:type="dxa"/>
            <w:tcBorders/>
            <w:vAlign w:val="center"/>
          </w:tcPr>
          <w:p>
            <w:pPr>
              <w:pStyle w:val="TableContents"/>
              <w:bidi w:val="0"/>
              <w:spacing w:before="0" w:after="283"/>
              <w:jc w:val="left"/>
              <w:rPr>
                <w:rFonts w:ascii="Arial" w:hAnsi="Arial"/>
                <w:sz w:val="16"/>
              </w:rPr>
            </w:pPr>
            <w:r>
              <w:rPr>
                <w:rFonts w:ascii="Arial" w:hAnsi="Arial"/>
                <w:sz w:val="16"/>
              </w:rPr>
              <w:t>Source: BCRP</w:t>
            </w:r>
          </w:p>
        </w:tc>
      </w:tr>
    </w:tbl>
    <w:p>
      <w:pPr>
        <w:pStyle w:val="TextBody"/>
        <w:bidi w:val="0"/>
        <w:spacing w:before="0" w:after="0"/>
        <w:jc w:val="center"/>
        <w:rPr>
          <w:caps w:val="false"/>
          <w:smallCaps w:val="false"/>
          <w:color w:val="595959"/>
        </w:rPr>
      </w:pPr>
      <w:r>
        <w:rPr>
          <w:caps w:val="false"/>
          <w:smallCaps w:val="false"/>
          <w:color w:val="595959"/>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2023, BCRP began the cycle of monetary policy rate cuts. In September, after seven consecutive months of maintaining the rate at 7.75%, BCRP reduced the rate 25 bps to 7.50%. Successive cuts were made over the remainder of the year, leading the rate to stand at 6.75% at year-end.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595959"/>
          <w:sz w:val="28"/>
        </w:rPr>
      </w:pPr>
      <w:r>
        <w:rPr>
          <w:rFonts w:ascii="Arial" w:hAnsi="Arial"/>
          <w:b/>
          <w:i w:val="false"/>
          <w:caps w:val="false"/>
          <w:smallCaps w:val="false"/>
          <w:color w:val="595959"/>
          <w:sz w:val="28"/>
        </w:rPr>
        <w:t>D. Public Finances and External Sector</w:t>
      </w:r>
    </w:p>
    <w:p>
      <w:pPr>
        <w:pStyle w:val="TextBody"/>
        <w:bidi w:val="0"/>
        <w:spacing w:before="0" w:after="0"/>
        <w:jc w:val="center"/>
        <w:rPr>
          <w:caps w:val="false"/>
          <w:smallCaps w:val="false"/>
          <w:color w:val="595959"/>
        </w:rPr>
      </w:pPr>
      <w:r>
        <w:rPr>
          <w:caps w:val="false"/>
          <w:smallCaps w:val="false"/>
          <w:color w:val="595959"/>
        </w:rPr>
        <w:t> </w:t>
      </w:r>
    </w:p>
    <w:tbl>
      <w:tblPr>
        <w:tblW w:w="6930" w:type="dxa"/>
        <w:jc w:val="center"/>
        <w:tblInd w:w="0" w:type="dxa"/>
        <w:tblLayout w:type="fixed"/>
        <w:tblCellMar>
          <w:top w:w="0" w:type="dxa"/>
          <w:left w:w="0" w:type="dxa"/>
          <w:bottom w:w="0" w:type="dxa"/>
          <w:right w:w="0" w:type="dxa"/>
        </w:tblCellMar>
      </w:tblPr>
      <w:tblGrid>
        <w:gridCol w:w="6930"/>
      </w:tblGrid>
      <w:tr>
        <w:trPr/>
        <w:tc>
          <w:tcPr>
            <w:tcW w:w="6930" w:type="dxa"/>
            <w:tcBorders/>
            <w:vAlign w:val="center"/>
          </w:tcPr>
          <w:p>
            <w:pPr>
              <w:pStyle w:val="TableContents"/>
              <w:bidi w:val="0"/>
              <w:spacing w:before="0" w:after="283"/>
              <w:jc w:val="center"/>
              <w:rPr/>
            </w:pPr>
            <w:r>
              <w:rPr/>
              <w:drawing>
                <wp:inline distT="0" distB="0" distL="0" distR="0">
                  <wp:extent cx="4381500" cy="2486025"/>
                  <wp:effectExtent l="0" t="0" r="0" b="0"/>
                  <wp:docPr id="2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0" descr=""/>
                          <pic:cNvPicPr>
                            <a:picLocks noChangeAspect="1" noChangeArrowheads="1"/>
                          </pic:cNvPicPr>
                        </pic:nvPicPr>
                        <pic:blipFill>
                          <a:blip r:embed="rId22"/>
                          <a:stretch>
                            <a:fillRect/>
                          </a:stretch>
                        </pic:blipFill>
                        <pic:spPr bwMode="auto">
                          <a:xfrm>
                            <a:off x="0" y="0"/>
                            <a:ext cx="4381500" cy="2486025"/>
                          </a:xfrm>
                          <a:prstGeom prst="rect">
                            <a:avLst/>
                          </a:prstGeom>
                        </pic:spPr>
                      </pic:pic>
                    </a:graphicData>
                  </a:graphic>
                </wp:inline>
              </w:drawing>
            </w:r>
          </w:p>
        </w:tc>
      </w:tr>
      <w:tr>
        <w:trPr/>
        <w:tc>
          <w:tcPr>
            <w:tcW w:w="6930" w:type="dxa"/>
            <w:tcBorders/>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283"/>
              <w:jc w:val="left"/>
              <w:rPr>
                <w:rFonts w:ascii="Arial" w:hAnsi="Arial"/>
                <w:sz w:val="16"/>
              </w:rPr>
            </w:pPr>
            <w:r>
              <w:rPr>
                <w:rFonts w:ascii="Arial" w:hAnsi="Arial"/>
                <w:sz w:val="16"/>
              </w:rPr>
              <w:t>Source: BCRP.</w:t>
            </w:r>
          </w:p>
        </w:tc>
      </w:tr>
    </w:tbl>
    <w:p>
      <w:pPr>
        <w:pStyle w:val="TextBody"/>
        <w:bidi w:val="0"/>
        <w:spacing w:before="0" w:after="0"/>
        <w:jc w:val="center"/>
        <w:rPr>
          <w:caps w:val="false"/>
          <w:smallCaps w:val="false"/>
          <w:color w:val="595959"/>
        </w:rPr>
      </w:pPr>
      <w:r>
        <w:rPr>
          <w:caps w:val="false"/>
          <w:smallCaps w:val="false"/>
          <w:color w:val="595959"/>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fiscal deficit closed the year 2023 at 2.8% of GDP, higher than the 1.7% registered at the end of 2022. This increase was driven primarily by a decrease in fiscal revenues, which went from 22.1% of GDP to 19.7% of GDP. The drop in income tax collection and general sales tax stood out, spurred by a contraction in domestic demand and lower commodity prices. Non-financial public spending grew 1.2%, due to the increase in current spending (4.2%). Public debt, in turn, fell 33.8% of GDP in 2022 to 32.9% of GDP in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October 2023, Fitch affirmed BBB Peru’s sovereign debt credit rating with negative outlook, while in January, due to the intensification of social and political risks, Moody’s modified the outlook for Peru’s long-term debt in foreign currency from stable to negative (kept the rating at Baa1). S&amp;P modified the outlook to negative in December 2022 (BBB rating). Hence, all three credit rating agencies assigned a negative outlook to Peru’s rating. S&amp;P and Fitch set the rating two-steps above investment grade.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current account deficit fell from 4.0% of GDP at the end of 2022 to 0.6% in 2023, the highest print in 16 years, excluding the pandemic. This reduction was driven mainly by an increase in the trade balance surplus from US$ 10.3 billion in 2022 to US$ 17.4 billion in 2023, a historic high. Imports fell 11.0% due to weak domestic demand and a drop in food commodity and oil prices, while exports grew 1.5%. The reduction in the current account deficit was fueled by a decrease in maritime shipping costs; lower earnings at companies that receive direct foreign investment; and an uptick in foreign remittance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terms of trade grew 5.3% YoY in 2023, driven by a 6.8% YoY drop in import prices (lower oil and agricultural prices), greater than the 1.9% drop in export prices (metals and hydrocarbons). In 2023, the terms of trade stood at 115.1, just 3% below its historic high reached in June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595959"/>
          <w:sz w:val="28"/>
        </w:rPr>
      </w:pPr>
      <w:r>
        <w:rPr>
          <w:rFonts w:ascii="Arial" w:hAnsi="Arial"/>
          <w:b/>
          <w:i w:val="false"/>
          <w:caps w:val="false"/>
          <w:smallCaps w:val="false"/>
          <w:color w:val="595959"/>
          <w:sz w:val="28"/>
        </w:rPr>
        <w:t>E. Exchange Rate</w:t>
      </w:r>
    </w:p>
    <w:p>
      <w:pPr>
        <w:pStyle w:val="TextBody"/>
        <w:bidi w:val="0"/>
        <w:spacing w:before="0" w:after="0"/>
        <w:jc w:val="center"/>
        <w:rPr>
          <w:caps w:val="false"/>
          <w:smallCaps w:val="false"/>
          <w:color w:val="595959"/>
        </w:rPr>
      </w:pPr>
      <w:r>
        <w:rPr>
          <w:caps w:val="false"/>
          <w:smallCaps w:val="false"/>
          <w:color w:val="595959"/>
        </w:rPr>
        <w:t> </w:t>
      </w:r>
    </w:p>
    <w:tbl>
      <w:tblPr>
        <w:tblW w:w="7725" w:type="dxa"/>
        <w:jc w:val="center"/>
        <w:tblInd w:w="0" w:type="dxa"/>
        <w:tblLayout w:type="fixed"/>
        <w:tblCellMar>
          <w:top w:w="0" w:type="dxa"/>
          <w:left w:w="0" w:type="dxa"/>
          <w:bottom w:w="0" w:type="dxa"/>
          <w:right w:w="0" w:type="dxa"/>
        </w:tblCellMar>
      </w:tblPr>
      <w:tblGrid>
        <w:gridCol w:w="7725"/>
      </w:tblGrid>
      <w:tr>
        <w:trPr/>
        <w:tc>
          <w:tcPr>
            <w:tcW w:w="7725" w:type="dxa"/>
            <w:tcBorders/>
            <w:vAlign w:val="center"/>
          </w:tcPr>
          <w:p>
            <w:pPr>
              <w:pStyle w:val="TableContents"/>
              <w:bidi w:val="0"/>
              <w:spacing w:before="0" w:after="283"/>
              <w:jc w:val="center"/>
              <w:rPr/>
            </w:pPr>
            <w:r>
              <w:rPr/>
              <w:drawing>
                <wp:inline distT="0" distB="0" distL="0" distR="0">
                  <wp:extent cx="4886325" cy="2085975"/>
                  <wp:effectExtent l="0" t="0" r="0" b="0"/>
                  <wp:docPr id="2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1" descr=""/>
                          <pic:cNvPicPr>
                            <a:picLocks noChangeAspect="1" noChangeArrowheads="1"/>
                          </pic:cNvPicPr>
                        </pic:nvPicPr>
                        <pic:blipFill>
                          <a:blip r:embed="rId23"/>
                          <a:stretch>
                            <a:fillRect/>
                          </a:stretch>
                        </pic:blipFill>
                        <pic:spPr bwMode="auto">
                          <a:xfrm>
                            <a:off x="0" y="0"/>
                            <a:ext cx="4886325" cy="2085975"/>
                          </a:xfrm>
                          <a:prstGeom prst="rect">
                            <a:avLst/>
                          </a:prstGeom>
                        </pic:spPr>
                      </pic:pic>
                    </a:graphicData>
                  </a:graphic>
                </wp:inline>
              </w:drawing>
            </w:r>
          </w:p>
        </w:tc>
      </w:tr>
      <w:tr>
        <w:trPr/>
        <w:tc>
          <w:tcPr>
            <w:tcW w:w="7725" w:type="dxa"/>
            <w:tcBorders/>
            <w:vAlign w:val="center"/>
          </w:tcPr>
          <w:p>
            <w:pPr>
              <w:pStyle w:val="TableContents"/>
              <w:bidi w:val="0"/>
              <w:spacing w:before="0" w:after="283"/>
              <w:jc w:val="left"/>
              <w:rPr/>
            </w:pPr>
            <w:r>
              <w:rPr/>
              <w:t> </w:t>
            </w:r>
          </w:p>
        </w:tc>
      </w:tr>
      <w:tr>
        <w:trPr/>
        <w:tc>
          <w:tcPr>
            <w:tcW w:w="7725" w:type="dxa"/>
            <w:tcBorders/>
            <w:vAlign w:val="center"/>
          </w:tcPr>
          <w:p>
            <w:pPr>
              <w:pStyle w:val="TableContents"/>
              <w:bidi w:val="0"/>
              <w:spacing w:before="0" w:after="283"/>
              <w:jc w:val="left"/>
              <w:rPr>
                <w:rFonts w:ascii="Arial" w:hAnsi="Arial"/>
                <w:sz w:val="16"/>
              </w:rPr>
            </w:pPr>
            <w:r>
              <w:rPr>
                <w:rFonts w:ascii="Arial" w:hAnsi="Arial"/>
                <w:sz w:val="16"/>
              </w:rPr>
              <w:t>Source: BCRP.</w:t>
            </w:r>
          </w:p>
        </w:tc>
      </w:tr>
    </w:tbl>
    <w:p>
      <w:pPr>
        <w:pStyle w:val="TextBody"/>
        <w:bidi w:val="0"/>
        <w:spacing w:before="0" w:after="0"/>
        <w:jc w:val="center"/>
        <w:rPr>
          <w:caps w:val="false"/>
          <w:smallCaps w:val="false"/>
          <w:color w:val="595959"/>
        </w:rPr>
      </w:pPr>
      <w:r>
        <w:rPr>
          <w:caps w:val="false"/>
          <w:smallCaps w:val="false"/>
          <w:color w:val="595959"/>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According to BCRP, the exchange rate closed the year 2023 at USD/PEN 3.71, an appreciation of 2.7% versus the figure at the end of 2022. Throughout the year, the Peruvian sol fluctuated between 3.90 at the end of January and 3.56 in July. In the Latam region, the Colombian peso, the Mexican peso, and the Brazilian real appreciated 20.1%, 12.8% and 9.5% respectively, while the Chilean peso depreciated 3.6%. These variations occurred in a year where the global dollar weakened 0.5% (year average) due to expectations of an impending end to the Fed’s rate hike cycle.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2023, the BCRP sold US$ 81 million in the spot market, far below the US$ 1.2 billion sold in 2022 and record sales of US$ 11.6 billion in 2021. The stock of BCRP FX swaps closed at PEN 45,176 million (PEN 38,100 million in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Finally, Net International Reserves closed the year at US$ 71.0 billion compared to US$ 71.9 billion in 2022, which represented 27% of GDP.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sz w:val="48"/>
        </w:rPr>
      </w:pPr>
      <w:r>
        <w:rPr>
          <w:rFonts w:ascii="Arial" w:hAnsi="Arial"/>
          <w:b/>
          <w:i w:val="false"/>
          <w:caps w:val="false"/>
          <w:smallCaps w:val="false"/>
          <w:sz w:val="48"/>
        </w:rPr>
        <w:t>Chapter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360"/>
        <w:jc w:val="left"/>
        <w:rPr>
          <w:rFonts w:ascii="Arial" w:hAnsi="Arial"/>
          <w:b/>
          <w:i w:val="false"/>
          <w:caps w:val="false"/>
          <w:smallCaps w:val="false"/>
          <w:sz w:val="36"/>
        </w:rPr>
      </w:pPr>
      <w:bookmarkStart w:id="14" w:name="a007_v1"/>
      <w:bookmarkEnd w:id="14"/>
      <w:r>
        <w:rPr>
          <w:rFonts w:ascii="Arial" w:hAnsi="Arial"/>
          <w:b/>
          <w:i w:val="false"/>
          <w:caps w:val="false"/>
          <w:smallCaps w:val="false"/>
          <w:sz w:val="36"/>
        </w:rPr>
        <w:t>Economic and Financial Performance</w:t>
      </w:r>
    </w:p>
    <w:p>
      <w:pPr>
        <w:pStyle w:val="TextBody"/>
        <w:bidi w:val="0"/>
        <w:spacing w:before="60" w:after="60"/>
        <w:ind w:left="360" w:right="0" w:hanging="36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i w:val="false"/>
          <w:caps w:val="false"/>
          <w:smallCaps w:val="false"/>
          <w:sz w:val="20"/>
        </w:rPr>
        <w:t xml:space="preserve">Material Issue: </w:t>
      </w:r>
      <w:r>
        <w:rPr>
          <w:rFonts w:ascii="Arial" w:hAnsi="Arial"/>
          <w:b w:val="false"/>
          <w:i w:val="false"/>
          <w:caps w:val="false"/>
          <w:smallCaps w:val="false"/>
          <w:sz w:val="20"/>
        </w:rPr>
        <w:t>Economic and Financial Performance, Responsible and Sustainable Finance and Investments</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i w:val="false"/>
          <w:caps w:val="false"/>
          <w:smallCaps w:val="false"/>
          <w:sz w:val="20"/>
        </w:rPr>
        <w:t xml:space="preserve">GRI </w:t>
      </w:r>
      <w:r>
        <w:rPr>
          <w:rFonts w:ascii="Arial" w:hAnsi="Arial"/>
          <w:b w:val="false"/>
          <w:i w:val="false"/>
          <w:caps w:val="false"/>
          <w:smallCaps w:val="false"/>
          <w:sz w:val="20"/>
        </w:rPr>
        <w:t>3-3, 201-1</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i w:val="false"/>
          <w:caps w:val="false"/>
          <w:smallCaps w:val="false"/>
          <w:sz w:val="20"/>
        </w:rPr>
        <w:t xml:space="preserve">SASB </w:t>
      </w:r>
      <w:r>
        <w:rPr>
          <w:rFonts w:ascii="Arial" w:hAnsi="Arial"/>
          <w:b w:val="false"/>
          <w:i w:val="false"/>
          <w:caps w:val="false"/>
          <w:smallCaps w:val="false"/>
          <w:sz w:val="20"/>
        </w:rPr>
        <w:t>FN-CB-410-a.1</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i w:val="false"/>
          <w:caps w:val="false"/>
          <w:smallCaps w:val="false"/>
          <w:sz w:val="20"/>
        </w:rPr>
        <w:t xml:space="preserve">Pillar </w:t>
      </w:r>
      <w:r>
        <w:rPr>
          <w:rFonts w:ascii="Arial" w:hAnsi="Arial"/>
          <w:b w:val="false"/>
          <w:i w:val="false"/>
          <w:caps w:val="false"/>
          <w:smallCaps w:val="false"/>
          <w:sz w:val="2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Business sustainability at Credicorp depends, to a large extent, on the positive impacts that our companies generate for stakeholders and society over time. Credicorp’s LOBs are key drivers in the markets in which they participate, and the organization plays a fundamental role in adequately transferring, for example, resources generated by savings accounts to financing and investment efforts, which in turn generate value for society and promote economic development. On the insurance and pension fronts, we work to ensure our clients’ wellbeing today and down the line with products that protect and grow their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the material analysis performed, Economic and Financial Performance were ranked among the primary material issues for both Credicorp and its stakeholders. Given the relevance of this issue, the following chapter provides details on the holding’s financial evolution and the economic contribution that the Group generates, whose benefits are transferred to society through multiple 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color w:val="595959"/>
          <w:sz w:val="28"/>
        </w:rPr>
      </w:pPr>
      <w:r>
        <w:rPr>
          <w:rFonts w:ascii="Arial" w:hAnsi="Arial"/>
          <w:b/>
          <w:i w:val="false"/>
          <w:caps w:val="false"/>
          <w:smallCaps w:val="false"/>
          <w:color w:val="595959"/>
          <w:sz w:val="28"/>
        </w:rPr>
        <w:t>Economic Value Generated and Distributed</w:t>
      </w:r>
    </w:p>
    <w:p>
      <w:pPr>
        <w:pStyle w:val="TextBody"/>
        <w:bidi w:val="0"/>
        <w:spacing w:before="0" w:after="0"/>
        <w:ind w:left="0" w:right="0" w:hanging="0"/>
        <w:jc w:val="both"/>
        <w:rPr>
          <w:caps w:val="false"/>
          <w:smallCaps w:val="false"/>
          <w:color w:val="595959"/>
        </w:rPr>
      </w:pPr>
      <w:r>
        <w:rPr>
          <w:caps w:val="false"/>
          <w:smallCaps w:val="false"/>
          <w:color w:val="595959"/>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Credicorp generates economic value through its operations, financial income and other income, which are distributed among different stakeholders and the society. In 2023, the economic value generated was S/ 24,484 million, which represents 22% more than in 2022. This value is distributed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7620000" cy="1800225"/>
            <wp:effectExtent l="0" t="0" r="0" b="0"/>
            <wp:docPr id="2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2" descr=""/>
                    <pic:cNvPicPr>
                      <a:picLocks noChangeAspect="1" noChangeArrowheads="1"/>
                    </pic:cNvPicPr>
                  </pic:nvPicPr>
                  <pic:blipFill>
                    <a:blip r:embed="rId24"/>
                    <a:stretch>
                      <a:fillRect/>
                    </a:stretch>
                  </pic:blipFill>
                  <pic:spPr bwMode="auto">
                    <a:xfrm>
                      <a:off x="0" y="0"/>
                      <a:ext cx="7620000" cy="180022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Finally, the economic value retained by Credicorp amounted to S/ 3,679 million at the end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color w:val="595959"/>
          <w:sz w:val="28"/>
        </w:rPr>
      </w:pPr>
      <w:r>
        <w:rPr>
          <w:rFonts w:ascii="Arial" w:hAnsi="Arial"/>
          <w:b/>
          <w:i w:val="false"/>
          <w:caps w:val="false"/>
          <w:smallCaps w:val="false"/>
          <w:color w:val="595959"/>
          <w:sz w:val="28"/>
        </w:rPr>
        <w:t>Financial Performance – We registered solid results at year-end in 2023 despite an adverse context</w:t>
      </w:r>
    </w:p>
    <w:p>
      <w:pPr>
        <w:pStyle w:val="TextBody"/>
        <w:bidi w:val="0"/>
        <w:spacing w:before="0" w:after="0"/>
        <w:ind w:left="0" w:right="0" w:hanging="0"/>
        <w:jc w:val="both"/>
        <w:rPr>
          <w:caps w:val="false"/>
          <w:smallCaps w:val="false"/>
          <w:color w:val="595959"/>
        </w:rPr>
      </w:pPr>
      <w:r>
        <w:rPr>
          <w:caps w:val="false"/>
          <w:smallCaps w:val="false"/>
          <w:color w:val="595959"/>
        </w:rPr>
        <w:t> </w:t>
      </w:r>
    </w:p>
    <w:tbl>
      <w:tblPr>
        <w:tblW w:w="7680" w:type="dxa"/>
        <w:jc w:val="center"/>
        <w:tblInd w:w="0" w:type="dxa"/>
        <w:tblLayout w:type="fixed"/>
        <w:tblCellMar>
          <w:top w:w="28" w:type="dxa"/>
          <w:left w:w="108" w:type="dxa"/>
          <w:bottom w:w="28" w:type="dxa"/>
          <w:right w:w="108" w:type="dxa"/>
        </w:tblCellMar>
      </w:tblPr>
      <w:tblGrid>
        <w:gridCol w:w="2870"/>
        <w:gridCol w:w="60"/>
        <w:gridCol w:w="2315"/>
        <w:gridCol w:w="60"/>
        <w:gridCol w:w="2375"/>
      </w:tblGrid>
      <w:tr>
        <w:trPr/>
        <w:tc>
          <w:tcPr>
            <w:tcW w:w="2870" w:type="dxa"/>
            <w:tcBorders>
              <w:top w:val="single" w:sz="8" w:space="0" w:color="000000"/>
              <w:left w:val="single" w:sz="8" w:space="0" w:color="000000"/>
              <w:bottom w:val="single" w:sz="8" w:space="0" w:color="000000"/>
              <w:right w:val="single" w:sz="8" w:space="0" w:color="000000"/>
            </w:tcBorders>
            <w:shd w:fill="2AD2C9" w:val="cle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i w:val="false"/>
                <w:caps w:val="false"/>
                <w:smallCaps w:val="false"/>
                <w:color w:val="FFFFFF"/>
                <w:sz w:val="20"/>
              </w:rPr>
              <w:t>Net Earnings</w:t>
            </w:r>
            <w:r>
              <w:rPr>
                <w:rFonts w:ascii="Arial" w:hAnsi="Arial"/>
                <w:b w:val="false"/>
                <w:i w:val="false"/>
                <w:caps w:val="false"/>
                <w:smallCaps w:val="false"/>
                <w:sz w:val="20"/>
              </w:rPr>
              <w:br/>
            </w:r>
            <w:r>
              <w:rPr>
                <w:rFonts w:ascii="Arial" w:hAnsi="Arial"/>
                <w:b/>
                <w:i w:val="false"/>
                <w:caps w:val="false"/>
                <w:smallCaps w:val="false"/>
                <w:color w:val="FFFFFF"/>
                <w:sz w:val="20"/>
              </w:rPr>
              <w:t>attributable to Credicorp</w:t>
            </w:r>
          </w:p>
        </w:tc>
        <w:tc>
          <w:tcPr>
            <w:tcW w:w="60" w:type="dxa"/>
            <w:tcBorders>
              <w:top w:val="single" w:sz="8" w:space="0" w:color="FFFFFF"/>
              <w:bottom w:val="single" w:sz="8" w:space="0" w:color="FFFFFF"/>
              <w:right w:val="single" w:sz="8" w:space="0" w:color="000000"/>
            </w:tcBorders>
            <w:tcMar>
              <w:left w:w="0" w:type="dxa"/>
            </w:tcMar>
            <w:vAlign w:val="center"/>
          </w:tcPr>
          <w:p>
            <w:pPr>
              <w:pStyle w:val="TableContents"/>
              <w:bidi w:val="0"/>
              <w:spacing w:before="0" w:after="283"/>
              <w:jc w:val="center"/>
              <w:rPr>
                <w:caps w:val="false"/>
                <w:smallCaps w:val="false"/>
              </w:rPr>
            </w:pPr>
            <w:r>
              <w:rPr>
                <w:caps w:val="false"/>
                <w:smallCaps w:val="false"/>
              </w:rPr>
              <w:t> </w:t>
            </w:r>
          </w:p>
        </w:tc>
        <w:tc>
          <w:tcPr>
            <w:tcW w:w="2315" w:type="dxa"/>
            <w:tcBorders>
              <w:top w:val="single" w:sz="8" w:space="0" w:color="000000"/>
              <w:bottom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Net Interest Margin (NIM)</w:t>
            </w:r>
          </w:p>
        </w:tc>
        <w:tc>
          <w:tcPr>
            <w:tcW w:w="60" w:type="dxa"/>
            <w:tcBorders>
              <w:top w:val="single" w:sz="8" w:space="0" w:color="FFFFFF"/>
              <w:bottom w:val="single" w:sz="8" w:space="0" w:color="FFFFFF"/>
              <w:right w:val="single" w:sz="8" w:space="0" w:color="000000"/>
            </w:tcBorders>
            <w:tcMar>
              <w:left w:w="0" w:type="dxa"/>
            </w:tcMar>
            <w:vAlign w:val="center"/>
          </w:tcPr>
          <w:p>
            <w:pPr>
              <w:pStyle w:val="TableContents"/>
              <w:bidi w:val="0"/>
              <w:spacing w:before="0" w:after="283"/>
              <w:jc w:val="center"/>
              <w:rPr>
                <w:caps w:val="false"/>
                <w:smallCaps w:val="false"/>
              </w:rPr>
            </w:pPr>
            <w:r>
              <w:rPr>
                <w:caps w:val="false"/>
                <w:smallCaps w:val="false"/>
              </w:rPr>
              <w:t> </w:t>
            </w:r>
          </w:p>
        </w:tc>
        <w:tc>
          <w:tcPr>
            <w:tcW w:w="2375" w:type="dxa"/>
            <w:tcBorders>
              <w:top w:val="single" w:sz="8" w:space="0" w:color="000000"/>
              <w:bottom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Risk Adjusted NIM</w:t>
            </w:r>
          </w:p>
        </w:tc>
      </w:tr>
      <w:tr>
        <w:trPr/>
        <w:tc>
          <w:tcPr>
            <w:tcW w:w="28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i w:val="false"/>
                <w:caps w:val="false"/>
                <w:smallCaps w:val="false"/>
                <w:sz w:val="20"/>
              </w:rPr>
              <w:t>S/ 4,865.5 millions</w:t>
            </w:r>
            <w:r>
              <w:rPr>
                <w:rFonts w:ascii="Arial" w:hAnsi="Arial"/>
                <w:b w:val="false"/>
                <w:i w:val="false"/>
                <w:caps w:val="false"/>
                <w:smallCaps w:val="false"/>
                <w:sz w:val="20"/>
              </w:rPr>
              <w:br/>
            </w:r>
            <w:r>
              <w:rPr>
                <w:rFonts w:ascii="Arial" w:hAnsi="Arial"/>
                <w:b/>
                <w:i w:val="false"/>
                <w:caps w:val="false"/>
                <w:smallCaps w:val="false"/>
                <w:sz w:val="20"/>
              </w:rPr>
              <w:t>(vs S/ 4,647.8 millions in 2022)</w:t>
            </w:r>
          </w:p>
        </w:tc>
        <w:tc>
          <w:tcPr>
            <w:tcW w:w="60" w:type="dxa"/>
            <w:tcBorders>
              <w:bottom w:val="single" w:sz="8" w:space="0" w:color="FFFFFF"/>
              <w:right w:val="single" w:sz="8" w:space="0" w:color="000000"/>
            </w:tcBorders>
            <w:tcMar>
              <w:top w:w="0" w:type="dxa"/>
              <w:left w:w="0" w:type="dxa"/>
            </w:tcMar>
            <w:vAlign w:val="center"/>
          </w:tcPr>
          <w:p>
            <w:pPr>
              <w:pStyle w:val="TableContents"/>
              <w:bidi w:val="0"/>
              <w:spacing w:before="0" w:after="283"/>
              <w:jc w:val="center"/>
              <w:rPr>
                <w:caps w:val="false"/>
                <w:smallCaps w:val="false"/>
              </w:rPr>
            </w:pPr>
            <w:r>
              <w:rPr>
                <w:caps w:val="false"/>
                <w:smallCaps w:val="false"/>
              </w:rPr>
              <w:t> </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i w:val="false"/>
                <w:caps w:val="false"/>
                <w:smallCaps w:val="false"/>
                <w:sz w:val="20"/>
              </w:rPr>
              <w:t xml:space="preserve">6.01% </w:t>
            </w:r>
            <w:r>
              <w:rPr>
                <w:rFonts w:ascii="Arial" w:hAnsi="Arial"/>
                <w:b w:val="false"/>
                <w:i w:val="false"/>
                <w:caps w:val="false"/>
                <w:smallCaps w:val="false"/>
                <w:sz w:val="20"/>
              </w:rPr>
              <w:br/>
            </w:r>
            <w:r>
              <w:rPr>
                <w:rFonts w:ascii="Arial" w:hAnsi="Arial"/>
                <w:b/>
                <w:i w:val="false"/>
                <w:caps w:val="false"/>
                <w:smallCaps w:val="false"/>
                <w:sz w:val="20"/>
              </w:rPr>
              <w:t>(vs 5.09% in 2022)</w:t>
            </w:r>
          </w:p>
        </w:tc>
        <w:tc>
          <w:tcPr>
            <w:tcW w:w="60" w:type="dxa"/>
            <w:tcBorders>
              <w:bottom w:val="single" w:sz="8" w:space="0" w:color="FFFFFF"/>
              <w:right w:val="single" w:sz="8" w:space="0" w:color="000000"/>
            </w:tcBorders>
            <w:tcMar>
              <w:top w:w="0" w:type="dxa"/>
              <w:left w:w="0" w:type="dxa"/>
            </w:tcMar>
            <w:vAlign w:val="center"/>
          </w:tcPr>
          <w:p>
            <w:pPr>
              <w:pStyle w:val="TableContents"/>
              <w:bidi w:val="0"/>
              <w:spacing w:before="0" w:after="283"/>
              <w:jc w:val="center"/>
              <w:rPr>
                <w:caps w:val="false"/>
                <w:smallCaps w:val="false"/>
              </w:rPr>
            </w:pPr>
            <w:r>
              <w:rPr>
                <w:caps w:val="false"/>
                <w:smallCaps w:val="false"/>
              </w:rPr>
              <w:t> </w:t>
            </w:r>
          </w:p>
        </w:tc>
        <w:tc>
          <w:tcPr>
            <w:tcW w:w="23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b/>
                <w:i w:val="false"/>
                <w:caps w:val="false"/>
                <w:smallCaps w:val="false"/>
                <w:sz w:val="20"/>
              </w:rPr>
            </w:pPr>
            <w:r>
              <w:rPr>
                <w:rFonts w:ascii="Arial" w:hAnsi="Arial"/>
                <w:b/>
                <w:i w:val="false"/>
                <w:caps w:val="false"/>
                <w:smallCaps w:val="false"/>
                <w:sz w:val="20"/>
              </w:rPr>
              <w:t xml:space="preserve">4.38% (vs 4.29% in 2022)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2023, Credicorp reported net earnings of S/4,865.5 million, which translated into an ROE and ROA of 15.8 % and 2.0% respectively. These results reflect the company’s resilience and strength in adverse contexts. The year 2023 was turbulent and challenging in an environment marked by unfavorable economic, social and environmental fronts. Notwithstanding, the company’s adequate liquidity and capitalization levels, in conjunction with a prudent approach to risk management and on-going investment over the years in digital talent and capacities, have put Credicorp in good stead to overcome obstacles; strengthen its competitive position; and continue executing its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Higher net earnings this year were primarily attributable to an uptick in net interest income, which rose 16.6% in an environment marked by falling interest rates. The recovery posted by other income also had a positive influence, which was mainly driven by: i)higher Net gain on securities, in line with the improvement in market conditions and ii) an improvement in the Insurance Underwriting Result, which was driven by the company’s solid underlying performance and temporary tailwinds. These dynamics were partially offset by an uptick in allowances for loan losses (net recoveries), which was spurred by a deterioration in payment capacities due to adverse events throughout the year, and by growth in 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left"/>
        <w:rPr>
          <w:rFonts w:ascii="Arial" w:hAnsi="Arial"/>
          <w:b w:val="false"/>
          <w:i w:val="false"/>
          <w:caps w:val="false"/>
          <w:smallCaps w:val="false"/>
          <w:sz w:val="20"/>
        </w:rPr>
      </w:pPr>
      <w:r>
        <w:rPr>
          <w:rFonts w:ascii="Arial" w:hAnsi="Arial"/>
          <w:b/>
          <w:i w:val="false"/>
          <w:caps w:val="false"/>
          <w:smallCaps w:val="false"/>
          <w:sz w:val="20"/>
        </w:rPr>
        <w:t>Net Income and ROE</w:t>
      </w:r>
      <w:r>
        <w:rPr>
          <w:rFonts w:ascii="Arial" w:hAnsi="Arial"/>
          <w:b w:val="false"/>
          <w:i w:val="false"/>
          <w:caps w:val="false"/>
          <w:smallCaps w:val="false"/>
          <w:sz w:val="20"/>
        </w:rPr>
        <w:br/>
        <w:t>(S/ millions,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2552700"/>
            <wp:effectExtent l="0" t="0" r="0" b="0"/>
            <wp:docPr id="2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3" descr=""/>
                    <pic:cNvPicPr>
                      <a:picLocks noChangeAspect="1" noChangeArrowheads="1"/>
                    </pic:cNvPicPr>
                  </pic:nvPicPr>
                  <pic:blipFill>
                    <a:blip r:embed="rId25"/>
                    <a:stretch>
                      <a:fillRect/>
                    </a:stretch>
                  </pic:blipFill>
                  <pic:spPr bwMode="auto">
                    <a:xfrm>
                      <a:off x="0" y="0"/>
                      <a:ext cx="6667500" cy="255270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left"/>
        <w:rPr>
          <w:rFonts w:ascii="Arial" w:hAnsi="Arial"/>
          <w:b w:val="false"/>
          <w:i w:val="false"/>
          <w:caps w:val="false"/>
          <w:smallCaps w:val="false"/>
          <w:sz w:val="16"/>
        </w:rPr>
      </w:pPr>
      <w:r>
        <w:rPr>
          <w:rFonts w:ascii="Arial" w:hAnsi="Arial"/>
          <w:b w:val="false"/>
          <w:i w:val="false"/>
          <w:caps w:val="false"/>
          <w:smallCaps w:val="false"/>
          <w:sz w:val="16"/>
        </w:rPr>
        <w:t>* 2023 figures reflect IFRS 17, 2022 figures have been restated.</w:t>
      </w:r>
    </w:p>
    <w:p>
      <w:pPr>
        <w:pStyle w:val="TextBody"/>
        <w:bidi w:val="0"/>
        <w:spacing w:before="0" w:after="0"/>
        <w:ind w:left="1440" w:right="0" w:hanging="0"/>
        <w:jc w:val="left"/>
        <w:rPr>
          <w:rFonts w:ascii="Arial" w:hAnsi="Arial"/>
          <w:b w:val="false"/>
          <w:i w:val="false"/>
          <w:caps w:val="false"/>
          <w:smallCaps w:val="false"/>
          <w:sz w:val="16"/>
        </w:rPr>
      </w:pPr>
      <w:r>
        <w:rPr>
          <w:rFonts w:ascii="Arial" w:hAnsi="Arial"/>
          <w:b w:val="false"/>
          <w:i w:val="false"/>
          <w:caps w:val="false"/>
          <w:smallCaps w:val="false"/>
          <w:sz w:val="16"/>
        </w:rPr>
        <w:t>**ROE = Net Income / Average Net equity, calculated as the average of period-beginning and period-ending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color w:val="595959"/>
          <w:sz w:val="28"/>
        </w:rPr>
      </w:pPr>
      <w:r>
        <w:rPr>
          <w:rFonts w:ascii="Arial" w:hAnsi="Arial"/>
          <w:b/>
          <w:i w:val="false"/>
          <w:caps w:val="false"/>
          <w:smallCaps w:val="false"/>
          <w:color w:val="595959"/>
          <w:sz w:val="28"/>
        </w:rPr>
        <w:t>Assets and Loans: Amortization of Government Program Loans in 2023 is offset by growth in Investments</w:t>
      </w:r>
    </w:p>
    <w:p>
      <w:pPr>
        <w:pStyle w:val="TextBody"/>
        <w:bidi w:val="0"/>
        <w:spacing w:before="0" w:after="0"/>
        <w:jc w:val="center"/>
        <w:rPr>
          <w:caps w:val="false"/>
          <w:smallCaps w:val="false"/>
          <w:color w:val="595959"/>
        </w:rPr>
      </w:pPr>
      <w:r>
        <w:rPr>
          <w:caps w:val="false"/>
          <w:smallCaps w:val="false"/>
          <w:color w:val="595959"/>
        </w:rPr>
        <w:t> </w:t>
      </w:r>
    </w:p>
    <w:p>
      <w:pPr>
        <w:pStyle w:val="TextBody"/>
        <w:bidi w:val="0"/>
        <w:spacing w:before="0" w:after="0"/>
        <w:jc w:val="center"/>
        <w:rPr>
          <w:caps w:val="false"/>
          <w:smallCaps w:val="false"/>
          <w:color w:val="595959"/>
        </w:rPr>
      </w:pPr>
      <w:r>
        <w:rPr>
          <w:caps w:val="false"/>
          <w:smallCaps w:val="false"/>
          <w:color w:val="595959"/>
        </w:rPr>
        <w:drawing>
          <wp:inline distT="0" distB="0" distL="0" distR="0">
            <wp:extent cx="6667500" cy="3486150"/>
            <wp:effectExtent l="0" t="0" r="0" b="0"/>
            <wp:docPr id="3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4" descr=""/>
                    <pic:cNvPicPr>
                      <a:picLocks noChangeAspect="1" noChangeArrowheads="1"/>
                    </pic:cNvPicPr>
                  </pic:nvPicPr>
                  <pic:blipFill>
                    <a:blip r:embed="rId26"/>
                    <a:stretch>
                      <a:fillRect/>
                    </a:stretch>
                  </pic:blipFill>
                  <pic:spPr bwMode="auto">
                    <a:xfrm>
                      <a:off x="0" y="0"/>
                      <a:ext cx="6667500" cy="3486150"/>
                    </a:xfrm>
                    <a:prstGeom prst="rect">
                      <a:avLst/>
                    </a:prstGeom>
                  </pic:spPr>
                </pic:pic>
              </a:graphicData>
            </a:graphic>
          </wp:inline>
        </w:drawing>
      </w:r>
      <w:r>
        <w:rPr>
          <w:caps w:val="false"/>
          <w:smallCaps w:val="false"/>
          <w:color w:val="595959"/>
        </w:rPr>
        <w:t> </w:t>
      </w:r>
    </w:p>
    <w:p>
      <w:pPr>
        <w:pStyle w:val="TextBody"/>
        <w:bidi w:val="0"/>
        <w:spacing w:before="0" w:after="0"/>
        <w:jc w:val="center"/>
        <w:rPr>
          <w:caps w:val="false"/>
          <w:smallCaps w:val="false"/>
          <w:color w:val="595959"/>
        </w:rPr>
      </w:pPr>
      <w:r>
        <w:rPr>
          <w:caps w:val="false"/>
          <w:smallCaps w:val="false"/>
          <w:color w:val="595959"/>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At the end of 2023, Credicorp’s assets registered a 1.5% increase versus the figure in 2022. This evolution was mainly driven by an uptick in the Total Investment balance. This dynamic was partially offset by a drop in the Loan balance, which was attributable to both the amortization of government loans and a context hindered by lower levels of private investment. In this scenario, Total loans’ share of Total Assets fell from 63.1% at the end of 2022 to 60.7% at the close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mc:AlternateContent>
          <mc:Choice Requires="wps">
            <w:drawing>
              <wp:anchor behindDoc="0" distT="0" distB="0" distL="0" distR="0" simplePos="0" locked="0" layoutInCell="1" allowOverlap="1" relativeHeight="203">
                <wp:simplePos x="0" y="0"/>
                <wp:positionH relativeFrom="column">
                  <wp:align>left</wp:align>
                </wp:positionH>
                <wp:positionV relativeFrom="line">
                  <wp:posOffset>635</wp:posOffset>
                </wp:positionV>
                <wp:extent cx="3110230" cy="2404110"/>
                <wp:effectExtent l="0" t="0" r="0" b="0"/>
                <wp:wrapSquare wrapText="right"/>
                <wp:docPr id="31" name="Frame6"/>
                <a:graphic xmlns:a="http://schemas.openxmlformats.org/drawingml/2006/main">
                  <a:graphicData uri="http://schemas.microsoft.com/office/word/2010/wordprocessingShape">
                    <wps:wsp>
                      <wps:cNvSpPr txBox="1"/>
                      <wps:spPr>
                        <a:xfrm>
                          <a:off x="0" y="0"/>
                          <a:ext cx="3110230" cy="2404110"/>
                        </a:xfrm>
                        <a:prstGeom prst="rect"/>
                        <a:solidFill>
                          <a:srgbClr val="FFFFFF"/>
                        </a:solidFill>
                      </wps:spPr>
                      <wps:txbx>
                        <w:txbxContent>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3810000" cy="2228850"/>
                                  <wp:effectExtent l="0" t="0" r="0" b="0"/>
                                  <wp:docPr id="3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5" descr=""/>
                                          <pic:cNvPicPr>
                                            <a:picLocks noChangeAspect="1" noChangeArrowheads="1"/>
                                          </pic:cNvPicPr>
                                        </pic:nvPicPr>
                                        <pic:blipFill>
                                          <a:blip r:embed="rId27"/>
                                          <a:stretch>
                                            <a:fillRect/>
                                          </a:stretch>
                                        </pic:blipFill>
                                        <pic:spPr bwMode="auto">
                                          <a:xfrm>
                                            <a:off x="0" y="0"/>
                                            <a:ext cx="3810000" cy="2228850"/>
                                          </a:xfrm>
                                          <a:prstGeom prst="rect">
                                            <a:avLst/>
                                          </a:prstGeom>
                                        </pic:spPr>
                                      </pic:pic>
                                    </a:graphicData>
                                  </a:graphic>
                                </wp:inline>
                              </w:drawing>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8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3810000" cy="2228850"/>
                            <wp:effectExtent l="0" t="0" r="0" b="0"/>
                            <wp:docPr id="3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5" descr=""/>
                                    <pic:cNvPicPr>
                                      <a:picLocks noChangeAspect="1" noChangeArrowheads="1"/>
                                    </pic:cNvPicPr>
                                  </pic:nvPicPr>
                                  <pic:blipFill>
                                    <a:blip r:embed="rId28"/>
                                    <a:stretch>
                                      <a:fillRect/>
                                    </a:stretch>
                                  </pic:blipFill>
                                  <pic:spPr bwMode="auto">
                                    <a:xfrm>
                                      <a:off x="0" y="0"/>
                                      <a:ext cx="3810000" cy="2228850"/>
                                    </a:xfrm>
                                    <a:prstGeom prst="rect">
                                      <a:avLst/>
                                    </a:prstGeom>
                                  </pic:spPr>
                                </pic:pic>
                              </a:graphicData>
                            </a:graphic>
                          </wp:inline>
                        </w:drawing>
                      </w:r>
                    </w:p>
                  </w:txbxContent>
                </v:textbox>
                <w10:wrap type="square" side="right"/>
              </v:rect>
            </w:pict>
          </mc:Fallback>
        </mc:AlternateContent>
      </w:r>
      <w:r>
        <mc:AlternateContent>
          <mc:Choice Requires="wps">
            <w:drawing>
              <wp:anchor behindDoc="0" distT="0" distB="0" distL="0" distR="0" simplePos="0" locked="0" layoutInCell="1" allowOverlap="1" relativeHeight="251">
                <wp:simplePos x="0" y="0"/>
                <wp:positionH relativeFrom="column">
                  <wp:align>right</wp:align>
                </wp:positionH>
                <wp:positionV relativeFrom="line">
                  <wp:posOffset>635</wp:posOffset>
                </wp:positionV>
                <wp:extent cx="3110230" cy="6668770"/>
                <wp:effectExtent l="0" t="0" r="0" b="0"/>
                <wp:wrapSquare wrapText="left"/>
                <wp:docPr id="34" name="Frame7"/>
                <a:graphic xmlns:a="http://schemas.openxmlformats.org/drawingml/2006/main">
                  <a:graphicData uri="http://schemas.microsoft.com/office/word/2010/wordprocessingShape">
                    <wps:wsp>
                      <wps:cNvSpPr txBox="1"/>
                      <wps:spPr>
                        <a:xfrm>
                          <a:off x="0" y="0"/>
                          <a:ext cx="3110230" cy="6668770"/>
                        </a:xfrm>
                        <a:prstGeom prst="rect"/>
                        <a:solidFill>
                          <a:srgbClr val="FFFFFF"/>
                        </a:solidFill>
                      </wps:spPr>
                      <wps:txbx>
                        <w:txbxContent>
                          <w:tbl>
                            <w:tblPr>
                              <w:tblW w:w="4855" w:type="dxa"/>
                              <w:jc w:val="left"/>
                              <w:tblInd w:w="0" w:type="dxa"/>
                              <w:tblLayout w:type="fixed"/>
                              <w:tblCellMar>
                                <w:top w:w="0" w:type="dxa"/>
                                <w:left w:w="0" w:type="dxa"/>
                                <w:bottom w:w="0" w:type="dxa"/>
                                <w:right w:w="0" w:type="dxa"/>
                              </w:tblCellMar>
                            </w:tblPr>
                            <w:tblGrid>
                              <w:gridCol w:w="3890"/>
                              <w:gridCol w:w="965"/>
                            </w:tblGrid>
                            <w:tr>
                              <w:trPr/>
                              <w:tc>
                                <w:tcPr>
                                  <w:tcW w:w="4855" w:type="dxa"/>
                                  <w:gridSpan w:val="2"/>
                                  <w:tcBorders/>
                                  <w:vAlign w:val="center"/>
                                </w:tcPr>
                                <w:p>
                                  <w:pPr>
                                    <w:pStyle w:val="TableContents"/>
                                    <w:bidi w:val="0"/>
                                    <w:spacing w:before="0" w:after="283"/>
                                    <w:jc w:val="center"/>
                                    <w:rPr/>
                                  </w:pPr>
                                  <w:r>
                                    <w:rPr>
                                      <w:rFonts w:ascii="Arial" w:hAnsi="Arial"/>
                                      <w:b/>
                                      <w:sz w:val="20"/>
                                    </w:rPr>
                                    <w:t>Loans by industry</w:t>
                                  </w:r>
                                  <w:r>
                                    <w:rPr/>
                                    <w:br/>
                                  </w:r>
                                  <w:r>
                                    <w:rPr>
                                      <w:rFonts w:ascii="Arial" w:hAnsi="Arial"/>
                                      <w:sz w:val="20"/>
                                    </w:rPr>
                                    <w:t>(Year-end balances)</w:t>
                                  </w:r>
                                </w:p>
                              </w:tc>
                            </w:tr>
                            <w:tr>
                              <w:trPr/>
                              <w:tc>
                                <w:tcPr>
                                  <w:tcW w:w="3890" w:type="dxa"/>
                                  <w:tcBorders>
                                    <w:top w:val="single" w:sz="8" w:space="0" w:color="000000"/>
                                    <w:left w:val="single" w:sz="8" w:space="0" w:color="000000"/>
                                    <w:bottom w:val="single" w:sz="8" w:space="0" w:color="000000"/>
                                    <w:right w:val="single" w:sz="8" w:space="0" w:color="000000"/>
                                  </w:tcBorders>
                                  <w:shd w:fill="29D2C9" w:val="clear"/>
                                  <w:tcMar>
                                    <w:top w:w="60" w:type="dxa"/>
                                    <w:left w:w="40" w:type="dxa"/>
                                    <w:bottom w:w="60" w:type="dxa"/>
                                    <w:right w:w="40" w:type="dxa"/>
                                  </w:tcMar>
                                  <w:vAlign w:val="center"/>
                                </w:tcPr>
                                <w:p>
                                  <w:pPr>
                                    <w:pStyle w:val="TableContents"/>
                                    <w:bidi w:val="0"/>
                                    <w:spacing w:before="0" w:after="283"/>
                                    <w:jc w:val="center"/>
                                    <w:rPr>
                                      <w:rFonts w:ascii="Arial" w:hAnsi="Arial"/>
                                      <w:b/>
                                      <w:color w:val="FFFFFF"/>
                                      <w:sz w:val="20"/>
                                    </w:rPr>
                                  </w:pPr>
                                  <w:r>
                                    <w:rPr>
                                      <w:rFonts w:ascii="Arial" w:hAnsi="Arial"/>
                                      <w:b/>
                                      <w:color w:val="FFFFFF"/>
                                      <w:sz w:val="20"/>
                                    </w:rPr>
                                    <w:t>Industry</w:t>
                                  </w:r>
                                </w:p>
                              </w:tc>
                              <w:tc>
                                <w:tcPr>
                                  <w:tcW w:w="965" w:type="dxa"/>
                                  <w:tcBorders>
                                    <w:top w:val="single" w:sz="8" w:space="0" w:color="000000"/>
                                    <w:bottom w:val="single" w:sz="8" w:space="0" w:color="000000"/>
                                    <w:right w:val="single" w:sz="8" w:space="0" w:color="000000"/>
                                  </w:tcBorders>
                                  <w:shd w:fill="29D2C9" w:val="clear"/>
                                  <w:tcMar>
                                    <w:top w:w="60" w:type="dxa"/>
                                    <w:bottom w:w="60" w:type="dxa"/>
                                    <w:right w:w="40" w:type="dxa"/>
                                  </w:tcMar>
                                  <w:vAlign w:val="center"/>
                                </w:tcPr>
                                <w:p>
                                  <w:pPr>
                                    <w:pStyle w:val="TableContents"/>
                                    <w:bidi w:val="0"/>
                                    <w:spacing w:before="0" w:after="283"/>
                                    <w:jc w:val="center"/>
                                    <w:rPr>
                                      <w:rFonts w:ascii="Arial" w:hAnsi="Arial"/>
                                      <w:b/>
                                      <w:color w:val="FFFFFF"/>
                                      <w:sz w:val="20"/>
                                    </w:rPr>
                                  </w:pPr>
                                  <w:r>
                                    <w:rPr>
                                      <w:rFonts w:ascii="Arial" w:hAnsi="Arial"/>
                                      <w:b/>
                                      <w:color w:val="FFFFFF"/>
                                      <w:sz w:val="20"/>
                                    </w:rPr>
                                    <w:t>Loans (%)</w:t>
                                  </w:r>
                                </w:p>
                              </w:tc>
                            </w:tr>
                            <w:tr>
                              <w:trPr/>
                              <w:tc>
                                <w:tcPr>
                                  <w:tcW w:w="3890" w:type="dxa"/>
                                  <w:tcBorders>
                                    <w:left w:val="single" w:sz="8" w:space="0" w:color="000000"/>
                                    <w:right w:val="single" w:sz="8" w:space="0" w:color="000000"/>
                                  </w:tcBorders>
                                  <w:tcMar>
                                    <w:left w:w="40" w:type="dxa"/>
                                    <w:right w:w="40" w:type="dxa"/>
                                  </w:tcMar>
                                  <w:vAlign w:val="center"/>
                                </w:tcPr>
                                <w:p>
                                  <w:pPr>
                                    <w:pStyle w:val="TableContents"/>
                                    <w:bidi w:val="0"/>
                                    <w:spacing w:before="0" w:after="283"/>
                                    <w:jc w:val="left"/>
                                    <w:rPr>
                                      <w:rFonts w:ascii="Arial" w:hAnsi="Arial"/>
                                      <w:sz w:val="20"/>
                                    </w:rPr>
                                  </w:pPr>
                                  <w:r>
                                    <w:rPr>
                                      <w:rFonts w:ascii="Arial" w:hAnsi="Arial"/>
                                      <w:sz w:val="20"/>
                                    </w:rPr>
                                    <w:t>Commerce</w:t>
                                  </w:r>
                                </w:p>
                              </w:tc>
                              <w:tc>
                                <w:tcPr>
                                  <w:tcW w:w="965" w:type="dxa"/>
                                  <w:tcBorders>
                                    <w:right w:val="single" w:sz="8" w:space="0" w:color="000000"/>
                                  </w:tcBorders>
                                  <w:tcMar>
                                    <w:right w:w="40" w:type="dxa"/>
                                  </w:tcMar>
                                  <w:vAlign w:val="center"/>
                                </w:tcPr>
                                <w:p>
                                  <w:pPr>
                                    <w:pStyle w:val="TableContents"/>
                                    <w:bidi w:val="0"/>
                                    <w:spacing w:before="0" w:after="283"/>
                                    <w:jc w:val="center"/>
                                    <w:rPr>
                                      <w:rFonts w:ascii="Arial" w:hAnsi="Arial"/>
                                      <w:sz w:val="20"/>
                                    </w:rPr>
                                  </w:pPr>
                                  <w:r>
                                    <w:rPr>
                                      <w:rFonts w:ascii="Arial" w:hAnsi="Arial"/>
                                      <w:sz w:val="20"/>
                                    </w:rPr>
                                    <w:t>17.9%</w:t>
                                  </w:r>
                                </w:p>
                              </w:tc>
                            </w:tr>
                            <w:tr>
                              <w:trPr/>
                              <w:tc>
                                <w:tcPr>
                                  <w:tcW w:w="3890" w:type="dxa"/>
                                  <w:tcBorders>
                                    <w:left w:val="single" w:sz="8" w:space="0" w:color="000000"/>
                                    <w:right w:val="single" w:sz="8" w:space="0" w:color="000000"/>
                                  </w:tcBorders>
                                  <w:tcMar>
                                    <w:left w:w="40" w:type="dxa"/>
                                    <w:right w:w="40" w:type="dxa"/>
                                  </w:tcMar>
                                  <w:vAlign w:val="center"/>
                                </w:tcPr>
                                <w:p>
                                  <w:pPr>
                                    <w:pStyle w:val="TableContents"/>
                                    <w:bidi w:val="0"/>
                                    <w:spacing w:before="0" w:after="283"/>
                                    <w:jc w:val="left"/>
                                    <w:rPr>
                                      <w:rFonts w:ascii="Arial" w:hAnsi="Arial"/>
                                      <w:sz w:val="20"/>
                                    </w:rPr>
                                  </w:pPr>
                                  <w:r>
                                    <w:rPr>
                                      <w:rFonts w:ascii="Arial" w:hAnsi="Arial"/>
                                      <w:sz w:val="20"/>
                                    </w:rPr>
                                    <w:t>Manufacturing</w:t>
                                  </w:r>
                                </w:p>
                              </w:tc>
                              <w:tc>
                                <w:tcPr>
                                  <w:tcW w:w="965" w:type="dxa"/>
                                  <w:tcBorders>
                                    <w:right w:val="single" w:sz="8" w:space="0" w:color="000000"/>
                                  </w:tcBorders>
                                  <w:tcMar>
                                    <w:right w:w="40" w:type="dxa"/>
                                  </w:tcMar>
                                  <w:vAlign w:val="center"/>
                                </w:tcPr>
                                <w:p>
                                  <w:pPr>
                                    <w:pStyle w:val="TableContents"/>
                                    <w:bidi w:val="0"/>
                                    <w:spacing w:before="0" w:after="283"/>
                                    <w:jc w:val="center"/>
                                    <w:rPr>
                                      <w:rFonts w:ascii="Arial" w:hAnsi="Arial"/>
                                      <w:sz w:val="20"/>
                                    </w:rPr>
                                  </w:pPr>
                                  <w:r>
                                    <w:rPr>
                                      <w:rFonts w:ascii="Arial" w:hAnsi="Arial"/>
                                      <w:sz w:val="20"/>
                                    </w:rPr>
                                    <w:t>16.5%</w:t>
                                  </w:r>
                                </w:p>
                              </w:tc>
                            </w:tr>
                            <w:tr>
                              <w:trPr/>
                              <w:tc>
                                <w:tcPr>
                                  <w:tcW w:w="3890" w:type="dxa"/>
                                  <w:tcBorders>
                                    <w:left w:val="single" w:sz="8" w:space="0" w:color="000000"/>
                                    <w:right w:val="single" w:sz="8" w:space="0" w:color="000000"/>
                                  </w:tcBorders>
                                  <w:tcMar>
                                    <w:left w:w="40" w:type="dxa"/>
                                    <w:right w:w="40" w:type="dxa"/>
                                  </w:tcMar>
                                  <w:vAlign w:val="center"/>
                                </w:tcPr>
                                <w:p>
                                  <w:pPr>
                                    <w:pStyle w:val="TableContents"/>
                                    <w:bidi w:val="0"/>
                                    <w:spacing w:before="0" w:after="283"/>
                                    <w:jc w:val="left"/>
                                    <w:rPr>
                                      <w:rFonts w:ascii="Arial" w:hAnsi="Arial"/>
                                      <w:sz w:val="20"/>
                                    </w:rPr>
                                  </w:pPr>
                                  <w:r>
                                    <w:rPr>
                                      <w:rFonts w:ascii="Arial" w:hAnsi="Arial"/>
                                      <w:sz w:val="20"/>
                                    </w:rPr>
                                    <w:t>Mortgage loans</w:t>
                                  </w:r>
                                </w:p>
                              </w:tc>
                              <w:tc>
                                <w:tcPr>
                                  <w:tcW w:w="965" w:type="dxa"/>
                                  <w:tcBorders>
                                    <w:right w:val="single" w:sz="8" w:space="0" w:color="000000"/>
                                  </w:tcBorders>
                                  <w:tcMar>
                                    <w:right w:w="40" w:type="dxa"/>
                                  </w:tcMar>
                                  <w:vAlign w:val="center"/>
                                </w:tcPr>
                                <w:p>
                                  <w:pPr>
                                    <w:pStyle w:val="TableContents"/>
                                    <w:bidi w:val="0"/>
                                    <w:spacing w:before="0" w:after="283"/>
                                    <w:jc w:val="center"/>
                                    <w:rPr>
                                      <w:rFonts w:ascii="Arial" w:hAnsi="Arial"/>
                                      <w:sz w:val="20"/>
                                    </w:rPr>
                                  </w:pPr>
                                  <w:r>
                                    <w:rPr>
                                      <w:rFonts w:ascii="Arial" w:hAnsi="Arial"/>
                                      <w:sz w:val="20"/>
                                    </w:rPr>
                                    <w:t>17.1%</w:t>
                                  </w:r>
                                </w:p>
                              </w:tc>
                            </w:tr>
                            <w:tr>
                              <w:trPr/>
                              <w:tc>
                                <w:tcPr>
                                  <w:tcW w:w="3890" w:type="dxa"/>
                                  <w:tcBorders>
                                    <w:left w:val="single" w:sz="8" w:space="0" w:color="000000"/>
                                    <w:right w:val="single" w:sz="8" w:space="0" w:color="000000"/>
                                  </w:tcBorders>
                                  <w:tcMar>
                                    <w:left w:w="40" w:type="dxa"/>
                                    <w:right w:w="40" w:type="dxa"/>
                                  </w:tcMar>
                                  <w:vAlign w:val="center"/>
                                </w:tcPr>
                                <w:p>
                                  <w:pPr>
                                    <w:pStyle w:val="TableContents"/>
                                    <w:bidi w:val="0"/>
                                    <w:spacing w:before="0" w:after="283"/>
                                    <w:jc w:val="left"/>
                                    <w:rPr>
                                      <w:rFonts w:ascii="Arial" w:hAnsi="Arial"/>
                                      <w:sz w:val="20"/>
                                    </w:rPr>
                                  </w:pPr>
                                  <w:r>
                                    <w:rPr>
                                      <w:rFonts w:ascii="Arial" w:hAnsi="Arial"/>
                                      <w:sz w:val="20"/>
                                    </w:rPr>
                                    <w:t>Consumer loans</w:t>
                                  </w:r>
                                </w:p>
                              </w:tc>
                              <w:tc>
                                <w:tcPr>
                                  <w:tcW w:w="965" w:type="dxa"/>
                                  <w:tcBorders>
                                    <w:right w:val="single" w:sz="8" w:space="0" w:color="000000"/>
                                  </w:tcBorders>
                                  <w:tcMar>
                                    <w:right w:w="40" w:type="dxa"/>
                                  </w:tcMar>
                                  <w:vAlign w:val="center"/>
                                </w:tcPr>
                                <w:p>
                                  <w:pPr>
                                    <w:pStyle w:val="TableContents"/>
                                    <w:bidi w:val="0"/>
                                    <w:spacing w:before="0" w:after="283"/>
                                    <w:jc w:val="center"/>
                                    <w:rPr>
                                      <w:rFonts w:ascii="Arial" w:hAnsi="Arial"/>
                                      <w:sz w:val="20"/>
                                    </w:rPr>
                                  </w:pPr>
                                  <w:r>
                                    <w:rPr>
                                      <w:rFonts w:ascii="Arial" w:hAnsi="Arial"/>
                                      <w:sz w:val="20"/>
                                    </w:rPr>
                                    <w:t>13.0%</w:t>
                                  </w:r>
                                </w:p>
                              </w:tc>
                            </w:tr>
                            <w:tr>
                              <w:trPr/>
                              <w:tc>
                                <w:tcPr>
                                  <w:tcW w:w="3890" w:type="dxa"/>
                                  <w:tcBorders>
                                    <w:left w:val="single" w:sz="8" w:space="0" w:color="000000"/>
                                    <w:right w:val="single" w:sz="8" w:space="0" w:color="000000"/>
                                  </w:tcBorders>
                                  <w:tcMar>
                                    <w:left w:w="40" w:type="dxa"/>
                                    <w:right w:w="40" w:type="dxa"/>
                                  </w:tcMar>
                                  <w:vAlign w:val="center"/>
                                </w:tcPr>
                                <w:p>
                                  <w:pPr>
                                    <w:pStyle w:val="TableContents"/>
                                    <w:bidi w:val="0"/>
                                    <w:spacing w:before="0" w:after="283"/>
                                    <w:jc w:val="left"/>
                                    <w:rPr>
                                      <w:rFonts w:ascii="Arial" w:hAnsi="Arial"/>
                                      <w:sz w:val="20"/>
                                    </w:rPr>
                                  </w:pPr>
                                  <w:r>
                                    <w:rPr>
                                      <w:rFonts w:ascii="Arial" w:hAnsi="Arial"/>
                                      <w:sz w:val="20"/>
                                    </w:rPr>
                                    <w:t>Real Estate and leasing</w:t>
                                  </w:r>
                                </w:p>
                              </w:tc>
                              <w:tc>
                                <w:tcPr>
                                  <w:tcW w:w="965" w:type="dxa"/>
                                  <w:tcBorders>
                                    <w:right w:val="single" w:sz="8" w:space="0" w:color="000000"/>
                                  </w:tcBorders>
                                  <w:tcMar>
                                    <w:right w:w="40" w:type="dxa"/>
                                  </w:tcMar>
                                  <w:vAlign w:val="center"/>
                                </w:tcPr>
                                <w:p>
                                  <w:pPr>
                                    <w:pStyle w:val="TableContents"/>
                                    <w:bidi w:val="0"/>
                                    <w:spacing w:before="0" w:after="283"/>
                                    <w:jc w:val="center"/>
                                    <w:rPr>
                                      <w:rFonts w:ascii="Arial" w:hAnsi="Arial"/>
                                      <w:sz w:val="20"/>
                                    </w:rPr>
                                  </w:pPr>
                                  <w:r>
                                    <w:rPr>
                                      <w:rFonts w:ascii="Arial" w:hAnsi="Arial"/>
                                      <w:sz w:val="20"/>
                                    </w:rPr>
                                    <w:t>6.6%</w:t>
                                  </w:r>
                                </w:p>
                              </w:tc>
                            </w:tr>
                            <w:tr>
                              <w:trPr/>
                              <w:tc>
                                <w:tcPr>
                                  <w:tcW w:w="3890" w:type="dxa"/>
                                  <w:tcBorders>
                                    <w:left w:val="single" w:sz="8" w:space="0" w:color="000000"/>
                                    <w:right w:val="single" w:sz="8" w:space="0" w:color="000000"/>
                                  </w:tcBorders>
                                  <w:tcMar>
                                    <w:left w:w="40" w:type="dxa"/>
                                    <w:right w:w="40" w:type="dxa"/>
                                  </w:tcMar>
                                  <w:vAlign w:val="center"/>
                                </w:tcPr>
                                <w:p>
                                  <w:pPr>
                                    <w:pStyle w:val="TableContents"/>
                                    <w:bidi w:val="0"/>
                                    <w:spacing w:before="0" w:after="283"/>
                                    <w:jc w:val="left"/>
                                    <w:rPr>
                                      <w:rFonts w:ascii="Arial" w:hAnsi="Arial"/>
                                      <w:sz w:val="20"/>
                                    </w:rPr>
                                  </w:pPr>
                                  <w:r>
                                    <w:rPr>
                                      <w:rFonts w:ascii="Arial" w:hAnsi="Arial"/>
                                      <w:sz w:val="20"/>
                                    </w:rPr>
                                    <w:t>Community services</w:t>
                                  </w:r>
                                </w:p>
                              </w:tc>
                              <w:tc>
                                <w:tcPr>
                                  <w:tcW w:w="965" w:type="dxa"/>
                                  <w:tcBorders>
                                    <w:right w:val="single" w:sz="8" w:space="0" w:color="000000"/>
                                  </w:tcBorders>
                                  <w:tcMar>
                                    <w:right w:w="40" w:type="dxa"/>
                                  </w:tcMar>
                                  <w:vAlign w:val="center"/>
                                </w:tcPr>
                                <w:p>
                                  <w:pPr>
                                    <w:pStyle w:val="TableContents"/>
                                    <w:bidi w:val="0"/>
                                    <w:spacing w:before="0" w:after="283"/>
                                    <w:jc w:val="center"/>
                                    <w:rPr>
                                      <w:rFonts w:ascii="Arial" w:hAnsi="Arial"/>
                                      <w:sz w:val="20"/>
                                    </w:rPr>
                                  </w:pPr>
                                  <w:r>
                                    <w:rPr>
                                      <w:rFonts w:ascii="Arial" w:hAnsi="Arial"/>
                                      <w:sz w:val="20"/>
                                    </w:rPr>
                                    <w:t>4.7%</w:t>
                                  </w:r>
                                </w:p>
                              </w:tc>
                            </w:tr>
                            <w:tr>
                              <w:trPr/>
                              <w:tc>
                                <w:tcPr>
                                  <w:tcW w:w="3890" w:type="dxa"/>
                                  <w:tcBorders>
                                    <w:left w:val="single" w:sz="8" w:space="0" w:color="000000"/>
                                    <w:right w:val="single" w:sz="8" w:space="0" w:color="000000"/>
                                  </w:tcBorders>
                                  <w:tcMar>
                                    <w:left w:w="40" w:type="dxa"/>
                                    <w:right w:w="40" w:type="dxa"/>
                                  </w:tcMar>
                                  <w:vAlign w:val="center"/>
                                </w:tcPr>
                                <w:p>
                                  <w:pPr>
                                    <w:pStyle w:val="TableContents"/>
                                    <w:bidi w:val="0"/>
                                    <w:spacing w:before="0" w:after="283"/>
                                    <w:jc w:val="left"/>
                                    <w:rPr>
                                      <w:rFonts w:ascii="Arial" w:hAnsi="Arial"/>
                                      <w:sz w:val="20"/>
                                    </w:rPr>
                                  </w:pPr>
                                  <w:r>
                                    <w:rPr>
                                      <w:rFonts w:ascii="Arial" w:hAnsi="Arial"/>
                                      <w:sz w:val="20"/>
                                    </w:rPr>
                                    <w:t>Communications, werehousing and transport</w:t>
                                  </w:r>
                                </w:p>
                              </w:tc>
                              <w:tc>
                                <w:tcPr>
                                  <w:tcW w:w="965" w:type="dxa"/>
                                  <w:tcBorders>
                                    <w:right w:val="single" w:sz="8" w:space="0" w:color="000000"/>
                                  </w:tcBorders>
                                  <w:tcMar>
                                    <w:right w:w="40" w:type="dxa"/>
                                  </w:tcMar>
                                  <w:vAlign w:val="center"/>
                                </w:tcPr>
                                <w:p>
                                  <w:pPr>
                                    <w:pStyle w:val="TableContents"/>
                                    <w:bidi w:val="0"/>
                                    <w:spacing w:before="0" w:after="283"/>
                                    <w:jc w:val="center"/>
                                    <w:rPr>
                                      <w:rFonts w:ascii="Arial" w:hAnsi="Arial"/>
                                      <w:sz w:val="20"/>
                                    </w:rPr>
                                  </w:pPr>
                                  <w:r>
                                    <w:rPr>
                                      <w:rFonts w:ascii="Arial" w:hAnsi="Arial"/>
                                      <w:sz w:val="20"/>
                                    </w:rPr>
                                    <w:t>5.2%</w:t>
                                  </w:r>
                                </w:p>
                              </w:tc>
                            </w:tr>
                            <w:tr>
                              <w:trPr/>
                              <w:tc>
                                <w:tcPr>
                                  <w:tcW w:w="3890" w:type="dxa"/>
                                  <w:tcBorders>
                                    <w:left w:val="single" w:sz="8" w:space="0" w:color="000000"/>
                                    <w:right w:val="single" w:sz="8" w:space="0" w:color="000000"/>
                                  </w:tcBorders>
                                  <w:tcMar>
                                    <w:left w:w="40" w:type="dxa"/>
                                    <w:right w:w="40" w:type="dxa"/>
                                  </w:tcMar>
                                  <w:vAlign w:val="center"/>
                                </w:tcPr>
                                <w:p>
                                  <w:pPr>
                                    <w:pStyle w:val="TableContents"/>
                                    <w:bidi w:val="0"/>
                                    <w:spacing w:before="0" w:after="283"/>
                                    <w:jc w:val="left"/>
                                    <w:rPr>
                                      <w:rFonts w:ascii="Arial" w:hAnsi="Arial"/>
                                      <w:sz w:val="20"/>
                                    </w:rPr>
                                  </w:pPr>
                                  <w:r>
                                    <w:rPr>
                                      <w:rFonts w:ascii="Arial" w:hAnsi="Arial"/>
                                      <w:sz w:val="20"/>
                                    </w:rPr>
                                    <w:t>Agriculture</w:t>
                                  </w:r>
                                </w:p>
                              </w:tc>
                              <w:tc>
                                <w:tcPr>
                                  <w:tcW w:w="965" w:type="dxa"/>
                                  <w:tcBorders>
                                    <w:right w:val="single" w:sz="8" w:space="0" w:color="000000"/>
                                  </w:tcBorders>
                                  <w:tcMar>
                                    <w:right w:w="40" w:type="dxa"/>
                                  </w:tcMar>
                                  <w:vAlign w:val="center"/>
                                </w:tcPr>
                                <w:p>
                                  <w:pPr>
                                    <w:pStyle w:val="TableContents"/>
                                    <w:bidi w:val="0"/>
                                    <w:spacing w:before="0" w:after="283"/>
                                    <w:jc w:val="center"/>
                                    <w:rPr>
                                      <w:rFonts w:ascii="Arial" w:hAnsi="Arial"/>
                                      <w:sz w:val="20"/>
                                    </w:rPr>
                                  </w:pPr>
                                  <w:r>
                                    <w:rPr>
                                      <w:rFonts w:ascii="Arial" w:hAnsi="Arial"/>
                                      <w:sz w:val="20"/>
                                    </w:rPr>
                                    <w:t>3.3%</w:t>
                                  </w:r>
                                </w:p>
                              </w:tc>
                            </w:tr>
                            <w:tr>
                              <w:trPr/>
                              <w:tc>
                                <w:tcPr>
                                  <w:tcW w:w="3890" w:type="dxa"/>
                                  <w:tcBorders>
                                    <w:left w:val="single" w:sz="8" w:space="0" w:color="000000"/>
                                    <w:right w:val="single" w:sz="8" w:space="0" w:color="000000"/>
                                  </w:tcBorders>
                                  <w:tcMar>
                                    <w:left w:w="40" w:type="dxa"/>
                                    <w:right w:w="40" w:type="dxa"/>
                                  </w:tcMar>
                                  <w:vAlign w:val="center"/>
                                </w:tcPr>
                                <w:p>
                                  <w:pPr>
                                    <w:pStyle w:val="TableContents"/>
                                    <w:bidi w:val="0"/>
                                    <w:spacing w:before="0" w:after="283"/>
                                    <w:jc w:val="left"/>
                                    <w:rPr>
                                      <w:rFonts w:ascii="Arial" w:hAnsi="Arial"/>
                                      <w:sz w:val="20"/>
                                    </w:rPr>
                                  </w:pPr>
                                  <w:r>
                                    <w:rPr>
                                      <w:rFonts w:ascii="Arial" w:hAnsi="Arial"/>
                                      <w:sz w:val="20"/>
                                    </w:rPr>
                                    <w:t>Mining</w:t>
                                  </w:r>
                                </w:p>
                              </w:tc>
                              <w:tc>
                                <w:tcPr>
                                  <w:tcW w:w="965" w:type="dxa"/>
                                  <w:tcBorders>
                                    <w:right w:val="single" w:sz="8" w:space="0" w:color="000000"/>
                                  </w:tcBorders>
                                  <w:tcMar>
                                    <w:right w:w="40" w:type="dxa"/>
                                  </w:tcMar>
                                  <w:vAlign w:val="center"/>
                                </w:tcPr>
                                <w:p>
                                  <w:pPr>
                                    <w:pStyle w:val="TableContents"/>
                                    <w:bidi w:val="0"/>
                                    <w:spacing w:before="0" w:after="283"/>
                                    <w:jc w:val="center"/>
                                    <w:rPr>
                                      <w:rFonts w:ascii="Arial" w:hAnsi="Arial"/>
                                      <w:sz w:val="20"/>
                                    </w:rPr>
                                  </w:pPr>
                                  <w:r>
                                    <w:rPr>
                                      <w:rFonts w:ascii="Arial" w:hAnsi="Arial"/>
                                      <w:sz w:val="20"/>
                                    </w:rPr>
                                    <w:t>2.7%</w:t>
                                  </w:r>
                                </w:p>
                              </w:tc>
                            </w:tr>
                            <w:tr>
                              <w:trPr/>
                              <w:tc>
                                <w:tcPr>
                                  <w:tcW w:w="3890" w:type="dxa"/>
                                  <w:tcBorders>
                                    <w:left w:val="single" w:sz="8" w:space="0" w:color="000000"/>
                                    <w:right w:val="single" w:sz="8" w:space="0" w:color="000000"/>
                                  </w:tcBorders>
                                  <w:tcMar>
                                    <w:left w:w="40" w:type="dxa"/>
                                    <w:right w:w="40" w:type="dxa"/>
                                  </w:tcMar>
                                  <w:vAlign w:val="center"/>
                                </w:tcPr>
                                <w:p>
                                  <w:pPr>
                                    <w:pStyle w:val="TableContents"/>
                                    <w:bidi w:val="0"/>
                                    <w:spacing w:before="0" w:after="283"/>
                                    <w:jc w:val="left"/>
                                    <w:rPr>
                                      <w:rFonts w:ascii="Arial" w:hAnsi="Arial"/>
                                      <w:sz w:val="20"/>
                                    </w:rPr>
                                  </w:pPr>
                                  <w:r>
                                    <w:rPr>
                                      <w:rFonts w:ascii="Arial" w:hAnsi="Arial"/>
                                      <w:sz w:val="20"/>
                                    </w:rPr>
                                    <w:t>Electricity, Gas and Water</w:t>
                                  </w:r>
                                </w:p>
                              </w:tc>
                              <w:tc>
                                <w:tcPr>
                                  <w:tcW w:w="965" w:type="dxa"/>
                                  <w:tcBorders>
                                    <w:right w:val="single" w:sz="8" w:space="0" w:color="000000"/>
                                  </w:tcBorders>
                                  <w:tcMar>
                                    <w:right w:w="40" w:type="dxa"/>
                                  </w:tcMar>
                                  <w:vAlign w:val="center"/>
                                </w:tcPr>
                                <w:p>
                                  <w:pPr>
                                    <w:pStyle w:val="TableContents"/>
                                    <w:bidi w:val="0"/>
                                    <w:spacing w:before="0" w:after="283"/>
                                    <w:jc w:val="center"/>
                                    <w:rPr>
                                      <w:rFonts w:ascii="Arial" w:hAnsi="Arial"/>
                                      <w:sz w:val="20"/>
                                    </w:rPr>
                                  </w:pPr>
                                  <w:r>
                                    <w:rPr>
                                      <w:rFonts w:ascii="Arial" w:hAnsi="Arial"/>
                                      <w:sz w:val="20"/>
                                    </w:rPr>
                                    <w:t>3.3%</w:t>
                                  </w:r>
                                </w:p>
                              </w:tc>
                            </w:tr>
                            <w:tr>
                              <w:trPr/>
                              <w:tc>
                                <w:tcPr>
                                  <w:tcW w:w="3890" w:type="dxa"/>
                                  <w:tcBorders>
                                    <w:left w:val="single" w:sz="8" w:space="0" w:color="000000"/>
                                    <w:right w:val="single" w:sz="8" w:space="0" w:color="000000"/>
                                  </w:tcBorders>
                                  <w:tcMar>
                                    <w:left w:w="40" w:type="dxa"/>
                                    <w:right w:w="40" w:type="dxa"/>
                                  </w:tcMar>
                                  <w:vAlign w:val="center"/>
                                </w:tcPr>
                                <w:p>
                                  <w:pPr>
                                    <w:pStyle w:val="TableContents"/>
                                    <w:bidi w:val="0"/>
                                    <w:spacing w:before="0" w:after="283"/>
                                    <w:jc w:val="left"/>
                                    <w:rPr>
                                      <w:rFonts w:ascii="Arial" w:hAnsi="Arial"/>
                                      <w:sz w:val="20"/>
                                    </w:rPr>
                                  </w:pPr>
                                  <w:r>
                                    <w:rPr>
                                      <w:rFonts w:ascii="Arial" w:hAnsi="Arial"/>
                                      <w:sz w:val="20"/>
                                    </w:rPr>
                                    <w:t>Construction</w:t>
                                  </w:r>
                                </w:p>
                              </w:tc>
                              <w:tc>
                                <w:tcPr>
                                  <w:tcW w:w="965" w:type="dxa"/>
                                  <w:tcBorders>
                                    <w:right w:val="single" w:sz="8" w:space="0" w:color="000000"/>
                                  </w:tcBorders>
                                  <w:tcMar>
                                    <w:right w:w="40" w:type="dxa"/>
                                  </w:tcMar>
                                  <w:vAlign w:val="center"/>
                                </w:tcPr>
                                <w:p>
                                  <w:pPr>
                                    <w:pStyle w:val="TableContents"/>
                                    <w:bidi w:val="0"/>
                                    <w:spacing w:before="0" w:after="283"/>
                                    <w:jc w:val="center"/>
                                    <w:rPr/>
                                  </w:pPr>
                                  <w:r>
                                    <w:rPr/>
                                    <w:t> </w:t>
                                  </w:r>
                                  <w:r>
                                    <w:rPr>
                                      <w:rFonts w:ascii="Arial" w:hAnsi="Arial"/>
                                      <w:sz w:val="20"/>
                                    </w:rPr>
                                    <w:t>2.4%</w:t>
                                  </w:r>
                                </w:p>
                              </w:tc>
                            </w:tr>
                            <w:tr>
                              <w:trPr/>
                              <w:tc>
                                <w:tcPr>
                                  <w:tcW w:w="3890" w:type="dxa"/>
                                  <w:tcBorders>
                                    <w:left w:val="single" w:sz="8" w:space="0" w:color="000000"/>
                                    <w:right w:val="single" w:sz="8" w:space="0" w:color="000000"/>
                                  </w:tcBorders>
                                  <w:tcMar>
                                    <w:left w:w="40" w:type="dxa"/>
                                    <w:right w:w="40" w:type="dxa"/>
                                  </w:tcMar>
                                  <w:vAlign w:val="center"/>
                                </w:tcPr>
                                <w:p>
                                  <w:pPr>
                                    <w:pStyle w:val="TableContents"/>
                                    <w:bidi w:val="0"/>
                                    <w:spacing w:before="0" w:after="283"/>
                                    <w:jc w:val="left"/>
                                    <w:rPr>
                                      <w:rFonts w:ascii="Arial" w:hAnsi="Arial"/>
                                      <w:sz w:val="20"/>
                                    </w:rPr>
                                  </w:pPr>
                                  <w:r>
                                    <w:rPr>
                                      <w:rFonts w:ascii="Arial" w:hAnsi="Arial"/>
                                      <w:sz w:val="20"/>
                                    </w:rPr>
                                    <w:t>Financial Brokering</w:t>
                                  </w:r>
                                </w:p>
                              </w:tc>
                              <w:tc>
                                <w:tcPr>
                                  <w:tcW w:w="965" w:type="dxa"/>
                                  <w:tcBorders>
                                    <w:right w:val="single" w:sz="8" w:space="0" w:color="000000"/>
                                  </w:tcBorders>
                                  <w:tcMar>
                                    <w:right w:w="40" w:type="dxa"/>
                                  </w:tcMar>
                                  <w:vAlign w:val="center"/>
                                </w:tcPr>
                                <w:p>
                                  <w:pPr>
                                    <w:pStyle w:val="TableContents"/>
                                    <w:bidi w:val="0"/>
                                    <w:spacing w:before="0" w:after="283"/>
                                    <w:jc w:val="center"/>
                                    <w:rPr>
                                      <w:rFonts w:ascii="Arial" w:hAnsi="Arial"/>
                                      <w:sz w:val="20"/>
                                    </w:rPr>
                                  </w:pPr>
                                  <w:r>
                                    <w:rPr>
                                      <w:rFonts w:ascii="Arial" w:hAnsi="Arial"/>
                                      <w:sz w:val="20"/>
                                    </w:rPr>
                                    <w:t>2.3%</w:t>
                                  </w:r>
                                </w:p>
                              </w:tc>
                            </w:tr>
                            <w:tr>
                              <w:trPr/>
                              <w:tc>
                                <w:tcPr>
                                  <w:tcW w:w="3890" w:type="dxa"/>
                                  <w:tcBorders>
                                    <w:left w:val="single" w:sz="8" w:space="0" w:color="000000"/>
                                    <w:right w:val="single" w:sz="8" w:space="0" w:color="000000"/>
                                  </w:tcBorders>
                                  <w:tcMar>
                                    <w:left w:w="40" w:type="dxa"/>
                                    <w:right w:w="40" w:type="dxa"/>
                                  </w:tcMar>
                                  <w:vAlign w:val="center"/>
                                </w:tcPr>
                                <w:p>
                                  <w:pPr>
                                    <w:pStyle w:val="TableContents"/>
                                    <w:bidi w:val="0"/>
                                    <w:spacing w:before="0" w:after="283"/>
                                    <w:jc w:val="left"/>
                                    <w:rPr>
                                      <w:rFonts w:ascii="Arial" w:hAnsi="Arial"/>
                                      <w:sz w:val="20"/>
                                    </w:rPr>
                                  </w:pPr>
                                  <w:r>
                                    <w:rPr>
                                      <w:rFonts w:ascii="Arial" w:hAnsi="Arial"/>
                                      <w:sz w:val="20"/>
                                    </w:rPr>
                                    <w:t>Restaurant &amp; Hotels</w:t>
                                  </w:r>
                                </w:p>
                              </w:tc>
                              <w:tc>
                                <w:tcPr>
                                  <w:tcW w:w="965" w:type="dxa"/>
                                  <w:tcBorders>
                                    <w:right w:val="single" w:sz="8" w:space="0" w:color="000000"/>
                                  </w:tcBorders>
                                  <w:tcMar>
                                    <w:right w:w="40" w:type="dxa"/>
                                  </w:tcMar>
                                  <w:vAlign w:val="center"/>
                                </w:tcPr>
                                <w:p>
                                  <w:pPr>
                                    <w:pStyle w:val="TableContents"/>
                                    <w:bidi w:val="0"/>
                                    <w:spacing w:before="0" w:after="283"/>
                                    <w:jc w:val="center"/>
                                    <w:rPr>
                                      <w:rFonts w:ascii="Arial" w:hAnsi="Arial"/>
                                      <w:sz w:val="20"/>
                                    </w:rPr>
                                  </w:pPr>
                                  <w:r>
                                    <w:rPr>
                                      <w:rFonts w:ascii="Arial" w:hAnsi="Arial"/>
                                      <w:sz w:val="20"/>
                                    </w:rPr>
                                    <w:t>1.8%</w:t>
                                  </w:r>
                                </w:p>
                              </w:tc>
                            </w:tr>
                            <w:tr>
                              <w:trPr/>
                              <w:tc>
                                <w:tcPr>
                                  <w:tcW w:w="3890" w:type="dxa"/>
                                  <w:tcBorders>
                                    <w:left w:val="single" w:sz="8" w:space="0" w:color="000000"/>
                                    <w:right w:val="single" w:sz="8" w:space="0" w:color="000000"/>
                                  </w:tcBorders>
                                  <w:tcMar>
                                    <w:left w:w="40" w:type="dxa"/>
                                    <w:right w:w="40" w:type="dxa"/>
                                  </w:tcMar>
                                  <w:vAlign w:val="center"/>
                                </w:tcPr>
                                <w:p>
                                  <w:pPr>
                                    <w:pStyle w:val="TableContents"/>
                                    <w:bidi w:val="0"/>
                                    <w:spacing w:before="0" w:after="283"/>
                                    <w:jc w:val="left"/>
                                    <w:rPr>
                                      <w:rFonts w:ascii="Arial" w:hAnsi="Arial"/>
                                      <w:sz w:val="20"/>
                                    </w:rPr>
                                  </w:pPr>
                                  <w:r>
                                    <w:rPr>
                                      <w:rFonts w:ascii="Arial" w:hAnsi="Arial"/>
                                      <w:sz w:val="20"/>
                                    </w:rPr>
                                    <w:t>Education, Health and Others</w:t>
                                  </w:r>
                                </w:p>
                              </w:tc>
                              <w:tc>
                                <w:tcPr>
                                  <w:tcW w:w="965" w:type="dxa"/>
                                  <w:tcBorders>
                                    <w:right w:val="single" w:sz="8" w:space="0" w:color="000000"/>
                                  </w:tcBorders>
                                  <w:tcMar>
                                    <w:right w:w="40" w:type="dxa"/>
                                  </w:tcMar>
                                  <w:vAlign w:val="center"/>
                                </w:tcPr>
                                <w:p>
                                  <w:pPr>
                                    <w:pStyle w:val="TableContents"/>
                                    <w:bidi w:val="0"/>
                                    <w:spacing w:before="0" w:after="283"/>
                                    <w:jc w:val="center"/>
                                    <w:rPr>
                                      <w:rFonts w:ascii="Arial" w:hAnsi="Arial"/>
                                      <w:sz w:val="20"/>
                                    </w:rPr>
                                  </w:pPr>
                                  <w:r>
                                    <w:rPr>
                                      <w:rFonts w:ascii="Arial" w:hAnsi="Arial"/>
                                      <w:sz w:val="20"/>
                                    </w:rPr>
                                    <w:t>1.1%</w:t>
                                  </w:r>
                                </w:p>
                              </w:tc>
                            </w:tr>
                            <w:tr>
                              <w:trPr/>
                              <w:tc>
                                <w:tcPr>
                                  <w:tcW w:w="3890" w:type="dxa"/>
                                  <w:tcBorders>
                                    <w:left w:val="single" w:sz="8" w:space="0" w:color="000000"/>
                                    <w:right w:val="single" w:sz="8" w:space="0" w:color="000000"/>
                                  </w:tcBorders>
                                  <w:tcMar>
                                    <w:left w:w="40" w:type="dxa"/>
                                    <w:right w:w="40" w:type="dxa"/>
                                  </w:tcMar>
                                  <w:vAlign w:val="center"/>
                                </w:tcPr>
                                <w:p>
                                  <w:pPr>
                                    <w:pStyle w:val="TableContents"/>
                                    <w:bidi w:val="0"/>
                                    <w:spacing w:before="0" w:after="283"/>
                                    <w:jc w:val="left"/>
                                    <w:rPr>
                                      <w:rFonts w:ascii="Arial" w:hAnsi="Arial"/>
                                      <w:sz w:val="20"/>
                                    </w:rPr>
                                  </w:pPr>
                                  <w:r>
                                    <w:rPr>
                                      <w:rFonts w:ascii="Arial" w:hAnsi="Arial"/>
                                      <w:sz w:val="20"/>
                                    </w:rPr>
                                    <w:t>Others</w:t>
                                  </w:r>
                                </w:p>
                              </w:tc>
                              <w:tc>
                                <w:tcPr>
                                  <w:tcW w:w="965" w:type="dxa"/>
                                  <w:tcBorders>
                                    <w:right w:val="single" w:sz="8" w:space="0" w:color="000000"/>
                                  </w:tcBorders>
                                  <w:tcMar>
                                    <w:right w:w="40" w:type="dxa"/>
                                  </w:tcMar>
                                  <w:vAlign w:val="center"/>
                                </w:tcPr>
                                <w:p>
                                  <w:pPr>
                                    <w:pStyle w:val="TableContents"/>
                                    <w:bidi w:val="0"/>
                                    <w:spacing w:before="0" w:after="283"/>
                                    <w:jc w:val="center"/>
                                    <w:rPr>
                                      <w:rFonts w:ascii="Arial" w:hAnsi="Arial"/>
                                      <w:sz w:val="20"/>
                                    </w:rPr>
                                  </w:pPr>
                                  <w:r>
                                    <w:rPr>
                                      <w:rFonts w:ascii="Arial" w:hAnsi="Arial"/>
                                      <w:sz w:val="20"/>
                                    </w:rPr>
                                    <w:t>2.0%</w:t>
                                  </w:r>
                                </w:p>
                              </w:tc>
                            </w:tr>
                            <w:tr>
                              <w:trPr/>
                              <w:tc>
                                <w:tcPr>
                                  <w:tcW w:w="3890" w:type="dxa"/>
                                  <w:tcBorders>
                                    <w:top w:val="single" w:sz="8" w:space="0" w:color="000000"/>
                                    <w:left w:val="single" w:sz="8" w:space="0" w:color="000000"/>
                                    <w:bottom w:val="single" w:sz="8" w:space="0" w:color="000000"/>
                                    <w:right w:val="single" w:sz="8" w:space="0" w:color="000000"/>
                                  </w:tcBorders>
                                  <w:tcMar>
                                    <w:top w:w="28" w:type="dxa"/>
                                    <w:left w:w="40" w:type="dxa"/>
                                    <w:bottom w:w="28" w:type="dxa"/>
                                    <w:right w:w="40" w:type="dxa"/>
                                  </w:tcMar>
                                  <w:vAlign w:val="center"/>
                                </w:tcPr>
                                <w:p>
                                  <w:pPr>
                                    <w:pStyle w:val="TableContents"/>
                                    <w:bidi w:val="0"/>
                                    <w:spacing w:before="0" w:after="283"/>
                                    <w:jc w:val="left"/>
                                    <w:rPr>
                                      <w:rFonts w:ascii="Arial" w:hAnsi="Arial"/>
                                      <w:sz w:val="20"/>
                                    </w:rPr>
                                  </w:pPr>
                                  <w:r>
                                    <w:rPr>
                                      <w:rFonts w:ascii="Arial" w:hAnsi="Arial"/>
                                      <w:sz w:val="20"/>
                                    </w:rPr>
                                    <w:t>Total loans</w:t>
                                  </w:r>
                                </w:p>
                              </w:tc>
                              <w:tc>
                                <w:tcPr>
                                  <w:tcW w:w="965" w:type="dxa"/>
                                  <w:tcBorders>
                                    <w:top w:val="single" w:sz="8" w:space="0" w:color="000000"/>
                                    <w:bottom w:val="single" w:sz="8" w:space="0" w:color="000000"/>
                                    <w:right w:val="single" w:sz="8" w:space="0" w:color="000000"/>
                                  </w:tcBorders>
                                  <w:tcMar>
                                    <w:top w:w="28" w:type="dxa"/>
                                    <w:bottom w:w="28" w:type="dxa"/>
                                    <w:right w:w="40" w:type="dxa"/>
                                  </w:tcMar>
                                  <w:vAlign w:val="center"/>
                                </w:tcPr>
                                <w:p>
                                  <w:pPr>
                                    <w:pStyle w:val="TableContents"/>
                                    <w:bidi w:val="0"/>
                                    <w:spacing w:before="0" w:after="283"/>
                                    <w:jc w:val="center"/>
                                    <w:rPr>
                                      <w:rFonts w:ascii="Arial" w:hAnsi="Arial"/>
                                      <w:sz w:val="20"/>
                                    </w:rPr>
                                  </w:pPr>
                                  <w:r>
                                    <w:rPr>
                                      <w:rFonts w:ascii="Arial" w:hAnsi="Arial"/>
                                      <w:sz w:val="20"/>
                                    </w:rPr>
                                    <w:t>100.0%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25.1pt;mso-wrap-distance-left:0pt;mso-wrap-distance-right:0pt;mso-wrap-distance-top:0pt;mso-wrap-distance-bottom:0pt;margin-top:0pt;mso-position-vertical:top;mso-position-vertical-relative:text;margin-left:265.35pt;mso-position-horizontal:right;mso-position-horizontal-relative:text">
                <v:textbox>
                  <w:txbxContent>
                    <w:tbl>
                      <w:tblPr>
                        <w:tblW w:w="4855" w:type="dxa"/>
                        <w:jc w:val="left"/>
                        <w:tblInd w:w="0" w:type="dxa"/>
                        <w:tblLayout w:type="fixed"/>
                        <w:tblCellMar>
                          <w:top w:w="0" w:type="dxa"/>
                          <w:left w:w="0" w:type="dxa"/>
                          <w:bottom w:w="0" w:type="dxa"/>
                          <w:right w:w="0" w:type="dxa"/>
                        </w:tblCellMar>
                      </w:tblPr>
                      <w:tblGrid>
                        <w:gridCol w:w="3890"/>
                        <w:gridCol w:w="965"/>
                      </w:tblGrid>
                      <w:tr>
                        <w:trPr/>
                        <w:tc>
                          <w:tcPr>
                            <w:tcW w:w="4855" w:type="dxa"/>
                            <w:gridSpan w:val="2"/>
                            <w:tcBorders/>
                            <w:vAlign w:val="center"/>
                          </w:tcPr>
                          <w:p>
                            <w:pPr>
                              <w:pStyle w:val="TableContents"/>
                              <w:bidi w:val="0"/>
                              <w:spacing w:before="0" w:after="283"/>
                              <w:jc w:val="center"/>
                              <w:rPr/>
                            </w:pPr>
                            <w:r>
                              <w:rPr>
                                <w:rFonts w:ascii="Arial" w:hAnsi="Arial"/>
                                <w:b/>
                                <w:sz w:val="20"/>
                              </w:rPr>
                              <w:t>Loans by industry</w:t>
                            </w:r>
                            <w:r>
                              <w:rPr/>
                              <w:br/>
                            </w:r>
                            <w:r>
                              <w:rPr>
                                <w:rFonts w:ascii="Arial" w:hAnsi="Arial"/>
                                <w:sz w:val="20"/>
                              </w:rPr>
                              <w:t>(Year-end balances)</w:t>
                            </w:r>
                          </w:p>
                        </w:tc>
                      </w:tr>
                      <w:tr>
                        <w:trPr/>
                        <w:tc>
                          <w:tcPr>
                            <w:tcW w:w="3890" w:type="dxa"/>
                            <w:tcBorders>
                              <w:top w:val="single" w:sz="8" w:space="0" w:color="000000"/>
                              <w:left w:val="single" w:sz="8" w:space="0" w:color="000000"/>
                              <w:bottom w:val="single" w:sz="8" w:space="0" w:color="000000"/>
                              <w:right w:val="single" w:sz="8" w:space="0" w:color="000000"/>
                            </w:tcBorders>
                            <w:shd w:fill="29D2C9" w:val="clear"/>
                            <w:tcMar>
                              <w:top w:w="60" w:type="dxa"/>
                              <w:left w:w="40" w:type="dxa"/>
                              <w:bottom w:w="60" w:type="dxa"/>
                              <w:right w:w="40" w:type="dxa"/>
                            </w:tcMar>
                            <w:vAlign w:val="center"/>
                          </w:tcPr>
                          <w:p>
                            <w:pPr>
                              <w:pStyle w:val="TableContents"/>
                              <w:bidi w:val="0"/>
                              <w:spacing w:before="0" w:after="283"/>
                              <w:jc w:val="center"/>
                              <w:rPr>
                                <w:rFonts w:ascii="Arial" w:hAnsi="Arial"/>
                                <w:b/>
                                <w:color w:val="FFFFFF"/>
                                <w:sz w:val="20"/>
                              </w:rPr>
                            </w:pPr>
                            <w:r>
                              <w:rPr>
                                <w:rFonts w:ascii="Arial" w:hAnsi="Arial"/>
                                <w:b/>
                                <w:color w:val="FFFFFF"/>
                                <w:sz w:val="20"/>
                              </w:rPr>
                              <w:t>Industry</w:t>
                            </w:r>
                          </w:p>
                        </w:tc>
                        <w:tc>
                          <w:tcPr>
                            <w:tcW w:w="965" w:type="dxa"/>
                            <w:tcBorders>
                              <w:top w:val="single" w:sz="8" w:space="0" w:color="000000"/>
                              <w:bottom w:val="single" w:sz="8" w:space="0" w:color="000000"/>
                              <w:right w:val="single" w:sz="8" w:space="0" w:color="000000"/>
                            </w:tcBorders>
                            <w:shd w:fill="29D2C9" w:val="clear"/>
                            <w:tcMar>
                              <w:top w:w="60" w:type="dxa"/>
                              <w:bottom w:w="60" w:type="dxa"/>
                              <w:right w:w="40" w:type="dxa"/>
                            </w:tcMar>
                            <w:vAlign w:val="center"/>
                          </w:tcPr>
                          <w:p>
                            <w:pPr>
                              <w:pStyle w:val="TableContents"/>
                              <w:bidi w:val="0"/>
                              <w:spacing w:before="0" w:after="283"/>
                              <w:jc w:val="center"/>
                              <w:rPr>
                                <w:rFonts w:ascii="Arial" w:hAnsi="Arial"/>
                                <w:b/>
                                <w:color w:val="FFFFFF"/>
                                <w:sz w:val="20"/>
                              </w:rPr>
                            </w:pPr>
                            <w:r>
                              <w:rPr>
                                <w:rFonts w:ascii="Arial" w:hAnsi="Arial"/>
                                <w:b/>
                                <w:color w:val="FFFFFF"/>
                                <w:sz w:val="20"/>
                              </w:rPr>
                              <w:t>Loans (%)</w:t>
                            </w:r>
                          </w:p>
                        </w:tc>
                      </w:tr>
                      <w:tr>
                        <w:trPr/>
                        <w:tc>
                          <w:tcPr>
                            <w:tcW w:w="3890" w:type="dxa"/>
                            <w:tcBorders>
                              <w:left w:val="single" w:sz="8" w:space="0" w:color="000000"/>
                              <w:right w:val="single" w:sz="8" w:space="0" w:color="000000"/>
                            </w:tcBorders>
                            <w:tcMar>
                              <w:left w:w="40" w:type="dxa"/>
                              <w:right w:w="40" w:type="dxa"/>
                            </w:tcMar>
                            <w:vAlign w:val="center"/>
                          </w:tcPr>
                          <w:p>
                            <w:pPr>
                              <w:pStyle w:val="TableContents"/>
                              <w:bidi w:val="0"/>
                              <w:spacing w:before="0" w:after="283"/>
                              <w:jc w:val="left"/>
                              <w:rPr>
                                <w:rFonts w:ascii="Arial" w:hAnsi="Arial"/>
                                <w:sz w:val="20"/>
                              </w:rPr>
                            </w:pPr>
                            <w:r>
                              <w:rPr>
                                <w:rFonts w:ascii="Arial" w:hAnsi="Arial"/>
                                <w:sz w:val="20"/>
                              </w:rPr>
                              <w:t>Commerce</w:t>
                            </w:r>
                          </w:p>
                        </w:tc>
                        <w:tc>
                          <w:tcPr>
                            <w:tcW w:w="965" w:type="dxa"/>
                            <w:tcBorders>
                              <w:right w:val="single" w:sz="8" w:space="0" w:color="000000"/>
                            </w:tcBorders>
                            <w:tcMar>
                              <w:right w:w="40" w:type="dxa"/>
                            </w:tcMar>
                            <w:vAlign w:val="center"/>
                          </w:tcPr>
                          <w:p>
                            <w:pPr>
                              <w:pStyle w:val="TableContents"/>
                              <w:bidi w:val="0"/>
                              <w:spacing w:before="0" w:after="283"/>
                              <w:jc w:val="center"/>
                              <w:rPr>
                                <w:rFonts w:ascii="Arial" w:hAnsi="Arial"/>
                                <w:sz w:val="20"/>
                              </w:rPr>
                            </w:pPr>
                            <w:r>
                              <w:rPr>
                                <w:rFonts w:ascii="Arial" w:hAnsi="Arial"/>
                                <w:sz w:val="20"/>
                              </w:rPr>
                              <w:t>17.9%</w:t>
                            </w:r>
                          </w:p>
                        </w:tc>
                      </w:tr>
                      <w:tr>
                        <w:trPr/>
                        <w:tc>
                          <w:tcPr>
                            <w:tcW w:w="3890" w:type="dxa"/>
                            <w:tcBorders>
                              <w:left w:val="single" w:sz="8" w:space="0" w:color="000000"/>
                              <w:right w:val="single" w:sz="8" w:space="0" w:color="000000"/>
                            </w:tcBorders>
                            <w:tcMar>
                              <w:left w:w="40" w:type="dxa"/>
                              <w:right w:w="40" w:type="dxa"/>
                            </w:tcMar>
                            <w:vAlign w:val="center"/>
                          </w:tcPr>
                          <w:p>
                            <w:pPr>
                              <w:pStyle w:val="TableContents"/>
                              <w:bidi w:val="0"/>
                              <w:spacing w:before="0" w:after="283"/>
                              <w:jc w:val="left"/>
                              <w:rPr>
                                <w:rFonts w:ascii="Arial" w:hAnsi="Arial"/>
                                <w:sz w:val="20"/>
                              </w:rPr>
                            </w:pPr>
                            <w:r>
                              <w:rPr>
                                <w:rFonts w:ascii="Arial" w:hAnsi="Arial"/>
                                <w:sz w:val="20"/>
                              </w:rPr>
                              <w:t>Manufacturing</w:t>
                            </w:r>
                          </w:p>
                        </w:tc>
                        <w:tc>
                          <w:tcPr>
                            <w:tcW w:w="965" w:type="dxa"/>
                            <w:tcBorders>
                              <w:right w:val="single" w:sz="8" w:space="0" w:color="000000"/>
                            </w:tcBorders>
                            <w:tcMar>
                              <w:right w:w="40" w:type="dxa"/>
                            </w:tcMar>
                            <w:vAlign w:val="center"/>
                          </w:tcPr>
                          <w:p>
                            <w:pPr>
                              <w:pStyle w:val="TableContents"/>
                              <w:bidi w:val="0"/>
                              <w:spacing w:before="0" w:after="283"/>
                              <w:jc w:val="center"/>
                              <w:rPr>
                                <w:rFonts w:ascii="Arial" w:hAnsi="Arial"/>
                                <w:sz w:val="20"/>
                              </w:rPr>
                            </w:pPr>
                            <w:r>
                              <w:rPr>
                                <w:rFonts w:ascii="Arial" w:hAnsi="Arial"/>
                                <w:sz w:val="20"/>
                              </w:rPr>
                              <w:t>16.5%</w:t>
                            </w:r>
                          </w:p>
                        </w:tc>
                      </w:tr>
                      <w:tr>
                        <w:trPr/>
                        <w:tc>
                          <w:tcPr>
                            <w:tcW w:w="3890" w:type="dxa"/>
                            <w:tcBorders>
                              <w:left w:val="single" w:sz="8" w:space="0" w:color="000000"/>
                              <w:right w:val="single" w:sz="8" w:space="0" w:color="000000"/>
                            </w:tcBorders>
                            <w:tcMar>
                              <w:left w:w="40" w:type="dxa"/>
                              <w:right w:w="40" w:type="dxa"/>
                            </w:tcMar>
                            <w:vAlign w:val="center"/>
                          </w:tcPr>
                          <w:p>
                            <w:pPr>
                              <w:pStyle w:val="TableContents"/>
                              <w:bidi w:val="0"/>
                              <w:spacing w:before="0" w:after="283"/>
                              <w:jc w:val="left"/>
                              <w:rPr>
                                <w:rFonts w:ascii="Arial" w:hAnsi="Arial"/>
                                <w:sz w:val="20"/>
                              </w:rPr>
                            </w:pPr>
                            <w:r>
                              <w:rPr>
                                <w:rFonts w:ascii="Arial" w:hAnsi="Arial"/>
                                <w:sz w:val="20"/>
                              </w:rPr>
                              <w:t>Mortgage loans</w:t>
                            </w:r>
                          </w:p>
                        </w:tc>
                        <w:tc>
                          <w:tcPr>
                            <w:tcW w:w="965" w:type="dxa"/>
                            <w:tcBorders>
                              <w:right w:val="single" w:sz="8" w:space="0" w:color="000000"/>
                            </w:tcBorders>
                            <w:tcMar>
                              <w:right w:w="40" w:type="dxa"/>
                            </w:tcMar>
                            <w:vAlign w:val="center"/>
                          </w:tcPr>
                          <w:p>
                            <w:pPr>
                              <w:pStyle w:val="TableContents"/>
                              <w:bidi w:val="0"/>
                              <w:spacing w:before="0" w:after="283"/>
                              <w:jc w:val="center"/>
                              <w:rPr>
                                <w:rFonts w:ascii="Arial" w:hAnsi="Arial"/>
                                <w:sz w:val="20"/>
                              </w:rPr>
                            </w:pPr>
                            <w:r>
                              <w:rPr>
                                <w:rFonts w:ascii="Arial" w:hAnsi="Arial"/>
                                <w:sz w:val="20"/>
                              </w:rPr>
                              <w:t>17.1%</w:t>
                            </w:r>
                          </w:p>
                        </w:tc>
                      </w:tr>
                      <w:tr>
                        <w:trPr/>
                        <w:tc>
                          <w:tcPr>
                            <w:tcW w:w="3890" w:type="dxa"/>
                            <w:tcBorders>
                              <w:left w:val="single" w:sz="8" w:space="0" w:color="000000"/>
                              <w:right w:val="single" w:sz="8" w:space="0" w:color="000000"/>
                            </w:tcBorders>
                            <w:tcMar>
                              <w:left w:w="40" w:type="dxa"/>
                              <w:right w:w="40" w:type="dxa"/>
                            </w:tcMar>
                            <w:vAlign w:val="center"/>
                          </w:tcPr>
                          <w:p>
                            <w:pPr>
                              <w:pStyle w:val="TableContents"/>
                              <w:bidi w:val="0"/>
                              <w:spacing w:before="0" w:after="283"/>
                              <w:jc w:val="left"/>
                              <w:rPr>
                                <w:rFonts w:ascii="Arial" w:hAnsi="Arial"/>
                                <w:sz w:val="20"/>
                              </w:rPr>
                            </w:pPr>
                            <w:r>
                              <w:rPr>
                                <w:rFonts w:ascii="Arial" w:hAnsi="Arial"/>
                                <w:sz w:val="20"/>
                              </w:rPr>
                              <w:t>Consumer loans</w:t>
                            </w:r>
                          </w:p>
                        </w:tc>
                        <w:tc>
                          <w:tcPr>
                            <w:tcW w:w="965" w:type="dxa"/>
                            <w:tcBorders>
                              <w:right w:val="single" w:sz="8" w:space="0" w:color="000000"/>
                            </w:tcBorders>
                            <w:tcMar>
                              <w:right w:w="40" w:type="dxa"/>
                            </w:tcMar>
                            <w:vAlign w:val="center"/>
                          </w:tcPr>
                          <w:p>
                            <w:pPr>
                              <w:pStyle w:val="TableContents"/>
                              <w:bidi w:val="0"/>
                              <w:spacing w:before="0" w:after="283"/>
                              <w:jc w:val="center"/>
                              <w:rPr>
                                <w:rFonts w:ascii="Arial" w:hAnsi="Arial"/>
                                <w:sz w:val="20"/>
                              </w:rPr>
                            </w:pPr>
                            <w:r>
                              <w:rPr>
                                <w:rFonts w:ascii="Arial" w:hAnsi="Arial"/>
                                <w:sz w:val="20"/>
                              </w:rPr>
                              <w:t>13.0%</w:t>
                            </w:r>
                          </w:p>
                        </w:tc>
                      </w:tr>
                      <w:tr>
                        <w:trPr/>
                        <w:tc>
                          <w:tcPr>
                            <w:tcW w:w="3890" w:type="dxa"/>
                            <w:tcBorders>
                              <w:left w:val="single" w:sz="8" w:space="0" w:color="000000"/>
                              <w:right w:val="single" w:sz="8" w:space="0" w:color="000000"/>
                            </w:tcBorders>
                            <w:tcMar>
                              <w:left w:w="40" w:type="dxa"/>
                              <w:right w:w="40" w:type="dxa"/>
                            </w:tcMar>
                            <w:vAlign w:val="center"/>
                          </w:tcPr>
                          <w:p>
                            <w:pPr>
                              <w:pStyle w:val="TableContents"/>
                              <w:bidi w:val="0"/>
                              <w:spacing w:before="0" w:after="283"/>
                              <w:jc w:val="left"/>
                              <w:rPr>
                                <w:rFonts w:ascii="Arial" w:hAnsi="Arial"/>
                                <w:sz w:val="20"/>
                              </w:rPr>
                            </w:pPr>
                            <w:r>
                              <w:rPr>
                                <w:rFonts w:ascii="Arial" w:hAnsi="Arial"/>
                                <w:sz w:val="20"/>
                              </w:rPr>
                              <w:t>Real Estate and leasing</w:t>
                            </w:r>
                          </w:p>
                        </w:tc>
                        <w:tc>
                          <w:tcPr>
                            <w:tcW w:w="965" w:type="dxa"/>
                            <w:tcBorders>
                              <w:right w:val="single" w:sz="8" w:space="0" w:color="000000"/>
                            </w:tcBorders>
                            <w:tcMar>
                              <w:right w:w="40" w:type="dxa"/>
                            </w:tcMar>
                            <w:vAlign w:val="center"/>
                          </w:tcPr>
                          <w:p>
                            <w:pPr>
                              <w:pStyle w:val="TableContents"/>
                              <w:bidi w:val="0"/>
                              <w:spacing w:before="0" w:after="283"/>
                              <w:jc w:val="center"/>
                              <w:rPr>
                                <w:rFonts w:ascii="Arial" w:hAnsi="Arial"/>
                                <w:sz w:val="20"/>
                              </w:rPr>
                            </w:pPr>
                            <w:r>
                              <w:rPr>
                                <w:rFonts w:ascii="Arial" w:hAnsi="Arial"/>
                                <w:sz w:val="20"/>
                              </w:rPr>
                              <w:t>6.6%</w:t>
                            </w:r>
                          </w:p>
                        </w:tc>
                      </w:tr>
                      <w:tr>
                        <w:trPr/>
                        <w:tc>
                          <w:tcPr>
                            <w:tcW w:w="3890" w:type="dxa"/>
                            <w:tcBorders>
                              <w:left w:val="single" w:sz="8" w:space="0" w:color="000000"/>
                              <w:right w:val="single" w:sz="8" w:space="0" w:color="000000"/>
                            </w:tcBorders>
                            <w:tcMar>
                              <w:left w:w="40" w:type="dxa"/>
                              <w:right w:w="40" w:type="dxa"/>
                            </w:tcMar>
                            <w:vAlign w:val="center"/>
                          </w:tcPr>
                          <w:p>
                            <w:pPr>
                              <w:pStyle w:val="TableContents"/>
                              <w:bidi w:val="0"/>
                              <w:spacing w:before="0" w:after="283"/>
                              <w:jc w:val="left"/>
                              <w:rPr>
                                <w:rFonts w:ascii="Arial" w:hAnsi="Arial"/>
                                <w:sz w:val="20"/>
                              </w:rPr>
                            </w:pPr>
                            <w:r>
                              <w:rPr>
                                <w:rFonts w:ascii="Arial" w:hAnsi="Arial"/>
                                <w:sz w:val="20"/>
                              </w:rPr>
                              <w:t>Community services</w:t>
                            </w:r>
                          </w:p>
                        </w:tc>
                        <w:tc>
                          <w:tcPr>
                            <w:tcW w:w="965" w:type="dxa"/>
                            <w:tcBorders>
                              <w:right w:val="single" w:sz="8" w:space="0" w:color="000000"/>
                            </w:tcBorders>
                            <w:tcMar>
                              <w:right w:w="40" w:type="dxa"/>
                            </w:tcMar>
                            <w:vAlign w:val="center"/>
                          </w:tcPr>
                          <w:p>
                            <w:pPr>
                              <w:pStyle w:val="TableContents"/>
                              <w:bidi w:val="0"/>
                              <w:spacing w:before="0" w:after="283"/>
                              <w:jc w:val="center"/>
                              <w:rPr>
                                <w:rFonts w:ascii="Arial" w:hAnsi="Arial"/>
                                <w:sz w:val="20"/>
                              </w:rPr>
                            </w:pPr>
                            <w:r>
                              <w:rPr>
                                <w:rFonts w:ascii="Arial" w:hAnsi="Arial"/>
                                <w:sz w:val="20"/>
                              </w:rPr>
                              <w:t>4.7%</w:t>
                            </w:r>
                          </w:p>
                        </w:tc>
                      </w:tr>
                      <w:tr>
                        <w:trPr/>
                        <w:tc>
                          <w:tcPr>
                            <w:tcW w:w="3890" w:type="dxa"/>
                            <w:tcBorders>
                              <w:left w:val="single" w:sz="8" w:space="0" w:color="000000"/>
                              <w:right w:val="single" w:sz="8" w:space="0" w:color="000000"/>
                            </w:tcBorders>
                            <w:tcMar>
                              <w:left w:w="40" w:type="dxa"/>
                              <w:right w:w="40" w:type="dxa"/>
                            </w:tcMar>
                            <w:vAlign w:val="center"/>
                          </w:tcPr>
                          <w:p>
                            <w:pPr>
                              <w:pStyle w:val="TableContents"/>
                              <w:bidi w:val="0"/>
                              <w:spacing w:before="0" w:after="283"/>
                              <w:jc w:val="left"/>
                              <w:rPr>
                                <w:rFonts w:ascii="Arial" w:hAnsi="Arial"/>
                                <w:sz w:val="20"/>
                              </w:rPr>
                            </w:pPr>
                            <w:r>
                              <w:rPr>
                                <w:rFonts w:ascii="Arial" w:hAnsi="Arial"/>
                                <w:sz w:val="20"/>
                              </w:rPr>
                              <w:t>Communications, werehousing and transport</w:t>
                            </w:r>
                          </w:p>
                        </w:tc>
                        <w:tc>
                          <w:tcPr>
                            <w:tcW w:w="965" w:type="dxa"/>
                            <w:tcBorders>
                              <w:right w:val="single" w:sz="8" w:space="0" w:color="000000"/>
                            </w:tcBorders>
                            <w:tcMar>
                              <w:right w:w="40" w:type="dxa"/>
                            </w:tcMar>
                            <w:vAlign w:val="center"/>
                          </w:tcPr>
                          <w:p>
                            <w:pPr>
                              <w:pStyle w:val="TableContents"/>
                              <w:bidi w:val="0"/>
                              <w:spacing w:before="0" w:after="283"/>
                              <w:jc w:val="center"/>
                              <w:rPr>
                                <w:rFonts w:ascii="Arial" w:hAnsi="Arial"/>
                                <w:sz w:val="20"/>
                              </w:rPr>
                            </w:pPr>
                            <w:r>
                              <w:rPr>
                                <w:rFonts w:ascii="Arial" w:hAnsi="Arial"/>
                                <w:sz w:val="20"/>
                              </w:rPr>
                              <w:t>5.2%</w:t>
                            </w:r>
                          </w:p>
                        </w:tc>
                      </w:tr>
                      <w:tr>
                        <w:trPr/>
                        <w:tc>
                          <w:tcPr>
                            <w:tcW w:w="3890" w:type="dxa"/>
                            <w:tcBorders>
                              <w:left w:val="single" w:sz="8" w:space="0" w:color="000000"/>
                              <w:right w:val="single" w:sz="8" w:space="0" w:color="000000"/>
                            </w:tcBorders>
                            <w:tcMar>
                              <w:left w:w="40" w:type="dxa"/>
                              <w:right w:w="40" w:type="dxa"/>
                            </w:tcMar>
                            <w:vAlign w:val="center"/>
                          </w:tcPr>
                          <w:p>
                            <w:pPr>
                              <w:pStyle w:val="TableContents"/>
                              <w:bidi w:val="0"/>
                              <w:spacing w:before="0" w:after="283"/>
                              <w:jc w:val="left"/>
                              <w:rPr>
                                <w:rFonts w:ascii="Arial" w:hAnsi="Arial"/>
                                <w:sz w:val="20"/>
                              </w:rPr>
                            </w:pPr>
                            <w:r>
                              <w:rPr>
                                <w:rFonts w:ascii="Arial" w:hAnsi="Arial"/>
                                <w:sz w:val="20"/>
                              </w:rPr>
                              <w:t>Agriculture</w:t>
                            </w:r>
                          </w:p>
                        </w:tc>
                        <w:tc>
                          <w:tcPr>
                            <w:tcW w:w="965" w:type="dxa"/>
                            <w:tcBorders>
                              <w:right w:val="single" w:sz="8" w:space="0" w:color="000000"/>
                            </w:tcBorders>
                            <w:tcMar>
                              <w:right w:w="40" w:type="dxa"/>
                            </w:tcMar>
                            <w:vAlign w:val="center"/>
                          </w:tcPr>
                          <w:p>
                            <w:pPr>
                              <w:pStyle w:val="TableContents"/>
                              <w:bidi w:val="0"/>
                              <w:spacing w:before="0" w:after="283"/>
                              <w:jc w:val="center"/>
                              <w:rPr>
                                <w:rFonts w:ascii="Arial" w:hAnsi="Arial"/>
                                <w:sz w:val="20"/>
                              </w:rPr>
                            </w:pPr>
                            <w:r>
                              <w:rPr>
                                <w:rFonts w:ascii="Arial" w:hAnsi="Arial"/>
                                <w:sz w:val="20"/>
                              </w:rPr>
                              <w:t>3.3%</w:t>
                            </w:r>
                          </w:p>
                        </w:tc>
                      </w:tr>
                      <w:tr>
                        <w:trPr/>
                        <w:tc>
                          <w:tcPr>
                            <w:tcW w:w="3890" w:type="dxa"/>
                            <w:tcBorders>
                              <w:left w:val="single" w:sz="8" w:space="0" w:color="000000"/>
                              <w:right w:val="single" w:sz="8" w:space="0" w:color="000000"/>
                            </w:tcBorders>
                            <w:tcMar>
                              <w:left w:w="40" w:type="dxa"/>
                              <w:right w:w="40" w:type="dxa"/>
                            </w:tcMar>
                            <w:vAlign w:val="center"/>
                          </w:tcPr>
                          <w:p>
                            <w:pPr>
                              <w:pStyle w:val="TableContents"/>
                              <w:bidi w:val="0"/>
                              <w:spacing w:before="0" w:after="283"/>
                              <w:jc w:val="left"/>
                              <w:rPr>
                                <w:rFonts w:ascii="Arial" w:hAnsi="Arial"/>
                                <w:sz w:val="20"/>
                              </w:rPr>
                            </w:pPr>
                            <w:r>
                              <w:rPr>
                                <w:rFonts w:ascii="Arial" w:hAnsi="Arial"/>
                                <w:sz w:val="20"/>
                              </w:rPr>
                              <w:t>Mining</w:t>
                            </w:r>
                          </w:p>
                        </w:tc>
                        <w:tc>
                          <w:tcPr>
                            <w:tcW w:w="965" w:type="dxa"/>
                            <w:tcBorders>
                              <w:right w:val="single" w:sz="8" w:space="0" w:color="000000"/>
                            </w:tcBorders>
                            <w:tcMar>
                              <w:right w:w="40" w:type="dxa"/>
                            </w:tcMar>
                            <w:vAlign w:val="center"/>
                          </w:tcPr>
                          <w:p>
                            <w:pPr>
                              <w:pStyle w:val="TableContents"/>
                              <w:bidi w:val="0"/>
                              <w:spacing w:before="0" w:after="283"/>
                              <w:jc w:val="center"/>
                              <w:rPr>
                                <w:rFonts w:ascii="Arial" w:hAnsi="Arial"/>
                                <w:sz w:val="20"/>
                              </w:rPr>
                            </w:pPr>
                            <w:r>
                              <w:rPr>
                                <w:rFonts w:ascii="Arial" w:hAnsi="Arial"/>
                                <w:sz w:val="20"/>
                              </w:rPr>
                              <w:t>2.7%</w:t>
                            </w:r>
                          </w:p>
                        </w:tc>
                      </w:tr>
                      <w:tr>
                        <w:trPr/>
                        <w:tc>
                          <w:tcPr>
                            <w:tcW w:w="3890" w:type="dxa"/>
                            <w:tcBorders>
                              <w:left w:val="single" w:sz="8" w:space="0" w:color="000000"/>
                              <w:right w:val="single" w:sz="8" w:space="0" w:color="000000"/>
                            </w:tcBorders>
                            <w:tcMar>
                              <w:left w:w="40" w:type="dxa"/>
                              <w:right w:w="40" w:type="dxa"/>
                            </w:tcMar>
                            <w:vAlign w:val="center"/>
                          </w:tcPr>
                          <w:p>
                            <w:pPr>
                              <w:pStyle w:val="TableContents"/>
                              <w:bidi w:val="0"/>
                              <w:spacing w:before="0" w:after="283"/>
                              <w:jc w:val="left"/>
                              <w:rPr>
                                <w:rFonts w:ascii="Arial" w:hAnsi="Arial"/>
                                <w:sz w:val="20"/>
                              </w:rPr>
                            </w:pPr>
                            <w:r>
                              <w:rPr>
                                <w:rFonts w:ascii="Arial" w:hAnsi="Arial"/>
                                <w:sz w:val="20"/>
                              </w:rPr>
                              <w:t>Electricity, Gas and Water</w:t>
                            </w:r>
                          </w:p>
                        </w:tc>
                        <w:tc>
                          <w:tcPr>
                            <w:tcW w:w="965" w:type="dxa"/>
                            <w:tcBorders>
                              <w:right w:val="single" w:sz="8" w:space="0" w:color="000000"/>
                            </w:tcBorders>
                            <w:tcMar>
                              <w:right w:w="40" w:type="dxa"/>
                            </w:tcMar>
                            <w:vAlign w:val="center"/>
                          </w:tcPr>
                          <w:p>
                            <w:pPr>
                              <w:pStyle w:val="TableContents"/>
                              <w:bidi w:val="0"/>
                              <w:spacing w:before="0" w:after="283"/>
                              <w:jc w:val="center"/>
                              <w:rPr>
                                <w:rFonts w:ascii="Arial" w:hAnsi="Arial"/>
                                <w:sz w:val="20"/>
                              </w:rPr>
                            </w:pPr>
                            <w:r>
                              <w:rPr>
                                <w:rFonts w:ascii="Arial" w:hAnsi="Arial"/>
                                <w:sz w:val="20"/>
                              </w:rPr>
                              <w:t>3.3%</w:t>
                            </w:r>
                          </w:p>
                        </w:tc>
                      </w:tr>
                      <w:tr>
                        <w:trPr/>
                        <w:tc>
                          <w:tcPr>
                            <w:tcW w:w="3890" w:type="dxa"/>
                            <w:tcBorders>
                              <w:left w:val="single" w:sz="8" w:space="0" w:color="000000"/>
                              <w:right w:val="single" w:sz="8" w:space="0" w:color="000000"/>
                            </w:tcBorders>
                            <w:tcMar>
                              <w:left w:w="40" w:type="dxa"/>
                              <w:right w:w="40" w:type="dxa"/>
                            </w:tcMar>
                            <w:vAlign w:val="center"/>
                          </w:tcPr>
                          <w:p>
                            <w:pPr>
                              <w:pStyle w:val="TableContents"/>
                              <w:bidi w:val="0"/>
                              <w:spacing w:before="0" w:after="283"/>
                              <w:jc w:val="left"/>
                              <w:rPr>
                                <w:rFonts w:ascii="Arial" w:hAnsi="Arial"/>
                                <w:sz w:val="20"/>
                              </w:rPr>
                            </w:pPr>
                            <w:r>
                              <w:rPr>
                                <w:rFonts w:ascii="Arial" w:hAnsi="Arial"/>
                                <w:sz w:val="20"/>
                              </w:rPr>
                              <w:t>Construction</w:t>
                            </w:r>
                          </w:p>
                        </w:tc>
                        <w:tc>
                          <w:tcPr>
                            <w:tcW w:w="965" w:type="dxa"/>
                            <w:tcBorders>
                              <w:right w:val="single" w:sz="8" w:space="0" w:color="000000"/>
                            </w:tcBorders>
                            <w:tcMar>
                              <w:right w:w="40" w:type="dxa"/>
                            </w:tcMar>
                            <w:vAlign w:val="center"/>
                          </w:tcPr>
                          <w:p>
                            <w:pPr>
                              <w:pStyle w:val="TableContents"/>
                              <w:bidi w:val="0"/>
                              <w:spacing w:before="0" w:after="283"/>
                              <w:jc w:val="center"/>
                              <w:rPr/>
                            </w:pPr>
                            <w:r>
                              <w:rPr/>
                              <w:t> </w:t>
                            </w:r>
                            <w:r>
                              <w:rPr>
                                <w:rFonts w:ascii="Arial" w:hAnsi="Arial"/>
                                <w:sz w:val="20"/>
                              </w:rPr>
                              <w:t>2.4%</w:t>
                            </w:r>
                          </w:p>
                        </w:tc>
                      </w:tr>
                      <w:tr>
                        <w:trPr/>
                        <w:tc>
                          <w:tcPr>
                            <w:tcW w:w="3890" w:type="dxa"/>
                            <w:tcBorders>
                              <w:left w:val="single" w:sz="8" w:space="0" w:color="000000"/>
                              <w:right w:val="single" w:sz="8" w:space="0" w:color="000000"/>
                            </w:tcBorders>
                            <w:tcMar>
                              <w:left w:w="40" w:type="dxa"/>
                              <w:right w:w="40" w:type="dxa"/>
                            </w:tcMar>
                            <w:vAlign w:val="center"/>
                          </w:tcPr>
                          <w:p>
                            <w:pPr>
                              <w:pStyle w:val="TableContents"/>
                              <w:bidi w:val="0"/>
                              <w:spacing w:before="0" w:after="283"/>
                              <w:jc w:val="left"/>
                              <w:rPr>
                                <w:rFonts w:ascii="Arial" w:hAnsi="Arial"/>
                                <w:sz w:val="20"/>
                              </w:rPr>
                            </w:pPr>
                            <w:r>
                              <w:rPr>
                                <w:rFonts w:ascii="Arial" w:hAnsi="Arial"/>
                                <w:sz w:val="20"/>
                              </w:rPr>
                              <w:t>Financial Brokering</w:t>
                            </w:r>
                          </w:p>
                        </w:tc>
                        <w:tc>
                          <w:tcPr>
                            <w:tcW w:w="965" w:type="dxa"/>
                            <w:tcBorders>
                              <w:right w:val="single" w:sz="8" w:space="0" w:color="000000"/>
                            </w:tcBorders>
                            <w:tcMar>
                              <w:right w:w="40" w:type="dxa"/>
                            </w:tcMar>
                            <w:vAlign w:val="center"/>
                          </w:tcPr>
                          <w:p>
                            <w:pPr>
                              <w:pStyle w:val="TableContents"/>
                              <w:bidi w:val="0"/>
                              <w:spacing w:before="0" w:after="283"/>
                              <w:jc w:val="center"/>
                              <w:rPr>
                                <w:rFonts w:ascii="Arial" w:hAnsi="Arial"/>
                                <w:sz w:val="20"/>
                              </w:rPr>
                            </w:pPr>
                            <w:r>
                              <w:rPr>
                                <w:rFonts w:ascii="Arial" w:hAnsi="Arial"/>
                                <w:sz w:val="20"/>
                              </w:rPr>
                              <w:t>2.3%</w:t>
                            </w:r>
                          </w:p>
                        </w:tc>
                      </w:tr>
                      <w:tr>
                        <w:trPr/>
                        <w:tc>
                          <w:tcPr>
                            <w:tcW w:w="3890" w:type="dxa"/>
                            <w:tcBorders>
                              <w:left w:val="single" w:sz="8" w:space="0" w:color="000000"/>
                              <w:right w:val="single" w:sz="8" w:space="0" w:color="000000"/>
                            </w:tcBorders>
                            <w:tcMar>
                              <w:left w:w="40" w:type="dxa"/>
                              <w:right w:w="40" w:type="dxa"/>
                            </w:tcMar>
                            <w:vAlign w:val="center"/>
                          </w:tcPr>
                          <w:p>
                            <w:pPr>
                              <w:pStyle w:val="TableContents"/>
                              <w:bidi w:val="0"/>
                              <w:spacing w:before="0" w:after="283"/>
                              <w:jc w:val="left"/>
                              <w:rPr>
                                <w:rFonts w:ascii="Arial" w:hAnsi="Arial"/>
                                <w:sz w:val="20"/>
                              </w:rPr>
                            </w:pPr>
                            <w:r>
                              <w:rPr>
                                <w:rFonts w:ascii="Arial" w:hAnsi="Arial"/>
                                <w:sz w:val="20"/>
                              </w:rPr>
                              <w:t>Restaurant &amp; Hotels</w:t>
                            </w:r>
                          </w:p>
                        </w:tc>
                        <w:tc>
                          <w:tcPr>
                            <w:tcW w:w="965" w:type="dxa"/>
                            <w:tcBorders>
                              <w:right w:val="single" w:sz="8" w:space="0" w:color="000000"/>
                            </w:tcBorders>
                            <w:tcMar>
                              <w:right w:w="40" w:type="dxa"/>
                            </w:tcMar>
                            <w:vAlign w:val="center"/>
                          </w:tcPr>
                          <w:p>
                            <w:pPr>
                              <w:pStyle w:val="TableContents"/>
                              <w:bidi w:val="0"/>
                              <w:spacing w:before="0" w:after="283"/>
                              <w:jc w:val="center"/>
                              <w:rPr>
                                <w:rFonts w:ascii="Arial" w:hAnsi="Arial"/>
                                <w:sz w:val="20"/>
                              </w:rPr>
                            </w:pPr>
                            <w:r>
                              <w:rPr>
                                <w:rFonts w:ascii="Arial" w:hAnsi="Arial"/>
                                <w:sz w:val="20"/>
                              </w:rPr>
                              <w:t>1.8%</w:t>
                            </w:r>
                          </w:p>
                        </w:tc>
                      </w:tr>
                      <w:tr>
                        <w:trPr/>
                        <w:tc>
                          <w:tcPr>
                            <w:tcW w:w="3890" w:type="dxa"/>
                            <w:tcBorders>
                              <w:left w:val="single" w:sz="8" w:space="0" w:color="000000"/>
                              <w:right w:val="single" w:sz="8" w:space="0" w:color="000000"/>
                            </w:tcBorders>
                            <w:tcMar>
                              <w:left w:w="40" w:type="dxa"/>
                              <w:right w:w="40" w:type="dxa"/>
                            </w:tcMar>
                            <w:vAlign w:val="center"/>
                          </w:tcPr>
                          <w:p>
                            <w:pPr>
                              <w:pStyle w:val="TableContents"/>
                              <w:bidi w:val="0"/>
                              <w:spacing w:before="0" w:after="283"/>
                              <w:jc w:val="left"/>
                              <w:rPr>
                                <w:rFonts w:ascii="Arial" w:hAnsi="Arial"/>
                                <w:sz w:val="20"/>
                              </w:rPr>
                            </w:pPr>
                            <w:r>
                              <w:rPr>
                                <w:rFonts w:ascii="Arial" w:hAnsi="Arial"/>
                                <w:sz w:val="20"/>
                              </w:rPr>
                              <w:t>Education, Health and Others</w:t>
                            </w:r>
                          </w:p>
                        </w:tc>
                        <w:tc>
                          <w:tcPr>
                            <w:tcW w:w="965" w:type="dxa"/>
                            <w:tcBorders>
                              <w:right w:val="single" w:sz="8" w:space="0" w:color="000000"/>
                            </w:tcBorders>
                            <w:tcMar>
                              <w:right w:w="40" w:type="dxa"/>
                            </w:tcMar>
                            <w:vAlign w:val="center"/>
                          </w:tcPr>
                          <w:p>
                            <w:pPr>
                              <w:pStyle w:val="TableContents"/>
                              <w:bidi w:val="0"/>
                              <w:spacing w:before="0" w:after="283"/>
                              <w:jc w:val="center"/>
                              <w:rPr>
                                <w:rFonts w:ascii="Arial" w:hAnsi="Arial"/>
                                <w:sz w:val="20"/>
                              </w:rPr>
                            </w:pPr>
                            <w:r>
                              <w:rPr>
                                <w:rFonts w:ascii="Arial" w:hAnsi="Arial"/>
                                <w:sz w:val="20"/>
                              </w:rPr>
                              <w:t>1.1%</w:t>
                            </w:r>
                          </w:p>
                        </w:tc>
                      </w:tr>
                      <w:tr>
                        <w:trPr/>
                        <w:tc>
                          <w:tcPr>
                            <w:tcW w:w="3890" w:type="dxa"/>
                            <w:tcBorders>
                              <w:left w:val="single" w:sz="8" w:space="0" w:color="000000"/>
                              <w:right w:val="single" w:sz="8" w:space="0" w:color="000000"/>
                            </w:tcBorders>
                            <w:tcMar>
                              <w:left w:w="40" w:type="dxa"/>
                              <w:right w:w="40" w:type="dxa"/>
                            </w:tcMar>
                            <w:vAlign w:val="center"/>
                          </w:tcPr>
                          <w:p>
                            <w:pPr>
                              <w:pStyle w:val="TableContents"/>
                              <w:bidi w:val="0"/>
                              <w:spacing w:before="0" w:after="283"/>
                              <w:jc w:val="left"/>
                              <w:rPr>
                                <w:rFonts w:ascii="Arial" w:hAnsi="Arial"/>
                                <w:sz w:val="20"/>
                              </w:rPr>
                            </w:pPr>
                            <w:r>
                              <w:rPr>
                                <w:rFonts w:ascii="Arial" w:hAnsi="Arial"/>
                                <w:sz w:val="20"/>
                              </w:rPr>
                              <w:t>Others</w:t>
                            </w:r>
                          </w:p>
                        </w:tc>
                        <w:tc>
                          <w:tcPr>
                            <w:tcW w:w="965" w:type="dxa"/>
                            <w:tcBorders>
                              <w:right w:val="single" w:sz="8" w:space="0" w:color="000000"/>
                            </w:tcBorders>
                            <w:tcMar>
                              <w:right w:w="40" w:type="dxa"/>
                            </w:tcMar>
                            <w:vAlign w:val="center"/>
                          </w:tcPr>
                          <w:p>
                            <w:pPr>
                              <w:pStyle w:val="TableContents"/>
                              <w:bidi w:val="0"/>
                              <w:spacing w:before="0" w:after="283"/>
                              <w:jc w:val="center"/>
                              <w:rPr>
                                <w:rFonts w:ascii="Arial" w:hAnsi="Arial"/>
                                <w:sz w:val="20"/>
                              </w:rPr>
                            </w:pPr>
                            <w:r>
                              <w:rPr>
                                <w:rFonts w:ascii="Arial" w:hAnsi="Arial"/>
                                <w:sz w:val="20"/>
                              </w:rPr>
                              <w:t>2.0%</w:t>
                            </w:r>
                          </w:p>
                        </w:tc>
                      </w:tr>
                      <w:tr>
                        <w:trPr/>
                        <w:tc>
                          <w:tcPr>
                            <w:tcW w:w="3890" w:type="dxa"/>
                            <w:tcBorders>
                              <w:top w:val="single" w:sz="8" w:space="0" w:color="000000"/>
                              <w:left w:val="single" w:sz="8" w:space="0" w:color="000000"/>
                              <w:bottom w:val="single" w:sz="8" w:space="0" w:color="000000"/>
                              <w:right w:val="single" w:sz="8" w:space="0" w:color="000000"/>
                            </w:tcBorders>
                            <w:tcMar>
                              <w:top w:w="28" w:type="dxa"/>
                              <w:left w:w="40" w:type="dxa"/>
                              <w:bottom w:w="28" w:type="dxa"/>
                              <w:right w:w="40" w:type="dxa"/>
                            </w:tcMar>
                            <w:vAlign w:val="center"/>
                          </w:tcPr>
                          <w:p>
                            <w:pPr>
                              <w:pStyle w:val="TableContents"/>
                              <w:bidi w:val="0"/>
                              <w:spacing w:before="0" w:after="283"/>
                              <w:jc w:val="left"/>
                              <w:rPr>
                                <w:rFonts w:ascii="Arial" w:hAnsi="Arial"/>
                                <w:sz w:val="20"/>
                              </w:rPr>
                            </w:pPr>
                            <w:r>
                              <w:rPr>
                                <w:rFonts w:ascii="Arial" w:hAnsi="Arial"/>
                                <w:sz w:val="20"/>
                              </w:rPr>
                              <w:t>Total loans</w:t>
                            </w:r>
                          </w:p>
                        </w:tc>
                        <w:tc>
                          <w:tcPr>
                            <w:tcW w:w="965" w:type="dxa"/>
                            <w:tcBorders>
                              <w:top w:val="single" w:sz="8" w:space="0" w:color="000000"/>
                              <w:bottom w:val="single" w:sz="8" w:space="0" w:color="000000"/>
                              <w:right w:val="single" w:sz="8" w:space="0" w:color="000000"/>
                            </w:tcBorders>
                            <w:tcMar>
                              <w:top w:w="28" w:type="dxa"/>
                              <w:bottom w:w="28" w:type="dxa"/>
                              <w:right w:w="40" w:type="dxa"/>
                            </w:tcMar>
                            <w:vAlign w:val="center"/>
                          </w:tcPr>
                          <w:p>
                            <w:pPr>
                              <w:pStyle w:val="TableContents"/>
                              <w:bidi w:val="0"/>
                              <w:spacing w:before="0" w:after="283"/>
                              <w:jc w:val="center"/>
                              <w:rPr>
                                <w:rFonts w:ascii="Arial" w:hAnsi="Arial"/>
                                <w:sz w:val="20"/>
                              </w:rPr>
                            </w:pPr>
                            <w:r>
                              <w:rPr>
                                <w:rFonts w:ascii="Arial" w:hAnsi="Arial"/>
                                <w:sz w:val="20"/>
                              </w:rPr>
                              <w:t>100.0%</w:t>
                            </w:r>
                          </w:p>
                        </w:tc>
                      </w:tr>
                    </w:tbl>
                    <w:p>
                      <w:pPr>
                        <w:pStyle w:val="TextBody"/>
                        <w:bidi w:val="0"/>
                        <w:spacing w:before="0" w:after="283"/>
                        <w:jc w:val="left"/>
                        <w:rPr/>
                      </w:pPr>
                      <w:r>
                        <w:rPr/>
                      </w:r>
                    </w:p>
                  </w:txbxContent>
                </v:textbox>
                <w10:wrap type="square" side="left"/>
              </v:rect>
            </w:pict>
          </mc:Fallback>
        </mc:AlternateContent>
      </w:r>
    </w:p>
    <w:p>
      <w:pPr>
        <w:pStyle w:val="TextBody"/>
        <w:bidi w:val="0"/>
        <w:spacing w:before="0" w:after="0"/>
        <w:ind w:left="0" w:right="0" w:hanging="0"/>
        <w:jc w:val="both"/>
        <w:rPr>
          <w:rFonts w:ascii="Arial" w:hAnsi="Arial"/>
          <w:b/>
          <w:i w:val="false"/>
          <w:caps w:val="false"/>
          <w:smallCaps w:val="false"/>
          <w:sz w:val="20"/>
        </w:rPr>
      </w:pPr>
      <w:r>
        <w:rPr>
          <w:rFonts w:ascii="Arial" w:hAnsi="Arial"/>
          <w:b/>
          <w:i w:val="false"/>
          <w:caps w:val="false"/>
          <w:smallCaps w:val="false"/>
          <w:sz w:val="20"/>
        </w:rPr>
        <w:t>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40"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Total loans in quarter-end balances fell 2.5% versus the figure in 2022, while structural loans5 rose 1.6% over the same period. If we isolate the exchange rate effect, the drop in total loans stands at 1.5% and structural loans register an increase of 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positive evolution of structural loans was driven by growth in all segments of SME-Business and Individuals, which was partially offset by a contraction in Wholesale balances, which reflected the impact of low levels of private investment. Government Program Loans (GP) contracted 62.2%. At the end of December, this portfolio only represented 2.5% of total loans (vs. 6.4% at the end of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sz w:val="20"/>
        </w:rPr>
      </w:pPr>
      <w:r>
        <w:rPr>
          <w:rFonts w:ascii="Arial" w:hAnsi="Arial"/>
          <w:b/>
          <w:i w:val="false"/>
          <w:caps w:val="false"/>
          <w:smallCaps w:val="false"/>
          <w:sz w:val="20"/>
        </w:rPr>
        <w:t xml:space="preserve">Investment Portfolio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Total investments rose 14.9% in 2023, driven by a strategy rolled out in 2023 to capitalize on excess liquidity, particularly through purchases of government bonds and BCRP Certificates of Deposit.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Arial" w:hAnsi="Arial"/>
          <w:b w:val="false"/>
          <w:i w:val="false"/>
          <w:caps w:val="false"/>
          <w:smallCaps w:val="false"/>
          <w:sz w:val="16"/>
        </w:rPr>
      </w:pPr>
      <w:r>
        <w:rPr>
          <w:rFonts w:ascii="Arial" w:hAnsi="Arial"/>
          <w:b w:val="false"/>
          <w:i w:val="false"/>
          <w:caps w:val="false"/>
          <w:smallCaps w:val="false"/>
          <w:sz w:val="16"/>
        </w:rPr>
        <w:t>(5) Excludes from Total Loans the loans granted to clients through the Government Programs Reactiva Peru, FAE-Mype and Impulso MyPeru.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sz w:val="28"/>
        </w:rPr>
      </w:pPr>
      <w:r>
        <w:rPr>
          <w:rFonts w:ascii="Arial" w:hAnsi="Arial"/>
          <w:b/>
          <w:i w:val="false"/>
          <w:caps w:val="false"/>
          <w:smallCaps w:val="false"/>
          <w:sz w:val="28"/>
        </w:rPr>
        <w:t xml:space="preserve">Other Interest-Earning Assets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Other Interest Earning Assets fell 3.1% in 2023, driven primarily by the evolution of Available Funds that earn interest, which fell 4.3% over the year. This dynamic was partially offset by growth in Escrow funds, Repos and Equity financing, which rose 28.0%.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color w:val="595959"/>
          <w:sz w:val="28"/>
        </w:rPr>
      </w:pPr>
      <w:r>
        <w:rPr>
          <w:rFonts w:ascii="Arial" w:hAnsi="Arial"/>
          <w:b/>
          <w:i w:val="false"/>
          <w:caps w:val="false"/>
          <w:smallCaps w:val="false"/>
          <w:color w:val="595959"/>
          <w:sz w:val="28"/>
        </w:rPr>
        <w:t>Competitive Funding Structure</w:t>
      </w:r>
    </w:p>
    <w:p>
      <w:pPr>
        <w:pStyle w:val="TextBody"/>
        <w:bidi w:val="0"/>
        <w:spacing w:before="0" w:after="0"/>
        <w:ind w:left="0" w:right="0" w:hanging="0"/>
        <w:jc w:val="both"/>
        <w:rPr>
          <w:caps w:val="false"/>
          <w:smallCaps w:val="false"/>
          <w:color w:val="595959"/>
        </w:rPr>
      </w:pPr>
      <w:r>
        <w:rPr>
          <w:caps w:val="false"/>
          <w:smallCaps w:val="false"/>
          <w:color w:val="595959"/>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2023, Credicorp’s total funding structure fell 0.6%. This drop was primarily driven by a contraction in BCRP Instruments (-34.0%), which was due, in large part, to amortization of GP loans. The decrease in balances for Bonds and Issued notes also contributed to this result (-14.2%). The aforementioned was partially offset by growth in Others (+41.3%), and in Due to Banks and Correspondents in particular (+37.4%). It is important to note that the Deposit balance was impacted by a migration of funds from low-cost (savings and demand) to time deposits as clients sought out higher interest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Credicorp’s funding cost rose 2.91% in 2023, which represents an increase of 108 pbs over last year’s result. This evolution was in line with an uptick in interest rates and the aforementioned migration in the deposit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Notably, time deposits rose 9.2% this year while demand and savings deposits fell 0.5% and 4.4% respectively. The fact that the company has a broad base of transactional deposits (demand, savings) helped mitigate the price effect on the funding cost, which was impacted by higher interest rates.</w:t>
      </w:r>
    </w:p>
    <w:p>
      <w:pPr>
        <w:pStyle w:val="TextBody"/>
        <w:bidi w:val="0"/>
        <w:spacing w:before="0" w:after="0"/>
        <w:ind w:left="0" w:right="0" w:hanging="0"/>
        <w:jc w:val="both"/>
        <w:rPr>
          <w:caps w:val="false"/>
          <w:smallCaps w:val="false"/>
        </w:rPr>
      </w:pPr>
      <w:r>
        <w:rPr>
          <w:caps w:val="false"/>
          <w:smallCaps w:val="false"/>
        </w:rPr>
        <w:t> </w:t>
      </w:r>
    </w:p>
    <w:tbl>
      <w:tblPr>
        <w:tblW w:w="9480" w:type="dxa"/>
        <w:jc w:val="center"/>
        <w:tblInd w:w="0" w:type="dxa"/>
        <w:tblLayout w:type="fixed"/>
        <w:tblCellMar>
          <w:top w:w="0" w:type="dxa"/>
          <w:left w:w="0" w:type="dxa"/>
          <w:bottom w:w="0" w:type="dxa"/>
          <w:right w:w="0" w:type="dxa"/>
        </w:tblCellMar>
      </w:tblPr>
      <w:tblGrid>
        <w:gridCol w:w="9480"/>
      </w:tblGrid>
      <w:tr>
        <w:trPr/>
        <w:tc>
          <w:tcPr>
            <w:tcW w:w="9480" w:type="dxa"/>
            <w:tcBorders/>
            <w:vAlign w:val="center"/>
          </w:tcPr>
          <w:p>
            <w:pPr>
              <w:pStyle w:val="TableContents"/>
              <w:bidi w:val="0"/>
              <w:spacing w:before="0" w:after="283"/>
              <w:jc w:val="center"/>
              <w:rPr/>
            </w:pPr>
            <w:r>
              <w:rPr/>
              <w:drawing>
                <wp:inline distT="0" distB="0" distL="0" distR="0">
                  <wp:extent cx="6000750" cy="3581400"/>
                  <wp:effectExtent l="0" t="0" r="0" b="0"/>
                  <wp:docPr id="3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6" descr=""/>
                          <pic:cNvPicPr>
                            <a:picLocks noChangeAspect="1" noChangeArrowheads="1"/>
                          </pic:cNvPicPr>
                        </pic:nvPicPr>
                        <pic:blipFill>
                          <a:blip r:embed="rId29"/>
                          <a:stretch>
                            <a:fillRect/>
                          </a:stretch>
                        </pic:blipFill>
                        <pic:spPr bwMode="auto">
                          <a:xfrm>
                            <a:off x="0" y="0"/>
                            <a:ext cx="6000750" cy="3581400"/>
                          </a:xfrm>
                          <a:prstGeom prst="rect">
                            <a:avLst/>
                          </a:prstGeom>
                        </pic:spPr>
                      </pic:pic>
                    </a:graphicData>
                  </a:graphic>
                </wp:inline>
              </w:drawing>
            </w:r>
          </w:p>
        </w:tc>
      </w:tr>
      <w:tr>
        <w:trPr/>
        <w:tc>
          <w:tcPr>
            <w:tcW w:w="9480" w:type="dxa"/>
            <w:tcBorders/>
            <w:vAlign w:val="center"/>
          </w:tcPr>
          <w:p>
            <w:pPr>
              <w:pStyle w:val="TableContents"/>
              <w:bidi w:val="0"/>
              <w:spacing w:before="0" w:after="283"/>
              <w:jc w:val="left"/>
              <w:rPr/>
            </w:pPr>
            <w:r>
              <w:rPr/>
              <w:t> </w:t>
            </w:r>
          </w:p>
        </w:tc>
      </w:tr>
      <w:tr>
        <w:trPr/>
        <w:tc>
          <w:tcPr>
            <w:tcW w:w="9480" w:type="dxa"/>
            <w:tcBorders/>
            <w:vAlign w:val="center"/>
          </w:tcPr>
          <w:p>
            <w:pPr>
              <w:pStyle w:val="TableContents"/>
              <w:bidi w:val="0"/>
              <w:spacing w:before="0" w:after="283"/>
              <w:jc w:val="left"/>
              <w:rPr>
                <w:rFonts w:ascii="Arial" w:hAnsi="Arial"/>
                <w:sz w:val="16"/>
              </w:rPr>
            </w:pPr>
            <w:r>
              <w:rPr>
                <w:rFonts w:ascii="Arial" w:hAnsi="Arial"/>
                <w:sz w:val="16"/>
              </w:rPr>
              <w:t>*Due to banks and correspondents + Repurchase agreements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color w:val="595959"/>
        </w:rPr>
      </w:pPr>
      <w:r>
        <w:rPr>
          <w:caps w:val="false"/>
          <w:smallCaps w:val="false"/>
          <w:color w:val="595959"/>
        </w:rPr>
        <w:t> </w:t>
      </w:r>
    </w:p>
    <w:p>
      <w:pPr>
        <w:pStyle w:val="TextBody"/>
        <w:bidi w:val="0"/>
        <w:spacing w:lineRule="auto" w:line="240" w:before="0" w:after="0"/>
        <w:ind w:left="0" w:right="0" w:hanging="0"/>
        <w:jc w:val="both"/>
        <w:rPr>
          <w:rFonts w:ascii="Arial" w:hAnsi="Arial"/>
          <w:b/>
          <w:i w:val="false"/>
          <w:caps w:val="false"/>
          <w:smallCaps w:val="false"/>
          <w:color w:val="595959"/>
          <w:sz w:val="28"/>
        </w:rPr>
      </w:pPr>
      <w:r>
        <w:rPr>
          <w:rFonts w:ascii="Arial" w:hAnsi="Arial"/>
          <w:b/>
          <w:i w:val="false"/>
          <w:caps w:val="false"/>
          <w:smallCaps w:val="false"/>
          <w:color w:val="595959"/>
          <w:sz w:val="28"/>
        </w:rPr>
        <w:t>NIM6 rose in line with the evolution of interest-earning assets, where higher-yield assets increased their share of total assets due to an uptick in interest rates.</w:t>
      </w:r>
    </w:p>
    <w:p>
      <w:pPr>
        <w:pStyle w:val="TextBody"/>
        <w:bidi w:val="0"/>
        <w:spacing w:before="0" w:after="0"/>
        <w:ind w:left="0" w:right="0" w:hanging="0"/>
        <w:jc w:val="both"/>
        <w:rPr>
          <w:caps w:val="false"/>
          <w:smallCaps w:val="false"/>
          <w:color w:val="595959"/>
        </w:rPr>
      </w:pPr>
      <w:r>
        <w:rPr>
          <w:caps w:val="false"/>
          <w:smallCaps w:val="false"/>
          <w:color w:val="595959"/>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Net interest income, which is the most important component of income, increased 25.2% in 2023. This growth was driven mainly by higher income from loans, which rose due to an uptick in structural loans in Individuals and SME-Business at BCP. Additionally, these loans registered an increase in their share of the structural loan mix. The uptick registered for the investment balance, which reflects a move to increase our position in government securities, also bolstered net interest income this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Interest expenses rose 49.5% this year, spurred mainly by growth in time deposits and, to a lesser extent, by an uptick in the balance for Due to Banks and correspondents in a context of higher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Net interest income (NII) rose 16.6% in 2023. The Net Interest Margin stood at 6.01%, which represented an increase of 92 bps compared to the level reported in 2022. Risk-adjusted NIM increased 9bps, rising from 4.29% in 2022 to 4.38% in 2023.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048375" cy="3209925"/>
            <wp:effectExtent l="0" t="0" r="0" b="0"/>
            <wp:docPr id="3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7" descr=""/>
                    <pic:cNvPicPr>
                      <a:picLocks noChangeAspect="1" noChangeArrowheads="1"/>
                    </pic:cNvPicPr>
                  </pic:nvPicPr>
                  <pic:blipFill>
                    <a:blip r:embed="rId30"/>
                    <a:stretch>
                      <a:fillRect/>
                    </a:stretch>
                  </pic:blipFill>
                  <pic:spPr bwMode="auto">
                    <a:xfrm>
                      <a:off x="0" y="0"/>
                      <a:ext cx="6048375" cy="3209925"/>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Arial" w:hAnsi="Arial"/>
          <w:b w:val="false"/>
          <w:i w:val="false"/>
          <w:caps w:val="false"/>
          <w:smallCaps w:val="false"/>
          <w:sz w:val="16"/>
        </w:rPr>
      </w:pPr>
      <w:r>
        <w:rPr>
          <w:rFonts w:ascii="Arial" w:hAnsi="Arial"/>
          <w:b w:val="false"/>
          <w:i w:val="false"/>
          <w:caps w:val="false"/>
          <w:smallCaps w:val="false"/>
          <w:sz w:val="16"/>
        </w:rPr>
        <w:t>(6) Net Interest Margin formula is: (Net Interest Income- Net Financial Expense from Insurance Activity)/ Average of the Interest Earning Assets, where the balance of Interest Earning Assets is equivalent to Cash and Due from Banks+ Total Investments+ Cash collateral, reverse repurchase agreements and securities borrowing + Gross Loans</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33</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color w:val="595959"/>
          <w:sz w:val="28"/>
        </w:rPr>
      </w:pPr>
      <w:r>
        <w:rPr>
          <w:rFonts w:ascii="Arial" w:hAnsi="Arial"/>
          <w:b/>
          <w:i w:val="false"/>
          <w:caps w:val="false"/>
          <w:smallCaps w:val="false"/>
          <w:color w:val="595959"/>
          <w:sz w:val="28"/>
        </w:rPr>
        <w:t>Cost of Risk stood at 2.5% in a challenging economic, social and environmental context</w:t>
      </w:r>
    </w:p>
    <w:p>
      <w:pPr>
        <w:pStyle w:val="TextBody"/>
        <w:bidi w:val="0"/>
        <w:spacing w:before="0" w:after="0"/>
        <w:ind w:left="0" w:right="0" w:hanging="0"/>
        <w:jc w:val="both"/>
        <w:rPr>
          <w:caps w:val="false"/>
          <w:smallCaps w:val="false"/>
          <w:color w:val="595959"/>
        </w:rPr>
      </w:pPr>
      <w:r>
        <w:rPr>
          <w:caps w:val="false"/>
          <w:smallCaps w:val="false"/>
          <w:color w:val="595959"/>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2023, provisions rose 100% YoY. This evolution was mainly driven by a deterioration in client payment capacities in a complicated economic, social and environmental context. Growth in provisions was primarily fueled by Individuals and SME-Business at BCP- and by Consumer, Credit Card and SME-Pyme segments in particular- and by higher provisions at Mibanco. The uptick in provisions in the aforementioned segments at BCP was fueled by an increase in deterioration in vintages from the first half of the year. At Mibanco, the increase in provisions was driven by a drop in the payment capacities of clients that are overindebted and those who were impacted by social protests and climate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the aforementioned context, the structural Cost of Risk (CofR) stood at 2.55% (versus 1.26% in 2022). If we include the impact of the evolution of Government Loans, the CofR stood at 2.50% (versus 1.22%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structural NPL ratio in 2023 registered a significant variation and stood at 5.6%, 68 bps above the figure reported in 2022. This increase was mainly attributable to growth in the NPL loan volume, which was driven primarily by Individuals and SME-Business at BCP. The global NPL ratio rose +48 bps (going from 5.4% to 5.9%). In this scenario, structural NPL Coverage ratio stood at 102.4% in 2023 versus 112.2% in 2022. If we include the impact of Government Loans, the global NPL ratio stood at 97.0% in 2022 (compared to 97.9% in 2022).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3238500"/>
            <wp:effectExtent l="0" t="0" r="0" b="0"/>
            <wp:docPr id="3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8" descr=""/>
                    <pic:cNvPicPr>
                      <a:picLocks noChangeAspect="1" noChangeArrowheads="1"/>
                    </pic:cNvPicPr>
                  </pic:nvPicPr>
                  <pic:blipFill>
                    <a:blip r:embed="rId31"/>
                    <a:stretch>
                      <a:fillRect/>
                    </a:stretch>
                  </pic:blipFill>
                  <pic:spPr bwMode="auto">
                    <a:xfrm>
                      <a:off x="0" y="0"/>
                      <a:ext cx="7620000" cy="323850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200" w:after="20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color w:val="595959"/>
          <w:sz w:val="28"/>
        </w:rPr>
      </w:pPr>
      <w:r>
        <w:rPr>
          <w:rFonts w:ascii="Arial" w:hAnsi="Arial"/>
          <w:b/>
          <w:i w:val="false"/>
          <w:caps w:val="false"/>
          <w:smallCaps w:val="false"/>
          <w:color w:val="595959"/>
          <w:sz w:val="28"/>
        </w:rPr>
        <w:t xml:space="preserve">Growth in Other Income reflects an increase in non-core income in a context impacted by fee elimination </w:t>
      </w:r>
    </w:p>
    <w:p>
      <w:pPr>
        <w:pStyle w:val="TextBody"/>
        <w:bidi w:val="0"/>
        <w:spacing w:before="0" w:after="0"/>
        <w:ind w:left="0" w:right="0" w:hanging="0"/>
        <w:jc w:val="both"/>
        <w:rPr>
          <w:caps w:val="false"/>
          <w:smallCaps w:val="false"/>
          <w:color w:val="595959"/>
        </w:rPr>
      </w:pPr>
      <w:r>
        <w:rPr>
          <w:caps w:val="false"/>
          <w:smallCaps w:val="false"/>
          <w:color w:val="595959"/>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2023, Other income rose 11.6% with regard to 2022 despite a slight drop of 0.8% in Other Core Income (Fee income and Net gain on FX transactions), which was driven by the elimination of fees for intercity transfers and a drop in the Net gain on FX transactions, after demand fell due to a less volatile FX context. It is important to note that growth in the fee volume through payment channels and services offset the aforementioned contractions to a significant extent. Growth in non-core income this year was mainly fueled by the positive evolution of the Net gain on securities, which was attributable to good results for our trading strategies at Credicorp Capital and ASB; the performance of the investment portfolio Grupo Pacifico; and a revaluation of reserves at Prima AFP.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2628900"/>
            <wp:effectExtent l="0" t="0" r="0" b="0"/>
            <wp:docPr id="3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9" descr=""/>
                    <pic:cNvPicPr>
                      <a:picLocks noChangeAspect="1" noChangeArrowheads="1"/>
                    </pic:cNvPicPr>
                  </pic:nvPicPr>
                  <pic:blipFill>
                    <a:blip r:embed="rId32"/>
                    <a:stretch>
                      <a:fillRect/>
                    </a:stretch>
                  </pic:blipFill>
                  <pic:spPr bwMode="auto">
                    <a:xfrm>
                      <a:off x="0" y="0"/>
                      <a:ext cx="6667500" cy="262890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color w:val="595959"/>
          <w:sz w:val="28"/>
        </w:rPr>
      </w:pPr>
      <w:r>
        <w:rPr>
          <w:rFonts w:ascii="Arial" w:hAnsi="Arial"/>
          <w:b/>
          <w:i w:val="false"/>
          <w:caps w:val="false"/>
          <w:smallCaps w:val="false"/>
          <w:color w:val="595959"/>
          <w:sz w:val="28"/>
        </w:rPr>
        <w:t>The Insurance Underwriting Result rose, driven by positive dynamics in the Life business</w:t>
      </w:r>
    </w:p>
    <w:p>
      <w:pPr>
        <w:pStyle w:val="TextBody"/>
        <w:bidi w:val="0"/>
        <w:spacing w:before="0" w:after="0"/>
        <w:ind w:left="0" w:right="0" w:hanging="0"/>
        <w:jc w:val="both"/>
        <w:rPr>
          <w:caps w:val="false"/>
          <w:smallCaps w:val="false"/>
          <w:color w:val="595959"/>
        </w:rPr>
      </w:pPr>
      <w:r>
        <w:rPr>
          <w:caps w:val="false"/>
          <w:smallCaps w:val="false"/>
          <w:color w:val="595959"/>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The Insurance Underwriting Result rose 43.9%, spurred mainly by higher results in the Life business (+75.0%). The evolution in life was driven primarily by transitory favorable price and volume dynamics for D &amp; S products and by the distribution of Credit Life products through bancassurance channels. The improvement registered by Life was partially attenuated by a reduction in P &amp; C’s result (-9.2%), which was fueled by an uptick in claims, particularly for P&amp;C products.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057900" cy="2600325"/>
            <wp:effectExtent l="0" t="0" r="0" b="0"/>
            <wp:docPr id="3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0" descr=""/>
                    <pic:cNvPicPr>
                      <a:picLocks noChangeAspect="1" noChangeArrowheads="1"/>
                    </pic:cNvPicPr>
                  </pic:nvPicPr>
                  <pic:blipFill>
                    <a:blip r:embed="rId33"/>
                    <a:stretch>
                      <a:fillRect/>
                    </a:stretch>
                  </pic:blipFill>
                  <pic:spPr bwMode="auto">
                    <a:xfrm>
                      <a:off x="0" y="0"/>
                      <a:ext cx="6057900" cy="260032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595959"/>
          <w:sz w:val="28"/>
        </w:rPr>
      </w:pPr>
      <w:r>
        <w:rPr>
          <w:rFonts w:ascii="Arial" w:hAnsi="Arial"/>
          <w:b/>
          <w:i w:val="false"/>
          <w:caps w:val="false"/>
          <w:smallCaps w:val="false"/>
          <w:color w:val="595959"/>
          <w:sz w:val="28"/>
        </w:rPr>
        <w:t>Positive evolution of the efficiency ratio, which reflects our ability to leverage our investments to improve our competitiveness</w:t>
      </w:r>
    </w:p>
    <w:p>
      <w:pPr>
        <w:pStyle w:val="TextBody"/>
        <w:bidi w:val="0"/>
        <w:spacing w:before="0" w:after="0"/>
        <w:ind w:left="0" w:right="0" w:hanging="0"/>
        <w:jc w:val="left"/>
        <w:rPr>
          <w:caps w:val="false"/>
          <w:smallCaps w:val="false"/>
          <w:color w:val="595959"/>
        </w:rPr>
      </w:pPr>
      <w:r>
        <w:rPr>
          <w:caps w:val="false"/>
          <w:smallCaps w:val="false"/>
          <w:color w:val="595959"/>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Operating income rose 13.2% on the back of growth in Net interest income, where growth was led by an uptick in loans measured in average daily balances and an improvement in the mix after disbursements in Individuals and SME-Business rose. Operating expenses increased 9.8%, spurred primarily to an uptick in expenses for disruptive initiatives and technology expenses excluding disruption at BCP, which reflected investments to support growth in digital transactions; develop new capacities; and hire specialized personnel in digital capacities.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the aforementioned context, the efficiency ratio improved 142 bps with regard to the figure in 2022 and stood at 46.1% at year-end.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4457700"/>
            <wp:effectExtent l="0" t="0" r="0" b="0"/>
            <wp:docPr id="4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1" descr=""/>
                    <pic:cNvPicPr>
                      <a:picLocks noChangeAspect="1" noChangeArrowheads="1"/>
                    </pic:cNvPicPr>
                  </pic:nvPicPr>
                  <pic:blipFill>
                    <a:blip r:embed="rId34"/>
                    <a:stretch>
                      <a:fillRect/>
                    </a:stretch>
                  </pic:blipFill>
                  <pic:spPr bwMode="auto">
                    <a:xfrm>
                      <a:off x="0" y="0"/>
                      <a:ext cx="7620000" cy="445770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color w:val="595959"/>
          <w:sz w:val="28"/>
        </w:rPr>
      </w:pPr>
      <w:r>
        <w:rPr>
          <w:rFonts w:ascii="Arial" w:hAnsi="Arial"/>
          <w:b/>
          <w:i w:val="false"/>
          <w:caps w:val="false"/>
          <w:smallCaps w:val="false"/>
          <w:color w:val="595959"/>
          <w:sz w:val="28"/>
        </w:rPr>
        <w:t xml:space="preserve">Our prudent solvency level sustains our strategic initiatives </w:t>
      </w:r>
    </w:p>
    <w:p>
      <w:pPr>
        <w:pStyle w:val="TextBody"/>
        <w:bidi w:val="0"/>
        <w:spacing w:before="0" w:after="0"/>
        <w:ind w:left="0" w:right="0" w:hanging="0"/>
        <w:jc w:val="both"/>
        <w:rPr>
          <w:caps w:val="false"/>
          <w:smallCaps w:val="false"/>
          <w:color w:val="595959"/>
        </w:rPr>
      </w:pPr>
      <w:r>
        <w:rPr>
          <w:caps w:val="false"/>
          <w:smallCaps w:val="false"/>
          <w:color w:val="595959"/>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regulatory capital ratio stood 1.3 times above the regulator’s requirement. This indicator reported a slight decline of 5 bps compared to 2022’s figure. This evolution was mainly driven by an uptick in regulatory capital requirements at our banking businesses, which reflected a gradual increase in the conservation and market concentration buffers at BCP and Mibanco.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IFRS Common Equity Tier 1 (CET1) stood at 13.20% this year at BCP Stand-alone and 18.37% at Mibanco. An uptick in Retained Earnings at BCP Standalone (+61 pbs) and at Mibanco (+191 pbs) were mainly due to the higher balances of Retained Earnings (+15% and +99%,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286500" cy="3895725"/>
            <wp:effectExtent l="0" t="0" r="0" b="0"/>
            <wp:docPr id="41"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2" descr=""/>
                    <pic:cNvPicPr>
                      <a:picLocks noChangeAspect="1" noChangeArrowheads="1"/>
                    </pic:cNvPicPr>
                  </pic:nvPicPr>
                  <pic:blipFill>
                    <a:blip r:embed="rId35"/>
                    <a:stretch>
                      <a:fillRect/>
                    </a:stretch>
                  </pic:blipFill>
                  <pic:spPr bwMode="auto">
                    <a:xfrm>
                      <a:off x="0" y="0"/>
                      <a:ext cx="6286500" cy="389572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rFonts w:ascii="Arial" w:hAnsi="Arial"/>
          <w:b/>
          <w:i w:val="false"/>
          <w:caps w:val="false"/>
          <w:smallCaps w:val="false"/>
          <w:sz w:val="48"/>
        </w:rPr>
      </w:pPr>
      <w:r>
        <w:rPr>
          <w:rFonts w:ascii="Arial" w:hAnsi="Arial"/>
          <w:b/>
          <w:i w:val="false"/>
          <w:caps w:val="false"/>
          <w:smallCaps w:val="false"/>
          <w:sz w:val="48"/>
        </w:rPr>
        <w:t>Chapter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360"/>
        <w:jc w:val="left"/>
        <w:rPr>
          <w:rFonts w:ascii="Arial" w:hAnsi="Arial"/>
          <w:b/>
          <w:i w:val="false"/>
          <w:caps w:val="false"/>
          <w:smallCaps w:val="false"/>
          <w:sz w:val="36"/>
        </w:rPr>
      </w:pPr>
      <w:bookmarkStart w:id="15" w:name="a008_v1"/>
      <w:bookmarkEnd w:id="15"/>
      <w:r>
        <w:rPr>
          <w:rFonts w:ascii="Arial" w:hAnsi="Arial"/>
          <w:b/>
          <w:i w:val="false"/>
          <w:caps w:val="false"/>
          <w:smallCaps w:val="false"/>
          <w:sz w:val="36"/>
        </w:rPr>
        <w:t>Risk Management</w:t>
      </w:r>
    </w:p>
    <w:p>
      <w:pPr>
        <w:pStyle w:val="TextBody"/>
        <w:bidi w:val="0"/>
        <w:spacing w:before="60" w:after="12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i w:val="false"/>
          <w:caps w:val="false"/>
          <w:smallCaps w:val="false"/>
          <w:sz w:val="20"/>
        </w:rPr>
        <w:t>Material Issue:</w:t>
      </w:r>
      <w:r>
        <w:rPr>
          <w:rFonts w:ascii="Arial" w:hAnsi="Arial"/>
          <w:b w:val="false"/>
          <w:i w:val="false"/>
          <w:caps w:val="false"/>
          <w:smallCaps w:val="false"/>
          <w:sz w:val="20"/>
        </w:rPr>
        <w:t xml:space="preserve"> Comprehensive Risk Management, Cybersecurity, Privacy and Ethical Data Management</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i/>
          <w:caps w:val="false"/>
          <w:smallCaps w:val="false"/>
          <w:sz w:val="20"/>
        </w:rPr>
        <w:t xml:space="preserve">GRI </w:t>
      </w:r>
      <w:r>
        <w:rPr>
          <w:rFonts w:ascii="Arial" w:hAnsi="Arial"/>
          <w:b w:val="false"/>
          <w:i/>
          <w:caps w:val="false"/>
          <w:smallCaps w:val="false"/>
          <w:sz w:val="20"/>
        </w:rPr>
        <w:t xml:space="preserve">3-3,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i/>
          <w:caps w:val="false"/>
          <w:smallCaps w:val="false"/>
          <w:sz w:val="20"/>
        </w:rPr>
        <w:t xml:space="preserve">SASB </w:t>
      </w:r>
      <w:r>
        <w:rPr>
          <w:rFonts w:ascii="Arial" w:hAnsi="Arial"/>
          <w:b w:val="false"/>
          <w:i/>
          <w:caps w:val="false"/>
          <w:smallCaps w:val="false"/>
          <w:sz w:val="20"/>
        </w:rPr>
        <w:t>FN-CB-230-a.2, FN-CB-550-a.2</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i w:val="false"/>
          <w:caps w:val="false"/>
          <w:smallCaps w:val="false"/>
          <w:sz w:val="20"/>
        </w:rPr>
        <w:t xml:space="preserve">Pillars </w:t>
      </w:r>
      <w:r>
        <w:rPr>
          <w:rFonts w:ascii="Arial" w:hAnsi="Arial"/>
          <w:b w:val="false"/>
          <w:i w:val="false"/>
          <w:caps w:val="false"/>
          <w:smallCaps w:val="false"/>
          <w:sz w:val="20"/>
        </w:rPr>
        <w:t>1 and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Risk management is of utmost importance to all companies and to the financial industry in particular, where interaction between institutions and other market agents is intense. In this context, systemic risk is high. Financial companies must ensure the security of their clients by adeptly managing their balances and ensuring that an adequate capital base is in place in case unexpected events arise. Credicorp is equipped with frameworks and processes that implement comprehensive risk management via effective monitoring, assessment, and treatment of its risks and those of its subsidiaries. The Group is aware that risk management plays a key role on multiple fronts, and, similar to other stakeholder groups, listed this issue on the top of its materiality list in 2023. This chapter provides details on our corporate vision, financial risk management, ESG risks and non-financial risks as well as of our management of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color w:val="595959"/>
          <w:sz w:val="28"/>
        </w:rPr>
      </w:pPr>
      <w:r>
        <w:rPr>
          <w:rFonts w:ascii="Arial" w:hAnsi="Arial"/>
          <w:b/>
          <w:i w:val="false"/>
          <w:caps w:val="false"/>
          <w:smallCaps w:val="false"/>
          <w:color w:val="595959"/>
          <w:sz w:val="28"/>
        </w:rPr>
        <w:t>I. Corporate Vision</w:t>
      </w:r>
    </w:p>
    <w:p>
      <w:pPr>
        <w:pStyle w:val="TextBody"/>
        <w:bidi w:val="0"/>
        <w:spacing w:before="0" w:after="0"/>
        <w:ind w:left="0" w:right="0" w:hanging="0"/>
        <w:jc w:val="both"/>
        <w:rPr>
          <w:caps w:val="false"/>
          <w:smallCaps w:val="false"/>
          <w:color w:val="595959"/>
        </w:rPr>
      </w:pPr>
      <w:r>
        <w:rPr>
          <w:caps w:val="false"/>
          <w:smallCaps w:val="false"/>
          <w:color w:val="595959"/>
        </w:rPr>
        <w:t> </w:t>
      </w:r>
    </w:p>
    <w:p>
      <w:pPr>
        <w:pStyle w:val="TextBody"/>
        <w:bidi w:val="0"/>
        <w:spacing w:before="0" w:after="0"/>
        <w:ind w:left="0" w:right="0" w:hanging="0"/>
        <w:jc w:val="both"/>
        <w:rPr>
          <w:rFonts w:ascii="Arial" w:hAnsi="Arial"/>
          <w:b/>
          <w:i w:val="false"/>
          <w:caps w:val="false"/>
          <w:smallCaps w:val="false"/>
          <w:color w:val="595959"/>
          <w:sz w:val="28"/>
        </w:rPr>
      </w:pPr>
      <w:r>
        <w:rPr>
          <w:rFonts w:ascii="Arial" w:hAnsi="Arial"/>
          <w:b/>
          <w:i w:val="false"/>
          <w:caps w:val="false"/>
          <w:smallCaps w:val="false"/>
          <w:color w:val="595959"/>
          <w:sz w:val="28"/>
        </w:rPr>
        <w:t>A. Corporate Principles</w:t>
      </w:r>
    </w:p>
    <w:p>
      <w:pPr>
        <w:pStyle w:val="TextBody"/>
        <w:bidi w:val="0"/>
        <w:spacing w:before="0" w:after="0"/>
        <w:ind w:left="0" w:right="0" w:hanging="0"/>
        <w:jc w:val="both"/>
        <w:rPr>
          <w:caps w:val="false"/>
          <w:smallCaps w:val="false"/>
          <w:color w:val="595959"/>
        </w:rPr>
      </w:pPr>
      <w:r>
        <w:rPr>
          <w:caps w:val="false"/>
          <w:smallCaps w:val="false"/>
          <w:color w:val="595959"/>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Risk management at the Credicorp Group plays a fundamental role in our business activities. Accordingly, we have defined six corporate principles for risk management in the organization:</w:t>
      </w:r>
    </w:p>
    <w:p>
      <w:pPr>
        <w:pStyle w:val="TextBody"/>
        <w:bidi w:val="0"/>
        <w:spacing w:before="0" w:after="0"/>
        <w:ind w:left="0" w:right="0" w:hanging="0"/>
        <w:jc w:val="left"/>
        <w:rPr>
          <w:caps w:val="false"/>
          <w:smallCaps w:val="false"/>
        </w:rPr>
      </w:pPr>
      <w:r>
        <w:rPr>
          <w:caps w:val="false"/>
          <w:smallCaps w:val="false"/>
        </w:rPr>
        <w:t> </w:t>
      </w:r>
    </w:p>
    <w:tbl>
      <w:tblPr>
        <w:tblW w:w="3723" w:type="dxa"/>
        <w:jc w:val="left"/>
        <w:tblInd w:w="0" w:type="dxa"/>
        <w:tblLayout w:type="fixed"/>
        <w:tblCellMar>
          <w:top w:w="0" w:type="dxa"/>
          <w:left w:w="0" w:type="dxa"/>
          <w:bottom w:w="0" w:type="dxa"/>
          <w:right w:w="0" w:type="dxa"/>
        </w:tblCellMar>
      </w:tblPr>
      <w:tblGrid>
        <w:gridCol w:w="38"/>
        <w:gridCol w:w="185"/>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1.</w:t>
            </w:r>
          </w:p>
        </w:tc>
        <w:tc>
          <w:tcPr>
            <w:tcW w:w="3500"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Involvement of Executive Management.</w:t>
            </w:r>
          </w:p>
        </w:tc>
      </w:tr>
    </w:tbl>
    <w:p>
      <w:pPr>
        <w:pStyle w:val="TextBody"/>
        <w:bidi w:val="0"/>
        <w:spacing w:before="0" w:after="0"/>
        <w:jc w:val="left"/>
        <w:rPr>
          <w:caps w:val="false"/>
          <w:smallCaps w:val="false"/>
        </w:rPr>
      </w:pPr>
      <w:r>
        <w:rPr>
          <w:caps w:val="false"/>
          <w:smallCaps w:val="false"/>
        </w:rPr>
        <w:t> </w:t>
      </w:r>
    </w:p>
    <w:tbl>
      <w:tblPr>
        <w:tblW w:w="2988" w:type="dxa"/>
        <w:jc w:val="left"/>
        <w:tblInd w:w="0" w:type="dxa"/>
        <w:tblLayout w:type="fixed"/>
        <w:tblCellMar>
          <w:top w:w="0" w:type="dxa"/>
          <w:left w:w="0" w:type="dxa"/>
          <w:bottom w:w="0" w:type="dxa"/>
          <w:right w:w="0" w:type="dxa"/>
        </w:tblCellMar>
      </w:tblPr>
      <w:tblGrid>
        <w:gridCol w:w="38"/>
        <w:gridCol w:w="185"/>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2.</w:t>
            </w:r>
          </w:p>
        </w:tc>
        <w:tc>
          <w:tcPr>
            <w:tcW w:w="2765"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Independence of risk functions.</w:t>
            </w:r>
          </w:p>
        </w:tc>
      </w:tr>
    </w:tbl>
    <w:p>
      <w:pPr>
        <w:pStyle w:val="TextBody"/>
        <w:bidi w:val="0"/>
        <w:spacing w:before="0" w:after="0"/>
        <w:jc w:val="left"/>
        <w:rPr>
          <w:caps w:val="false"/>
          <w:smallCaps w:val="false"/>
        </w:rPr>
      </w:pPr>
      <w:r>
        <w:rPr>
          <w:caps w:val="false"/>
          <w:smallCaps w:val="false"/>
        </w:rPr>
        <w:t> </w:t>
      </w:r>
    </w:p>
    <w:tbl>
      <w:tblPr>
        <w:tblW w:w="5328" w:type="dxa"/>
        <w:jc w:val="left"/>
        <w:tblInd w:w="0" w:type="dxa"/>
        <w:tblLayout w:type="fixed"/>
        <w:tblCellMar>
          <w:top w:w="0" w:type="dxa"/>
          <w:left w:w="0" w:type="dxa"/>
          <w:bottom w:w="0" w:type="dxa"/>
          <w:right w:w="0" w:type="dxa"/>
        </w:tblCellMar>
      </w:tblPr>
      <w:tblGrid>
        <w:gridCol w:w="38"/>
        <w:gridCol w:w="185"/>
        <w:gridCol w:w="510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3.</w:t>
            </w:r>
          </w:p>
        </w:tc>
        <w:tc>
          <w:tcPr>
            <w:tcW w:w="5105"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Sufficiency and quality of our risk management resources.</w:t>
            </w:r>
          </w:p>
        </w:tc>
      </w:tr>
    </w:tbl>
    <w:p>
      <w:pPr>
        <w:pStyle w:val="TextBody"/>
        <w:bidi w:val="0"/>
        <w:spacing w:before="0" w:after="0"/>
        <w:jc w:val="left"/>
        <w:rPr>
          <w:caps w:val="false"/>
          <w:smallCaps w:val="false"/>
        </w:rPr>
      </w:pPr>
      <w:r>
        <w:rPr>
          <w:caps w:val="false"/>
          <w:smallCaps w:val="false"/>
        </w:rPr>
        <w:t> </w:t>
      </w:r>
    </w:p>
    <w:tbl>
      <w:tblPr>
        <w:tblW w:w="4773" w:type="dxa"/>
        <w:jc w:val="left"/>
        <w:tblInd w:w="0" w:type="dxa"/>
        <w:tblLayout w:type="fixed"/>
        <w:tblCellMar>
          <w:top w:w="0" w:type="dxa"/>
          <w:left w:w="0" w:type="dxa"/>
          <w:bottom w:w="0" w:type="dxa"/>
          <w:right w:w="0" w:type="dxa"/>
        </w:tblCellMar>
      </w:tblPr>
      <w:tblGrid>
        <w:gridCol w:w="38"/>
        <w:gridCol w:w="185"/>
        <w:gridCol w:w="455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4.</w:t>
            </w:r>
          </w:p>
        </w:tc>
        <w:tc>
          <w:tcPr>
            <w:tcW w:w="4550"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Measuring performance based on the risk assumed.</w:t>
            </w:r>
          </w:p>
        </w:tc>
      </w:tr>
    </w:tbl>
    <w:p>
      <w:pPr>
        <w:pStyle w:val="TextBody"/>
        <w:bidi w:val="0"/>
        <w:spacing w:before="0" w:after="0"/>
        <w:jc w:val="left"/>
        <w:rPr>
          <w:caps w:val="false"/>
          <w:smallCaps w:val="false"/>
        </w:rPr>
      </w:pPr>
      <w:r>
        <w:rPr>
          <w:caps w:val="false"/>
          <w:smallCaps w:val="false"/>
        </w:rPr>
        <w:t> </w:t>
      </w:r>
    </w:p>
    <w:tbl>
      <w:tblPr>
        <w:tblW w:w="2793" w:type="dxa"/>
        <w:jc w:val="left"/>
        <w:tblInd w:w="0" w:type="dxa"/>
        <w:tblLayout w:type="fixed"/>
        <w:tblCellMar>
          <w:top w:w="0" w:type="dxa"/>
          <w:left w:w="0" w:type="dxa"/>
          <w:bottom w:w="0" w:type="dxa"/>
          <w:right w:w="0" w:type="dxa"/>
        </w:tblCellMar>
      </w:tblPr>
      <w:tblGrid>
        <w:gridCol w:w="38"/>
        <w:gridCol w:w="185"/>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5.</w:t>
            </w:r>
          </w:p>
        </w:tc>
        <w:tc>
          <w:tcPr>
            <w:tcW w:w="2570"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Risk follow-up and validation.</w:t>
            </w:r>
          </w:p>
        </w:tc>
      </w:tr>
    </w:tbl>
    <w:p>
      <w:pPr>
        <w:pStyle w:val="TextBody"/>
        <w:bidi w:val="0"/>
        <w:spacing w:before="0" w:after="0"/>
        <w:jc w:val="left"/>
        <w:rPr>
          <w:caps w:val="false"/>
          <w:smallCaps w:val="false"/>
        </w:rPr>
      </w:pPr>
      <w:r>
        <w:rPr>
          <w:caps w:val="false"/>
          <w:smallCaps w:val="false"/>
        </w:rPr>
        <w:t> </w:t>
      </w:r>
    </w:p>
    <w:tbl>
      <w:tblPr>
        <w:tblW w:w="4233" w:type="dxa"/>
        <w:jc w:val="left"/>
        <w:tblInd w:w="0" w:type="dxa"/>
        <w:tblLayout w:type="fixed"/>
        <w:tblCellMar>
          <w:top w:w="0" w:type="dxa"/>
          <w:left w:w="0" w:type="dxa"/>
          <w:bottom w:w="0" w:type="dxa"/>
          <w:right w:w="0" w:type="dxa"/>
        </w:tblCellMar>
      </w:tblPr>
      <w:tblGrid>
        <w:gridCol w:w="38"/>
        <w:gridCol w:w="185"/>
        <w:gridCol w:w="401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6.</w:t>
            </w:r>
          </w:p>
        </w:tc>
        <w:tc>
          <w:tcPr>
            <w:tcW w:w="4010"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Compliance with the corporate code of ethics.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color w:val="000000"/>
          <w:sz w:val="20"/>
        </w:rPr>
        <w:t>39</w:t>
      </w:r>
      <w:r>
        <w:rPr>
          <w:rFonts w:ascii="Arial" w:hAnsi="Arial"/>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color w:val="7F7F7F"/>
          <w:sz w:val="28"/>
        </w:rPr>
      </w:pPr>
      <w:r>
        <w:rPr>
          <w:rFonts w:ascii="Arial" w:hAnsi="Arial"/>
          <w:b/>
          <w:i w:val="false"/>
          <w:caps w:val="false"/>
          <w:smallCaps w:val="false"/>
          <w:color w:val="7F7F7F"/>
          <w:sz w:val="28"/>
        </w:rPr>
        <w:t>Risk Culture</w:t>
      </w:r>
    </w:p>
    <w:p>
      <w:pPr>
        <w:pStyle w:val="TextBody"/>
        <w:bidi w:val="0"/>
        <w:spacing w:before="0" w:after="0"/>
        <w:ind w:left="0" w:right="0" w:hanging="0"/>
        <w:jc w:val="both"/>
        <w:rPr>
          <w:caps w:val="false"/>
          <w:smallCaps w:val="false"/>
          <w:color w:val="7F7F7F"/>
        </w:rPr>
      </w:pPr>
      <w:r>
        <w:rPr>
          <w:caps w:val="false"/>
          <w:smallCaps w:val="false"/>
          <w:color w:val="7F7F7F"/>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Risk assessment at Credicorp is conducted by specialized personnel with adequate knowledge of processes to identify, assess, measure, treat and control risks. To consolidate a risk culture that is aligned with best practices in the industry, we employ periodic programs and offer ad-hoc courses for different risk teams and the entire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remote model of work, which was prevalent during the pandemic, shifted toward a hybrid model. This new work modality along with increased Internet interaction, implies latent risks for cybersecurity. As such, and as part of our risk culture, we continue to roll out awareness programs as we prepare Credicorp’s employees to recognize through and follow protocols for response.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color w:val="7F7F7F"/>
          <w:sz w:val="28"/>
        </w:rPr>
      </w:pPr>
      <w:r>
        <w:rPr>
          <w:rFonts w:ascii="Arial" w:hAnsi="Arial"/>
          <w:b/>
          <w:i w:val="false"/>
          <w:caps w:val="false"/>
          <w:smallCaps w:val="false"/>
          <w:color w:val="7F7F7F"/>
          <w:sz w:val="28"/>
        </w:rPr>
        <w:t>Appetite for Risk</w:t>
      </w:r>
    </w:p>
    <w:p>
      <w:pPr>
        <w:pStyle w:val="TextBody"/>
        <w:bidi w:val="0"/>
        <w:spacing w:before="0" w:after="0"/>
        <w:ind w:left="0" w:right="0" w:hanging="0"/>
        <w:jc w:val="both"/>
        <w:rPr>
          <w:caps w:val="false"/>
          <w:smallCaps w:val="false"/>
          <w:color w:val="7F7F7F"/>
        </w:rPr>
      </w:pPr>
      <w:r>
        <w:rPr>
          <w:caps w:val="false"/>
          <w:smallCaps w:val="false"/>
          <w:color w:val="7F7F7F"/>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Appetite for risk refers to the maximum amount of relevant risk that we are willing to assume and can withstand to achieve our business objectives; this entails establishing the maximum deviations that we consider acceptable.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main objective is to develop a risk profile that reflects the Board’s expectations, which is manifested in six strategic pillars: (i) solvency, (ii) liquidity, (iii) profit and growth, (iv) stability of results, (v) balance sheet structure and (vi) cybersecurity risks. These six pillars are supported by a taxonomy of risk that allows us to monitor our risk profile qualitatively and quantitatively..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appetite for risk is composed of the following elements: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(i) </w:t>
      </w:r>
      <w:r>
        <w:rPr>
          <w:rFonts w:ascii="Arial" w:hAnsi="Arial"/>
          <w:b/>
          <w:i w:val="false"/>
          <w:caps w:val="false"/>
          <w:smallCaps w:val="false"/>
          <w:sz w:val="20"/>
        </w:rPr>
        <w:t>Statement of the risk appetite:</w:t>
      </w:r>
      <w:r>
        <w:rPr>
          <w:rFonts w:ascii="Arial" w:hAnsi="Arial"/>
          <w:b w:val="false"/>
          <w:i w:val="false"/>
          <w:caps w:val="false"/>
          <w:smallCaps w:val="false"/>
          <w:sz w:val="20"/>
        </w:rPr>
        <w:t xml:space="preserve"> define the general principles and qualitative declarations that guide the group’s risk strategy, which also serves as inputs to define the target risk profile,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 xml:space="preserve">(ii) </w:t>
      </w:r>
      <w:r>
        <w:rPr>
          <w:rFonts w:ascii="Arial" w:hAnsi="Arial"/>
          <w:b/>
          <w:i w:val="false"/>
          <w:caps w:val="false"/>
          <w:smallCaps w:val="false"/>
          <w:sz w:val="20"/>
        </w:rPr>
        <w:t>Metric dashboard:</w:t>
      </w:r>
      <w:r>
        <w:rPr>
          <w:rFonts w:ascii="Arial" w:hAnsi="Arial"/>
          <w:b w:val="false"/>
          <w:i w:val="false"/>
          <w:caps w:val="false"/>
          <w:smallCaps w:val="false"/>
          <w:sz w:val="20"/>
        </w:rPr>
        <w:t xml:space="preserve"> define the levels of risk exposure across our six strategic pillars through several metrics,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 xml:space="preserve">(iii) </w:t>
      </w:r>
      <w:r>
        <w:rPr>
          <w:rFonts w:ascii="Arial" w:hAnsi="Arial"/>
          <w:b/>
          <w:i w:val="false"/>
          <w:caps w:val="false"/>
          <w:smallCaps w:val="false"/>
          <w:sz w:val="20"/>
        </w:rPr>
        <w:t>Limits:</w:t>
      </w:r>
      <w:r>
        <w:rPr>
          <w:rFonts w:ascii="Arial" w:hAnsi="Arial"/>
          <w:b w:val="false"/>
          <w:i w:val="false"/>
          <w:caps w:val="false"/>
          <w:smallCaps w:val="false"/>
          <w:sz w:val="20"/>
        </w:rPr>
        <w:t xml:space="preserve"> seek to ensure that risk-taking is within the tolerance level established across business units’ roles and responsibilities.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appetite for risk is integrated in the processes for strategic and capital guidelines as well as in the process to define the budget. This facilitates strategic decision making throughout the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color w:val="595959"/>
          <w:sz w:val="28"/>
        </w:rPr>
      </w:pPr>
      <w:r>
        <w:rPr>
          <w:rFonts w:ascii="Arial" w:hAnsi="Arial"/>
          <w:b/>
          <w:i w:val="false"/>
          <w:caps w:val="false"/>
          <w:smallCaps w:val="false"/>
          <w:color w:val="595959"/>
          <w:sz w:val="28"/>
        </w:rPr>
        <w:t>B. Corporate governance of risk management</w:t>
      </w:r>
    </w:p>
    <w:p>
      <w:pPr>
        <w:pStyle w:val="TextBody"/>
        <w:bidi w:val="0"/>
        <w:spacing w:before="0" w:after="0"/>
        <w:ind w:left="0" w:right="0" w:hanging="0"/>
        <w:jc w:val="both"/>
        <w:rPr>
          <w:caps w:val="false"/>
          <w:smallCaps w:val="false"/>
          <w:color w:val="595959"/>
        </w:rPr>
      </w:pPr>
      <w:r>
        <w:rPr>
          <w:caps w:val="false"/>
          <w:smallCaps w:val="false"/>
          <w:color w:val="595959"/>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Credicorp’s Board has the power to make decisions about the overall focus of risk management at Credicorp Ltd., which includes approving its appetite for risk. The board is also informed about the level of compliance with the appetite for risk, levels of risk exposure, and improvements in the comprehensive management of Grupo Crédito S.A. and Credicorp’s other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Board of Grupo Crédito S.A. has the authority to make decisions applicable to Credicorp’s subsidiaries, including those related to risk management, such as approving the appetite for risk at Credicorp’s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same individuals sit on the Board (and the Committees) of Credicorp and Grupo Crédito S.A. and the management structure of both companies has been aligned.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sz w:val="20"/>
        </w:rPr>
      </w:pPr>
      <w:r>
        <w:rPr>
          <w:rFonts w:ascii="Arial" w:hAnsi="Arial"/>
          <w:b/>
          <w:i w:val="false"/>
          <w:caps w:val="false"/>
          <w:smallCaps w:val="false"/>
          <w:sz w:val="20"/>
        </w:rPr>
        <w:t>Credicorp’s Risk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This committee represents Credicorp’s Board and proposes levels of apetite for risk for Credicorp Ltd. The committee acknowledge the level of compliance with the appetite for risk and the level of exposure assumed by Grupo Crédito and Credicorp’s subsidiaries and oversees relevant improvements in comprehensive risk management at these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color w:val="000000"/>
          <w:sz w:val="20"/>
        </w:rPr>
        <w:t>40</w:t>
      </w:r>
      <w:r>
        <w:rPr>
          <w:rFonts w:ascii="Arial" w:hAnsi="Arial"/>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sz w:val="20"/>
        </w:rPr>
      </w:pPr>
      <w:r>
        <w:rPr>
          <w:rFonts w:ascii="Arial" w:hAnsi="Arial"/>
          <w:b/>
          <w:i w:val="false"/>
          <w:caps w:val="false"/>
          <w:smallCaps w:val="false"/>
          <w:sz w:val="20"/>
        </w:rPr>
        <w:t>Grupo Crédito Risk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This committee represents Grupo Crédito’s Board in decision-making processes relative to risk management at Grupo Crédito and Credicorp’s subsidiaries. Additionally, the committee presents proposals to the Board of Grupo Crédito to set levels of appetite for risk for the group’s businesses. The Committee defines the strategies that will be used to adequately manage different types of risk; supervise the appetite for risk; and determine the principles, policies, and general limits to which Grupo Credicorp and Credicorp’s subsidiaries Will be subject.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addition to efficiently managing all types of risk, the Risk Committee of Grupo Crédito is supported by the following committees, which report changes and relevant concerns regarding risk management on a periodic basis:</w:t>
      </w:r>
    </w:p>
    <w:p>
      <w:pPr>
        <w:pStyle w:val="TextBody"/>
        <w:bidi w:val="0"/>
        <w:spacing w:before="0" w:after="0"/>
        <w:ind w:left="0" w:right="0" w:hanging="0"/>
        <w:jc w:val="both"/>
        <w:rPr>
          <w:caps w:val="false"/>
          <w:smallCaps w:val="false"/>
        </w:rPr>
      </w:pPr>
      <w:r>
        <w:rPr>
          <w:caps w:val="false"/>
          <w:smallCaps w:val="false"/>
        </w:rPr>
        <w:t> </w:t>
      </w:r>
    </w:p>
    <w:tbl>
      <w:tblPr>
        <w:tblW w:w="1728" w:type="dxa"/>
        <w:jc w:val="left"/>
        <w:tblInd w:w="0" w:type="dxa"/>
        <w:tblLayout w:type="fixed"/>
        <w:tblCellMar>
          <w:top w:w="0" w:type="dxa"/>
          <w:left w:w="0" w:type="dxa"/>
          <w:bottom w:w="0" w:type="dxa"/>
          <w:right w:w="0" w:type="dxa"/>
        </w:tblCellMar>
      </w:tblPr>
      <w:tblGrid>
        <w:gridCol w:w="38"/>
        <w:gridCol w:w="140"/>
        <w:gridCol w:w="155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I.</w:t>
            </w:r>
          </w:p>
        </w:tc>
        <w:tc>
          <w:tcPr>
            <w:tcW w:w="1550"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Credit Committee</w:t>
            </w:r>
          </w:p>
        </w:tc>
      </w:tr>
    </w:tbl>
    <w:p>
      <w:pPr>
        <w:pStyle w:val="TextBody"/>
        <w:bidi w:val="0"/>
        <w:spacing w:before="0" w:after="0"/>
        <w:jc w:val="left"/>
        <w:rPr>
          <w:caps w:val="false"/>
          <w:smallCaps w:val="false"/>
        </w:rPr>
      </w:pPr>
      <w:r>
        <w:rPr>
          <w:caps w:val="false"/>
          <w:smallCaps w:val="false"/>
        </w:rPr>
        <w:t> </w:t>
      </w:r>
    </w:p>
    <w:tbl>
      <w:tblPr>
        <w:tblW w:w="2403" w:type="dxa"/>
        <w:jc w:val="left"/>
        <w:tblInd w:w="0" w:type="dxa"/>
        <w:tblLayout w:type="fixed"/>
        <w:tblCellMar>
          <w:top w:w="0" w:type="dxa"/>
          <w:left w:w="0" w:type="dxa"/>
          <w:bottom w:w="0" w:type="dxa"/>
          <w:right w:w="0" w:type="dxa"/>
        </w:tblCellMar>
      </w:tblPr>
      <w:tblGrid>
        <w:gridCol w:w="38"/>
        <w:gridCol w:w="200"/>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II.</w:t>
            </w:r>
          </w:p>
        </w:tc>
        <w:tc>
          <w:tcPr>
            <w:tcW w:w="2165"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Country Risk Committee</w:t>
            </w:r>
          </w:p>
        </w:tc>
      </w:tr>
    </w:tbl>
    <w:p>
      <w:pPr>
        <w:pStyle w:val="TextBody"/>
        <w:bidi w:val="0"/>
        <w:spacing w:before="0" w:after="0"/>
        <w:jc w:val="left"/>
        <w:rPr>
          <w:caps w:val="false"/>
          <w:smallCaps w:val="false"/>
        </w:rPr>
      </w:pPr>
      <w:r>
        <w:rPr>
          <w:caps w:val="false"/>
          <w:smallCaps w:val="false"/>
        </w:rPr>
        <w:t> </w:t>
      </w:r>
    </w:p>
    <w:tbl>
      <w:tblPr>
        <w:tblW w:w="3588" w:type="dxa"/>
        <w:jc w:val="left"/>
        <w:tblInd w:w="0" w:type="dxa"/>
        <w:tblLayout w:type="fixed"/>
        <w:tblCellMar>
          <w:top w:w="0" w:type="dxa"/>
          <w:left w:w="0" w:type="dxa"/>
          <w:bottom w:w="0" w:type="dxa"/>
          <w:right w:w="0" w:type="dxa"/>
        </w:tblCellMar>
      </w:tblPr>
      <w:tblGrid>
        <w:gridCol w:w="38"/>
        <w:gridCol w:w="260"/>
        <w:gridCol w:w="329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III.</w:t>
            </w:r>
          </w:p>
        </w:tc>
        <w:tc>
          <w:tcPr>
            <w:tcW w:w="3290"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Corporate Wholesale Risk Committee</w:t>
            </w:r>
          </w:p>
        </w:tc>
      </w:tr>
    </w:tbl>
    <w:p>
      <w:pPr>
        <w:pStyle w:val="TextBody"/>
        <w:bidi w:val="0"/>
        <w:spacing w:before="0" w:after="0"/>
        <w:jc w:val="left"/>
        <w:rPr>
          <w:caps w:val="false"/>
          <w:smallCaps w:val="false"/>
        </w:rPr>
      </w:pPr>
      <w:r>
        <w:rPr>
          <w:caps w:val="false"/>
          <w:smallCaps w:val="false"/>
        </w:rPr>
        <w:t> </w:t>
      </w:r>
    </w:p>
    <w:tbl>
      <w:tblPr>
        <w:tblW w:w="3198" w:type="dxa"/>
        <w:jc w:val="left"/>
        <w:tblInd w:w="0" w:type="dxa"/>
        <w:tblLayout w:type="fixed"/>
        <w:tblCellMar>
          <w:top w:w="0" w:type="dxa"/>
          <w:left w:w="0" w:type="dxa"/>
          <w:bottom w:w="0" w:type="dxa"/>
          <w:right w:w="0" w:type="dxa"/>
        </w:tblCellMar>
      </w:tblPr>
      <w:tblGrid>
        <w:gridCol w:w="38"/>
        <w:gridCol w:w="275"/>
        <w:gridCol w:w="288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IV.</w:t>
            </w:r>
          </w:p>
        </w:tc>
        <w:tc>
          <w:tcPr>
            <w:tcW w:w="2885"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Corporate Retail Risk Committee</w:t>
            </w:r>
          </w:p>
        </w:tc>
      </w:tr>
    </w:tbl>
    <w:p>
      <w:pPr>
        <w:pStyle w:val="TextBody"/>
        <w:bidi w:val="0"/>
        <w:spacing w:before="0" w:after="0"/>
        <w:jc w:val="left"/>
        <w:rPr>
          <w:caps w:val="false"/>
          <w:smallCaps w:val="false"/>
        </w:rPr>
      </w:pPr>
      <w:r>
        <w:rPr>
          <w:caps w:val="false"/>
          <w:smallCaps w:val="false"/>
        </w:rPr>
        <w:t> </w:t>
      </w:r>
    </w:p>
    <w:tbl>
      <w:tblPr>
        <w:tblW w:w="3753" w:type="dxa"/>
        <w:jc w:val="left"/>
        <w:tblInd w:w="0" w:type="dxa"/>
        <w:tblLayout w:type="fixed"/>
        <w:tblCellMar>
          <w:top w:w="0" w:type="dxa"/>
          <w:left w:w="0" w:type="dxa"/>
          <w:bottom w:w="0" w:type="dxa"/>
          <w:right w:w="0" w:type="dxa"/>
        </w:tblCellMar>
      </w:tblPr>
      <w:tblGrid>
        <w:gridCol w:w="38"/>
        <w:gridCol w:w="215"/>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V.</w:t>
            </w:r>
          </w:p>
        </w:tc>
        <w:tc>
          <w:tcPr>
            <w:tcW w:w="3500"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Operating Risk Methodology Committee</w:t>
            </w:r>
          </w:p>
        </w:tc>
      </w:tr>
    </w:tbl>
    <w:p>
      <w:pPr>
        <w:pStyle w:val="TextBody"/>
        <w:bidi w:val="0"/>
        <w:spacing w:before="0" w:after="0"/>
        <w:jc w:val="left"/>
        <w:rPr>
          <w:caps w:val="false"/>
          <w:smallCaps w:val="false"/>
        </w:rPr>
      </w:pPr>
      <w:r>
        <w:rPr>
          <w:caps w:val="false"/>
          <w:smallCaps w:val="false"/>
        </w:rPr>
        <w:t> </w:t>
      </w:r>
    </w:p>
    <w:tbl>
      <w:tblPr>
        <w:tblW w:w="3228" w:type="dxa"/>
        <w:jc w:val="left"/>
        <w:tblInd w:w="0" w:type="dxa"/>
        <w:tblLayout w:type="fixed"/>
        <w:tblCellMar>
          <w:top w:w="0" w:type="dxa"/>
          <w:left w:w="0" w:type="dxa"/>
          <w:bottom w:w="0" w:type="dxa"/>
          <w:right w:w="0" w:type="dxa"/>
        </w:tblCellMar>
      </w:tblPr>
      <w:tblGrid>
        <w:gridCol w:w="38"/>
        <w:gridCol w:w="275"/>
        <w:gridCol w:w="291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VI.</w:t>
            </w:r>
          </w:p>
        </w:tc>
        <w:tc>
          <w:tcPr>
            <w:tcW w:w="2915"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Corporate Risk Model Committee</w:t>
            </w:r>
          </w:p>
        </w:tc>
      </w:tr>
    </w:tbl>
    <w:p>
      <w:pPr>
        <w:pStyle w:val="TextBody"/>
        <w:bidi w:val="0"/>
        <w:spacing w:before="0" w:after="0"/>
        <w:jc w:val="left"/>
        <w:rPr>
          <w:caps w:val="false"/>
          <w:smallCaps w:val="false"/>
        </w:rPr>
      </w:pPr>
      <w:r>
        <w:rPr>
          <w:caps w:val="false"/>
          <w:smallCaps w:val="false"/>
        </w:rPr>
        <w:t> </w:t>
      </w:r>
    </w:p>
    <w:tbl>
      <w:tblPr>
        <w:tblW w:w="6528" w:type="dxa"/>
        <w:jc w:val="left"/>
        <w:tblInd w:w="0" w:type="dxa"/>
        <w:tblLayout w:type="fixed"/>
        <w:tblCellMar>
          <w:top w:w="0" w:type="dxa"/>
          <w:left w:w="0" w:type="dxa"/>
          <w:bottom w:w="0" w:type="dxa"/>
          <w:right w:w="0" w:type="dxa"/>
        </w:tblCellMar>
      </w:tblPr>
      <w:tblGrid>
        <w:gridCol w:w="38"/>
        <w:gridCol w:w="335"/>
        <w:gridCol w:w="615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VII.</w:t>
            </w:r>
          </w:p>
        </w:tc>
        <w:tc>
          <w:tcPr>
            <w:tcW w:w="6155"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Corporate Committee for Market, Structural, Trading and Liquidity Risk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color w:val="7F7F7F"/>
          <w:sz w:val="28"/>
        </w:rPr>
      </w:pPr>
      <w:r>
        <w:rPr>
          <w:rFonts w:ascii="Arial" w:hAnsi="Arial"/>
          <w:b/>
          <w:i w:val="false"/>
          <w:caps w:val="false"/>
          <w:smallCaps w:val="false"/>
          <w:color w:val="7F7F7F"/>
          <w:sz w:val="28"/>
        </w:rPr>
        <w:t>Central Risk Management</w:t>
      </w:r>
    </w:p>
    <w:p>
      <w:pPr>
        <w:pStyle w:val="TextBody"/>
        <w:bidi w:val="0"/>
        <w:spacing w:before="0" w:after="0"/>
        <w:ind w:left="0" w:right="0" w:hanging="0"/>
        <w:jc w:val="both"/>
        <w:rPr>
          <w:caps w:val="false"/>
          <w:smallCaps w:val="false"/>
          <w:color w:val="7F7F7F"/>
        </w:rPr>
      </w:pPr>
      <w:r>
        <w:rPr>
          <w:caps w:val="false"/>
          <w:smallCaps w:val="false"/>
          <w:color w:val="7F7F7F"/>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Central Risk Management (led by the Chief Risk Officer at Credicorp) is responsible for implementing the policies, procedures, methodologies and the actions required to identify, measure, monitor, mitigate, report and control the different types of risk to which the Grupo Crédito and Credicorp’s subsidiaries are exposed. This division is also responsible for participating in the design and definition of strategic plans for business units to ensure alignment with the risk parameters approved by Credicorp’s Board. Finally, Central Risk Management disseminates information on the importance of adequate risk management and works with units to determine the specific role that each must play in identifying risk and defining corresponding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color w:val="7F7F7F"/>
          <w:sz w:val="28"/>
        </w:rPr>
      </w:pPr>
      <w:r>
        <w:rPr>
          <w:rFonts w:ascii="Arial" w:hAnsi="Arial"/>
          <w:b/>
          <w:i w:val="false"/>
          <w:caps w:val="false"/>
          <w:smallCaps w:val="false"/>
          <w:color w:val="7F7F7F"/>
          <w:sz w:val="28"/>
        </w:rPr>
        <w:t>Corporate Policies</w:t>
      </w:r>
    </w:p>
    <w:p>
      <w:pPr>
        <w:pStyle w:val="TextBody"/>
        <w:bidi w:val="0"/>
        <w:spacing w:before="0" w:after="0"/>
        <w:ind w:left="0" w:right="0" w:hanging="0"/>
        <w:jc w:val="both"/>
        <w:rPr>
          <w:caps w:val="false"/>
          <w:smallCaps w:val="false"/>
          <w:color w:val="7F7F7F"/>
        </w:rPr>
      </w:pPr>
      <w:r>
        <w:rPr>
          <w:caps w:val="false"/>
          <w:smallCaps w:val="false"/>
          <w:color w:val="7F7F7F"/>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Corporate risk management policies establish the roles and responsibilities that have been defined and assigned to manage the risks we face. Our framework policy guides risk management in general, but we also have specific policies that govern our most relevant risks. It is important to note that each of the Group’s companies has unique characteristics (in terms of size and the complexity of its operations), which have been taken into consideration to develop and implement each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color w:val="595959"/>
          <w:sz w:val="28"/>
        </w:rPr>
      </w:pPr>
      <w:r>
        <w:rPr>
          <w:rFonts w:ascii="Arial" w:hAnsi="Arial"/>
          <w:b/>
          <w:i w:val="false"/>
          <w:caps w:val="false"/>
          <w:smallCaps w:val="false"/>
          <w:color w:val="595959"/>
          <w:sz w:val="28"/>
        </w:rPr>
        <w:t>II. Financial Risks</w:t>
      </w:r>
    </w:p>
    <w:p>
      <w:pPr>
        <w:pStyle w:val="TextBody"/>
        <w:bidi w:val="0"/>
        <w:spacing w:before="0" w:after="0"/>
        <w:ind w:left="0" w:right="0" w:hanging="0"/>
        <w:jc w:val="both"/>
        <w:rPr>
          <w:caps w:val="false"/>
          <w:smallCaps w:val="false"/>
          <w:color w:val="595959"/>
        </w:rPr>
      </w:pPr>
      <w:r>
        <w:rPr>
          <w:caps w:val="false"/>
          <w:smallCaps w:val="false"/>
          <w:color w:val="595959"/>
        </w:rPr>
        <w:t> </w:t>
      </w:r>
    </w:p>
    <w:p>
      <w:pPr>
        <w:pStyle w:val="TextBody"/>
        <w:bidi w:val="0"/>
        <w:spacing w:before="0" w:after="0"/>
        <w:ind w:left="0" w:right="0" w:hanging="0"/>
        <w:jc w:val="both"/>
        <w:rPr>
          <w:rFonts w:ascii="Arial" w:hAnsi="Arial"/>
          <w:b/>
          <w:i w:val="false"/>
          <w:caps w:val="false"/>
          <w:smallCaps w:val="false"/>
          <w:color w:val="595959"/>
          <w:sz w:val="28"/>
        </w:rPr>
      </w:pPr>
      <w:r>
        <w:rPr>
          <w:rFonts w:ascii="Arial" w:hAnsi="Arial"/>
          <w:b/>
          <w:i w:val="false"/>
          <w:caps w:val="false"/>
          <w:smallCaps w:val="false"/>
          <w:color w:val="595959"/>
          <w:sz w:val="28"/>
        </w:rPr>
        <w:t>C. Credit Risk</w:t>
      </w:r>
    </w:p>
    <w:p>
      <w:pPr>
        <w:pStyle w:val="TextBody"/>
        <w:bidi w:val="0"/>
        <w:spacing w:before="0" w:after="0"/>
        <w:ind w:left="0" w:right="0" w:hanging="0"/>
        <w:jc w:val="both"/>
        <w:rPr>
          <w:caps w:val="false"/>
          <w:smallCaps w:val="false"/>
          <w:color w:val="595959"/>
        </w:rPr>
      </w:pPr>
      <w:r>
        <w:rPr>
          <w:caps w:val="false"/>
          <w:smallCaps w:val="false"/>
          <w:color w:val="595959"/>
        </w:rPr>
        <w:t> </w:t>
      </w:r>
    </w:p>
    <w:p>
      <w:pPr>
        <w:pStyle w:val="TextBody"/>
        <w:bidi w:val="0"/>
        <w:spacing w:before="0" w:after="0"/>
        <w:ind w:left="0" w:right="0" w:hanging="0"/>
        <w:jc w:val="both"/>
        <w:rPr>
          <w:rFonts w:ascii="Arial" w:hAnsi="Arial"/>
          <w:b/>
          <w:i w:val="false"/>
          <w:caps w:val="false"/>
          <w:smallCaps w:val="false"/>
          <w:color w:val="7F7F7F"/>
          <w:sz w:val="28"/>
        </w:rPr>
      </w:pPr>
      <w:r>
        <w:rPr>
          <w:rFonts w:ascii="Arial" w:hAnsi="Arial"/>
          <w:b/>
          <w:i w:val="false"/>
          <w:caps w:val="false"/>
          <w:smallCaps w:val="false"/>
          <w:color w:val="7F7F7F"/>
          <w:sz w:val="28"/>
        </w:rPr>
        <w:t>Loans, provisions and coverage</w:t>
      </w:r>
    </w:p>
    <w:p>
      <w:pPr>
        <w:pStyle w:val="TextBody"/>
        <w:bidi w:val="0"/>
        <w:spacing w:before="0" w:after="0"/>
        <w:ind w:left="0" w:right="0" w:hanging="0"/>
        <w:jc w:val="both"/>
        <w:rPr>
          <w:caps w:val="false"/>
          <w:smallCaps w:val="false"/>
          <w:color w:val="7F7F7F"/>
        </w:rPr>
      </w:pPr>
      <w:r>
        <w:rPr>
          <w:caps w:val="false"/>
          <w:smallCaps w:val="false"/>
          <w:color w:val="7F7F7F"/>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Credit risk is the most significant risk for our activities and is defined as the probability of suffering losses due to debt repayment problems relative to borrowers or to counterparties in exposures assumed off and on the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At the end of December 2023, the balance of direct and indirect loans was S/163,535 million, which represented decrease of 2.7% with regard to the level reported in December 2022. Provisions for loan losses totaled S/8,646 million. In this context, at the end of December 2023, the coverage ratio was situated at 5.29%, versus 5.07% at the end of December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color w:val="000000"/>
          <w:sz w:val="20"/>
        </w:rPr>
        <w:t>41</w:t>
      </w:r>
      <w:r>
        <w:rPr>
          <w:rFonts w:ascii="Arial" w:hAnsi="Arial"/>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b/>
          <w:i w:val="false"/>
          <w:caps w:val="false"/>
          <w:smallCaps w:val="false"/>
          <w:sz w:val="20"/>
        </w:rPr>
      </w:pPr>
      <w:r>
        <w:rPr>
          <w:rFonts w:ascii="Arial" w:hAnsi="Arial"/>
          <w:b/>
          <w:i w:val="false"/>
          <w:caps w:val="false"/>
          <w:smallCaps w:val="false"/>
          <w:sz w:val="20"/>
        </w:rPr>
        <w:t>Loans, provisions and the Credicorp’s coverage ratio by subsidiary</w:t>
      </w:r>
    </w:p>
    <w:p>
      <w:pPr>
        <w:pStyle w:val="TextBody"/>
        <w:bidi w:val="0"/>
        <w:spacing w:before="0" w:after="0"/>
        <w:ind w:left="0" w:right="0" w:hanging="0"/>
        <w:jc w:val="center"/>
        <w:rPr>
          <w:caps w:val="false"/>
          <w:smallCaps w:val="false"/>
        </w:rPr>
      </w:pPr>
      <w:r>
        <w:rPr>
          <w:caps w:val="false"/>
          <w:smallCaps w:val="false"/>
        </w:rPr>
        <w:t> </w:t>
      </w:r>
    </w:p>
    <w:tbl>
      <w:tblPr>
        <w:tblW w:w="6685" w:type="dxa"/>
        <w:jc w:val="center"/>
        <w:tblInd w:w="0" w:type="dxa"/>
        <w:tblLayout w:type="fixed"/>
        <w:tblCellMar>
          <w:top w:w="28" w:type="dxa"/>
          <w:left w:w="70" w:type="dxa"/>
          <w:bottom w:w="28" w:type="dxa"/>
          <w:right w:w="0" w:type="dxa"/>
        </w:tblCellMar>
      </w:tblPr>
      <w:tblGrid>
        <w:gridCol w:w="1670"/>
        <w:gridCol w:w="1180"/>
        <w:gridCol w:w="1180"/>
        <w:gridCol w:w="512"/>
        <w:gridCol w:w="513"/>
        <w:gridCol w:w="575"/>
        <w:gridCol w:w="1055"/>
      </w:tblGrid>
      <w:tr>
        <w:trPr/>
        <w:tc>
          <w:tcPr>
            <w:tcW w:w="1670" w:type="dxa"/>
            <w:vMerge w:val="restart"/>
            <w:tcBorders>
              <w:top w:val="single" w:sz="8" w:space="0" w:color="000000"/>
              <w:left w:val="single" w:sz="8" w:space="0" w:color="000000"/>
              <w:bottom w:val="single" w:sz="8" w:space="0" w:color="000000"/>
            </w:tcBorders>
            <w:shd w:fill="2AD2C9" w:val="clear"/>
            <w:vAlign w:val="center"/>
          </w:tcPr>
          <w:p>
            <w:pPr>
              <w:pStyle w:val="TableContents"/>
              <w:bidi w:val="0"/>
              <w:spacing w:before="0" w:after="283"/>
              <w:ind w:left="0" w:right="0" w:firstLine="360"/>
              <w:jc w:val="left"/>
              <w:rPr>
                <w:rFonts w:ascii="Arial" w:hAnsi="Arial"/>
                <w:b/>
                <w:i w:val="false"/>
                <w:caps w:val="false"/>
                <w:smallCaps w:val="false"/>
                <w:color w:val="FFFFFF"/>
                <w:sz w:val="20"/>
              </w:rPr>
            </w:pPr>
            <w:r>
              <w:rPr>
                <w:rFonts w:ascii="Arial" w:hAnsi="Arial"/>
                <w:b/>
                <w:i w:val="false"/>
                <w:caps w:val="false"/>
                <w:smallCaps w:val="false"/>
                <w:color w:val="FFFFFF"/>
                <w:sz w:val="20"/>
              </w:rPr>
              <w:t>Company</w:t>
            </w:r>
          </w:p>
        </w:tc>
        <w:tc>
          <w:tcPr>
            <w:tcW w:w="2360" w:type="dxa"/>
            <w:gridSpan w:val="2"/>
            <w:tcBorders>
              <w:top w:val="single" w:sz="8" w:space="0" w:color="000000"/>
              <w:left w:val="single" w:sz="8" w:space="0" w:color="000000"/>
              <w:bottom w:val="single" w:sz="8" w:space="0" w:color="000000"/>
            </w:tcBorders>
            <w:shd w:fill="2AD2C9" w:val="cle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Direct and Indirect Loans</w:t>
            </w:r>
          </w:p>
        </w:tc>
        <w:tc>
          <w:tcPr>
            <w:tcW w:w="1025" w:type="dxa"/>
            <w:gridSpan w:val="2"/>
            <w:tcBorders>
              <w:top w:val="single" w:sz="8" w:space="0" w:color="000000"/>
              <w:left w:val="single" w:sz="8" w:space="0" w:color="000000"/>
              <w:bottom w:val="single" w:sz="8" w:space="0" w:color="000000"/>
            </w:tcBorders>
            <w:shd w:fill="2AD2C9" w:val="cle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Provisions</w:t>
            </w:r>
          </w:p>
        </w:tc>
        <w:tc>
          <w:tcPr>
            <w:tcW w:w="1630" w:type="dxa"/>
            <w:gridSpan w:val="2"/>
            <w:tcBorders>
              <w:top w:val="single" w:sz="8" w:space="0" w:color="000000"/>
              <w:left w:val="single" w:sz="8" w:space="0" w:color="000000"/>
              <w:bottom w:val="single" w:sz="8" w:space="0" w:color="000000"/>
              <w:right w:val="single" w:sz="8" w:space="0" w:color="000000"/>
            </w:tcBorders>
            <w:shd w:fill="2AD2C9" w:val="clear"/>
            <w:tcMar>
              <w:right w:w="70" w:type="dxa"/>
            </w:tcM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Coverage Ratio</w:t>
            </w:r>
          </w:p>
        </w:tc>
      </w:tr>
      <w:tr>
        <w:trPr/>
        <w:tc>
          <w:tcPr>
            <w:tcW w:w="1670" w:type="dxa"/>
            <w:vMerge w:val="continue"/>
            <w:tcBorders>
              <w:top w:val="single" w:sz="8" w:space="0" w:color="000000"/>
              <w:left w:val="single" w:sz="8" w:space="0" w:color="000000"/>
              <w:bottom w:val="single" w:sz="8" w:space="0" w:color="000000"/>
            </w:tcBorders>
            <w:shd w:fill="2AD2C9" w:val="clear"/>
            <w:vAlign w:val="center"/>
          </w:tcPr>
          <w:p>
            <w:pPr>
              <w:pStyle w:val="Normal"/>
              <w:bidi w:val="0"/>
              <w:jc w:val="left"/>
              <w:rPr/>
            </w:pPr>
            <w:r>
              <w:rPr/>
            </w:r>
          </w:p>
        </w:tc>
        <w:tc>
          <w:tcPr>
            <w:tcW w:w="1180" w:type="dxa"/>
            <w:tcBorders>
              <w:left w:val="single" w:sz="8" w:space="0" w:color="000000"/>
              <w:bottom w:val="single" w:sz="8" w:space="0" w:color="000000"/>
            </w:tcBorders>
            <w:shd w:fill="2AD2C9" w:val="clear"/>
            <w:tcMar>
              <w:top w:w="0" w:type="dxa"/>
            </w:tcM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2022</w:t>
            </w:r>
          </w:p>
        </w:tc>
        <w:tc>
          <w:tcPr>
            <w:tcW w:w="1180" w:type="dxa"/>
            <w:tcBorders>
              <w:left w:val="single" w:sz="8" w:space="0" w:color="000000"/>
              <w:bottom w:val="single" w:sz="8" w:space="0" w:color="000000"/>
            </w:tcBorders>
            <w:shd w:fill="2AD2C9" w:val="clear"/>
            <w:tcMar>
              <w:top w:w="0" w:type="dxa"/>
            </w:tcM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2023</w:t>
            </w:r>
          </w:p>
        </w:tc>
        <w:tc>
          <w:tcPr>
            <w:tcW w:w="512" w:type="dxa"/>
            <w:tcBorders>
              <w:left w:val="single" w:sz="8" w:space="0" w:color="000000"/>
              <w:bottom w:val="single" w:sz="8" w:space="0" w:color="000000"/>
            </w:tcBorders>
            <w:shd w:fill="2AD2C9" w:val="clear"/>
            <w:tcMar>
              <w:top w:w="0" w:type="dxa"/>
            </w:tcM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2022</w:t>
            </w:r>
          </w:p>
        </w:tc>
        <w:tc>
          <w:tcPr>
            <w:tcW w:w="513" w:type="dxa"/>
            <w:tcBorders>
              <w:left w:val="single" w:sz="8" w:space="0" w:color="000000"/>
              <w:bottom w:val="single" w:sz="8" w:space="0" w:color="000000"/>
            </w:tcBorders>
            <w:shd w:fill="2AD2C9" w:val="clear"/>
            <w:tcMar>
              <w:top w:w="0" w:type="dxa"/>
            </w:tcM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2023</w:t>
            </w:r>
          </w:p>
        </w:tc>
        <w:tc>
          <w:tcPr>
            <w:tcW w:w="575" w:type="dxa"/>
            <w:tcBorders>
              <w:left w:val="single" w:sz="8" w:space="0" w:color="000000"/>
              <w:bottom w:val="single" w:sz="8" w:space="0" w:color="000000"/>
            </w:tcBorders>
            <w:shd w:fill="2AD2C9" w:val="clear"/>
            <w:tcMar>
              <w:top w:w="0" w:type="dxa"/>
            </w:tcM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2022</w:t>
            </w:r>
          </w:p>
        </w:tc>
        <w:tc>
          <w:tcPr>
            <w:tcW w:w="1055" w:type="dxa"/>
            <w:tcBorders>
              <w:left w:val="single" w:sz="8" w:space="0" w:color="000000"/>
              <w:bottom w:val="single" w:sz="8" w:space="0" w:color="000000"/>
              <w:right w:val="single" w:sz="8" w:space="0" w:color="000000"/>
            </w:tcBorders>
            <w:shd w:fill="2AD2C9" w:val="clear"/>
            <w:tcMar>
              <w:top w:w="0" w:type="dxa"/>
              <w:right w:w="70" w:type="dxa"/>
            </w:tcMar>
            <w:vAlign w:val="center"/>
          </w:tcPr>
          <w:p>
            <w:pPr>
              <w:pStyle w:val="TableContents"/>
              <w:bidi w:val="0"/>
              <w:spacing w:before="0" w:after="283"/>
              <w:ind w:left="0" w:right="0" w:firstLine="360"/>
              <w:jc w:val="center"/>
              <w:rPr>
                <w:rFonts w:ascii="Arial" w:hAnsi="Arial"/>
                <w:b/>
                <w:i w:val="false"/>
                <w:caps w:val="false"/>
                <w:smallCaps w:val="false"/>
                <w:color w:val="FFFFFF"/>
                <w:sz w:val="20"/>
              </w:rPr>
            </w:pPr>
            <w:r>
              <w:rPr>
                <w:rFonts w:ascii="Arial" w:hAnsi="Arial"/>
                <w:b/>
                <w:i w:val="false"/>
                <w:caps w:val="false"/>
                <w:smallCaps w:val="false"/>
                <w:color w:val="FFFFFF"/>
                <w:sz w:val="20"/>
              </w:rPr>
              <w:t>2023</w:t>
            </w:r>
          </w:p>
        </w:tc>
      </w:tr>
      <w:tr>
        <w:trPr/>
        <w:tc>
          <w:tcPr>
            <w:tcW w:w="1670"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BCP and branches</w:t>
            </w:r>
          </w:p>
        </w:tc>
        <w:tc>
          <w:tcPr>
            <w:tcW w:w="1180"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140,215</w:t>
            </w:r>
          </w:p>
        </w:tc>
        <w:tc>
          <w:tcPr>
            <w:tcW w:w="1180"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136,437</w:t>
            </w:r>
          </w:p>
        </w:tc>
        <w:tc>
          <w:tcPr>
            <w:tcW w:w="512"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7,026</w:t>
            </w:r>
          </w:p>
        </w:tc>
        <w:tc>
          <w:tcPr>
            <w:tcW w:w="513"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7,102</w:t>
            </w:r>
          </w:p>
        </w:tc>
        <w:tc>
          <w:tcPr>
            <w:tcW w:w="575"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5.01%</w:t>
            </w:r>
          </w:p>
        </w:tc>
        <w:tc>
          <w:tcPr>
            <w:tcW w:w="1055" w:type="dxa"/>
            <w:tcBorders>
              <w:left w:val="single" w:sz="8" w:space="0" w:color="000000"/>
              <w:bottom w:val="single" w:sz="8" w:space="0" w:color="000000"/>
              <w:right w:val="single" w:sz="8" w:space="0" w:color="000000"/>
            </w:tcBorders>
            <w:tcMar>
              <w:top w:w="0" w:type="dxa"/>
              <w:right w:w="70" w:type="dxa"/>
            </w:tcMar>
            <w:vAlign w:val="center"/>
          </w:tcPr>
          <w:p>
            <w:pPr>
              <w:pStyle w:val="TableContents"/>
              <w:bidi w:val="0"/>
              <w:spacing w:before="0" w:after="283"/>
              <w:ind w:left="0" w:right="0" w:firstLine="360"/>
              <w:jc w:val="center"/>
              <w:rPr>
                <w:rFonts w:ascii="Arial" w:hAnsi="Arial"/>
                <w:b w:val="false"/>
                <w:i w:val="false"/>
                <w:caps w:val="false"/>
                <w:smallCaps w:val="false"/>
                <w:sz w:val="20"/>
              </w:rPr>
            </w:pPr>
            <w:r>
              <w:rPr>
                <w:rFonts w:ascii="Arial" w:hAnsi="Arial"/>
                <w:b w:val="false"/>
                <w:i w:val="false"/>
                <w:caps w:val="false"/>
                <w:smallCaps w:val="false"/>
                <w:sz w:val="20"/>
              </w:rPr>
              <w:t>5.21%</w:t>
            </w:r>
          </w:p>
        </w:tc>
      </w:tr>
      <w:tr>
        <w:trPr/>
        <w:tc>
          <w:tcPr>
            <w:tcW w:w="1670"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Mibanco</w:t>
            </w:r>
          </w:p>
        </w:tc>
        <w:tc>
          <w:tcPr>
            <w:tcW w:w="1180"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13,966</w:t>
            </w:r>
          </w:p>
        </w:tc>
        <w:tc>
          <w:tcPr>
            <w:tcW w:w="1180"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13,165</w:t>
            </w:r>
          </w:p>
        </w:tc>
        <w:tc>
          <w:tcPr>
            <w:tcW w:w="512"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998</w:t>
            </w:r>
          </w:p>
        </w:tc>
        <w:tc>
          <w:tcPr>
            <w:tcW w:w="513"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1,003</w:t>
            </w:r>
          </w:p>
        </w:tc>
        <w:tc>
          <w:tcPr>
            <w:tcW w:w="575"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7.15%</w:t>
            </w:r>
          </w:p>
        </w:tc>
        <w:tc>
          <w:tcPr>
            <w:tcW w:w="1055" w:type="dxa"/>
            <w:tcBorders>
              <w:left w:val="single" w:sz="8" w:space="0" w:color="000000"/>
              <w:bottom w:val="single" w:sz="8" w:space="0" w:color="000000"/>
              <w:right w:val="single" w:sz="8" w:space="0" w:color="000000"/>
            </w:tcBorders>
            <w:tcMar>
              <w:top w:w="0" w:type="dxa"/>
              <w:right w:w="70" w:type="dxa"/>
            </w:tcMar>
            <w:vAlign w:val="center"/>
          </w:tcPr>
          <w:p>
            <w:pPr>
              <w:pStyle w:val="TableContents"/>
              <w:bidi w:val="0"/>
              <w:spacing w:before="0" w:after="283"/>
              <w:ind w:left="0" w:right="0" w:firstLine="360"/>
              <w:jc w:val="center"/>
              <w:rPr>
                <w:rFonts w:ascii="Arial" w:hAnsi="Arial"/>
                <w:b w:val="false"/>
                <w:i w:val="false"/>
                <w:caps w:val="false"/>
                <w:smallCaps w:val="false"/>
                <w:sz w:val="20"/>
              </w:rPr>
            </w:pPr>
            <w:r>
              <w:rPr>
                <w:rFonts w:ascii="Arial" w:hAnsi="Arial"/>
                <w:b w:val="false"/>
                <w:i w:val="false"/>
                <w:caps w:val="false"/>
                <w:smallCaps w:val="false"/>
                <w:sz w:val="20"/>
              </w:rPr>
              <w:t>7.62%</w:t>
            </w:r>
          </w:p>
        </w:tc>
      </w:tr>
      <w:tr>
        <w:trPr/>
        <w:tc>
          <w:tcPr>
            <w:tcW w:w="1670"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BCP Bolivia</w:t>
            </w:r>
          </w:p>
        </w:tc>
        <w:tc>
          <w:tcPr>
            <w:tcW w:w="1180"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10,274</w:t>
            </w:r>
          </w:p>
        </w:tc>
        <w:tc>
          <w:tcPr>
            <w:tcW w:w="1180"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10,037</w:t>
            </w:r>
          </w:p>
        </w:tc>
        <w:tc>
          <w:tcPr>
            <w:tcW w:w="512"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433</w:t>
            </w:r>
          </w:p>
        </w:tc>
        <w:tc>
          <w:tcPr>
            <w:tcW w:w="513"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383</w:t>
            </w:r>
          </w:p>
        </w:tc>
        <w:tc>
          <w:tcPr>
            <w:tcW w:w="575"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4.21%</w:t>
            </w:r>
          </w:p>
        </w:tc>
        <w:tc>
          <w:tcPr>
            <w:tcW w:w="1055" w:type="dxa"/>
            <w:tcBorders>
              <w:left w:val="single" w:sz="8" w:space="0" w:color="000000"/>
              <w:bottom w:val="single" w:sz="8" w:space="0" w:color="000000"/>
              <w:right w:val="single" w:sz="8" w:space="0" w:color="000000"/>
            </w:tcBorders>
            <w:tcMar>
              <w:top w:w="0" w:type="dxa"/>
              <w:right w:w="70" w:type="dxa"/>
            </w:tcMar>
            <w:vAlign w:val="center"/>
          </w:tcPr>
          <w:p>
            <w:pPr>
              <w:pStyle w:val="TableContents"/>
              <w:bidi w:val="0"/>
              <w:spacing w:before="0" w:after="283"/>
              <w:ind w:left="0" w:right="0" w:firstLine="360"/>
              <w:jc w:val="center"/>
              <w:rPr>
                <w:rFonts w:ascii="Arial" w:hAnsi="Arial"/>
                <w:b w:val="false"/>
                <w:i w:val="false"/>
                <w:caps w:val="false"/>
                <w:smallCaps w:val="false"/>
                <w:sz w:val="20"/>
              </w:rPr>
            </w:pPr>
            <w:r>
              <w:rPr>
                <w:rFonts w:ascii="Arial" w:hAnsi="Arial"/>
                <w:b w:val="false"/>
                <w:i w:val="false"/>
                <w:caps w:val="false"/>
                <w:smallCaps w:val="false"/>
                <w:sz w:val="20"/>
              </w:rPr>
              <w:t>3.82%</w:t>
            </w:r>
          </w:p>
        </w:tc>
      </w:tr>
      <w:tr>
        <w:trPr/>
        <w:tc>
          <w:tcPr>
            <w:tcW w:w="1670"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ASB</w:t>
            </w:r>
          </w:p>
        </w:tc>
        <w:tc>
          <w:tcPr>
            <w:tcW w:w="1180"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2,362</w:t>
            </w:r>
          </w:p>
        </w:tc>
        <w:tc>
          <w:tcPr>
            <w:tcW w:w="1180"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2,067</w:t>
            </w:r>
          </w:p>
        </w:tc>
        <w:tc>
          <w:tcPr>
            <w:tcW w:w="512"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0</w:t>
            </w:r>
          </w:p>
        </w:tc>
        <w:tc>
          <w:tcPr>
            <w:tcW w:w="513"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0</w:t>
            </w:r>
          </w:p>
        </w:tc>
        <w:tc>
          <w:tcPr>
            <w:tcW w:w="575"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0.00%</w:t>
            </w:r>
          </w:p>
        </w:tc>
        <w:tc>
          <w:tcPr>
            <w:tcW w:w="1055" w:type="dxa"/>
            <w:tcBorders>
              <w:left w:val="single" w:sz="8" w:space="0" w:color="000000"/>
              <w:bottom w:val="single" w:sz="8" w:space="0" w:color="000000"/>
              <w:right w:val="single" w:sz="8" w:space="0" w:color="000000"/>
            </w:tcBorders>
            <w:tcMar>
              <w:top w:w="0" w:type="dxa"/>
              <w:right w:w="70" w:type="dxa"/>
            </w:tcMar>
            <w:vAlign w:val="center"/>
          </w:tcPr>
          <w:p>
            <w:pPr>
              <w:pStyle w:val="TableContents"/>
              <w:bidi w:val="0"/>
              <w:spacing w:before="0" w:after="283"/>
              <w:ind w:left="0" w:right="0" w:firstLine="360"/>
              <w:jc w:val="center"/>
              <w:rPr>
                <w:rFonts w:ascii="Arial" w:hAnsi="Arial"/>
                <w:b w:val="false"/>
                <w:i w:val="false"/>
                <w:caps w:val="false"/>
                <w:smallCaps w:val="false"/>
                <w:sz w:val="20"/>
              </w:rPr>
            </w:pPr>
            <w:r>
              <w:rPr>
                <w:rFonts w:ascii="Arial" w:hAnsi="Arial"/>
                <w:b w:val="false"/>
                <w:i w:val="false"/>
                <w:caps w:val="false"/>
                <w:smallCaps w:val="false"/>
                <w:sz w:val="20"/>
              </w:rPr>
              <w:t>0.00%</w:t>
            </w:r>
          </w:p>
        </w:tc>
      </w:tr>
      <w:tr>
        <w:trPr/>
        <w:tc>
          <w:tcPr>
            <w:tcW w:w="1670"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Mibanco Colombia</w:t>
            </w:r>
          </w:p>
        </w:tc>
        <w:tc>
          <w:tcPr>
            <w:tcW w:w="1180"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1,205</w:t>
            </w:r>
          </w:p>
        </w:tc>
        <w:tc>
          <w:tcPr>
            <w:tcW w:w="1180"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1,704</w:t>
            </w:r>
          </w:p>
        </w:tc>
        <w:tc>
          <w:tcPr>
            <w:tcW w:w="512"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66</w:t>
            </w:r>
          </w:p>
        </w:tc>
        <w:tc>
          <w:tcPr>
            <w:tcW w:w="513"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139</w:t>
            </w:r>
          </w:p>
        </w:tc>
        <w:tc>
          <w:tcPr>
            <w:tcW w:w="575"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5.48%</w:t>
            </w:r>
          </w:p>
        </w:tc>
        <w:tc>
          <w:tcPr>
            <w:tcW w:w="1055" w:type="dxa"/>
            <w:tcBorders>
              <w:left w:val="single" w:sz="8" w:space="0" w:color="000000"/>
              <w:bottom w:val="single" w:sz="8" w:space="0" w:color="000000"/>
              <w:right w:val="single" w:sz="8" w:space="0" w:color="000000"/>
            </w:tcBorders>
            <w:tcMar>
              <w:top w:w="0" w:type="dxa"/>
              <w:right w:w="70" w:type="dxa"/>
            </w:tcMar>
            <w:vAlign w:val="center"/>
          </w:tcPr>
          <w:p>
            <w:pPr>
              <w:pStyle w:val="TableContents"/>
              <w:bidi w:val="0"/>
              <w:spacing w:before="0" w:after="283"/>
              <w:ind w:left="0" w:right="0" w:firstLine="360"/>
              <w:jc w:val="center"/>
              <w:rPr>
                <w:rFonts w:ascii="Arial" w:hAnsi="Arial"/>
                <w:b w:val="false"/>
                <w:i w:val="false"/>
                <w:caps w:val="false"/>
                <w:smallCaps w:val="false"/>
                <w:sz w:val="20"/>
              </w:rPr>
            </w:pPr>
            <w:r>
              <w:rPr>
                <w:rFonts w:ascii="Arial" w:hAnsi="Arial"/>
                <w:b w:val="false"/>
                <w:i w:val="false"/>
                <w:caps w:val="false"/>
                <w:smallCaps w:val="false"/>
                <w:sz w:val="20"/>
              </w:rPr>
              <w:t>8.16%</w:t>
            </w:r>
          </w:p>
        </w:tc>
      </w:tr>
      <w:tr>
        <w:trPr/>
        <w:tc>
          <w:tcPr>
            <w:tcW w:w="1670"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Others</w:t>
            </w:r>
          </w:p>
        </w:tc>
        <w:tc>
          <w:tcPr>
            <w:tcW w:w="1180"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96</w:t>
            </w:r>
          </w:p>
        </w:tc>
        <w:tc>
          <w:tcPr>
            <w:tcW w:w="1180"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125</w:t>
            </w:r>
          </w:p>
        </w:tc>
        <w:tc>
          <w:tcPr>
            <w:tcW w:w="512"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8</w:t>
            </w:r>
          </w:p>
        </w:tc>
        <w:tc>
          <w:tcPr>
            <w:tcW w:w="513"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19</w:t>
            </w:r>
          </w:p>
        </w:tc>
        <w:tc>
          <w:tcPr>
            <w:tcW w:w="575"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8.33%</w:t>
            </w:r>
          </w:p>
        </w:tc>
        <w:tc>
          <w:tcPr>
            <w:tcW w:w="1055" w:type="dxa"/>
            <w:tcBorders>
              <w:left w:val="single" w:sz="8" w:space="0" w:color="000000"/>
              <w:bottom w:val="single" w:sz="8" w:space="0" w:color="000000"/>
              <w:right w:val="single" w:sz="8" w:space="0" w:color="000000"/>
            </w:tcBorders>
            <w:tcMar>
              <w:top w:w="0" w:type="dxa"/>
              <w:right w:w="70" w:type="dxa"/>
            </w:tcMar>
            <w:vAlign w:val="center"/>
          </w:tcPr>
          <w:p>
            <w:pPr>
              <w:pStyle w:val="TableContents"/>
              <w:bidi w:val="0"/>
              <w:spacing w:before="0" w:after="283"/>
              <w:ind w:left="0" w:right="0" w:firstLine="360"/>
              <w:jc w:val="center"/>
              <w:rPr>
                <w:rFonts w:ascii="Arial" w:hAnsi="Arial"/>
                <w:b w:val="false"/>
                <w:i w:val="false"/>
                <w:caps w:val="false"/>
                <w:smallCaps w:val="false"/>
                <w:sz w:val="20"/>
              </w:rPr>
            </w:pPr>
            <w:r>
              <w:rPr>
                <w:rFonts w:ascii="Arial" w:hAnsi="Arial"/>
                <w:b w:val="false"/>
                <w:i w:val="false"/>
                <w:caps w:val="false"/>
                <w:smallCaps w:val="false"/>
                <w:sz w:val="20"/>
              </w:rPr>
              <w:t>15.20%</w:t>
            </w:r>
          </w:p>
        </w:tc>
      </w:tr>
      <w:tr>
        <w:trPr/>
        <w:tc>
          <w:tcPr>
            <w:tcW w:w="1670" w:type="dxa"/>
            <w:tcBorders>
              <w:left w:val="single" w:sz="8" w:space="0" w:color="000000"/>
              <w:bottom w:val="single" w:sz="8" w:space="0" w:color="000000"/>
            </w:tcBorders>
            <w:shd w:fill="26D07C" w:val="clear"/>
            <w:tcMar>
              <w:top w:w="0"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Total</w:t>
            </w:r>
          </w:p>
        </w:tc>
        <w:tc>
          <w:tcPr>
            <w:tcW w:w="1180" w:type="dxa"/>
            <w:tcBorders>
              <w:left w:val="single" w:sz="8" w:space="0" w:color="000000"/>
              <w:bottom w:val="single" w:sz="8" w:space="0" w:color="000000"/>
            </w:tcBorders>
            <w:shd w:fill="26D07C" w:val="clear"/>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168,118</w:t>
            </w:r>
          </w:p>
        </w:tc>
        <w:tc>
          <w:tcPr>
            <w:tcW w:w="1180" w:type="dxa"/>
            <w:tcBorders>
              <w:left w:val="single" w:sz="8" w:space="0" w:color="000000"/>
              <w:bottom w:val="single" w:sz="8" w:space="0" w:color="000000"/>
            </w:tcBorders>
            <w:shd w:fill="26D07C" w:val="clear"/>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163,535</w:t>
            </w:r>
          </w:p>
        </w:tc>
        <w:tc>
          <w:tcPr>
            <w:tcW w:w="512" w:type="dxa"/>
            <w:tcBorders>
              <w:left w:val="single" w:sz="8" w:space="0" w:color="000000"/>
              <w:bottom w:val="single" w:sz="8" w:space="0" w:color="000000"/>
            </w:tcBorders>
            <w:shd w:fill="26D07C" w:val="clear"/>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8,531</w:t>
            </w:r>
          </w:p>
        </w:tc>
        <w:tc>
          <w:tcPr>
            <w:tcW w:w="513" w:type="dxa"/>
            <w:tcBorders>
              <w:left w:val="single" w:sz="8" w:space="0" w:color="000000"/>
              <w:bottom w:val="single" w:sz="8" w:space="0" w:color="000000"/>
            </w:tcBorders>
            <w:shd w:fill="26D07C" w:val="clear"/>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8,646</w:t>
            </w:r>
          </w:p>
        </w:tc>
        <w:tc>
          <w:tcPr>
            <w:tcW w:w="575" w:type="dxa"/>
            <w:tcBorders>
              <w:left w:val="single" w:sz="8" w:space="0" w:color="000000"/>
              <w:bottom w:val="single" w:sz="8" w:space="0" w:color="000000"/>
            </w:tcBorders>
            <w:shd w:fill="26D07C" w:val="clear"/>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5.07%</w:t>
            </w:r>
          </w:p>
        </w:tc>
        <w:tc>
          <w:tcPr>
            <w:tcW w:w="1055" w:type="dxa"/>
            <w:tcBorders>
              <w:left w:val="single" w:sz="8" w:space="0" w:color="000000"/>
              <w:bottom w:val="single" w:sz="8" w:space="0" w:color="000000"/>
              <w:right w:val="single" w:sz="8" w:space="0" w:color="000000"/>
            </w:tcBorders>
            <w:shd w:fill="26D07C" w:val="clear"/>
            <w:tcMar>
              <w:top w:w="0" w:type="dxa"/>
              <w:right w:w="70" w:type="dxa"/>
            </w:tcMar>
            <w:vAlign w:val="center"/>
          </w:tcPr>
          <w:p>
            <w:pPr>
              <w:pStyle w:val="TableContents"/>
              <w:bidi w:val="0"/>
              <w:spacing w:before="0" w:after="283"/>
              <w:ind w:left="0" w:right="0" w:firstLine="360"/>
              <w:jc w:val="center"/>
              <w:rPr>
                <w:rFonts w:ascii="Arial" w:hAnsi="Arial"/>
                <w:b w:val="false"/>
                <w:i w:val="false"/>
                <w:caps w:val="false"/>
                <w:smallCaps w:val="false"/>
                <w:sz w:val="20"/>
              </w:rPr>
            </w:pPr>
            <w:r>
              <w:rPr>
                <w:rFonts w:ascii="Arial" w:hAnsi="Arial"/>
                <w:b w:val="false"/>
                <w:i w:val="false"/>
                <w:caps w:val="false"/>
                <w:smallCaps w:val="false"/>
                <w:sz w:val="20"/>
              </w:rPr>
              <w:t>5.29%</w:t>
            </w:r>
          </w:p>
        </w:tc>
      </w:tr>
      <w:tr>
        <w:trPr/>
        <w:tc>
          <w:tcPr>
            <w:tcW w:w="6685" w:type="dxa"/>
            <w:gridSpan w:val="7"/>
            <w:tcBorders/>
            <w:tcMar>
              <w:top w:w="0" w:type="dxa"/>
              <w:left w:w="0" w:type="dxa"/>
              <w:bottom w:w="0" w:type="dxa"/>
            </w:tcMar>
            <w:vAlign w:val="center"/>
          </w:tcPr>
          <w:p>
            <w:pPr>
              <w:pStyle w:val="TableContents"/>
              <w:bidi w:val="0"/>
              <w:spacing w:before="0" w:after="283"/>
              <w:ind w:left="0" w:right="0" w:firstLine="360"/>
              <w:jc w:val="left"/>
              <w:rPr>
                <w:rFonts w:ascii="Arial" w:hAnsi="Arial"/>
                <w:b w:val="false"/>
                <w:i w:val="false"/>
                <w:caps w:val="false"/>
                <w:smallCaps w:val="false"/>
                <w:sz w:val="20"/>
              </w:rPr>
            </w:pPr>
            <w:r>
              <w:rPr>
                <w:rFonts w:ascii="Arial" w:hAnsi="Arial"/>
                <w:b w:val="false"/>
                <w:i w:val="false"/>
                <w:caps w:val="false"/>
                <w:smallCaps w:val="false"/>
                <w:sz w:val="20"/>
              </w:rPr>
              <w:t>Figures in S/. millions</w:t>
            </w:r>
          </w:p>
        </w:tc>
      </w:tr>
      <w:tr>
        <w:trPr/>
        <w:tc>
          <w:tcPr>
            <w:tcW w:w="6685" w:type="dxa"/>
            <w:gridSpan w:val="7"/>
            <w:tcBorders/>
            <w:tcMar>
              <w:top w:w="0" w:type="dxa"/>
              <w:left w:w="0" w:type="dxa"/>
              <w:bottom w:w="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Source: Corporate Accounting.</w:t>
            </w:r>
          </w:p>
        </w:tc>
      </w:tr>
    </w:tbl>
    <w:p>
      <w:pPr>
        <w:pStyle w:val="TextBody"/>
        <w:bidi w:val="0"/>
        <w:spacing w:before="0" w:after="0"/>
        <w:ind w:left="0" w:right="0" w:hanging="0"/>
        <w:jc w:val="both"/>
        <w:rPr>
          <w:caps w:val="false"/>
          <w:smallCaps w:val="false"/>
          <w:color w:val="7F7F7F"/>
        </w:rPr>
      </w:pPr>
      <w:r>
        <w:rPr>
          <w:caps w:val="false"/>
          <w:smallCaps w:val="false"/>
          <w:color w:val="7F7F7F"/>
        </w:rPr>
        <w:t> </w:t>
      </w:r>
    </w:p>
    <w:p>
      <w:pPr>
        <w:pStyle w:val="TextBody"/>
        <w:bidi w:val="0"/>
        <w:spacing w:before="0" w:after="0"/>
        <w:ind w:left="0" w:right="0" w:hanging="0"/>
        <w:jc w:val="both"/>
        <w:rPr>
          <w:rFonts w:ascii="Arial" w:hAnsi="Arial"/>
          <w:b/>
          <w:i w:val="false"/>
          <w:caps w:val="false"/>
          <w:smallCaps w:val="false"/>
          <w:color w:val="7F7F7F"/>
          <w:sz w:val="28"/>
        </w:rPr>
      </w:pPr>
      <w:r>
        <w:rPr>
          <w:rFonts w:ascii="Arial" w:hAnsi="Arial"/>
          <w:b/>
          <w:i w:val="false"/>
          <w:caps w:val="false"/>
          <w:smallCaps w:val="false"/>
          <w:color w:val="7F7F7F"/>
          <w:sz w:val="28"/>
        </w:rPr>
        <w:t>Credit Process</w:t>
      </w:r>
    </w:p>
    <w:p>
      <w:pPr>
        <w:pStyle w:val="TextBody"/>
        <w:bidi w:val="0"/>
        <w:spacing w:before="0" w:after="0"/>
        <w:ind w:left="0" w:right="0" w:hanging="0"/>
        <w:jc w:val="both"/>
        <w:rPr>
          <w:caps w:val="false"/>
          <w:smallCaps w:val="false"/>
          <w:color w:val="7F7F7F"/>
        </w:rPr>
      </w:pPr>
      <w:r>
        <w:rPr>
          <w:caps w:val="false"/>
          <w:smallCaps w:val="false"/>
          <w:color w:val="7F7F7F"/>
        </w:rPr>
        <w:t> </w:t>
      </w:r>
    </w:p>
    <w:tbl>
      <w:tblPr>
        <w:tblW w:w="2553" w:type="dxa"/>
        <w:jc w:val="left"/>
        <w:tblInd w:w="0" w:type="dxa"/>
        <w:tblLayout w:type="fixed"/>
        <w:tblCellMar>
          <w:top w:w="0" w:type="dxa"/>
          <w:left w:w="0" w:type="dxa"/>
          <w:bottom w:w="0" w:type="dxa"/>
          <w:right w:w="0" w:type="dxa"/>
        </w:tblCellMar>
      </w:tblPr>
      <w:tblGrid>
        <w:gridCol w:w="38"/>
        <w:gridCol w:w="275"/>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Arial" w:hAnsi="Arial"/>
                <w:b/>
                <w:i w:val="false"/>
                <w:caps w:val="false"/>
                <w:smallCaps w:val="false"/>
                <w:sz w:val="24"/>
              </w:rPr>
            </w:pPr>
            <w:r>
              <w:rPr>
                <w:rFonts w:ascii="Arial" w:hAnsi="Arial"/>
                <w:b/>
                <w:i w:val="false"/>
                <w:caps w:val="false"/>
                <w:smallCaps w:val="false"/>
                <w:sz w:val="24"/>
              </w:rPr>
              <w:t>A)</w:t>
            </w:r>
          </w:p>
        </w:tc>
        <w:tc>
          <w:tcPr>
            <w:tcW w:w="2240" w:type="dxa"/>
            <w:tcBorders/>
            <w:vAlign w:val="center"/>
          </w:tcPr>
          <w:p>
            <w:pPr>
              <w:pStyle w:val="TableContents"/>
              <w:bidi w:val="0"/>
              <w:spacing w:before="0" w:after="283"/>
              <w:jc w:val="both"/>
              <w:rPr>
                <w:rFonts w:ascii="Arial" w:hAnsi="Arial"/>
                <w:b/>
                <w:i w:val="false"/>
                <w:caps w:val="false"/>
                <w:smallCaps w:val="false"/>
                <w:sz w:val="24"/>
              </w:rPr>
            </w:pPr>
            <w:r>
              <w:rPr>
                <w:rFonts w:ascii="Arial" w:hAnsi="Arial"/>
                <w:b/>
                <w:i w:val="false"/>
                <w:caps w:val="false"/>
                <w:smallCaps w:val="false"/>
                <w:sz w:val="24"/>
              </w:rPr>
              <w:t>Wholesale Banking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Arial" w:hAnsi="Arial"/>
          <w:b/>
          <w:i w:val="false"/>
          <w:caps w:val="false"/>
          <w:smallCaps w:val="false"/>
          <w:color w:val="7F7F7F"/>
          <w:sz w:val="24"/>
        </w:rPr>
      </w:pPr>
      <w:r>
        <w:rPr>
          <w:rFonts w:ascii="Arial" w:hAnsi="Arial"/>
          <w:b/>
          <w:i w:val="false"/>
          <w:caps w:val="false"/>
          <w:smallCaps w:val="false"/>
          <w:color w:val="7F7F7F"/>
          <w:sz w:val="24"/>
        </w:rPr>
        <w:t>Acceptance:</w:t>
      </w:r>
    </w:p>
    <w:p>
      <w:pPr>
        <w:pStyle w:val="TextBody"/>
        <w:bidi w:val="0"/>
        <w:spacing w:before="0" w:after="0"/>
        <w:ind w:left="0" w:right="0" w:firstLine="360"/>
        <w:jc w:val="both"/>
        <w:rPr>
          <w:caps w:val="false"/>
          <w:smallCaps w:val="false"/>
          <w:color w:val="7F7F7F"/>
        </w:rPr>
      </w:pPr>
      <w:r>
        <w:rPr>
          <w:caps w:val="false"/>
          <w:smallCaps w:val="false"/>
          <w:color w:val="7F7F7F"/>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Group has policies to approve transactions that are subject to credit risk. These policies are based on conservative criteria, which are applied to common structures in each of the Group’s companies. Analysis focuses primarily on the client’s capacity to generate sufficient resources to reimburse the company, within the time frames stipulated in agreements, for the principal of the loan and its respective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Risk assessments are conducted periodically at the client or economic group levels. In particular, we analyze the client’s financial situation and payment capacity. Assessments are supported by standardized processes, which are inturn supported by rating models that calculate the probabilities of default to be used to approve credit lines and control portfolio quality.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2023, the Group took concrete action to improve the acceptance process across units. At BCP Wholesale Banking this year, a project to renew the technology utilized in loans processes continued; new services to activate credit lines were developed; and data on scores and financial statements were transferred to CLOUD environments. At BCP Bolivia, an application was implemented to assess guarantees for loans in the agriculture and livestock sector to pinpoint the georeferenced location of properties in rural areas and determine exposure in areas with high climate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 w:hAnsi="Arial"/>
          <w:b/>
          <w:i w:val="false"/>
          <w:caps w:val="false"/>
          <w:smallCaps w:val="false"/>
          <w:color w:val="7F7F7F"/>
          <w:sz w:val="24"/>
        </w:rPr>
      </w:pPr>
      <w:r>
        <w:rPr>
          <w:rFonts w:ascii="Arial" w:hAnsi="Arial"/>
          <w:b/>
          <w:i w:val="false"/>
          <w:caps w:val="false"/>
          <w:smallCaps w:val="false"/>
          <w:color w:val="7F7F7F"/>
          <w:sz w:val="24"/>
        </w:rPr>
        <w:t>Follow-up:</w:t>
      </w:r>
    </w:p>
    <w:p>
      <w:pPr>
        <w:pStyle w:val="TextBody"/>
        <w:bidi w:val="0"/>
        <w:spacing w:before="0" w:after="0"/>
        <w:ind w:left="0" w:right="0" w:firstLine="360"/>
        <w:jc w:val="both"/>
        <w:rPr>
          <w:caps w:val="false"/>
          <w:smallCaps w:val="false"/>
          <w:color w:val="7F7F7F"/>
        </w:rPr>
      </w:pPr>
      <w:r>
        <w:rPr>
          <w:caps w:val="false"/>
          <w:smallCaps w:val="false"/>
          <w:color w:val="7F7F7F"/>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follow-up process seeks to maintain adequate portfolio quality, which entails assigning levels of loan deterioration and implementing the corresponding corrective actions. To maintain an adequate level of portfolio risk, the Group uses an early alert system to quickly identify changes in client risks. Information from this system is used to assign levels of deterioration and take corrective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color w:val="000000"/>
          <w:sz w:val="20"/>
        </w:rPr>
        <w:t>42</w:t>
      </w:r>
      <w:r>
        <w:rPr>
          <w:rFonts w:ascii="Arial" w:hAnsi="Arial"/>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2023, the Group implemented a monitoring scheme in Wholesale Banking to keep a watchful eye on economic sectors and clients that may be impacted by the El Niño Phenomenon. Specific guidelines were set up to manage this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Progress on the follow-up front at BCP also included adding sustainable activities (under an environmental focus) to the taxonomy used to grant loans for specific economic sectors. At BCP Bolivia, in turn, a drop in Net International Reserves led to restrictions on access to foreign currency; to determine the magnitude of this risk, steps were taken to segment the portfolio by degree of potential impact.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 w:hAnsi="Arial"/>
          <w:b/>
          <w:i w:val="false"/>
          <w:caps w:val="false"/>
          <w:smallCaps w:val="false"/>
          <w:color w:val="7F7F7F"/>
          <w:sz w:val="24"/>
        </w:rPr>
      </w:pPr>
      <w:r>
        <w:rPr>
          <w:rFonts w:ascii="Arial" w:hAnsi="Arial"/>
          <w:b/>
          <w:i w:val="false"/>
          <w:caps w:val="false"/>
          <w:smallCaps w:val="false"/>
          <w:color w:val="7F7F7F"/>
          <w:sz w:val="24"/>
        </w:rPr>
        <w:t>Recovery:</w:t>
      </w:r>
    </w:p>
    <w:p>
      <w:pPr>
        <w:pStyle w:val="TextBody"/>
        <w:bidi w:val="0"/>
        <w:spacing w:before="0" w:after="0"/>
        <w:ind w:left="0" w:right="0" w:firstLine="360"/>
        <w:jc w:val="both"/>
        <w:rPr>
          <w:caps w:val="false"/>
          <w:smallCaps w:val="false"/>
          <w:color w:val="7F7F7F"/>
        </w:rPr>
      </w:pPr>
      <w:r>
        <w:rPr>
          <w:caps w:val="false"/>
          <w:smallCaps w:val="false"/>
          <w:color w:val="7F7F7F"/>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main objective of the recovery process is to normalize clients’ situations. If this is not possible, we opt to maximize debt recovery. Along these lines, we have worked on improving processes to provide more personalized services to our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To meet our objective, the companies in the Group restructure the payment conditions for clients that are experiencing economic deterioration. Additionally, legal processes are executed to recover guarantees and processes to recover overdue loans or negotiations to execute the sale of corresponding guarantees or dations in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2023, improvements were made in Wholesale Banking and Retail Banking to better manage internal recovery processes relative to written-off and/or judicial recovery loans that were 100% provisioned and to sell adjudicated properties.</w:t>
      </w:r>
    </w:p>
    <w:p>
      <w:pPr>
        <w:pStyle w:val="TextBody"/>
        <w:bidi w:val="0"/>
        <w:spacing w:before="0" w:after="0"/>
        <w:ind w:left="0" w:right="0" w:hanging="0"/>
        <w:jc w:val="both"/>
        <w:rPr>
          <w:caps w:val="false"/>
          <w:smallCaps w:val="false"/>
        </w:rPr>
      </w:pPr>
      <w:r>
        <w:rPr>
          <w:caps w:val="false"/>
          <w:smallCaps w:val="false"/>
        </w:rPr>
        <w:t> </w:t>
      </w:r>
    </w:p>
    <w:tbl>
      <w:tblPr>
        <w:tblW w:w="4908" w:type="dxa"/>
        <w:jc w:val="left"/>
        <w:tblInd w:w="0" w:type="dxa"/>
        <w:tblLayout w:type="fixed"/>
        <w:tblCellMar>
          <w:top w:w="0" w:type="dxa"/>
          <w:left w:w="0" w:type="dxa"/>
          <w:bottom w:w="0" w:type="dxa"/>
          <w:right w:w="0" w:type="dxa"/>
        </w:tblCellMar>
      </w:tblPr>
      <w:tblGrid>
        <w:gridCol w:w="38"/>
        <w:gridCol w:w="275"/>
        <w:gridCol w:w="45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Arial" w:hAnsi="Arial"/>
                <w:b/>
                <w:i w:val="false"/>
                <w:caps w:val="false"/>
                <w:smallCaps w:val="false"/>
                <w:sz w:val="24"/>
              </w:rPr>
            </w:pPr>
            <w:r>
              <w:rPr>
                <w:rFonts w:ascii="Arial" w:hAnsi="Arial"/>
                <w:b/>
                <w:i w:val="false"/>
                <w:caps w:val="false"/>
                <w:smallCaps w:val="false"/>
                <w:sz w:val="24"/>
              </w:rPr>
              <w:t>B)</w:t>
            </w:r>
          </w:p>
        </w:tc>
        <w:tc>
          <w:tcPr>
            <w:tcW w:w="4595" w:type="dxa"/>
            <w:tcBorders/>
            <w:vAlign w:val="center"/>
          </w:tcPr>
          <w:p>
            <w:pPr>
              <w:pStyle w:val="TableContents"/>
              <w:bidi w:val="0"/>
              <w:spacing w:before="0" w:after="283"/>
              <w:jc w:val="both"/>
              <w:rPr>
                <w:rFonts w:ascii="Arial" w:hAnsi="Arial"/>
                <w:b/>
                <w:i w:val="false"/>
                <w:caps w:val="false"/>
                <w:smallCaps w:val="false"/>
                <w:sz w:val="24"/>
              </w:rPr>
            </w:pPr>
            <w:r>
              <w:rPr>
                <w:rFonts w:ascii="Arial" w:hAnsi="Arial"/>
                <w:b/>
                <w:i w:val="false"/>
                <w:caps w:val="false"/>
                <w:smallCaps w:val="false"/>
                <w:sz w:val="24"/>
              </w:rPr>
              <w:t>SME- Business and Individuals Banking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Arial" w:hAnsi="Arial"/>
          <w:b/>
          <w:i w:val="false"/>
          <w:caps w:val="false"/>
          <w:smallCaps w:val="false"/>
          <w:color w:val="7F7F7F"/>
          <w:sz w:val="24"/>
        </w:rPr>
      </w:pPr>
      <w:r>
        <w:rPr>
          <w:rFonts w:ascii="Arial" w:hAnsi="Arial"/>
          <w:b/>
          <w:i w:val="false"/>
          <w:caps w:val="false"/>
          <w:smallCaps w:val="false"/>
          <w:color w:val="7F7F7F"/>
          <w:sz w:val="24"/>
        </w:rPr>
        <w:t>Acceptance:</w:t>
      </w:r>
    </w:p>
    <w:p>
      <w:pPr>
        <w:pStyle w:val="TextBody"/>
        <w:bidi w:val="0"/>
        <w:spacing w:before="0" w:after="0"/>
        <w:ind w:left="0" w:right="0" w:firstLine="360"/>
        <w:jc w:val="both"/>
        <w:rPr>
          <w:caps w:val="false"/>
          <w:smallCaps w:val="false"/>
          <w:color w:val="7F7F7F"/>
        </w:rPr>
      </w:pPr>
      <w:r>
        <w:rPr>
          <w:caps w:val="false"/>
          <w:smallCaps w:val="false"/>
          <w:color w:val="7F7F7F"/>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processes for acceptance and portfolio management of the main portfolios are conducted with scoring and rating models, whose probabilities of default are used for loan assessment. These acceptance models, coupled with norms for loan issuance, are defined by the risk units in accordance with the guidelines approved by the different risk committees of the Group’s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2023, the Group made a number of improvements in acceptance in SME-Business and Individuals at BCP: i) Improvements in score models, rating and acceptance guidelines that include a larger number of variables and modules that recognize early delinquency ii) Improvements in our income estimates, which allows us to generate larger volumes of credit offerings that respond to clients’ needs, (iii) adjustments to parameters for disbursements through Leads and improvements in managing clients with high probability of deterioration to protect portfolio were made iv) Adjustments to the cut-off point for the probability of default among high risk segments that have been impacted by an adverse macroeconomic environment marked by social conflict and climatic problems. Additionally, at Mibanco The autonomies of leaders that have disbursed loans that present high deterioration were reduced and alerts were introduced for origination and assessment at points of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 w:hAnsi="Arial"/>
          <w:b/>
          <w:i w:val="false"/>
          <w:caps w:val="false"/>
          <w:smallCaps w:val="false"/>
          <w:color w:val="7F7F7F"/>
          <w:sz w:val="24"/>
        </w:rPr>
      </w:pPr>
      <w:r>
        <w:rPr>
          <w:rFonts w:ascii="Arial" w:hAnsi="Arial"/>
          <w:b/>
          <w:i w:val="false"/>
          <w:caps w:val="false"/>
          <w:smallCaps w:val="false"/>
          <w:color w:val="7F7F7F"/>
          <w:sz w:val="24"/>
        </w:rPr>
        <w:t>Follow-up:</w:t>
      </w:r>
    </w:p>
    <w:p>
      <w:pPr>
        <w:pStyle w:val="TextBody"/>
        <w:bidi w:val="0"/>
        <w:spacing w:before="0" w:after="0"/>
        <w:ind w:left="0" w:right="0" w:firstLine="360"/>
        <w:jc w:val="both"/>
        <w:rPr>
          <w:caps w:val="false"/>
          <w:smallCaps w:val="false"/>
          <w:color w:val="7F7F7F"/>
        </w:rPr>
      </w:pPr>
      <w:r>
        <w:rPr>
          <w:caps w:val="false"/>
          <w:smallCaps w:val="false"/>
          <w:color w:val="7F7F7F"/>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Group uses behavior models, which group clients by level of risk to subsequently implement preventive and corrective actions. We conduct follow-up on loans by tracking indicators for delinquency at the portfolio level and for vintages; and expected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2023, the Group focused on the following in the SME-Business and Individuals portfolios: i) identifying early alerts and management pre-delinquency actions, ii) understand the profiles of vulnerable sub-segments and those that may begin to show signs of vulnerability, iii) generate a larger volume of openings and more in-depth reviews of borrowers’ credit situations at the system level and iv) increase the volume of financial assistance provided to clients experiencing payment problems due to macroeconomic context, v) changes in Variable Compensation to incentivize collections, vi) improvements in the operativity of the loan committee; vii) designing a playbook for assistance that can be provided to clients that may be affected by the El Niño Phenomenon.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color w:val="000000"/>
          <w:sz w:val="20"/>
        </w:rPr>
        <w:t>43</w:t>
      </w:r>
      <w:r>
        <w:rPr>
          <w:rFonts w:ascii="Arial" w:hAnsi="Arial"/>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Arial" w:hAnsi="Arial"/>
          <w:b/>
          <w:i w:val="false"/>
          <w:caps w:val="false"/>
          <w:smallCaps w:val="false"/>
          <w:color w:val="7F7F7F"/>
          <w:sz w:val="24"/>
        </w:rPr>
      </w:pPr>
      <w:r>
        <w:rPr>
          <w:rFonts w:ascii="Arial" w:hAnsi="Arial"/>
          <w:b/>
          <w:i w:val="false"/>
          <w:caps w:val="false"/>
          <w:smallCaps w:val="false"/>
          <w:color w:val="7F7F7F"/>
          <w:sz w:val="24"/>
        </w:rPr>
        <w:t>Recovery:</w:t>
      </w:r>
    </w:p>
    <w:p>
      <w:pPr>
        <w:pStyle w:val="TextBody"/>
        <w:bidi w:val="0"/>
        <w:spacing w:before="0" w:after="0"/>
        <w:ind w:left="0" w:right="0" w:firstLine="360"/>
        <w:jc w:val="both"/>
        <w:rPr>
          <w:caps w:val="false"/>
          <w:smallCaps w:val="false"/>
          <w:color w:val="7F7F7F"/>
        </w:rPr>
      </w:pPr>
      <w:r>
        <w:rPr>
          <w:caps w:val="false"/>
          <w:smallCaps w:val="false"/>
          <w:color w:val="7F7F7F"/>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recovery process for retail clients aims to reduce the provisions level; minimize losses; improve delinquency ratios; and maximize recovery in the active, judicial recovery and written-off portfolios. These efforts focus on enhancing profitability, efficiency and the client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2023, to improve the recovery level, the Group implemented actions to manage new high-risk portfolios: (i) changes in acceptance, (ii) new alternatives to assist clients, (iii) more digitality to reach more clients, (iv) strengthening management in more advanced stages, (v) configuration of specialized teams.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Extensive preparations were rolled out to handle fallout from a potential El Niño Phenomenon. This entailed defining the service flow; defining alternatives for assistance to be offered to clients; implementing new digital channels (Mobile Banking); and training teams to serve clients that may potentially be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Arial" w:hAnsi="Arial"/>
          <w:b/>
          <w:i w:val="false"/>
          <w:caps w:val="false"/>
          <w:smallCaps w:val="false"/>
          <w:color w:val="7F7F7F"/>
          <w:sz w:val="24"/>
        </w:rPr>
      </w:pPr>
      <w:r>
        <w:rPr>
          <w:rFonts w:ascii="Arial" w:hAnsi="Arial"/>
          <w:b/>
          <w:i w:val="false"/>
          <w:caps w:val="false"/>
          <w:smallCaps w:val="false"/>
          <w:color w:val="7F7F7F"/>
          <w:sz w:val="24"/>
        </w:rPr>
        <w:t>Models and methodologies for credit risk management</w:t>
      </w:r>
    </w:p>
    <w:p>
      <w:pPr>
        <w:pStyle w:val="TextBody"/>
        <w:bidi w:val="0"/>
        <w:spacing w:before="0" w:after="0"/>
        <w:ind w:left="0" w:right="0" w:firstLine="360"/>
        <w:jc w:val="left"/>
        <w:rPr>
          <w:caps w:val="false"/>
          <w:smallCaps w:val="false"/>
          <w:color w:val="7F7F7F"/>
        </w:rPr>
      </w:pPr>
      <w:r>
        <w:rPr>
          <w:caps w:val="false"/>
          <w:smallCaps w:val="false"/>
          <w:color w:val="7F7F7F"/>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Statistical models constitute a fundamental part of our credit risk management strategy. As such, the Models and Methodologies Area for Risk Management (MMGR) at BCP provides support to build, adjust and/or calibrate models to manage our companies’ credit risks. This area is in charge of providing governance guidelines for credit risk models and overseeing their correct application within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2023, with the results of on-going modeling of models, calibration was conducted with early metrics of payment behavior. In parallel, at the portfolio level, the assumptions introduced during the pandemic were discarded and the Group returned to analytical normality. At year-end an additional dimension was introduced in the models to better capture the impact of macroeconomic deterioration.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Additionally, we continued to use alternative sources of information in risk models in both the SME-Pyme and individuals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Statistical models constitute a fundamental part of our credit risk management strategy. As such, the Models and Methodologies Area for Risk Management (MMGR) at BCP provides support to build, adjust and/or calibrate models to manage our companies’ credit risks. This area is in charge of providing governance guidelines for credit risk models and overseeing their correct application within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2023, due to high inflation and an increase in provisions at the system and Group levels, models were periodically calibrated for Cash Loans, Credit Cards and Working Capital. Additionally, a new set of acceptance models were rolled out in the second half of the year for SME-Business and new models were developed for acceptance of Cash Loans and Credit Cards.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color w:val="7F7F7F"/>
          <w:sz w:val="24"/>
        </w:rPr>
      </w:pPr>
      <w:r>
        <w:rPr>
          <w:rFonts w:ascii="Arial" w:hAnsi="Arial"/>
          <w:b/>
          <w:i w:val="false"/>
          <w:caps w:val="false"/>
          <w:smallCaps w:val="false"/>
          <w:color w:val="7F7F7F"/>
          <w:sz w:val="24"/>
        </w:rPr>
        <w:t>D. Market Risk</w:t>
      </w:r>
    </w:p>
    <w:p>
      <w:pPr>
        <w:pStyle w:val="TextBody"/>
        <w:bidi w:val="0"/>
        <w:spacing w:before="0" w:after="0"/>
        <w:ind w:left="0" w:right="0" w:hanging="0"/>
        <w:jc w:val="both"/>
        <w:rPr>
          <w:caps w:val="false"/>
          <w:smallCaps w:val="false"/>
          <w:color w:val="7F7F7F"/>
        </w:rPr>
      </w:pPr>
      <w:r>
        <w:rPr>
          <w:caps w:val="false"/>
          <w:smallCaps w:val="false"/>
          <w:color w:val="7F7F7F"/>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 separate market risk into two groups: (i) exposure that arises from a fluctuation in the market value of the positions acquired, which are primarily registered in the fair value through profit and loss investments (</w:t>
      </w:r>
      <w:r>
        <w:rPr>
          <w:rFonts w:ascii="Arial" w:hAnsi="Arial"/>
          <w:b w:val="false"/>
          <w:i/>
          <w:caps w:val="false"/>
          <w:smallCaps w:val="false"/>
          <w:sz w:val="20"/>
        </w:rPr>
        <w:t>Trading Book</w:t>
      </w:r>
      <w:r>
        <w:rPr>
          <w:rFonts w:ascii="Arial" w:hAnsi="Arial"/>
          <w:b w:val="false"/>
          <w:i w:val="false"/>
          <w:caps w:val="false"/>
          <w:smallCaps w:val="false"/>
          <w:sz w:val="20"/>
        </w:rPr>
        <w:t xml:space="preserve">) and ii) exposure that arises due to a fluctuation in the value of asset and liability and the matching of structural positions registered at amortized cost and in the fair value through other comprehensive income portfolio </w:t>
      </w:r>
      <w:r>
        <w:rPr>
          <w:rFonts w:ascii="Arial" w:hAnsi="Arial"/>
          <w:b w:val="false"/>
          <w:i/>
          <w:caps w:val="false"/>
          <w:smallCaps w:val="false"/>
          <w:sz w:val="20"/>
        </w:rPr>
        <w:t>(Banking Book</w:t>
      </w:r>
      <w:r>
        <w:rPr>
          <w:rFonts w:ascii="Arial" w:hAnsi="Arial"/>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Arial" w:hAnsi="Arial"/>
          <w:b/>
          <w:i w:val="false"/>
          <w:caps w:val="false"/>
          <w:smallCaps w:val="false"/>
          <w:color w:val="7F7F7F"/>
          <w:sz w:val="24"/>
        </w:rPr>
      </w:pPr>
      <w:r>
        <w:rPr>
          <w:rFonts w:ascii="Arial" w:hAnsi="Arial"/>
          <w:b/>
          <w:i w:val="false"/>
          <w:caps w:val="false"/>
          <w:smallCaps w:val="false"/>
          <w:color w:val="7F7F7F"/>
          <w:sz w:val="24"/>
        </w:rPr>
        <w:t>Trading Book</w:t>
      </w:r>
    </w:p>
    <w:p>
      <w:pPr>
        <w:pStyle w:val="TextBody"/>
        <w:bidi w:val="0"/>
        <w:spacing w:before="0" w:after="0"/>
        <w:ind w:left="0" w:right="0" w:firstLine="360"/>
        <w:jc w:val="left"/>
        <w:rPr>
          <w:caps w:val="false"/>
          <w:smallCaps w:val="false"/>
          <w:color w:val="7F7F7F"/>
        </w:rPr>
      </w:pPr>
      <w:r>
        <w:rPr>
          <w:caps w:val="false"/>
          <w:smallCaps w:val="false"/>
          <w:color w:val="7F7F7F"/>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To manage the trading book, Credicorp applies the VaR (Value at Risk) methodology to its trading portfolio to calculate the market risk of the main positions taken and to determine the maximum loss expected considering a defined probability of occurrence (1%) and based on a series of assumptions that cover a variety of changes in market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color w:val="000000"/>
          <w:sz w:val="20"/>
        </w:rPr>
        <w:t>44</w:t>
      </w:r>
      <w:r>
        <w:rPr>
          <w:rFonts w:ascii="Arial" w:hAnsi="Arial"/>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4635" w:type="dxa"/>
        <w:jc w:val="center"/>
        <w:tblInd w:w="0" w:type="dxa"/>
        <w:tblLayout w:type="fixed"/>
        <w:tblCellMar>
          <w:top w:w="28" w:type="dxa"/>
          <w:left w:w="70" w:type="dxa"/>
          <w:bottom w:w="28" w:type="dxa"/>
          <w:right w:w="0" w:type="dxa"/>
        </w:tblCellMar>
      </w:tblPr>
      <w:tblGrid>
        <w:gridCol w:w="2840"/>
        <w:gridCol w:w="800"/>
        <w:gridCol w:w="995"/>
      </w:tblGrid>
      <w:tr>
        <w:trPr/>
        <w:tc>
          <w:tcPr>
            <w:tcW w:w="2840" w:type="dxa"/>
            <w:tcBorders>
              <w:top w:val="single" w:sz="8" w:space="0" w:color="000000"/>
              <w:left w:val="single" w:sz="8" w:space="0" w:color="000000"/>
              <w:bottom w:val="single" w:sz="8" w:space="0" w:color="000000"/>
            </w:tcBorders>
            <w:shd w:fill="2AD2C9" w:val="clear"/>
            <w:vAlign w:val="center"/>
          </w:tcPr>
          <w:p>
            <w:pPr>
              <w:pStyle w:val="TableContents"/>
              <w:bidi w:val="0"/>
              <w:spacing w:before="0" w:after="283"/>
              <w:ind w:left="0" w:right="0" w:firstLine="360"/>
              <w:jc w:val="center"/>
              <w:rPr>
                <w:rFonts w:ascii="Arial" w:hAnsi="Arial"/>
                <w:b/>
                <w:i w:val="false"/>
                <w:caps w:val="false"/>
                <w:smallCaps w:val="false"/>
                <w:color w:val="FFFFFF"/>
                <w:sz w:val="20"/>
              </w:rPr>
            </w:pPr>
            <w:r>
              <w:rPr>
                <w:rFonts w:ascii="Arial" w:hAnsi="Arial"/>
                <w:b/>
                <w:i w:val="false"/>
                <w:caps w:val="false"/>
                <w:smallCaps w:val="false"/>
                <w:color w:val="FFFFFF"/>
                <w:sz w:val="20"/>
              </w:rPr>
              <w:t>Risk Type</w:t>
            </w:r>
          </w:p>
        </w:tc>
        <w:tc>
          <w:tcPr>
            <w:tcW w:w="800" w:type="dxa"/>
            <w:tcBorders>
              <w:top w:val="single" w:sz="8" w:space="0" w:color="000000"/>
              <w:left w:val="single" w:sz="8" w:space="0" w:color="000000"/>
              <w:bottom w:val="single" w:sz="8" w:space="0" w:color="000000"/>
            </w:tcBorders>
            <w:shd w:fill="2AD2C9" w:val="clear"/>
            <w:vAlign w:val="center"/>
          </w:tcPr>
          <w:p>
            <w:pPr>
              <w:pStyle w:val="TableContents"/>
              <w:bidi w:val="0"/>
              <w:spacing w:before="0" w:after="283"/>
              <w:ind w:left="0" w:right="0" w:firstLine="360"/>
              <w:jc w:val="center"/>
              <w:rPr>
                <w:rFonts w:ascii="Arial" w:hAnsi="Arial"/>
                <w:b/>
                <w:i w:val="false"/>
                <w:caps w:val="false"/>
                <w:smallCaps w:val="false"/>
                <w:color w:val="FFFFFF"/>
                <w:sz w:val="20"/>
              </w:rPr>
            </w:pPr>
            <w:r>
              <w:rPr>
                <w:rFonts w:ascii="Arial" w:hAnsi="Arial"/>
                <w:b/>
                <w:i w:val="false"/>
                <w:caps w:val="false"/>
                <w:smallCaps w:val="false"/>
                <w:color w:val="FFFFFF"/>
                <w:sz w:val="20"/>
              </w:rPr>
              <w:t>2022</w:t>
            </w:r>
          </w:p>
        </w:tc>
        <w:tc>
          <w:tcPr>
            <w:tcW w:w="995" w:type="dxa"/>
            <w:tcBorders>
              <w:top w:val="single" w:sz="8" w:space="0" w:color="000000"/>
              <w:left w:val="single" w:sz="8" w:space="0" w:color="000000"/>
              <w:bottom w:val="single" w:sz="8" w:space="0" w:color="000000"/>
              <w:right w:val="single" w:sz="8" w:space="0" w:color="000000"/>
            </w:tcBorders>
            <w:shd w:fill="2AD2C9" w:val="clear"/>
            <w:tcMar>
              <w:right w:w="70" w:type="dxa"/>
            </w:tcMar>
            <w:vAlign w:val="center"/>
          </w:tcPr>
          <w:p>
            <w:pPr>
              <w:pStyle w:val="TableContents"/>
              <w:bidi w:val="0"/>
              <w:spacing w:before="0" w:after="283"/>
              <w:ind w:left="0" w:right="0" w:firstLine="360"/>
              <w:jc w:val="center"/>
              <w:rPr>
                <w:rFonts w:ascii="Arial" w:hAnsi="Arial"/>
                <w:b/>
                <w:i w:val="false"/>
                <w:caps w:val="false"/>
                <w:smallCaps w:val="false"/>
                <w:color w:val="FFFFFF"/>
                <w:sz w:val="20"/>
              </w:rPr>
            </w:pPr>
            <w:r>
              <w:rPr>
                <w:rFonts w:ascii="Arial" w:hAnsi="Arial"/>
                <w:b/>
                <w:i w:val="false"/>
                <w:caps w:val="false"/>
                <w:smallCaps w:val="false"/>
                <w:color w:val="FFFFFF"/>
                <w:sz w:val="20"/>
              </w:rPr>
              <w:t>2023</w:t>
            </w:r>
          </w:p>
        </w:tc>
      </w:tr>
      <w:tr>
        <w:trPr/>
        <w:tc>
          <w:tcPr>
            <w:tcW w:w="2840"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Interest rate Risk</w:t>
            </w:r>
          </w:p>
        </w:tc>
        <w:tc>
          <w:tcPr>
            <w:tcW w:w="800" w:type="dxa"/>
            <w:tcBorders>
              <w:left w:val="single" w:sz="8" w:space="0" w:color="000000"/>
              <w:bottom w:val="single" w:sz="8" w:space="0" w:color="000000"/>
            </w:tcBorders>
            <w:tcMar>
              <w:top w:w="0" w:type="dxa"/>
            </w:tcMar>
            <w:vAlign w:val="center"/>
          </w:tcPr>
          <w:p>
            <w:pPr>
              <w:pStyle w:val="TableContents"/>
              <w:bidi w:val="0"/>
              <w:spacing w:before="0" w:after="283"/>
              <w:jc w:val="right"/>
              <w:rPr>
                <w:rFonts w:ascii="Arial" w:hAnsi="Arial"/>
                <w:b w:val="false"/>
                <w:i w:val="false"/>
                <w:caps w:val="false"/>
                <w:smallCaps w:val="false"/>
                <w:sz w:val="20"/>
              </w:rPr>
            </w:pPr>
            <w:r>
              <w:rPr>
                <w:rFonts w:ascii="Arial" w:hAnsi="Arial"/>
                <w:b w:val="false"/>
                <w:i w:val="false"/>
                <w:caps w:val="false"/>
                <w:smallCaps w:val="false"/>
                <w:sz w:val="20"/>
              </w:rPr>
              <w:t>74,343</w:t>
            </w:r>
          </w:p>
        </w:tc>
        <w:tc>
          <w:tcPr>
            <w:tcW w:w="995" w:type="dxa"/>
            <w:tcBorders>
              <w:left w:val="single" w:sz="8" w:space="0" w:color="000000"/>
              <w:bottom w:val="single" w:sz="8" w:space="0" w:color="000000"/>
              <w:right w:val="single" w:sz="8" w:space="0" w:color="000000"/>
            </w:tcBorders>
            <w:tcMar>
              <w:top w:w="0" w:type="dxa"/>
              <w:right w:w="70" w:type="dxa"/>
            </w:tcMar>
            <w:vAlign w:val="center"/>
          </w:tcPr>
          <w:p>
            <w:pPr>
              <w:pStyle w:val="TableContents"/>
              <w:bidi w:val="0"/>
              <w:spacing w:before="0" w:after="283"/>
              <w:ind w:left="0" w:right="0" w:firstLine="360"/>
              <w:jc w:val="right"/>
              <w:rPr>
                <w:rFonts w:ascii="Arial" w:hAnsi="Arial"/>
                <w:b w:val="false"/>
                <w:i w:val="false"/>
                <w:caps w:val="false"/>
                <w:smallCaps w:val="false"/>
                <w:sz w:val="20"/>
              </w:rPr>
            </w:pPr>
            <w:r>
              <w:rPr>
                <w:rFonts w:ascii="Arial" w:hAnsi="Arial"/>
                <w:b w:val="false"/>
                <w:i w:val="false"/>
                <w:caps w:val="false"/>
                <w:smallCaps w:val="false"/>
                <w:sz w:val="20"/>
              </w:rPr>
              <w:t>29,399</w:t>
            </w:r>
          </w:p>
        </w:tc>
      </w:tr>
      <w:tr>
        <w:trPr/>
        <w:tc>
          <w:tcPr>
            <w:tcW w:w="2840"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Price Risk</w:t>
            </w:r>
          </w:p>
        </w:tc>
        <w:tc>
          <w:tcPr>
            <w:tcW w:w="800" w:type="dxa"/>
            <w:tcBorders>
              <w:left w:val="single" w:sz="8" w:space="0" w:color="000000"/>
              <w:bottom w:val="single" w:sz="8" w:space="0" w:color="000000"/>
            </w:tcBorders>
            <w:tcMar>
              <w:top w:w="0" w:type="dxa"/>
            </w:tcMar>
            <w:vAlign w:val="center"/>
          </w:tcPr>
          <w:p>
            <w:pPr>
              <w:pStyle w:val="TableContents"/>
              <w:bidi w:val="0"/>
              <w:spacing w:before="0" w:after="283"/>
              <w:jc w:val="right"/>
              <w:rPr>
                <w:rFonts w:ascii="Arial" w:hAnsi="Arial"/>
                <w:b w:val="false"/>
                <w:i w:val="false"/>
                <w:caps w:val="false"/>
                <w:smallCaps w:val="false"/>
                <w:sz w:val="20"/>
              </w:rPr>
            </w:pPr>
            <w:r>
              <w:rPr>
                <w:rFonts w:ascii="Arial" w:hAnsi="Arial"/>
                <w:b w:val="false"/>
                <w:i w:val="false"/>
                <w:caps w:val="false"/>
                <w:smallCaps w:val="false"/>
                <w:sz w:val="20"/>
              </w:rPr>
              <w:t>5,219</w:t>
            </w:r>
          </w:p>
        </w:tc>
        <w:tc>
          <w:tcPr>
            <w:tcW w:w="995" w:type="dxa"/>
            <w:tcBorders>
              <w:left w:val="single" w:sz="8" w:space="0" w:color="000000"/>
              <w:bottom w:val="single" w:sz="8" w:space="0" w:color="000000"/>
              <w:right w:val="single" w:sz="8" w:space="0" w:color="000000"/>
            </w:tcBorders>
            <w:tcMar>
              <w:top w:w="0" w:type="dxa"/>
              <w:right w:w="70" w:type="dxa"/>
            </w:tcMar>
            <w:vAlign w:val="center"/>
          </w:tcPr>
          <w:p>
            <w:pPr>
              <w:pStyle w:val="TableContents"/>
              <w:bidi w:val="0"/>
              <w:spacing w:before="0" w:after="283"/>
              <w:ind w:left="0" w:right="0" w:firstLine="360"/>
              <w:jc w:val="right"/>
              <w:rPr>
                <w:rFonts w:ascii="Arial" w:hAnsi="Arial"/>
                <w:b w:val="false"/>
                <w:i w:val="false"/>
                <w:caps w:val="false"/>
                <w:smallCaps w:val="false"/>
                <w:sz w:val="20"/>
              </w:rPr>
            </w:pPr>
            <w:r>
              <w:rPr>
                <w:rFonts w:ascii="Arial" w:hAnsi="Arial"/>
                <w:b w:val="false"/>
                <w:i w:val="false"/>
                <w:caps w:val="false"/>
                <w:smallCaps w:val="false"/>
                <w:sz w:val="20"/>
              </w:rPr>
              <w:t>5,291</w:t>
            </w:r>
          </w:p>
        </w:tc>
      </w:tr>
      <w:tr>
        <w:trPr/>
        <w:tc>
          <w:tcPr>
            <w:tcW w:w="2840"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Volatility risk</w:t>
            </w:r>
          </w:p>
        </w:tc>
        <w:tc>
          <w:tcPr>
            <w:tcW w:w="800" w:type="dxa"/>
            <w:tcBorders>
              <w:left w:val="single" w:sz="8" w:space="0" w:color="000000"/>
              <w:bottom w:val="single" w:sz="8" w:space="0" w:color="000000"/>
            </w:tcBorders>
            <w:tcMar>
              <w:top w:w="0" w:type="dxa"/>
            </w:tcMar>
            <w:vAlign w:val="center"/>
          </w:tcPr>
          <w:p>
            <w:pPr>
              <w:pStyle w:val="TableContents"/>
              <w:bidi w:val="0"/>
              <w:spacing w:before="0" w:after="283"/>
              <w:jc w:val="right"/>
              <w:rPr>
                <w:rFonts w:ascii="Arial" w:hAnsi="Arial"/>
                <w:b w:val="false"/>
                <w:i w:val="false"/>
                <w:caps w:val="false"/>
                <w:smallCaps w:val="false"/>
                <w:sz w:val="20"/>
              </w:rPr>
            </w:pPr>
            <w:r>
              <w:rPr>
                <w:rFonts w:ascii="Arial" w:hAnsi="Arial"/>
                <w:b w:val="false"/>
                <w:i w:val="false"/>
                <w:caps w:val="false"/>
                <w:smallCaps w:val="false"/>
                <w:sz w:val="20"/>
              </w:rPr>
              <w:t>2,032</w:t>
            </w:r>
          </w:p>
        </w:tc>
        <w:tc>
          <w:tcPr>
            <w:tcW w:w="995" w:type="dxa"/>
            <w:tcBorders>
              <w:left w:val="single" w:sz="8" w:space="0" w:color="000000"/>
              <w:bottom w:val="single" w:sz="8" w:space="0" w:color="000000"/>
              <w:right w:val="single" w:sz="8" w:space="0" w:color="000000"/>
            </w:tcBorders>
            <w:tcMar>
              <w:top w:w="0" w:type="dxa"/>
              <w:right w:w="70" w:type="dxa"/>
            </w:tcMar>
            <w:vAlign w:val="center"/>
          </w:tcPr>
          <w:p>
            <w:pPr>
              <w:pStyle w:val="TableContents"/>
              <w:bidi w:val="0"/>
              <w:spacing w:before="0" w:after="283"/>
              <w:ind w:left="0" w:right="0" w:firstLine="360"/>
              <w:jc w:val="right"/>
              <w:rPr>
                <w:rFonts w:ascii="Arial" w:hAnsi="Arial"/>
                <w:b w:val="false"/>
                <w:i w:val="false"/>
                <w:caps w:val="false"/>
                <w:smallCaps w:val="false"/>
                <w:sz w:val="20"/>
              </w:rPr>
            </w:pPr>
            <w:r>
              <w:rPr>
                <w:rFonts w:ascii="Arial" w:hAnsi="Arial"/>
                <w:b w:val="false"/>
                <w:i w:val="false"/>
                <w:caps w:val="false"/>
                <w:smallCaps w:val="false"/>
                <w:sz w:val="20"/>
              </w:rPr>
              <w:t>20</w:t>
            </w:r>
          </w:p>
        </w:tc>
      </w:tr>
      <w:tr>
        <w:trPr/>
        <w:tc>
          <w:tcPr>
            <w:tcW w:w="2840"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Diversification effect</w:t>
            </w:r>
          </w:p>
        </w:tc>
        <w:tc>
          <w:tcPr>
            <w:tcW w:w="800" w:type="dxa"/>
            <w:tcBorders>
              <w:left w:val="single" w:sz="8" w:space="0" w:color="000000"/>
              <w:bottom w:val="single" w:sz="8" w:space="0" w:color="000000"/>
            </w:tcBorders>
            <w:tcMar>
              <w:top w:w="0" w:type="dxa"/>
            </w:tcMar>
            <w:vAlign w:val="center"/>
          </w:tcPr>
          <w:p>
            <w:pPr>
              <w:pStyle w:val="TableContents"/>
              <w:bidi w:val="0"/>
              <w:spacing w:before="0" w:after="283"/>
              <w:jc w:val="right"/>
              <w:rPr>
                <w:rFonts w:ascii="Arial" w:hAnsi="Arial"/>
                <w:b w:val="false"/>
                <w:i w:val="false"/>
                <w:caps w:val="false"/>
                <w:smallCaps w:val="false"/>
                <w:sz w:val="20"/>
              </w:rPr>
            </w:pPr>
            <w:r>
              <w:rPr>
                <w:rFonts w:ascii="Arial" w:hAnsi="Arial"/>
                <w:b w:val="false"/>
                <w:i w:val="false"/>
                <w:caps w:val="false"/>
                <w:smallCaps w:val="false"/>
                <w:sz w:val="20"/>
              </w:rPr>
              <w:t>(7,347)</w:t>
            </w:r>
          </w:p>
        </w:tc>
        <w:tc>
          <w:tcPr>
            <w:tcW w:w="995" w:type="dxa"/>
            <w:tcBorders>
              <w:left w:val="single" w:sz="8" w:space="0" w:color="000000"/>
              <w:bottom w:val="single" w:sz="8" w:space="0" w:color="000000"/>
              <w:right w:val="single" w:sz="8" w:space="0" w:color="000000"/>
            </w:tcBorders>
            <w:tcMar>
              <w:top w:w="0" w:type="dxa"/>
              <w:right w:w="70" w:type="dxa"/>
            </w:tcMar>
            <w:vAlign w:val="center"/>
          </w:tcPr>
          <w:p>
            <w:pPr>
              <w:pStyle w:val="TableContents"/>
              <w:bidi w:val="0"/>
              <w:spacing w:before="0" w:after="283"/>
              <w:ind w:left="0" w:right="0" w:firstLine="360"/>
              <w:jc w:val="right"/>
              <w:rPr>
                <w:rFonts w:ascii="Arial" w:hAnsi="Arial"/>
                <w:b w:val="false"/>
                <w:i w:val="false"/>
                <w:caps w:val="false"/>
                <w:smallCaps w:val="false"/>
                <w:sz w:val="20"/>
              </w:rPr>
            </w:pPr>
            <w:r>
              <w:rPr>
                <w:rFonts w:ascii="Arial" w:hAnsi="Arial"/>
                <w:b w:val="false"/>
                <w:i w:val="false"/>
                <w:caps w:val="false"/>
                <w:smallCaps w:val="false"/>
                <w:sz w:val="20"/>
              </w:rPr>
              <w:t>(5,850)</w:t>
            </w:r>
          </w:p>
        </w:tc>
      </w:tr>
      <w:tr>
        <w:trPr/>
        <w:tc>
          <w:tcPr>
            <w:tcW w:w="2840" w:type="dxa"/>
            <w:tcBorders>
              <w:left w:val="single" w:sz="8" w:space="0" w:color="000000"/>
              <w:bottom w:val="single" w:sz="8" w:space="0" w:color="000000"/>
            </w:tcBorders>
            <w:shd w:fill="26D07C" w:val="clear"/>
            <w:tcMar>
              <w:top w:w="0" w:type="dxa"/>
            </w:tcMar>
            <w:vAlign w:val="center"/>
          </w:tcPr>
          <w:p>
            <w:pPr>
              <w:pStyle w:val="TableContents"/>
              <w:bidi w:val="0"/>
              <w:spacing w:before="0" w:after="283"/>
              <w:jc w:val="left"/>
              <w:rPr>
                <w:rFonts w:ascii="Arial" w:hAnsi="Arial"/>
                <w:b/>
                <w:i w:val="false"/>
                <w:caps w:val="false"/>
                <w:smallCaps w:val="false"/>
                <w:color w:val="FFFFFF"/>
                <w:sz w:val="20"/>
              </w:rPr>
            </w:pPr>
            <w:r>
              <w:rPr>
                <w:rFonts w:ascii="Arial" w:hAnsi="Arial"/>
                <w:b/>
                <w:i w:val="false"/>
                <w:caps w:val="false"/>
                <w:smallCaps w:val="false"/>
                <w:color w:val="FFFFFF"/>
                <w:sz w:val="20"/>
              </w:rPr>
              <w:t>VaR Consolidated by risk type</w:t>
            </w:r>
          </w:p>
        </w:tc>
        <w:tc>
          <w:tcPr>
            <w:tcW w:w="800" w:type="dxa"/>
            <w:tcBorders>
              <w:left w:val="single" w:sz="8" w:space="0" w:color="000000"/>
              <w:bottom w:val="single" w:sz="8" w:space="0" w:color="000000"/>
            </w:tcBorders>
            <w:shd w:fill="26D07C" w:val="clear"/>
            <w:tcMar>
              <w:top w:w="0" w:type="dxa"/>
            </w:tcMar>
            <w:vAlign w:val="center"/>
          </w:tcPr>
          <w:p>
            <w:pPr>
              <w:pStyle w:val="TableContents"/>
              <w:bidi w:val="0"/>
              <w:spacing w:before="0" w:after="283"/>
              <w:jc w:val="right"/>
              <w:rPr>
                <w:rFonts w:ascii="Arial" w:hAnsi="Arial"/>
                <w:b/>
                <w:i w:val="false"/>
                <w:caps w:val="false"/>
                <w:smallCaps w:val="false"/>
                <w:color w:val="FFFFFF"/>
                <w:sz w:val="20"/>
              </w:rPr>
            </w:pPr>
            <w:r>
              <w:rPr>
                <w:rFonts w:ascii="Arial" w:hAnsi="Arial"/>
                <w:b/>
                <w:i w:val="false"/>
                <w:caps w:val="false"/>
                <w:smallCaps w:val="false"/>
                <w:color w:val="FFFFFF"/>
                <w:sz w:val="20"/>
              </w:rPr>
              <w:t>74,247</w:t>
            </w:r>
          </w:p>
        </w:tc>
        <w:tc>
          <w:tcPr>
            <w:tcW w:w="995" w:type="dxa"/>
            <w:tcBorders>
              <w:left w:val="single" w:sz="8" w:space="0" w:color="000000"/>
              <w:bottom w:val="single" w:sz="8" w:space="0" w:color="000000"/>
              <w:right w:val="single" w:sz="8" w:space="0" w:color="000000"/>
            </w:tcBorders>
            <w:shd w:fill="26D07C" w:val="clear"/>
            <w:tcMar>
              <w:top w:w="0" w:type="dxa"/>
              <w:right w:w="70" w:type="dxa"/>
            </w:tcMar>
            <w:vAlign w:val="center"/>
          </w:tcPr>
          <w:p>
            <w:pPr>
              <w:pStyle w:val="TableContents"/>
              <w:bidi w:val="0"/>
              <w:spacing w:before="0" w:after="283"/>
              <w:jc w:val="right"/>
              <w:rPr>
                <w:rFonts w:ascii="Arial" w:hAnsi="Arial"/>
                <w:b/>
                <w:i w:val="false"/>
                <w:caps w:val="false"/>
                <w:smallCaps w:val="false"/>
                <w:color w:val="FFFFFF"/>
                <w:sz w:val="20"/>
              </w:rPr>
            </w:pPr>
            <w:r>
              <w:rPr>
                <w:rFonts w:ascii="Arial" w:hAnsi="Arial"/>
                <w:b/>
                <w:i w:val="false"/>
                <w:caps w:val="false"/>
                <w:smallCaps w:val="false"/>
                <w:color w:val="FFFFFF"/>
                <w:sz w:val="20"/>
              </w:rPr>
              <w:t>28,860</w:t>
            </w:r>
          </w:p>
        </w:tc>
      </w:tr>
      <w:tr>
        <w:trPr/>
        <w:tc>
          <w:tcPr>
            <w:tcW w:w="2840" w:type="dxa"/>
            <w:tcBorders/>
            <w:tcMar>
              <w:top w:w="0" w:type="dxa"/>
              <w:left w:w="0" w:type="dxa"/>
              <w:bottom w:w="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Figures in S/ thousands.</w:t>
            </w:r>
          </w:p>
        </w:tc>
        <w:tc>
          <w:tcPr>
            <w:tcW w:w="800" w:type="dxa"/>
            <w:tcBorders/>
            <w:tcMar>
              <w:top w:w="0" w:type="dxa"/>
              <w:left w:w="0" w:type="dxa"/>
              <w:bottom w:w="0" w:type="dxa"/>
            </w:tcMar>
            <w:vAlign w:val="center"/>
          </w:tcPr>
          <w:p>
            <w:pPr>
              <w:pStyle w:val="TableContents"/>
              <w:bidi w:val="0"/>
              <w:spacing w:before="0" w:after="283"/>
              <w:jc w:val="right"/>
              <w:rPr>
                <w:caps w:val="false"/>
                <w:smallCaps w:val="false"/>
              </w:rPr>
            </w:pPr>
            <w:r>
              <w:rPr>
                <w:caps w:val="false"/>
                <w:smallCaps w:val="false"/>
              </w:rPr>
              <w:t> </w:t>
            </w:r>
          </w:p>
        </w:tc>
        <w:tc>
          <w:tcPr>
            <w:tcW w:w="995" w:type="dxa"/>
            <w:tcBorders/>
            <w:tcMar>
              <w:top w:w="0" w:type="dxa"/>
              <w:left w:w="0" w:type="dxa"/>
              <w:bottom w:w="0" w:type="dxa"/>
            </w:tcMar>
            <w:vAlign w:val="center"/>
          </w:tcPr>
          <w:p>
            <w:pPr>
              <w:pStyle w:val="TableContents"/>
              <w:bidi w:val="0"/>
              <w:spacing w:before="0" w:after="283"/>
              <w:jc w:val="right"/>
              <w:rPr>
                <w:caps w:val="false"/>
                <w:smallCaps w:val="false"/>
              </w:rPr>
            </w:pPr>
            <w:r>
              <w:rPr>
                <w:caps w:val="false"/>
                <w:smallCaps w:val="false"/>
              </w:rPr>
              <w:t> </w:t>
            </w:r>
          </w:p>
        </w:tc>
      </w:tr>
      <w:tr>
        <w:trPr/>
        <w:tc>
          <w:tcPr>
            <w:tcW w:w="2840" w:type="dxa"/>
            <w:tcBorders>
              <w:top w:val="single" w:sz="8" w:space="0" w:color="000000"/>
            </w:tcBorders>
            <w:tcMar>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op w:val="single" w:sz="8" w:space="0" w:color="000000"/>
            </w:tcBorders>
            <w:tcMar>
              <w:left w:w="0" w:type="dxa"/>
              <w:bottom w:w="0" w:type="dxa"/>
            </w:tcMar>
            <w:vAlign w:val="center"/>
          </w:tcPr>
          <w:p>
            <w:pPr>
              <w:pStyle w:val="TableContents"/>
              <w:bidi w:val="0"/>
              <w:spacing w:before="0" w:after="283"/>
              <w:jc w:val="right"/>
              <w:rPr>
                <w:caps w:val="false"/>
                <w:smallCaps w:val="false"/>
              </w:rPr>
            </w:pPr>
            <w:r>
              <w:rPr>
                <w:caps w:val="false"/>
                <w:smallCaps w:val="false"/>
              </w:rPr>
              <w:t> </w:t>
            </w:r>
          </w:p>
        </w:tc>
        <w:tc>
          <w:tcPr>
            <w:tcW w:w="995" w:type="dxa"/>
            <w:tcBorders>
              <w:top w:val="single" w:sz="8" w:space="0" w:color="000000"/>
            </w:tcBorders>
            <w:tcMar>
              <w:left w:w="0" w:type="dxa"/>
              <w:bottom w:w="0" w:type="dxa"/>
            </w:tcMar>
            <w:vAlign w:val="center"/>
          </w:tcPr>
          <w:p>
            <w:pPr>
              <w:pStyle w:val="TableContents"/>
              <w:bidi w:val="0"/>
              <w:spacing w:before="0" w:after="283"/>
              <w:jc w:val="right"/>
              <w:rPr>
                <w:caps w:val="false"/>
                <w:smallCaps w:val="false"/>
              </w:rPr>
            </w:pPr>
            <w:r>
              <w:rPr>
                <w:caps w:val="false"/>
                <w:smallCaps w:val="false"/>
              </w:rPr>
              <w:t> </w:t>
            </w:r>
          </w:p>
        </w:tc>
      </w:tr>
    </w:tbl>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VaR calculation does not include the effects of the exchange rate, given that these effects are measured in the sensibility of the net monetary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Group's VaR showed a decrease as of December 31, 2023, mainly due to lower interest rate risk due to a lower sensitive amount of the portfolio and the registration of fewer upward rate shocks during the last year. The VaR remained contained within the risk appetite limits established by the Risk Management of each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Indicators for stressed VaR and economic capital, which reflect the trading portfolio’s exposure to extreme movements in the risk factors to which it is subject, are also used in Trading Book Management. These indicators have a structure or limits and autonomies for each of the Group’s companies, which depends on the size of the positions and/or volatility of the risk factors contemplated for each financial instrument. Reports are prepared on a regular basis for the Group’s different committees. The appetite for risk for the Group’s Trading Book is periodically reviewed by the Corporate Committee for Market, Structural, Trading and Liquidity Risk and by the Risk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Exchange rate risk is measured through the sensitivity of each foreign exchange position that affects the consolidated results or other comprehensive income. The market risk unit at each subsidiary monitors and controls each foreign exchange position and the exchange rate risk derived from the same. Exchange rate strategies are also applied to the Group’s Trading Book portfolios, whose limits are defined on a per-portfolio basis and aligned with the limit set for the global FX position. These aspects are closely monitored, and the Group’s Risk Committees are periodically informed of findings.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2023, curves were implemented for Secured Overnight Financing Rate (SOFR) to feed the valuation and calculation of market risks for instruments denominated in currency pairs other than the Sol-US Dollar.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Arial" w:hAnsi="Arial"/>
          <w:b/>
          <w:i w:val="false"/>
          <w:caps w:val="false"/>
          <w:smallCaps w:val="false"/>
          <w:color w:val="7F7F7F"/>
          <w:sz w:val="24"/>
        </w:rPr>
      </w:pPr>
      <w:r>
        <w:rPr>
          <w:rFonts w:ascii="Arial" w:hAnsi="Arial"/>
          <w:b/>
          <w:i w:val="false"/>
          <w:caps w:val="false"/>
          <w:smallCaps w:val="false"/>
          <w:color w:val="7F7F7F"/>
          <w:sz w:val="24"/>
        </w:rPr>
        <w:t>Banking Book</w:t>
      </w:r>
    </w:p>
    <w:p>
      <w:pPr>
        <w:pStyle w:val="TextBody"/>
        <w:bidi w:val="0"/>
        <w:spacing w:before="0" w:after="0"/>
        <w:ind w:left="0" w:right="0" w:firstLine="360"/>
        <w:jc w:val="left"/>
        <w:rPr>
          <w:caps w:val="false"/>
          <w:smallCaps w:val="false"/>
          <w:color w:val="7F7F7F"/>
        </w:rPr>
      </w:pPr>
      <w:r>
        <w:rPr>
          <w:caps w:val="false"/>
          <w:smallCaps w:val="false"/>
          <w:color w:val="7F7F7F"/>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Banking book management at Credicorp covers the identification, measurement, evaluation, control and monitoring of liquidity Risk and structural risk relative to the Interest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Liquidity risk is defined as an inability to pay or refinance obligations that have been previously agreed on to maturity due to situations of mismatching of assets and liabilities, and the inability to liquidate investment positions that are subject to price risk, without generating adverse changes in the value of these positions. Credicorp’s subsidiaries manage liquidity risk with corporate indicators such as Internal Liquidity Coverage Ratio (RCL, Spanish acronym), the Internal Net Stable Funding Ratio (RFNE, Spanish acronym) and an analysis of liquidity gaps.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These indicators have structures that contemplate limits and autonomies for each of the subsidiaries, which are subsequently included in the companies’ contingency plans for liquidity. At the Credicorp level, there are limits for risk appetite incorporated in these indicators, which are monitored and communicated to the Risk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2023, after central banks bank to gradually withdraw liquidity stimuli, we focused on follow-up, calibration and updating of the models and assumptions used to evaluate the sufficiency of liquid assets at the Group’s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Interest rate risk in the Banking Book refers to variations in rates that gain impacted expected gains or the market value to a balance’s assets and liabilities. As such, we monitor all products sensitive to interest rate risk through gap analysis; sensitivity analysis of the risk margin (Gains on Risk); and economic value of equity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color w:val="000000"/>
          <w:sz w:val="20"/>
        </w:rPr>
        <w:t>45</w:t>
      </w:r>
      <w:r>
        <w:rPr>
          <w:rFonts w:ascii="Arial" w:hAnsi="Arial"/>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2023, to ensure that exposure to interest rate risk is aligned with the Group’s appetite and strategy, on-going follow-up was conducted with interest rate simulation models; prepayment conduct models; and products whose contracts have no expiration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color w:val="595959"/>
          <w:sz w:val="24"/>
        </w:rPr>
      </w:pPr>
      <w:r>
        <w:rPr>
          <w:rFonts w:ascii="Arial" w:hAnsi="Arial"/>
          <w:b/>
          <w:i w:val="false"/>
          <w:caps w:val="false"/>
          <w:smallCaps w:val="false"/>
          <w:color w:val="595959"/>
          <w:sz w:val="24"/>
        </w:rPr>
        <w:t>E. Calculations of IFRS 9 provisions</w:t>
      </w:r>
    </w:p>
    <w:p>
      <w:pPr>
        <w:pStyle w:val="TextBody"/>
        <w:bidi w:val="0"/>
        <w:spacing w:before="0" w:after="0"/>
        <w:ind w:left="0" w:right="0" w:hanging="0"/>
        <w:jc w:val="both"/>
        <w:rPr>
          <w:caps w:val="false"/>
          <w:smallCaps w:val="false"/>
          <w:color w:val="595959"/>
        </w:rPr>
      </w:pPr>
      <w:r>
        <w:rPr>
          <w:caps w:val="false"/>
          <w:smallCaps w:val="false"/>
          <w:color w:val="595959"/>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estimate of loan losses under IFRS 9 at Credicorp is the product of the following parameters: (i) probability of default (PD), (ii) loss given default (LGD) and (iii) exposure at the time of default (EAD), discounted at the reporting date using the effective interest rate or an approximation of the same. This also takes into consideration information on current conditions as well as projections of future macroeconomic events and conditions in three scenarios (base, optimistic and pessimistic), which are weighted to obtained expected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Model Risk Management Area, Internal and External Auditing validate methodologies and procedures to ensure that provisions are adequately estimated.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2023, we continued to calibrate models to maintain an adequate level of precision in calculations of credit risk and associated provisions and added an update to macroeconomic projections. We also estimated the expected impact of the El Niño Phenomenon on the Group’s credit risk and subsequently added provisions. At BCP Peru, a Strategic Tool was officially rolled out to calculate IFRS 9 provisions, which strengthened the bank’s commitment to using best technological and cybersecurity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color w:val="595959"/>
          <w:sz w:val="24"/>
        </w:rPr>
      </w:pPr>
      <w:r>
        <w:rPr>
          <w:rFonts w:ascii="Arial" w:hAnsi="Arial"/>
          <w:b/>
          <w:i w:val="false"/>
          <w:caps w:val="false"/>
          <w:smallCaps w:val="false"/>
          <w:color w:val="595959"/>
          <w:sz w:val="24"/>
        </w:rPr>
        <w:t>F. Model Risk Management</w:t>
      </w:r>
    </w:p>
    <w:p>
      <w:pPr>
        <w:pStyle w:val="TextBody"/>
        <w:bidi w:val="0"/>
        <w:spacing w:before="0" w:after="0"/>
        <w:ind w:left="0" w:right="0" w:hanging="0"/>
        <w:jc w:val="both"/>
        <w:rPr>
          <w:caps w:val="false"/>
          <w:smallCaps w:val="false"/>
          <w:color w:val="595959"/>
        </w:rPr>
      </w:pPr>
      <w:r>
        <w:rPr>
          <w:caps w:val="false"/>
          <w:smallCaps w:val="false"/>
          <w:color w:val="595959"/>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mission of the Model Risk Management Area BCP (ARM) is to manage the portfolio for the Group’s models to minimize potential losses due to errors in construction, maintenance or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In 2023, follow-up was conducted on dashboards for regulatory alignment, one internal and the other regulatory (Peruvian regulation). The regulatory model required adjustments after changes were made to the regulatory framework that governs the risk model in the Peruvian Financial System. Internal alignment of the risk model increased the advance by 4%. The Group has fully aligned its models with Peruvian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color w:val="595959"/>
          <w:sz w:val="24"/>
        </w:rPr>
      </w:pPr>
      <w:r>
        <w:rPr>
          <w:rFonts w:ascii="Arial" w:hAnsi="Arial"/>
          <w:b/>
          <w:i w:val="false"/>
          <w:caps w:val="false"/>
          <w:smallCaps w:val="false"/>
          <w:color w:val="595959"/>
          <w:sz w:val="24"/>
        </w:rPr>
        <w:t>G. Insurance Underwriting Risk</w:t>
      </w:r>
    </w:p>
    <w:p>
      <w:pPr>
        <w:pStyle w:val="TextBody"/>
        <w:bidi w:val="0"/>
        <w:spacing w:before="0" w:after="0"/>
        <w:ind w:left="0" w:right="0" w:hanging="0"/>
        <w:jc w:val="both"/>
        <w:rPr>
          <w:caps w:val="false"/>
          <w:smallCaps w:val="false"/>
          <w:color w:val="595959"/>
        </w:rPr>
      </w:pPr>
      <w:r>
        <w:rPr>
          <w:caps w:val="false"/>
          <w:smallCaps w:val="false"/>
          <w:color w:val="595959"/>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main risk that Credicorp faces in terms of insurance contracts is that the real costs of claims and payments or the advent of the same differ from expectations. This risk is affected by claims frequency, the severity of claims, real compensation and the subsequent development of long-term claims. As such, the group’s objective is to guarantee that enough reserves are in place to cover these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Arial" w:hAnsi="Arial"/>
          <w:b/>
          <w:i w:val="false"/>
          <w:caps w:val="false"/>
          <w:smallCaps w:val="false"/>
          <w:color w:val="7F7F7F"/>
          <w:sz w:val="22"/>
        </w:rPr>
      </w:pPr>
      <w:r>
        <w:rPr>
          <w:rFonts w:ascii="Arial" w:hAnsi="Arial"/>
          <w:b/>
          <w:i w:val="false"/>
          <w:caps w:val="false"/>
          <w:smallCaps w:val="false"/>
          <w:color w:val="7F7F7F"/>
          <w:sz w:val="22"/>
        </w:rPr>
        <w:t>Policy to set aside Underwriting Reserves</w:t>
      </w:r>
    </w:p>
    <w:p>
      <w:pPr>
        <w:pStyle w:val="TextBody"/>
        <w:bidi w:val="0"/>
        <w:spacing w:before="0" w:after="0"/>
        <w:ind w:left="0" w:right="0" w:firstLine="360"/>
        <w:jc w:val="left"/>
        <w:rPr>
          <w:caps w:val="false"/>
          <w:smallCaps w:val="false"/>
          <w:color w:val="7F7F7F"/>
        </w:rPr>
      </w:pPr>
      <w:r>
        <w:rPr>
          <w:caps w:val="false"/>
          <w:smallCaps w:val="false"/>
          <w:color w:val="7F7F7F"/>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Credicorp permanently monitors the sufficiency of its reserves by taking measures when necessary to anticipate potential adverse results. The corporation hires independent and highly prestigious advisory firms that provide actuarial services. These companies are responsible for certifying the existence of adequate underwriting reserves at the companies that are part of Credicorp’s insurance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To protect the interests of our insured, and to comply with regulatory requirements, Credicorp monitors and measures the variables that may compromise the insurance group’s solvency and, as such, affect its capacity to honor its future obligations. As such, we quantify the impact that future strategic decisions may have on these indicators. The methodologies that are used to determine the reserve levels at the group’s insurance companies follow the guidelines set by current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color w:val="000000"/>
          <w:sz w:val="20"/>
        </w:rPr>
        <w:t>46</w:t>
      </w:r>
      <w:r>
        <w:rPr>
          <w:rFonts w:ascii="Arial" w:hAnsi="Arial"/>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In 2023, in the phase of alerts of a potential El Niño phenomenon in 2024, preventive actions were taken on the risk management front to handle claims that may arise in different business 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color w:val="595959"/>
          <w:sz w:val="24"/>
        </w:rPr>
      </w:pPr>
      <w:r>
        <w:rPr>
          <w:rFonts w:ascii="Arial" w:hAnsi="Arial"/>
          <w:b/>
          <w:i w:val="false"/>
          <w:caps w:val="false"/>
          <w:smallCaps w:val="false"/>
          <w:color w:val="595959"/>
          <w:sz w:val="24"/>
        </w:rPr>
        <w:t>III. Non-financial Risks</w:t>
      </w:r>
    </w:p>
    <w:p>
      <w:pPr>
        <w:pStyle w:val="TextBody"/>
        <w:bidi w:val="0"/>
        <w:spacing w:before="0" w:after="0"/>
        <w:ind w:left="0" w:right="0" w:hanging="0"/>
        <w:jc w:val="both"/>
        <w:rPr>
          <w:caps w:val="false"/>
          <w:smallCaps w:val="false"/>
          <w:color w:val="595959"/>
        </w:rPr>
      </w:pPr>
      <w:r>
        <w:rPr>
          <w:caps w:val="false"/>
          <w:smallCaps w:val="false"/>
          <w:color w:val="595959"/>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Non-financial risk (NFR) is a broad term that is generally defined by exclusion, meaning that any risk that is different from traditional financial risks relate to the market, credit and liquidity. NFR can imply strategic, commercial and economic risk and/or risk of substantial reputational damage. NFR include the seven types of operating risks defined by the Basel Accords as well as other important risks such as technological, cybernetic, conduct, model, compliance, strategic and from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Non-financial Risk management has become challenging given the complexity added by rapid changes in technology; extensive automation of processes; more dependence on systems rather than people; and transformational processes such as business agility. These changes in the way that financial institutions do business have given way to new risk exposure, whether from attacks that affect the services of the Group’s companies, data theft or on-line fraud.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 w:hAnsi="Arial"/>
          <w:b/>
          <w:i w:val="false"/>
          <w:caps w:val="false"/>
          <w:smallCaps w:val="false"/>
          <w:color w:val="7F7F7F"/>
          <w:sz w:val="22"/>
        </w:rPr>
      </w:pPr>
      <w:r>
        <w:rPr>
          <w:rFonts w:ascii="Arial" w:hAnsi="Arial"/>
          <w:b/>
          <w:i w:val="false"/>
          <w:caps w:val="false"/>
          <w:smallCaps w:val="false"/>
          <w:color w:val="7F7F7F"/>
          <w:sz w:val="22"/>
        </w:rPr>
        <w:t>Operating Risks</w:t>
      </w:r>
    </w:p>
    <w:p>
      <w:pPr>
        <w:pStyle w:val="TextBody"/>
        <w:bidi w:val="0"/>
        <w:spacing w:before="0" w:after="0"/>
        <w:ind w:left="0" w:right="0" w:firstLine="360"/>
        <w:jc w:val="both"/>
        <w:rPr>
          <w:caps w:val="false"/>
          <w:smallCaps w:val="false"/>
          <w:color w:val="7F7F7F"/>
        </w:rPr>
      </w:pPr>
      <w:r>
        <w:rPr>
          <w:caps w:val="false"/>
          <w:smallCaps w:val="false"/>
          <w:color w:val="7F7F7F"/>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Operating risks encompass losses due to inadequate processes, employee or IT errors, relationships with third parties or external events. These risks can produce financial losses and generate repercussions at the legal and regulatory level but exclude strategic and reputation risks. In this context, operating risks are grouped into internal fraud; external fraud; labor relations and occupational safety; relations with our clients; business products and practices; damage to material assets; business and system interruption; and errors relative to execution, delivery and management of processes.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Group’s approach to operating risk is supported by one of its pillars: developing an efficient culture for risk management that is grounded in an on-going process to correctly identify, weight and monitor risk as we fulfill legal and regulatory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2023, on the Business Continuity Management front, the Group reviewed and updated corporate policies, procedures and the methodology to Analyze Business Impact (BIA) based on current standards and regulatory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addition, in 2023, to address potential impacts of the El Niño Phenomenon, action plans were rolled out on different fronts for operating risk: safety, employees, infrastructure and maintenance, supplies, communications, products and channels. The Project Committee presided by the Central Risk Management division reviewed the development and follow-up of these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Group is covered if operating risks materialize. Coverage is primarily through insurance contracts that are individual or corporate in nature and issued by local and international insurers. These policies cover losses for fraud, third-party and professional liability, cyber risks, damages to physical assets, among others.</w:t>
      </w:r>
    </w:p>
    <w:p>
      <w:pPr>
        <w:pStyle w:val="TextBody"/>
        <w:bidi w:val="0"/>
        <w:spacing w:before="0" w:after="0"/>
        <w:ind w:left="0" w:right="0" w:hanging="0"/>
        <w:jc w:val="both"/>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38"/>
        <w:gridCol w:w="275"/>
        <w:gridCol w:w="47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Arial" w:hAnsi="Arial"/>
                <w:b/>
                <w:i w:val="false"/>
                <w:caps w:val="false"/>
                <w:smallCaps w:val="false"/>
                <w:sz w:val="24"/>
              </w:rPr>
            </w:pPr>
            <w:r>
              <w:rPr>
                <w:rFonts w:ascii="Arial" w:hAnsi="Arial"/>
                <w:b/>
                <w:i w:val="false"/>
                <w:caps w:val="false"/>
                <w:smallCaps w:val="false"/>
                <w:sz w:val="24"/>
              </w:rPr>
              <w:t>A)</w:t>
            </w:r>
          </w:p>
        </w:tc>
        <w:tc>
          <w:tcPr>
            <w:tcW w:w="4775" w:type="dxa"/>
            <w:tcBorders/>
            <w:vAlign w:val="center"/>
          </w:tcPr>
          <w:p>
            <w:pPr>
              <w:pStyle w:val="TableContents"/>
              <w:bidi w:val="0"/>
              <w:spacing w:before="0" w:after="283"/>
              <w:jc w:val="left"/>
              <w:rPr>
                <w:rFonts w:ascii="Arial" w:hAnsi="Arial"/>
                <w:b/>
                <w:i w:val="false"/>
                <w:caps w:val="false"/>
                <w:smallCaps w:val="false"/>
                <w:sz w:val="24"/>
              </w:rPr>
            </w:pPr>
            <w:r>
              <w:rPr>
                <w:rFonts w:ascii="Arial" w:hAnsi="Arial"/>
                <w:b/>
                <w:i w:val="false"/>
                <w:caps w:val="false"/>
                <w:smallCaps w:val="false"/>
                <w:sz w:val="24"/>
              </w:rPr>
              <w:t>Fraud and Physical Security Management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Corporate Security and Cyber Crime management, which falls under the operating risk umbrella, is managed by a unit that specializes in detection, response to and mitigation of incidents of fraud and security and Disaster Risk Management. This area has teams that specialize in research, cybercrime, computer forensics, internal fraud risk assessments, physical and technological security, disaster risk management, and strategic intelligence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color w:val="000000"/>
          <w:sz w:val="20"/>
        </w:rPr>
        <w:t>47</w:t>
      </w:r>
      <w:r>
        <w:rPr>
          <w:rFonts w:ascii="Arial" w:hAnsi="Arial"/>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In 2023, to ensure that the Group adopted effective preventive and response measures to incidents entailing physical security, the Committee to Provide Crisis Support assessed information on incidents stemming from social conflicts and natural disasters (rains, rockslide, overflowing of rivers, Cyclone Yaku).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In terms of the El Niño Phenomenon, potential scenarios were identified and work began to roll out on-going monitoring of forecasts on the phenomenon’s intensity. Possible impacts include (i) occupational safety and health of employees and their families, (ii) effects on housing and transportation, (iii) lack of water, food and medication, (iv) flooding and/or water filtrations at branches and offices, and (v) impacts on operating continuity at branches and offices (determination of branches and offices that are exposed).</w:t>
      </w:r>
    </w:p>
    <w:p>
      <w:pPr>
        <w:pStyle w:val="TextBody"/>
        <w:bidi w:val="0"/>
        <w:spacing w:before="0" w:after="0"/>
        <w:ind w:left="0" w:right="0" w:hanging="0"/>
        <w:jc w:val="left"/>
        <w:rPr>
          <w:caps w:val="false"/>
          <w:smallCaps w:val="false"/>
        </w:rPr>
      </w:pPr>
      <w:r>
        <w:rPr>
          <w:caps w:val="false"/>
          <w:smallCaps w:val="false"/>
        </w:rPr>
        <w:t> </w:t>
      </w:r>
    </w:p>
    <w:tbl>
      <w:tblPr>
        <w:tblW w:w="1953" w:type="dxa"/>
        <w:jc w:val="left"/>
        <w:tblInd w:w="0" w:type="dxa"/>
        <w:tblLayout w:type="fixed"/>
        <w:tblCellMar>
          <w:top w:w="0" w:type="dxa"/>
          <w:left w:w="0" w:type="dxa"/>
          <w:bottom w:w="0" w:type="dxa"/>
          <w:right w:w="0" w:type="dxa"/>
        </w:tblCellMar>
      </w:tblPr>
      <w:tblGrid>
        <w:gridCol w:w="38"/>
        <w:gridCol w:w="275"/>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Arial" w:hAnsi="Arial"/>
                <w:b/>
                <w:i w:val="false"/>
                <w:caps w:val="false"/>
                <w:smallCaps w:val="false"/>
                <w:sz w:val="24"/>
              </w:rPr>
            </w:pPr>
            <w:r>
              <w:rPr>
                <w:rFonts w:ascii="Arial" w:hAnsi="Arial"/>
                <w:b/>
                <w:i w:val="false"/>
                <w:caps w:val="false"/>
                <w:smallCaps w:val="false"/>
                <w:sz w:val="24"/>
              </w:rPr>
              <w:t>B)</w:t>
            </w:r>
          </w:p>
        </w:tc>
        <w:tc>
          <w:tcPr>
            <w:tcW w:w="1640" w:type="dxa"/>
            <w:tcBorders/>
            <w:vAlign w:val="center"/>
          </w:tcPr>
          <w:p>
            <w:pPr>
              <w:pStyle w:val="TableContents"/>
              <w:bidi w:val="0"/>
              <w:spacing w:before="0" w:after="283"/>
              <w:jc w:val="both"/>
              <w:rPr>
                <w:rFonts w:ascii="Arial" w:hAnsi="Arial"/>
                <w:b/>
                <w:i w:val="false"/>
                <w:caps w:val="false"/>
                <w:smallCaps w:val="false"/>
                <w:sz w:val="24"/>
              </w:rPr>
            </w:pPr>
            <w:r>
              <w:rPr>
                <w:rFonts w:ascii="Arial" w:hAnsi="Arial"/>
                <w:b/>
                <w:i w:val="false"/>
                <w:caps w:val="false"/>
                <w:smallCaps w:val="false"/>
                <w:sz w:val="24"/>
              </w:rPr>
              <w:t>Cybersecurity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At Credicorp, we are aware that cyber incidents have risen exponentially over the years, particularly in terms of frequency and reputational damage. We believe that maintaining our clients’ trust is fundamental. We prioritize strengthening and developing cybersecurity, which is contemplated in the strategies of each of our lines of business. Credicorp is equipped with a governance framework, which covers employees, suppliers, Executive Management and the Board of Directors. We have increased the robustness of our processes and are continuously implementing new technologies to protect the organization against threats, including phishing, data filtration, ransomware, cyber fraud, distributed denial-of-service (DDoS), and significant incidences of cybersecurity among suppliers, etc.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a global environment that is increasingly complex, cyberattacks have risen both in terms of frequency and sophistication. Accordingly, our Cybersecurity Strategy must adapt and keep pace with these threats. We have implemented significant changes in how we work to facilitate the transition to a long-term situation of remote or hybrid work. This new focus is challenging and means that we must provide our employees with efficient access to their applications and work tools while protecting the company from potential cyber incidents.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Credicorp and its stakeholders believe that Cybersecurity is among the business’s material issues . Consequently, Credicorp’s businesses address cyber risks in their strategic plans and apply data-driven and proven strategies to protect their organizations, which bolsters Credicorp’s resistance and resilience when faced with cyber incidents.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 w:hAnsi="Arial"/>
          <w:b/>
          <w:i w:val="false"/>
          <w:caps w:val="false"/>
          <w:smallCaps w:val="false"/>
          <w:color w:val="7F7F7F"/>
          <w:sz w:val="22"/>
        </w:rPr>
      </w:pPr>
      <w:r>
        <w:rPr>
          <w:rFonts w:ascii="Arial" w:hAnsi="Arial"/>
          <w:b/>
          <w:i w:val="false"/>
          <w:caps w:val="false"/>
          <w:smallCaps w:val="false"/>
          <w:color w:val="7F7F7F"/>
          <w:sz w:val="22"/>
        </w:rPr>
        <w:t>Governance Framework</w:t>
      </w:r>
    </w:p>
    <w:p>
      <w:pPr>
        <w:pStyle w:val="TextBody"/>
        <w:bidi w:val="0"/>
        <w:spacing w:before="0" w:after="0"/>
        <w:ind w:left="0" w:right="0" w:firstLine="360"/>
        <w:jc w:val="both"/>
        <w:rPr>
          <w:caps w:val="false"/>
          <w:smallCaps w:val="false"/>
          <w:color w:val="7F7F7F"/>
        </w:rPr>
      </w:pPr>
      <w:r>
        <w:rPr>
          <w:caps w:val="false"/>
          <w:smallCaps w:val="false"/>
          <w:color w:val="7F7F7F"/>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Given its relevance, cybersecurity at Credicorp involves the entire organization. Members of the Board and Executive Management make periodic statements regarding the cybersecurity risks and threats that have been identified. The company has a corporate Chief Information Security Officer (CISO), who is responsible for defining corporate strategy and supervising as well as overseeing cybersecurity and information security at all Credicorp’s subsidiaries. The head of cybersecurity at each subsidiary reports to the CISO. Additionally, the Risk Committees at each subsidiary are responsible for reviewing the status of the risks that have been identified and approving treatment measures. These committees also approve and follow-up on the Cybersecurity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Cybersecurity strategy is permanently reviewed to contemplate changes on the global scene and in regulations, best practices, and standards to ensure business continuity and protect resilience and data privacy.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 w:hAnsi="Arial"/>
          <w:b/>
          <w:i w:val="false"/>
          <w:caps w:val="false"/>
          <w:smallCaps w:val="false"/>
          <w:color w:val="7F7F7F"/>
          <w:sz w:val="22"/>
        </w:rPr>
      </w:pPr>
      <w:r>
        <w:rPr>
          <w:rFonts w:ascii="Arial" w:hAnsi="Arial"/>
          <w:b/>
          <w:i w:val="false"/>
          <w:caps w:val="false"/>
          <w:smallCaps w:val="false"/>
          <w:color w:val="7F7F7F"/>
          <w:sz w:val="22"/>
        </w:rPr>
        <w:t>Cybersecurity Program</w:t>
      </w:r>
    </w:p>
    <w:p>
      <w:pPr>
        <w:pStyle w:val="TextBody"/>
        <w:bidi w:val="0"/>
        <w:spacing w:before="0" w:after="0"/>
        <w:ind w:left="0" w:right="0" w:firstLine="360"/>
        <w:jc w:val="both"/>
        <w:rPr>
          <w:caps w:val="false"/>
          <w:smallCaps w:val="false"/>
          <w:color w:val="7F7F7F"/>
        </w:rPr>
      </w:pPr>
      <w:r>
        <w:rPr>
          <w:caps w:val="false"/>
          <w:smallCaps w:val="false"/>
          <w:color w:val="7F7F7F"/>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Cybersecurity Program assesses the current level of cybersecurity maturity and detects areas that require improvement. In simple terms, it helps us understand the degree to which our companies are exposed to cybersecurity risks and identify, assess, mitigate and supervise the cybernetic threats to which we are exposed.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color w:val="000000"/>
          <w:sz w:val="20"/>
        </w:rPr>
        <w:t>48</w:t>
      </w:r>
      <w:r>
        <w:rPr>
          <w:rFonts w:ascii="Arial" w:hAnsi="Arial"/>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 are equipped with security services and technologies and perform monitoring and control to identify cybersecurity and information security risks: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w:t>
            </w:r>
          </w:p>
        </w:tc>
        <w:tc>
          <w:tcPr>
            <w:tcW w:w="10087"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Throughout the year, we have conducted constant scanning of our environments, including ethical hacking tests of the environment and applications.</w:t>
            </w:r>
          </w:p>
        </w:tc>
      </w:tr>
    </w:tbl>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w:t>
            </w:r>
          </w:p>
        </w:tc>
        <w:tc>
          <w:tcPr>
            <w:tcW w:w="10087"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Management and monitoring of information technology and security in the on-premises, perimetral and cloud domains.</w:t>
            </w:r>
          </w:p>
        </w:tc>
      </w:tr>
    </w:tbl>
    <w:tbl>
      <w:tblPr>
        <w:tblW w:w="5358" w:type="dxa"/>
        <w:jc w:val="left"/>
        <w:tblInd w:w="0" w:type="dxa"/>
        <w:tblLayout w:type="fixed"/>
        <w:tblCellMar>
          <w:top w:w="0" w:type="dxa"/>
          <w:left w:w="0" w:type="dxa"/>
          <w:bottom w:w="0" w:type="dxa"/>
          <w:right w:w="0" w:type="dxa"/>
        </w:tblCellMar>
      </w:tblPr>
      <w:tblGrid>
        <w:gridCol w:w="38"/>
        <w:gridCol w:w="80"/>
        <w:gridCol w:w="5240"/>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w:t>
            </w:r>
          </w:p>
        </w:tc>
        <w:tc>
          <w:tcPr>
            <w:tcW w:w="5240"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Orchestrated and automated response to security incidents.</w:t>
            </w:r>
          </w:p>
        </w:tc>
      </w:tr>
    </w:tbl>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w:t>
            </w:r>
          </w:p>
        </w:tc>
        <w:tc>
          <w:tcPr>
            <w:tcW w:w="10087"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Intelligence on internal and external threats to make informed decisions on emerging and new threats and new cybersecurity attacks.</w:t>
            </w:r>
          </w:p>
        </w:tc>
      </w:tr>
    </w:tbl>
    <w:tbl>
      <w:tblPr>
        <w:tblW w:w="9678" w:type="dxa"/>
        <w:jc w:val="left"/>
        <w:tblInd w:w="0" w:type="dxa"/>
        <w:tblLayout w:type="fixed"/>
        <w:tblCellMar>
          <w:top w:w="0" w:type="dxa"/>
          <w:left w:w="0" w:type="dxa"/>
          <w:bottom w:w="0" w:type="dxa"/>
          <w:right w:w="0" w:type="dxa"/>
        </w:tblCellMar>
      </w:tblPr>
      <w:tblGrid>
        <w:gridCol w:w="38"/>
        <w:gridCol w:w="80"/>
        <w:gridCol w:w="9560"/>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w:t>
            </w:r>
          </w:p>
        </w:tc>
        <w:tc>
          <w:tcPr>
            <w:tcW w:w="9560"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Preventive security assessments of suppliers, consumers, and strategic allies throughout the contract period.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 apply the principle of security by design by default to develop safe software. This entails modeling threats; utilizing instruments to review code during the development process; and analyzing software composition in the pipeline. These measures contribute significantly to early detection of vulnerabilities in libraries and dependencies, which strengthens security throughout the development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 strive to ensure that our employees and providers are prepared and commit to addressing cybersecurity issues to ensure that the measures, processes and technologies that are part of the Cybersecurity Program are efficient. Our Programa de Cultura RNF has the following scope:</w:t>
      </w:r>
    </w:p>
    <w:p>
      <w:pPr>
        <w:pStyle w:val="TextBody"/>
        <w:bidi w:val="0"/>
        <w:spacing w:before="0" w:after="0"/>
        <w:ind w:left="0" w:right="0" w:hanging="0"/>
        <w:jc w:val="both"/>
        <w:rPr>
          <w:caps w:val="false"/>
          <w:smallCaps w:val="false"/>
        </w:rPr>
      </w:pPr>
      <w:r>
        <w:rPr>
          <w:caps w:val="false"/>
          <w:smallCaps w:val="false"/>
        </w:rPr>
        <w:t> </w:t>
      </w:r>
    </w:p>
    <w:tbl>
      <w:tblPr>
        <w:tblW w:w="9738" w:type="dxa"/>
        <w:jc w:val="left"/>
        <w:tblInd w:w="0" w:type="dxa"/>
        <w:tblLayout w:type="fixed"/>
        <w:tblCellMar>
          <w:top w:w="0" w:type="dxa"/>
          <w:left w:w="0" w:type="dxa"/>
          <w:bottom w:w="0" w:type="dxa"/>
          <w:right w:w="0" w:type="dxa"/>
        </w:tblCellMar>
      </w:tblPr>
      <w:tblGrid>
        <w:gridCol w:w="38"/>
        <w:gridCol w:w="170"/>
        <w:gridCol w:w="95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30"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Induction of new employees prior to their start date to prepare them to handle cybersecurity risks and threats.</w:t>
            </w:r>
          </w:p>
        </w:tc>
      </w:tr>
    </w:tbl>
    <w:tbl>
      <w:tblPr>
        <w:tblW w:w="10205" w:type="dxa"/>
        <w:jc w:val="left"/>
        <w:tblInd w:w="0" w:type="dxa"/>
        <w:tblLayout w:type="fixed"/>
        <w:tblCellMar>
          <w:top w:w="0" w:type="dxa"/>
          <w:left w:w="0" w:type="dxa"/>
          <w:bottom w:w="0" w:type="dxa"/>
          <w:right w:w="0" w:type="dxa"/>
        </w:tblCellMar>
      </w:tblPr>
      <w:tblGrid>
        <w:gridCol w:w="38"/>
        <w:gridCol w:w="94"/>
        <w:gridCol w:w="10073"/>
      </w:tblGrid>
      <w:tr>
        <w:trPr/>
        <w:tc>
          <w:tcPr>
            <w:tcW w:w="38"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ind w:left="0" w:right="0" w:hanging="180"/>
              <w:jc w:val="left"/>
              <w:rPr>
                <w:caps w:val="false"/>
                <w:smallCaps w:val="false"/>
              </w:rPr>
            </w:pPr>
            <w:r>
              <w:rPr>
                <w:caps w:val="false"/>
                <w:smallCaps w:val="false"/>
              </w:rPr>
              <w:t>●</w:t>
            </w:r>
          </w:p>
        </w:tc>
        <w:tc>
          <w:tcPr>
            <w:tcW w:w="10073"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Obligatory training in Cybersecurity and Data Protection for all employees, in accordance with regulatory requirements; this goes hand-in-hand with campaigns to create awareness to strengthen the contents of each course.</w:t>
            </w:r>
          </w:p>
        </w:tc>
      </w:tr>
    </w:tbl>
    <w:tbl>
      <w:tblPr>
        <w:tblW w:w="9573" w:type="dxa"/>
        <w:jc w:val="left"/>
        <w:tblInd w:w="0" w:type="dxa"/>
        <w:tblLayout w:type="fixed"/>
        <w:tblCellMar>
          <w:top w:w="0" w:type="dxa"/>
          <w:left w:w="0" w:type="dxa"/>
          <w:bottom w:w="0" w:type="dxa"/>
          <w:right w:w="0" w:type="dxa"/>
        </w:tblCellMar>
      </w:tblPr>
      <w:tblGrid>
        <w:gridCol w:w="38"/>
        <w:gridCol w:w="170"/>
        <w:gridCol w:w="9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65"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Training for target groups, provided to specific units that need to reinforce their knowledge of Cybersecurity.</w:t>
            </w:r>
          </w:p>
        </w:tc>
      </w:tr>
    </w:tbl>
    <w:tbl>
      <w:tblPr>
        <w:tblW w:w="4668" w:type="dxa"/>
        <w:jc w:val="left"/>
        <w:tblInd w:w="0" w:type="dxa"/>
        <w:tblLayout w:type="fixed"/>
        <w:tblCellMar>
          <w:top w:w="0" w:type="dxa"/>
          <w:left w:w="0" w:type="dxa"/>
          <w:bottom w:w="0" w:type="dxa"/>
          <w:right w:w="0" w:type="dxa"/>
        </w:tblCellMar>
      </w:tblPr>
      <w:tblGrid>
        <w:gridCol w:w="38"/>
        <w:gridCol w:w="170"/>
        <w:gridCol w:w="44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60"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Specialization courses, provided to our specialists.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All contents are periodically reviewed at least once a year. Additionally, we roll out campaigns and phishing scenarios for our employees and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Arial" w:hAnsi="Arial"/>
          <w:b/>
          <w:i w:val="false"/>
          <w:caps w:val="false"/>
          <w:smallCaps w:val="false"/>
          <w:color w:val="7F7F7F"/>
          <w:sz w:val="22"/>
        </w:rPr>
      </w:pPr>
      <w:r>
        <w:rPr>
          <w:rFonts w:ascii="Arial" w:hAnsi="Arial"/>
          <w:b/>
          <w:i w:val="false"/>
          <w:caps w:val="false"/>
          <w:smallCaps w:val="false"/>
          <w:color w:val="7F7F7F"/>
          <w:sz w:val="22"/>
        </w:rPr>
        <w:t>Results</w:t>
      </w:r>
    </w:p>
    <w:p>
      <w:pPr>
        <w:pStyle w:val="TextBody"/>
        <w:bidi w:val="0"/>
        <w:spacing w:before="0" w:after="0"/>
        <w:ind w:left="0" w:right="0" w:firstLine="360"/>
        <w:jc w:val="both"/>
        <w:rPr>
          <w:caps w:val="false"/>
          <w:smallCaps w:val="false"/>
          <w:color w:val="7F7F7F"/>
        </w:rPr>
      </w:pPr>
      <w:r>
        <w:rPr>
          <w:caps w:val="false"/>
          <w:smallCaps w:val="false"/>
          <w:color w:val="7F7F7F"/>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2023, we registered no incidents of data filtration due to cyberattacks. Notwithstanding, we are constantly defending the organization from cyber threats and are monitoring our network devices, applications and servers and permanently assessing the effectiveness of our controls.</w:t>
      </w:r>
    </w:p>
    <w:p>
      <w:pPr>
        <w:pStyle w:val="TextBody"/>
        <w:bidi w:val="0"/>
        <w:spacing w:before="0" w:after="0"/>
        <w:ind w:left="0" w:right="0" w:hanging="0"/>
        <w:jc w:val="both"/>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5660"/>
        <w:gridCol w:w="755"/>
      </w:tblGrid>
      <w:tr>
        <w:trPr/>
        <w:tc>
          <w:tcPr>
            <w:tcW w:w="5660" w:type="dxa"/>
            <w:tcBorders/>
            <w:vAlign w:val="center"/>
          </w:tcPr>
          <w:p>
            <w:pPr>
              <w:pStyle w:val="TableContents"/>
              <w:bidi w:val="0"/>
              <w:spacing w:before="0" w:after="283"/>
              <w:jc w:val="both"/>
              <w:rPr>
                <w:caps w:val="false"/>
                <w:smallCaps w:val="false"/>
              </w:rPr>
            </w:pPr>
            <w:r>
              <w:rPr>
                <w:caps w:val="false"/>
                <w:smallCaps w:val="false"/>
              </w:rPr>
              <w:t> </w:t>
            </w:r>
            <w:r>
              <w:rPr>
                <w:rFonts w:ascii="Arial" w:hAnsi="Arial"/>
                <w:b/>
                <w:i w:val="false"/>
                <w:caps w:val="false"/>
                <w:smallCaps w:val="false"/>
                <w:sz w:val="20"/>
              </w:rPr>
              <w:t>Programs to Create Awareness of Cybersecurity</w:t>
            </w:r>
          </w:p>
        </w:tc>
        <w:tc>
          <w:tcPr>
            <w:tcW w:w="755" w:type="dxa"/>
            <w:tcBorders/>
            <w:vAlign w:val="center"/>
          </w:tcPr>
          <w:p>
            <w:pPr>
              <w:pStyle w:val="TableContents"/>
              <w:bidi w:val="0"/>
              <w:spacing w:before="0" w:after="283"/>
              <w:jc w:val="center"/>
              <w:rPr>
                <w:rFonts w:ascii="Arial" w:hAnsi="Arial"/>
                <w:b/>
                <w:i w:val="false"/>
                <w:caps w:val="false"/>
                <w:smallCaps w:val="false"/>
                <w:sz w:val="20"/>
              </w:rPr>
            </w:pPr>
            <w:r>
              <w:rPr>
                <w:rFonts w:ascii="Arial" w:hAnsi="Arial"/>
                <w:b/>
                <w:i w:val="false"/>
                <w:caps w:val="false"/>
                <w:smallCaps w:val="false"/>
                <w:sz w:val="20"/>
              </w:rPr>
              <w:t>2023</w:t>
            </w:r>
          </w:p>
        </w:tc>
      </w:tr>
      <w:tr>
        <w:trPr/>
        <w:tc>
          <w:tcPr>
            <w:tcW w:w="5660" w:type="dxa"/>
            <w:tcBorders>
              <w:top w:val="single" w:sz="8" w:space="0" w:color="000000"/>
              <w:left w:val="single" w:sz="8" w:space="0" w:color="000000"/>
              <w:bottom w:val="single" w:sz="8" w:space="0" w:color="000000"/>
            </w:tcBorders>
            <w:tcMar>
              <w:top w:w="28" w:type="dxa"/>
              <w:left w:w="108" w:type="dxa"/>
              <w:bottom w:w="28" w:type="dxa"/>
            </w:tcMar>
            <w:vAlign w:val="center"/>
          </w:tcPr>
          <w:p>
            <w:pPr>
              <w:pStyle w:val="TableContents"/>
              <w:bidi w:val="0"/>
              <w:spacing w:lineRule="auto" w:line="240" w:before="0" w:after="283"/>
              <w:jc w:val="both"/>
              <w:rPr>
                <w:caps w:val="false"/>
                <w:smallCaps w:val="false"/>
              </w:rPr>
            </w:pPr>
            <w:r>
              <w:rPr>
                <w:caps w:val="false"/>
                <w:smallCaps w:val="false"/>
              </w:rPr>
              <w:t>  </w:t>
            </w:r>
            <w:r>
              <w:rPr>
                <w:rFonts w:ascii="Arial" w:hAnsi="Arial"/>
                <w:b w:val="false"/>
                <w:i w:val="false"/>
                <w:caps w:val="false"/>
                <w:smallCaps w:val="false"/>
                <w:sz w:val="20"/>
              </w:rPr>
              <w:t># internal courses rolled out in the organization(1)</w:t>
            </w:r>
          </w:p>
        </w:tc>
        <w:tc>
          <w:tcPr>
            <w:tcW w:w="755" w:type="dxa"/>
            <w:tcBorders>
              <w:top w:val="single" w:sz="8" w:space="0" w:color="000000"/>
              <w:bottom w:val="single" w:sz="8" w:space="0" w:color="000000"/>
              <w:right w:val="single" w:sz="8" w:space="0" w:color="000000"/>
            </w:tcBorders>
            <w:tcMar>
              <w:top w:w="28" w:type="dxa"/>
              <w:bottom w:w="28" w:type="dxa"/>
              <w:right w:w="10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8</w:t>
            </w:r>
          </w:p>
        </w:tc>
      </w:tr>
      <w:tr>
        <w:trPr/>
        <w:tc>
          <w:tcPr>
            <w:tcW w:w="5660" w:type="dxa"/>
            <w:tcBorders>
              <w:left w:val="single" w:sz="8" w:space="0" w:color="000000"/>
              <w:bottom w:val="single" w:sz="8" w:space="0" w:color="000000"/>
            </w:tcBorders>
            <w:tcMar>
              <w:left w:w="108" w:type="dxa"/>
              <w:bottom w:w="28" w:type="dxa"/>
            </w:tcMar>
            <w:vAlign w:val="center"/>
          </w:tcPr>
          <w:p>
            <w:pPr>
              <w:pStyle w:val="TableContents"/>
              <w:bidi w:val="0"/>
              <w:spacing w:before="0" w:after="283"/>
              <w:jc w:val="both"/>
              <w:rPr>
                <w:caps w:val="false"/>
                <w:smallCaps w:val="false"/>
              </w:rPr>
            </w:pPr>
            <w:r>
              <w:rPr>
                <w:caps w:val="false"/>
                <w:smallCaps w:val="false"/>
              </w:rPr>
              <w:t>  </w:t>
            </w:r>
            <w:r>
              <w:rPr>
                <w:rFonts w:ascii="Arial" w:hAnsi="Arial"/>
                <w:b w:val="false"/>
                <w:i w:val="false"/>
                <w:caps w:val="false"/>
                <w:smallCaps w:val="false"/>
                <w:sz w:val="20"/>
              </w:rPr>
              <w:t>% employees that participate</w:t>
            </w:r>
          </w:p>
        </w:tc>
        <w:tc>
          <w:tcPr>
            <w:tcW w:w="755"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98.19%</w:t>
            </w:r>
          </w:p>
        </w:tc>
      </w:tr>
      <w:tr>
        <w:trPr/>
        <w:tc>
          <w:tcPr>
            <w:tcW w:w="5660" w:type="dxa"/>
            <w:tcBorders>
              <w:left w:val="single" w:sz="8" w:space="0" w:color="000000"/>
              <w:bottom w:val="single" w:sz="8" w:space="0" w:color="000000"/>
            </w:tcBorders>
            <w:tcMar>
              <w:left w:w="108" w:type="dxa"/>
              <w:bottom w:w="28" w:type="dxa"/>
            </w:tcMar>
            <w:vAlign w:val="center"/>
          </w:tcPr>
          <w:p>
            <w:pPr>
              <w:pStyle w:val="TableContents"/>
              <w:bidi w:val="0"/>
              <w:spacing w:before="0" w:after="283"/>
              <w:jc w:val="both"/>
              <w:rPr>
                <w:caps w:val="false"/>
                <w:smallCaps w:val="false"/>
              </w:rPr>
            </w:pPr>
            <w:r>
              <w:rPr>
                <w:caps w:val="false"/>
                <w:smallCaps w:val="false"/>
              </w:rPr>
              <w:t>  </w:t>
            </w:r>
            <w:r>
              <w:rPr>
                <w:rFonts w:ascii="Arial" w:hAnsi="Arial"/>
                <w:b w:val="false"/>
                <w:i w:val="false"/>
                <w:caps w:val="false"/>
                <w:smallCaps w:val="false"/>
                <w:sz w:val="20"/>
              </w:rPr>
              <w:t>% IT providers that participate</w:t>
            </w:r>
          </w:p>
        </w:tc>
        <w:tc>
          <w:tcPr>
            <w:tcW w:w="755"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 xml:space="preserve">95.14% </w:t>
            </w:r>
          </w:p>
        </w:tc>
      </w:tr>
      <w:tr>
        <w:trPr/>
        <w:tc>
          <w:tcPr>
            <w:tcW w:w="5660" w:type="dxa"/>
            <w:tcBorders/>
            <w:vAlign w:val="center"/>
          </w:tcPr>
          <w:p>
            <w:pPr>
              <w:pStyle w:val="TableContents"/>
              <w:bidi w:val="0"/>
              <w:spacing w:before="0" w:after="283"/>
              <w:jc w:val="both"/>
              <w:rPr>
                <w:rFonts w:ascii="Arial" w:hAnsi="Arial"/>
                <w:b/>
                <w:i w:val="false"/>
                <w:caps w:val="false"/>
                <w:smallCaps w:val="false"/>
                <w:sz w:val="20"/>
              </w:rPr>
            </w:pPr>
            <w:r>
              <w:rPr>
                <w:rFonts w:ascii="Arial" w:hAnsi="Arial"/>
                <w:b/>
                <w:i w:val="false"/>
                <w:caps w:val="false"/>
                <w:smallCaps w:val="false"/>
                <w:sz w:val="20"/>
              </w:rPr>
              <w:t xml:space="preserve">Phishing tests </w:t>
            </w:r>
          </w:p>
        </w:tc>
        <w:tc>
          <w:tcPr>
            <w:tcW w:w="755" w:type="dxa"/>
            <w:tcBorders/>
            <w:vAlign w:val="center"/>
          </w:tcPr>
          <w:p>
            <w:pPr>
              <w:pStyle w:val="TableContents"/>
              <w:bidi w:val="0"/>
              <w:spacing w:before="0" w:after="283"/>
              <w:jc w:val="center"/>
              <w:rPr>
                <w:rFonts w:ascii="Arial" w:hAnsi="Arial"/>
                <w:b/>
                <w:i w:val="false"/>
                <w:caps w:val="false"/>
                <w:smallCaps w:val="false"/>
                <w:sz w:val="20"/>
              </w:rPr>
            </w:pPr>
            <w:r>
              <w:rPr>
                <w:rFonts w:ascii="Arial" w:hAnsi="Arial"/>
                <w:b/>
                <w:i w:val="false"/>
                <w:caps w:val="false"/>
                <w:smallCaps w:val="false"/>
                <w:sz w:val="20"/>
              </w:rPr>
              <w:t>2023</w:t>
            </w:r>
          </w:p>
        </w:tc>
      </w:tr>
      <w:tr>
        <w:trPr/>
        <w:tc>
          <w:tcPr>
            <w:tcW w:w="5660" w:type="dxa"/>
            <w:tcBorders>
              <w:top w:val="single" w:sz="8" w:space="0" w:color="000000"/>
              <w:left w:val="single" w:sz="8" w:space="0" w:color="000000"/>
              <w:bottom w:val="single" w:sz="8" w:space="0" w:color="000000"/>
            </w:tcBorders>
            <w:tcMar>
              <w:top w:w="28" w:type="dxa"/>
              <w:left w:w="108" w:type="dxa"/>
              <w:bottom w:w="28" w:type="dxa"/>
            </w:tcMar>
            <w:vAlign w:val="center"/>
          </w:tcPr>
          <w:p>
            <w:pPr>
              <w:pStyle w:val="TableContents"/>
              <w:bidi w:val="0"/>
              <w:spacing w:before="0" w:after="283"/>
              <w:jc w:val="both"/>
              <w:rPr>
                <w:caps w:val="false"/>
                <w:smallCaps w:val="false"/>
              </w:rPr>
            </w:pPr>
            <w:r>
              <w:rPr>
                <w:caps w:val="false"/>
                <w:smallCaps w:val="false"/>
              </w:rPr>
              <w:t>  </w:t>
            </w:r>
            <w:r>
              <w:rPr>
                <w:rFonts w:ascii="Arial" w:hAnsi="Arial"/>
                <w:b w:val="false"/>
                <w:i w:val="false"/>
                <w:caps w:val="false"/>
                <w:smallCaps w:val="false"/>
                <w:sz w:val="20"/>
              </w:rPr>
              <w:t># of simulations for all employees</w:t>
            </w:r>
          </w:p>
        </w:tc>
        <w:tc>
          <w:tcPr>
            <w:tcW w:w="755" w:type="dxa"/>
            <w:tcBorders>
              <w:top w:val="single" w:sz="8" w:space="0" w:color="000000"/>
              <w:bottom w:val="single" w:sz="8" w:space="0" w:color="000000"/>
              <w:right w:val="single" w:sz="8" w:space="0" w:color="000000"/>
            </w:tcBorders>
            <w:tcMar>
              <w:top w:w="28" w:type="dxa"/>
              <w:bottom w:w="28" w:type="dxa"/>
              <w:right w:w="10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8</w:t>
            </w:r>
          </w:p>
        </w:tc>
      </w:tr>
      <w:tr>
        <w:trPr/>
        <w:tc>
          <w:tcPr>
            <w:tcW w:w="5660" w:type="dxa"/>
            <w:tcBorders>
              <w:left w:val="single" w:sz="8" w:space="0" w:color="000000"/>
              <w:bottom w:val="single" w:sz="8" w:space="0" w:color="000000"/>
            </w:tcBorders>
            <w:tcMar>
              <w:left w:w="108" w:type="dxa"/>
              <w:bottom w:w="28" w:type="dxa"/>
            </w:tcMar>
            <w:vAlign w:val="center"/>
          </w:tcPr>
          <w:p>
            <w:pPr>
              <w:pStyle w:val="TableContents"/>
              <w:bidi w:val="0"/>
              <w:spacing w:before="0" w:after="283"/>
              <w:jc w:val="both"/>
              <w:rPr>
                <w:caps w:val="false"/>
                <w:smallCaps w:val="false"/>
              </w:rPr>
            </w:pPr>
            <w:r>
              <w:rPr>
                <w:caps w:val="false"/>
                <w:smallCaps w:val="false"/>
              </w:rPr>
              <w:t>  </w:t>
            </w:r>
            <w:r>
              <w:rPr>
                <w:rFonts w:ascii="Arial" w:hAnsi="Arial"/>
                <w:b w:val="false"/>
                <w:i w:val="false"/>
                <w:caps w:val="false"/>
                <w:smallCaps w:val="false"/>
                <w:sz w:val="20"/>
              </w:rPr>
              <w:t>% of employees that failed the last simulation</w:t>
            </w:r>
          </w:p>
        </w:tc>
        <w:tc>
          <w:tcPr>
            <w:tcW w:w="755"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7.54%</w:t>
            </w:r>
          </w:p>
        </w:tc>
      </w:tr>
      <w:tr>
        <w:trPr/>
        <w:tc>
          <w:tcPr>
            <w:tcW w:w="5660" w:type="dxa"/>
            <w:tcBorders>
              <w:left w:val="single" w:sz="8" w:space="0" w:color="000000"/>
              <w:bottom w:val="single" w:sz="8" w:space="0" w:color="000000"/>
            </w:tcBorders>
            <w:tcMar>
              <w:left w:w="108" w:type="dxa"/>
              <w:bottom w:w="28" w:type="dxa"/>
            </w:tcMar>
            <w:vAlign w:val="center"/>
          </w:tcPr>
          <w:p>
            <w:pPr>
              <w:pStyle w:val="TableContents"/>
              <w:bidi w:val="0"/>
              <w:spacing w:before="0" w:after="283"/>
              <w:jc w:val="both"/>
              <w:rPr>
                <w:caps w:val="false"/>
                <w:smallCaps w:val="false"/>
              </w:rPr>
            </w:pPr>
            <w:r>
              <w:rPr>
                <w:caps w:val="false"/>
                <w:smallCaps w:val="false"/>
              </w:rPr>
              <w:t>  </w:t>
            </w:r>
            <w:r>
              <w:rPr>
                <w:rFonts w:ascii="Arial" w:hAnsi="Arial"/>
                <w:b w:val="false"/>
                <w:i w:val="false"/>
                <w:caps w:val="false"/>
                <w:smallCaps w:val="false"/>
                <w:sz w:val="20"/>
              </w:rPr>
              <w:t xml:space="preserve"># of simulations for employees with critical roles </w:t>
            </w:r>
          </w:p>
        </w:tc>
        <w:tc>
          <w:tcPr>
            <w:tcW w:w="755"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8</w:t>
            </w:r>
          </w:p>
        </w:tc>
      </w:tr>
      <w:tr>
        <w:trPr/>
        <w:tc>
          <w:tcPr>
            <w:tcW w:w="5660" w:type="dxa"/>
            <w:tcBorders>
              <w:left w:val="single" w:sz="8" w:space="0" w:color="000000"/>
              <w:bottom w:val="single" w:sz="8" w:space="0" w:color="000000"/>
            </w:tcBorders>
            <w:tcMar>
              <w:left w:w="108" w:type="dxa"/>
              <w:bottom w:w="28" w:type="dxa"/>
            </w:tcMar>
            <w:vAlign w:val="center"/>
          </w:tcPr>
          <w:p>
            <w:pPr>
              <w:pStyle w:val="TableContents"/>
              <w:bidi w:val="0"/>
              <w:spacing w:before="0" w:after="283"/>
              <w:jc w:val="both"/>
              <w:rPr>
                <w:caps w:val="false"/>
                <w:smallCaps w:val="false"/>
              </w:rPr>
            </w:pPr>
            <w:r>
              <w:rPr>
                <w:caps w:val="false"/>
                <w:smallCaps w:val="false"/>
              </w:rPr>
              <w:t>  </w:t>
            </w:r>
            <w:r>
              <w:rPr>
                <w:rFonts w:ascii="Arial" w:hAnsi="Arial"/>
                <w:b w:val="false"/>
                <w:i w:val="false"/>
                <w:caps w:val="false"/>
                <w:smallCaps w:val="false"/>
                <w:sz w:val="20"/>
              </w:rPr>
              <w:t>% of employees with critical roles who failed the last simulation</w:t>
            </w:r>
          </w:p>
        </w:tc>
        <w:tc>
          <w:tcPr>
            <w:tcW w:w="755"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2.78%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color w:val="000000"/>
          <w:sz w:val="20"/>
        </w:rPr>
        <w:t>49</w:t>
      </w:r>
      <w:r>
        <w:rPr>
          <w:rFonts w:ascii="Arial" w:hAnsi="Arial"/>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color w:val="595959"/>
          <w:sz w:val="28"/>
        </w:rPr>
      </w:pPr>
      <w:r>
        <w:rPr>
          <w:rFonts w:ascii="Arial" w:hAnsi="Arial"/>
          <w:b/>
          <w:i w:val="false"/>
          <w:caps w:val="false"/>
          <w:smallCaps w:val="false"/>
          <w:color w:val="595959"/>
          <w:sz w:val="28"/>
        </w:rPr>
        <w:t>IV. Capital Management</w:t>
      </w:r>
    </w:p>
    <w:p>
      <w:pPr>
        <w:pStyle w:val="TextBody"/>
        <w:bidi w:val="0"/>
        <w:spacing w:before="0" w:after="0"/>
        <w:ind w:left="0" w:right="0" w:hanging="0"/>
        <w:jc w:val="both"/>
        <w:rPr>
          <w:caps w:val="false"/>
          <w:smallCaps w:val="false"/>
          <w:color w:val="595959"/>
        </w:rPr>
      </w:pPr>
      <w:r>
        <w:rPr>
          <w:caps w:val="false"/>
          <w:smallCaps w:val="false"/>
          <w:color w:val="595959"/>
        </w:rPr>
        <w:t> </w:t>
      </w:r>
    </w:p>
    <w:p>
      <w:pPr>
        <w:pStyle w:val="TextBody"/>
        <w:bidi w:val="0"/>
        <w:spacing w:before="0" w:after="0"/>
        <w:ind w:left="0" w:right="0" w:firstLine="360"/>
        <w:jc w:val="both"/>
        <w:rPr>
          <w:rFonts w:ascii="Arial" w:hAnsi="Arial"/>
          <w:b/>
          <w:i w:val="false"/>
          <w:caps w:val="false"/>
          <w:smallCaps w:val="false"/>
          <w:color w:val="7F7F7F"/>
          <w:sz w:val="22"/>
        </w:rPr>
      </w:pPr>
      <w:r>
        <w:rPr>
          <w:rFonts w:ascii="Arial" w:hAnsi="Arial"/>
          <w:b/>
          <w:i w:val="false"/>
          <w:caps w:val="false"/>
          <w:smallCaps w:val="false"/>
          <w:color w:val="7F7F7F"/>
          <w:sz w:val="22"/>
        </w:rPr>
        <w:t>Solvency Management</w:t>
      </w:r>
    </w:p>
    <w:p>
      <w:pPr>
        <w:pStyle w:val="TextBody"/>
        <w:bidi w:val="0"/>
        <w:spacing w:before="0" w:after="0"/>
        <w:ind w:left="0" w:right="0" w:firstLine="360"/>
        <w:jc w:val="both"/>
        <w:rPr>
          <w:caps w:val="false"/>
          <w:smallCaps w:val="false"/>
          <w:color w:val="7F7F7F"/>
        </w:rPr>
      </w:pPr>
      <w:r>
        <w:rPr>
          <w:caps w:val="false"/>
          <w:smallCaps w:val="false"/>
          <w:color w:val="7F7F7F"/>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Credicorp actively manages the capital base to cover the risks that are inherent to its activities. The Group’s capital adequacy is monitored through, among other measures, the norms and ratios established by the regulator.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objectives of capital management are: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I.</w:t>
            </w:r>
          </w:p>
        </w:tc>
        <w:tc>
          <w:tcPr>
            <w:tcW w:w="10027"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Fulfill the requirements established for the risk appetite and those set by the regulators of the sectors where the group’s businesses operate.</w:t>
            </w:r>
          </w:p>
        </w:tc>
      </w:tr>
    </w:tbl>
    <w:p>
      <w:pPr>
        <w:pStyle w:val="TextBody"/>
        <w:bidi w:val="0"/>
        <w:spacing w:before="0" w:after="0"/>
        <w:jc w:val="left"/>
        <w:rPr>
          <w:caps w:val="false"/>
          <w:smallCaps w:val="false"/>
        </w:rPr>
      </w:pPr>
      <w:r>
        <w:rPr>
          <w:caps w:val="false"/>
          <w:smallCaps w:val="false"/>
        </w:rPr>
        <w:t> </w:t>
      </w:r>
    </w:p>
    <w:tbl>
      <w:tblPr>
        <w:tblW w:w="7368" w:type="dxa"/>
        <w:jc w:val="left"/>
        <w:tblInd w:w="0" w:type="dxa"/>
        <w:tblLayout w:type="fixed"/>
        <w:tblCellMar>
          <w:top w:w="0" w:type="dxa"/>
          <w:left w:w="0" w:type="dxa"/>
          <w:bottom w:w="0" w:type="dxa"/>
          <w:right w:w="0" w:type="dxa"/>
        </w:tblCellMar>
      </w:tblPr>
      <w:tblGrid>
        <w:gridCol w:w="38"/>
        <w:gridCol w:w="200"/>
        <w:gridCol w:w="71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II.</w:t>
            </w:r>
          </w:p>
        </w:tc>
        <w:tc>
          <w:tcPr>
            <w:tcW w:w="7130"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Safeguard the capacity to continue operating to generate returns for shareholders.</w:t>
            </w:r>
          </w:p>
        </w:tc>
      </w:tr>
    </w:tbl>
    <w:p>
      <w:pPr>
        <w:pStyle w:val="TextBody"/>
        <w:bidi w:val="0"/>
        <w:spacing w:before="0" w:after="0"/>
        <w:jc w:val="left"/>
        <w:rPr>
          <w:caps w:val="false"/>
          <w:smallCaps w:val="false"/>
        </w:rPr>
      </w:pPr>
      <w:r>
        <w:rPr>
          <w:caps w:val="false"/>
          <w:smallCaps w:val="false"/>
        </w:rPr>
        <w:t> </w:t>
      </w:r>
    </w:p>
    <w:tbl>
      <w:tblPr>
        <w:tblW w:w="6633" w:type="dxa"/>
        <w:jc w:val="left"/>
        <w:tblInd w:w="0" w:type="dxa"/>
        <w:tblLayout w:type="fixed"/>
        <w:tblCellMar>
          <w:top w:w="0" w:type="dxa"/>
          <w:left w:w="0" w:type="dxa"/>
          <w:bottom w:w="0" w:type="dxa"/>
          <w:right w:w="0" w:type="dxa"/>
        </w:tblCellMar>
      </w:tblPr>
      <w:tblGrid>
        <w:gridCol w:w="38"/>
        <w:gridCol w:w="260"/>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III.</w:t>
            </w:r>
          </w:p>
        </w:tc>
        <w:tc>
          <w:tcPr>
            <w:tcW w:w="6335"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Maintain a solid capital base to support the development of its activities.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At the end of December of 2023 and 2022, net equity at the companies dedicated to financial activities and insurance totaled approximately S/33,452.6 million and S/31,754.6 million respectively. Under local accounting, the Group’s effective equity exceed the minimum equity required by approximately S/7,731.9 million at the as of December 31, 2023 (approximately S/8,157.0 million as of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shd w:fill="FFFFFF" w:val="clear"/>
        </w:rPr>
      </w:pPr>
      <w:r>
        <w:rPr>
          <w:rFonts w:ascii="Arial" w:hAnsi="Arial"/>
          <w:b w:val="false"/>
          <w:i w:val="false"/>
          <w:caps w:val="false"/>
          <w:smallCaps w:val="false"/>
          <w:sz w:val="20"/>
          <w:shd w:fill="FFFFFF" w:val="clear"/>
        </w:rPr>
        <w:t>Our banking companies in Peru carry out stress tests annually, in line with the regulatory requirement (SBS No. 3780-2011). Stress tests are a set of procedures and routines that seek to simulate extreme scenarios that affect the institution, in order to identify and evaluate solvency, income level and management vulnerabilities under an adverse macroeconomic and market scenario for a horizon. not less than three years. The results are communicated to the Risk Management Committee and Board of Directors for their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color w:val="7F7F7F"/>
          <w:sz w:val="22"/>
        </w:rPr>
      </w:pPr>
      <w:r>
        <w:rPr>
          <w:rFonts w:ascii="Arial" w:hAnsi="Arial"/>
          <w:b/>
          <w:i w:val="false"/>
          <w:caps w:val="false"/>
          <w:smallCaps w:val="false"/>
          <w:color w:val="7F7F7F"/>
          <w:sz w:val="22"/>
        </w:rPr>
        <w:t>Economic Capital</w:t>
      </w:r>
    </w:p>
    <w:p>
      <w:pPr>
        <w:pStyle w:val="TextBody"/>
        <w:bidi w:val="0"/>
        <w:spacing w:before="0" w:after="0"/>
        <w:ind w:left="0" w:right="0" w:hanging="0"/>
        <w:jc w:val="both"/>
        <w:rPr>
          <w:caps w:val="false"/>
          <w:smallCaps w:val="false"/>
          <w:color w:val="7F7F7F"/>
        </w:rPr>
      </w:pPr>
      <w:r>
        <w:rPr>
          <w:caps w:val="false"/>
          <w:smallCaps w:val="false"/>
          <w:color w:val="7F7F7F"/>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Economic capital represents the level of backing that a financial entity needs to protect itself from economic insolvency, which can be generated by unexpected shocks that adversely affect the value of assets and liabilities. Since 2011, Credicorp has used an economic capital model to preserve its target solvency levels in a sustained manner to maintain the organization’s international risk rating above scales equivalent to BBB+ and ensure the adequate risk-adjusted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Economic capital models work to complement the regulatory capital requirements and align with the industry’s best practices. As such, the main risks that each of the Group’s subsidiaries faces (credit risk, ALM risk, market risk, underwriting risk, business risk and operating risk) are consolidated in a single metric, incorporating the benefits of the diversification of distinct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color w:val="000000"/>
          <w:sz w:val="20"/>
        </w:rPr>
        <w:t>50</w:t>
      </w:r>
      <w:r>
        <w:rPr>
          <w:rFonts w:ascii="Arial" w:hAnsi="Arial"/>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54"/>
        </w:rPr>
      </w:pPr>
      <w:r>
        <w:rPr>
          <w:rFonts w:ascii="Arial" w:hAnsi="Arial"/>
          <w:b/>
          <w:i w:val="false"/>
          <w:caps w:val="false"/>
          <w:smallCaps w:val="false"/>
          <w:sz w:val="54"/>
        </w:rPr>
        <w:t>Chapter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36"/>
        </w:rPr>
      </w:pPr>
      <w:bookmarkStart w:id="16" w:name="a009_v1"/>
      <w:bookmarkEnd w:id="16"/>
      <w:r>
        <w:rPr>
          <w:rFonts w:ascii="Arial" w:hAnsi="Arial"/>
          <w:b/>
          <w:i w:val="false"/>
          <w:caps w:val="false"/>
          <w:smallCaps w:val="false"/>
          <w:sz w:val="36"/>
        </w:rPr>
        <w:t>Financial Statements</w:t>
      </w:r>
    </w:p>
    <w:p>
      <w:pPr>
        <w:pStyle w:val="TextBody"/>
        <w:bidi w:val="0"/>
        <w:spacing w:before="60" w:after="12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caps w:val="false"/>
          <w:smallCaps w:val="false"/>
          <w:sz w:val="20"/>
        </w:rPr>
      </w:pPr>
      <w:r>
        <w:rPr>
          <w:rFonts w:ascii="Arial" w:hAnsi="Arial"/>
          <w:b/>
          <w:i/>
          <w:caps w:val="false"/>
          <w:smallCaps w:val="false"/>
          <w:sz w:val="20"/>
        </w:rPr>
        <w:t xml:space="preserve">GRI </w:t>
      </w:r>
      <w:r>
        <w:rPr>
          <w:rFonts w:ascii="Arial" w:hAnsi="Arial"/>
          <w:b w:val="false"/>
          <w:i/>
          <w:caps w:val="false"/>
          <w:smallCaps w:val="false"/>
          <w:sz w:val="20"/>
        </w:rPr>
        <w:t>207-1, 207-2, 207-4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65"/>
        <w:gridCol w:w="60"/>
        <w:gridCol w:w="508"/>
        <w:gridCol w:w="60"/>
        <w:gridCol w:w="1627"/>
        <w:gridCol w:w="60"/>
        <w:gridCol w:w="1594"/>
        <w:gridCol w:w="60"/>
        <w:gridCol w:w="1571"/>
      </w:tblGrid>
      <w:tr>
        <w:trPr/>
        <w:tc>
          <w:tcPr>
            <w:tcW w:w="4665" w:type="dxa"/>
            <w:tcBorders/>
            <w:vAlign w:val="center"/>
          </w:tcPr>
          <w:p>
            <w:pPr>
              <w:pStyle w:val="TableContents"/>
              <w:bidi w:val="0"/>
              <w:spacing w:before="0" w:after="283"/>
              <w:jc w:val="left"/>
              <w:rPr>
                <w:b/>
              </w:rPr>
            </w:pPr>
            <w:r>
              <w:rPr>
                <w:b/>
              </w:rPr>
              <w:t>CREDICORP LTD. AND SUBSIDIARIES</w:t>
            </w:r>
          </w:p>
        </w:tc>
        <w:tc>
          <w:tcPr>
            <w:tcW w:w="60"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1" w:type="dxa"/>
            <w:tcBorders/>
            <w:vAlign w:val="center"/>
          </w:tcPr>
          <w:p>
            <w:pPr>
              <w:pStyle w:val="TableContents"/>
              <w:bidi w:val="0"/>
              <w:spacing w:before="0" w:after="283"/>
              <w:jc w:val="left"/>
              <w:rPr/>
            </w:pPr>
            <w:r>
              <w:rPr/>
              <w:t> </w:t>
            </w:r>
          </w:p>
        </w:tc>
      </w:tr>
      <w:tr>
        <w:trPr/>
        <w:tc>
          <w:tcPr>
            <w:tcW w:w="8574" w:type="dxa"/>
            <w:gridSpan w:val="7"/>
            <w:tcBorders/>
            <w:vAlign w:val="center"/>
          </w:tcPr>
          <w:p>
            <w:pPr>
              <w:pStyle w:val="TableContents"/>
              <w:bidi w:val="0"/>
              <w:jc w:val="left"/>
              <w:rPr>
                <w:caps w:val="false"/>
                <w:smallCaps w:val="false"/>
              </w:rPr>
            </w:pPr>
            <w:r>
              <w:rPr>
                <w:caps w:val="false"/>
                <w:smallCaps w:val="false"/>
              </w:rPr>
              <w:t> </w:t>
            </w:r>
          </w:p>
          <w:p>
            <w:pPr>
              <w:pStyle w:val="TableContents"/>
              <w:bidi w:val="0"/>
              <w:spacing w:before="0" w:after="283"/>
              <w:jc w:val="left"/>
              <w:rPr>
                <w:b w:val="false"/>
                <w:i w:val="false"/>
                <w:caps w:val="false"/>
                <w:smallCaps w:val="false"/>
              </w:rPr>
            </w:pPr>
            <w:r>
              <w:rPr>
                <w:b w:val="false"/>
                <w:i w:val="false"/>
                <w:caps w:val="false"/>
                <w:smallCaps w:val="false"/>
              </w:rPr>
              <w:t>CONSOLIDATED STATEMENT OF FINANCIAL POSITION</w:t>
              <w:br/>
              <w:t>AS OF DECEMBER 31, 2023, 2022 (RESTATED) AND JANUARY 01, 2022 (RESTATED)</w:t>
            </w:r>
          </w:p>
        </w:tc>
        <w:tc>
          <w:tcPr>
            <w:tcW w:w="60" w:type="dxa"/>
            <w:tcBorders/>
            <w:vAlign w:val="center"/>
          </w:tcPr>
          <w:p>
            <w:pPr>
              <w:pStyle w:val="TableContents"/>
              <w:bidi w:val="0"/>
              <w:spacing w:before="0" w:after="283"/>
              <w:jc w:val="left"/>
              <w:rPr/>
            </w:pPr>
            <w:r>
              <w:rPr/>
              <w:t> </w:t>
            </w:r>
          </w:p>
        </w:tc>
        <w:tc>
          <w:tcPr>
            <w:tcW w:w="1571" w:type="dxa"/>
            <w:tcBorders/>
            <w:vAlign w:val="center"/>
          </w:tcPr>
          <w:p>
            <w:pPr>
              <w:pStyle w:val="TableContents"/>
              <w:bidi w:val="0"/>
              <w:spacing w:before="0" w:after="283"/>
              <w:jc w:val="left"/>
              <w:rPr/>
            </w:pPr>
            <w:r>
              <w:rPr/>
              <w:t> </w:t>
            </w:r>
          </w:p>
        </w:tc>
      </w:tr>
      <w:tr>
        <w:trPr/>
        <w:tc>
          <w:tcPr>
            <w:tcW w:w="4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1627" w:type="dxa"/>
            <w:tcBorders>
              <w:bottom w:val="single" w:sz="8" w:space="0" w:color="000000"/>
            </w:tcBorders>
            <w:tcMar>
              <w:bottom w:w="28" w:type="dxa"/>
            </w:tcMar>
            <w:vAlign w:val="center"/>
          </w:tcPr>
          <w:p>
            <w:pPr>
              <w:pStyle w:val="TableContents"/>
              <w:bidi w:val="0"/>
              <w:spacing w:before="0" w:after="283"/>
              <w:jc w:val="left"/>
              <w:rPr>
                <w:b/>
              </w:rPr>
            </w:pPr>
            <w:r>
              <w:rPr>
                <w:b/>
              </w:rPr>
              <w:t>As of</w:t>
              <w:br/>
              <w:t>December 31, 2023</w:t>
            </w:r>
          </w:p>
        </w:tc>
        <w:tc>
          <w:tcPr>
            <w:tcW w:w="60" w:type="dxa"/>
            <w:tcBorders/>
            <w:vAlign w:val="center"/>
          </w:tcPr>
          <w:p>
            <w:pPr>
              <w:pStyle w:val="TableContents"/>
              <w:bidi w:val="0"/>
              <w:spacing w:before="0" w:after="283"/>
              <w:jc w:val="left"/>
              <w:rPr/>
            </w:pPr>
            <w:r>
              <w:rPr/>
              <w:t> </w:t>
            </w:r>
          </w:p>
        </w:tc>
        <w:tc>
          <w:tcPr>
            <w:tcW w:w="1594" w:type="dxa"/>
            <w:tcBorders>
              <w:bottom w:val="single" w:sz="8" w:space="0" w:color="000000"/>
            </w:tcBorders>
            <w:tcMar>
              <w:bottom w:w="28" w:type="dxa"/>
            </w:tcMar>
            <w:vAlign w:val="center"/>
          </w:tcPr>
          <w:p>
            <w:pPr>
              <w:pStyle w:val="TableContents"/>
              <w:bidi w:val="0"/>
              <w:spacing w:before="0" w:after="283"/>
              <w:jc w:val="left"/>
              <w:rPr>
                <w:b/>
              </w:rPr>
            </w:pPr>
            <w:r>
              <w:rPr>
                <w:b/>
              </w:rPr>
              <w:t>As of</w:t>
              <w:br/>
              <w:t>December 31,2022</w:t>
              <w:br/>
              <w:t>(Restated) (*)</w:t>
            </w:r>
          </w:p>
        </w:tc>
        <w:tc>
          <w:tcPr>
            <w:tcW w:w="60" w:type="dxa"/>
            <w:tcBorders/>
            <w:vAlign w:val="center"/>
          </w:tcPr>
          <w:p>
            <w:pPr>
              <w:pStyle w:val="TableContents"/>
              <w:bidi w:val="0"/>
              <w:spacing w:before="0" w:after="283"/>
              <w:jc w:val="left"/>
              <w:rPr/>
            </w:pPr>
            <w:r>
              <w:rPr/>
              <w:t> </w:t>
            </w:r>
          </w:p>
        </w:tc>
        <w:tc>
          <w:tcPr>
            <w:tcW w:w="1571" w:type="dxa"/>
            <w:tcBorders>
              <w:bottom w:val="single" w:sz="8" w:space="0" w:color="000000"/>
            </w:tcBorders>
            <w:tcMar>
              <w:bottom w:w="28" w:type="dxa"/>
            </w:tcMar>
            <w:vAlign w:val="center"/>
          </w:tcPr>
          <w:p>
            <w:pPr>
              <w:pStyle w:val="TableContents"/>
              <w:bidi w:val="0"/>
              <w:spacing w:before="0" w:after="283"/>
              <w:ind w:left="0" w:right="0" w:hanging="0"/>
              <w:jc w:val="left"/>
              <w:rPr>
                <w:b/>
              </w:rPr>
            </w:pPr>
            <w:r>
              <w:rPr>
                <w:b/>
              </w:rPr>
              <w:t>As of January 01,</w:t>
              <w:br/>
              <w:t>2022 (Restated)</w:t>
              <w:br/>
              <w:t>(*)</w:t>
            </w:r>
          </w:p>
        </w:tc>
      </w:tr>
      <w:tr>
        <w:trPr/>
        <w:tc>
          <w:tcPr>
            <w:tcW w:w="4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627" w:type="dxa"/>
            <w:tcBorders/>
            <w:vAlign w:val="center"/>
          </w:tcPr>
          <w:p>
            <w:pPr>
              <w:pStyle w:val="TableContents"/>
              <w:bidi w:val="0"/>
              <w:spacing w:before="0" w:after="283"/>
              <w:jc w:val="left"/>
              <w:rPr>
                <w:b/>
              </w:rPr>
            </w:pPr>
            <w:r>
              <w:rPr>
                <w:b/>
              </w:rPr>
              <w:t>S/(000)</w:t>
            </w:r>
          </w:p>
        </w:tc>
        <w:tc>
          <w:tcPr>
            <w:tcW w:w="60" w:type="dxa"/>
            <w:tcBorders/>
            <w:vAlign w:val="center"/>
          </w:tcPr>
          <w:p>
            <w:pPr>
              <w:pStyle w:val="TableContents"/>
              <w:bidi w:val="0"/>
              <w:spacing w:before="0" w:after="283"/>
              <w:jc w:val="left"/>
              <w:rPr/>
            </w:pPr>
            <w:r>
              <w:rPr/>
              <w:t> </w:t>
            </w:r>
          </w:p>
        </w:tc>
        <w:tc>
          <w:tcPr>
            <w:tcW w:w="1594" w:type="dxa"/>
            <w:tcBorders/>
            <w:vAlign w:val="center"/>
          </w:tcPr>
          <w:p>
            <w:pPr>
              <w:pStyle w:val="TableContents"/>
              <w:bidi w:val="0"/>
              <w:spacing w:before="0" w:after="283"/>
              <w:jc w:val="left"/>
              <w:rPr>
                <w:b/>
              </w:rPr>
            </w:pPr>
            <w:r>
              <w:rPr>
                <w:b/>
              </w:rPr>
              <w:t>S/(000)</w:t>
            </w:r>
          </w:p>
        </w:tc>
        <w:tc>
          <w:tcPr>
            <w:tcW w:w="60" w:type="dxa"/>
            <w:tcBorders/>
            <w:vAlign w:val="center"/>
          </w:tcPr>
          <w:p>
            <w:pPr>
              <w:pStyle w:val="TableContents"/>
              <w:bidi w:val="0"/>
              <w:spacing w:before="0" w:after="283"/>
              <w:jc w:val="left"/>
              <w:rPr/>
            </w:pPr>
            <w:r>
              <w:rPr/>
              <w:t> </w:t>
            </w:r>
          </w:p>
        </w:tc>
        <w:tc>
          <w:tcPr>
            <w:tcW w:w="1571" w:type="dxa"/>
            <w:tcBorders/>
            <w:vAlign w:val="center"/>
          </w:tcPr>
          <w:p>
            <w:pPr>
              <w:pStyle w:val="TableContents"/>
              <w:bidi w:val="0"/>
              <w:spacing w:before="0" w:after="283"/>
              <w:ind w:left="0" w:right="0" w:hanging="0"/>
              <w:jc w:val="left"/>
              <w:rPr>
                <w:b/>
              </w:rPr>
            </w:pPr>
            <w:r>
              <w:rPr>
                <w:b/>
              </w:rPr>
              <w:t>S/(000)</w:t>
            </w:r>
          </w:p>
        </w:tc>
      </w:tr>
      <w:tr>
        <w:trPr/>
        <w:tc>
          <w:tcPr>
            <w:tcW w:w="4665"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62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59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571" w:type="dxa"/>
            <w:tcBorders/>
            <w:vAlign w:val="center"/>
          </w:tcPr>
          <w:p>
            <w:pPr>
              <w:pStyle w:val="TableContents"/>
              <w:bidi w:val="0"/>
              <w:spacing w:before="0" w:after="283"/>
              <w:ind w:left="0" w:right="0" w:hanging="0"/>
              <w:jc w:val="left"/>
              <w:rPr/>
            </w:pPr>
            <w:r>
              <w:rPr/>
              <w:t> </w:t>
            </w:r>
          </w:p>
        </w:tc>
      </w:tr>
      <w:tr>
        <w:trPr/>
        <w:tc>
          <w:tcPr>
            <w:tcW w:w="4665" w:type="dxa"/>
            <w:tcBorders/>
            <w:vAlign w:val="center"/>
          </w:tcPr>
          <w:p>
            <w:pPr>
              <w:pStyle w:val="TableContents"/>
              <w:bidi w:val="0"/>
              <w:spacing w:before="0" w:after="283"/>
              <w:jc w:val="left"/>
              <w:rPr/>
            </w:pPr>
            <w:r>
              <w:rPr/>
              <w:t>Cash and due from banks:</w:t>
            </w:r>
          </w:p>
        </w:tc>
        <w:tc>
          <w:tcPr>
            <w:tcW w:w="60"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62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59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571" w:type="dxa"/>
            <w:tcBorders/>
            <w:vAlign w:val="center"/>
          </w:tcPr>
          <w:p>
            <w:pPr>
              <w:pStyle w:val="TableContents"/>
              <w:bidi w:val="0"/>
              <w:spacing w:before="0" w:after="283"/>
              <w:ind w:left="0" w:right="0" w:hanging="0"/>
              <w:jc w:val="left"/>
              <w:rPr/>
            </w:pPr>
            <w:r>
              <w:rPr/>
              <w:t> </w:t>
            </w:r>
          </w:p>
        </w:tc>
      </w:tr>
      <w:tr>
        <w:trPr/>
        <w:tc>
          <w:tcPr>
            <w:tcW w:w="4665" w:type="dxa"/>
            <w:tcBorders/>
            <w:vAlign w:val="center"/>
          </w:tcPr>
          <w:p>
            <w:pPr>
              <w:pStyle w:val="TableContents"/>
              <w:bidi w:val="0"/>
              <w:spacing w:before="0" w:after="283"/>
              <w:jc w:val="left"/>
              <w:rPr/>
            </w:pPr>
            <w:r>
              <w:rPr/>
              <w:t>Non-interest-bearing</w:t>
            </w:r>
          </w:p>
        </w:tc>
        <w:tc>
          <w:tcPr>
            <w:tcW w:w="60"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627" w:type="dxa"/>
            <w:tcBorders/>
            <w:vAlign w:val="center"/>
          </w:tcPr>
          <w:p>
            <w:pPr>
              <w:pStyle w:val="TableContents"/>
              <w:bidi w:val="0"/>
              <w:spacing w:before="0" w:after="283"/>
              <w:jc w:val="right"/>
              <w:rPr/>
            </w:pPr>
            <w:r>
              <w:rPr/>
              <w:t>7,952,371</w:t>
            </w:r>
          </w:p>
        </w:tc>
        <w:tc>
          <w:tcPr>
            <w:tcW w:w="60" w:type="dxa"/>
            <w:tcBorders/>
            <w:vAlign w:val="center"/>
          </w:tcPr>
          <w:p>
            <w:pPr>
              <w:pStyle w:val="TableContents"/>
              <w:bidi w:val="0"/>
              <w:spacing w:before="0" w:after="283"/>
              <w:jc w:val="left"/>
              <w:rPr/>
            </w:pPr>
            <w:r>
              <w:rPr/>
              <w:t> </w:t>
            </w:r>
          </w:p>
        </w:tc>
        <w:tc>
          <w:tcPr>
            <w:tcW w:w="1594" w:type="dxa"/>
            <w:tcBorders/>
            <w:vAlign w:val="center"/>
          </w:tcPr>
          <w:p>
            <w:pPr>
              <w:pStyle w:val="TableContents"/>
              <w:bidi w:val="0"/>
              <w:spacing w:before="0" w:after="283"/>
              <w:jc w:val="right"/>
              <w:rPr/>
            </w:pPr>
            <w:r>
              <w:rPr/>
              <w:t>7,286,624</w:t>
            </w:r>
          </w:p>
        </w:tc>
        <w:tc>
          <w:tcPr>
            <w:tcW w:w="60" w:type="dxa"/>
            <w:tcBorders/>
            <w:vAlign w:val="center"/>
          </w:tcPr>
          <w:p>
            <w:pPr>
              <w:pStyle w:val="TableContents"/>
              <w:bidi w:val="0"/>
              <w:spacing w:before="0" w:after="283"/>
              <w:jc w:val="left"/>
              <w:rPr/>
            </w:pPr>
            <w:r>
              <w:rPr/>
              <w:t> </w:t>
            </w:r>
          </w:p>
        </w:tc>
        <w:tc>
          <w:tcPr>
            <w:tcW w:w="1571" w:type="dxa"/>
            <w:tcBorders/>
            <w:vAlign w:val="center"/>
          </w:tcPr>
          <w:p>
            <w:pPr>
              <w:pStyle w:val="TableContents"/>
              <w:bidi w:val="0"/>
              <w:spacing w:before="0" w:after="283"/>
              <w:ind w:left="0" w:right="0" w:hanging="0"/>
              <w:jc w:val="right"/>
              <w:rPr/>
            </w:pPr>
            <w:r>
              <w:rPr/>
              <w:t>6,925,332</w:t>
            </w:r>
          </w:p>
        </w:tc>
      </w:tr>
      <w:tr>
        <w:trPr/>
        <w:tc>
          <w:tcPr>
            <w:tcW w:w="4665" w:type="dxa"/>
            <w:tcBorders/>
            <w:vAlign w:val="center"/>
          </w:tcPr>
          <w:p>
            <w:pPr>
              <w:pStyle w:val="TableContents"/>
              <w:bidi w:val="0"/>
              <w:spacing w:before="0" w:after="283"/>
              <w:jc w:val="left"/>
              <w:rPr/>
            </w:pPr>
            <w:r>
              <w:rPr/>
              <w:t>Interest-bearing</w:t>
            </w:r>
          </w:p>
        </w:tc>
        <w:tc>
          <w:tcPr>
            <w:tcW w:w="60"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627" w:type="dxa"/>
            <w:tcBorders>
              <w:bottom w:val="single" w:sz="8" w:space="0" w:color="000000"/>
            </w:tcBorders>
            <w:tcMar>
              <w:bottom w:w="28" w:type="dxa"/>
            </w:tcMar>
            <w:vAlign w:val="center"/>
          </w:tcPr>
          <w:p>
            <w:pPr>
              <w:pStyle w:val="TableContents"/>
              <w:bidi w:val="0"/>
              <w:spacing w:before="0" w:after="283"/>
              <w:jc w:val="right"/>
              <w:rPr/>
            </w:pPr>
            <w:r>
              <w:rPr/>
              <w:t>25,978,577</w:t>
            </w:r>
          </w:p>
        </w:tc>
        <w:tc>
          <w:tcPr>
            <w:tcW w:w="60" w:type="dxa"/>
            <w:tcBorders/>
            <w:vAlign w:val="center"/>
          </w:tcPr>
          <w:p>
            <w:pPr>
              <w:pStyle w:val="TableContents"/>
              <w:bidi w:val="0"/>
              <w:spacing w:before="0" w:after="283"/>
              <w:jc w:val="left"/>
              <w:rPr/>
            </w:pPr>
            <w:r>
              <w:rPr/>
              <w:t> </w:t>
            </w:r>
          </w:p>
        </w:tc>
        <w:tc>
          <w:tcPr>
            <w:tcW w:w="1594" w:type="dxa"/>
            <w:tcBorders>
              <w:bottom w:val="single" w:sz="8" w:space="0" w:color="000000"/>
            </w:tcBorders>
            <w:tcMar>
              <w:bottom w:w="28" w:type="dxa"/>
            </w:tcMar>
            <w:vAlign w:val="center"/>
          </w:tcPr>
          <w:p>
            <w:pPr>
              <w:pStyle w:val="TableContents"/>
              <w:bidi w:val="0"/>
              <w:spacing w:before="0" w:after="283"/>
              <w:jc w:val="right"/>
              <w:rPr/>
            </w:pPr>
            <w:r>
              <w:rPr/>
              <w:t>26,897,216</w:t>
            </w:r>
          </w:p>
        </w:tc>
        <w:tc>
          <w:tcPr>
            <w:tcW w:w="60" w:type="dxa"/>
            <w:tcBorders/>
            <w:vAlign w:val="center"/>
          </w:tcPr>
          <w:p>
            <w:pPr>
              <w:pStyle w:val="TableContents"/>
              <w:bidi w:val="0"/>
              <w:spacing w:before="0" w:after="283"/>
              <w:jc w:val="left"/>
              <w:rPr/>
            </w:pPr>
            <w:r>
              <w:rPr/>
              <w:t> </w:t>
            </w:r>
          </w:p>
        </w:tc>
        <w:tc>
          <w:tcPr>
            <w:tcW w:w="1571" w:type="dxa"/>
            <w:tcBorders>
              <w:bottom w:val="single" w:sz="8" w:space="0" w:color="000000"/>
            </w:tcBorders>
            <w:tcMar>
              <w:bottom w:w="28" w:type="dxa"/>
            </w:tcMar>
            <w:vAlign w:val="center"/>
          </w:tcPr>
          <w:p>
            <w:pPr>
              <w:pStyle w:val="TableContents"/>
              <w:bidi w:val="0"/>
              <w:spacing w:before="0" w:after="283"/>
              <w:ind w:left="0" w:right="0" w:hanging="0"/>
              <w:jc w:val="right"/>
              <w:rPr/>
            </w:pPr>
            <w:r>
              <w:rPr/>
              <w:t>32,395,408</w:t>
            </w:r>
          </w:p>
        </w:tc>
      </w:tr>
      <w:tr>
        <w:trPr/>
        <w:tc>
          <w:tcPr>
            <w:tcW w:w="466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center"/>
              <w:rPr/>
            </w:pPr>
            <w:r>
              <w:rPr/>
              <w:t>4</w:t>
            </w:r>
          </w:p>
        </w:tc>
        <w:tc>
          <w:tcPr>
            <w:tcW w:w="60" w:type="dxa"/>
            <w:tcBorders/>
            <w:vAlign w:val="center"/>
          </w:tcPr>
          <w:p>
            <w:pPr>
              <w:pStyle w:val="TableContents"/>
              <w:bidi w:val="0"/>
              <w:spacing w:before="0" w:after="283"/>
              <w:jc w:val="left"/>
              <w:rPr/>
            </w:pPr>
            <w:r>
              <w:rPr/>
              <w:t> </w:t>
            </w:r>
          </w:p>
        </w:tc>
        <w:tc>
          <w:tcPr>
            <w:tcW w:w="1627" w:type="dxa"/>
            <w:tcBorders/>
            <w:vAlign w:val="center"/>
          </w:tcPr>
          <w:p>
            <w:pPr>
              <w:pStyle w:val="TableContents"/>
              <w:bidi w:val="0"/>
              <w:spacing w:before="0" w:after="283"/>
              <w:jc w:val="right"/>
              <w:rPr/>
            </w:pPr>
            <w:r>
              <w:rPr/>
              <w:t>33,930,948</w:t>
            </w:r>
          </w:p>
        </w:tc>
        <w:tc>
          <w:tcPr>
            <w:tcW w:w="60" w:type="dxa"/>
            <w:tcBorders/>
            <w:vAlign w:val="center"/>
          </w:tcPr>
          <w:p>
            <w:pPr>
              <w:pStyle w:val="TableContents"/>
              <w:bidi w:val="0"/>
              <w:spacing w:before="0" w:after="283"/>
              <w:jc w:val="left"/>
              <w:rPr/>
            </w:pPr>
            <w:r>
              <w:rPr/>
              <w:t> </w:t>
            </w:r>
          </w:p>
        </w:tc>
        <w:tc>
          <w:tcPr>
            <w:tcW w:w="1594" w:type="dxa"/>
            <w:tcBorders/>
            <w:vAlign w:val="center"/>
          </w:tcPr>
          <w:p>
            <w:pPr>
              <w:pStyle w:val="TableContents"/>
              <w:bidi w:val="0"/>
              <w:spacing w:before="0" w:after="283"/>
              <w:jc w:val="right"/>
              <w:rPr/>
            </w:pPr>
            <w:r>
              <w:rPr/>
              <w:t>34,183,840</w:t>
            </w:r>
          </w:p>
        </w:tc>
        <w:tc>
          <w:tcPr>
            <w:tcW w:w="60" w:type="dxa"/>
            <w:tcBorders/>
            <w:vAlign w:val="center"/>
          </w:tcPr>
          <w:p>
            <w:pPr>
              <w:pStyle w:val="TableContents"/>
              <w:bidi w:val="0"/>
              <w:spacing w:before="0" w:after="283"/>
              <w:jc w:val="left"/>
              <w:rPr/>
            </w:pPr>
            <w:r>
              <w:rPr/>
              <w:t> </w:t>
            </w:r>
          </w:p>
        </w:tc>
        <w:tc>
          <w:tcPr>
            <w:tcW w:w="1571" w:type="dxa"/>
            <w:tcBorders/>
            <w:vAlign w:val="center"/>
          </w:tcPr>
          <w:p>
            <w:pPr>
              <w:pStyle w:val="TableContents"/>
              <w:bidi w:val="0"/>
              <w:spacing w:before="0" w:after="283"/>
              <w:ind w:left="0" w:right="0" w:hanging="180"/>
              <w:jc w:val="right"/>
              <w:rPr/>
            </w:pPr>
            <w:r>
              <w:rPr/>
              <w:t>39,320,740</w:t>
            </w:r>
          </w:p>
        </w:tc>
      </w:tr>
      <w:tr>
        <w:trPr/>
        <w:tc>
          <w:tcPr>
            <w:tcW w:w="4665" w:type="dxa"/>
            <w:tcBorders/>
            <w:vAlign w:val="center"/>
          </w:tcPr>
          <w:p>
            <w:pPr>
              <w:pStyle w:val="TableContents"/>
              <w:bidi w:val="0"/>
              <w:spacing w:before="0" w:after="283"/>
              <w:jc w:val="left"/>
              <w:rPr/>
            </w:pPr>
            <w:r>
              <w:rPr/>
              <w:t>Cash collateral, reverse repurchase agreements and securities borrowing</w:t>
            </w:r>
          </w:p>
        </w:tc>
        <w:tc>
          <w:tcPr>
            <w:tcW w:w="60"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center"/>
              <w:rPr/>
            </w:pPr>
            <w:r>
              <w:rPr/>
              <w:t>5(a)</w:t>
            </w:r>
          </w:p>
        </w:tc>
        <w:tc>
          <w:tcPr>
            <w:tcW w:w="60" w:type="dxa"/>
            <w:tcBorders/>
            <w:vAlign w:val="center"/>
          </w:tcPr>
          <w:p>
            <w:pPr>
              <w:pStyle w:val="TableContents"/>
              <w:bidi w:val="0"/>
              <w:spacing w:before="0" w:after="283"/>
              <w:jc w:val="left"/>
              <w:rPr/>
            </w:pPr>
            <w:r>
              <w:rPr/>
              <w:t> </w:t>
            </w:r>
          </w:p>
        </w:tc>
        <w:tc>
          <w:tcPr>
            <w:tcW w:w="1627" w:type="dxa"/>
            <w:tcBorders/>
            <w:vAlign w:val="center"/>
          </w:tcPr>
          <w:p>
            <w:pPr>
              <w:pStyle w:val="TableContents"/>
              <w:bidi w:val="0"/>
              <w:spacing w:before="0" w:after="283"/>
              <w:jc w:val="right"/>
              <w:rPr/>
            </w:pPr>
            <w:r>
              <w:rPr/>
              <w:t>1,410,647</w:t>
            </w:r>
          </w:p>
        </w:tc>
        <w:tc>
          <w:tcPr>
            <w:tcW w:w="60" w:type="dxa"/>
            <w:tcBorders/>
            <w:vAlign w:val="center"/>
          </w:tcPr>
          <w:p>
            <w:pPr>
              <w:pStyle w:val="TableContents"/>
              <w:bidi w:val="0"/>
              <w:spacing w:before="0" w:after="283"/>
              <w:jc w:val="left"/>
              <w:rPr/>
            </w:pPr>
            <w:r>
              <w:rPr/>
              <w:t> </w:t>
            </w:r>
          </w:p>
        </w:tc>
        <w:tc>
          <w:tcPr>
            <w:tcW w:w="1594" w:type="dxa"/>
            <w:tcBorders/>
            <w:vAlign w:val="center"/>
          </w:tcPr>
          <w:p>
            <w:pPr>
              <w:pStyle w:val="TableContents"/>
              <w:bidi w:val="0"/>
              <w:spacing w:before="0" w:after="283"/>
              <w:jc w:val="right"/>
              <w:rPr/>
            </w:pPr>
            <w:r>
              <w:rPr/>
              <w:t>1,101,856</w:t>
            </w:r>
          </w:p>
        </w:tc>
        <w:tc>
          <w:tcPr>
            <w:tcW w:w="60" w:type="dxa"/>
            <w:tcBorders/>
            <w:vAlign w:val="center"/>
          </w:tcPr>
          <w:p>
            <w:pPr>
              <w:pStyle w:val="TableContents"/>
              <w:bidi w:val="0"/>
              <w:spacing w:before="0" w:after="283"/>
              <w:jc w:val="left"/>
              <w:rPr/>
            </w:pPr>
            <w:r>
              <w:rPr/>
              <w:t> </w:t>
            </w:r>
          </w:p>
        </w:tc>
        <w:tc>
          <w:tcPr>
            <w:tcW w:w="1571" w:type="dxa"/>
            <w:tcBorders/>
            <w:vAlign w:val="center"/>
          </w:tcPr>
          <w:p>
            <w:pPr>
              <w:pStyle w:val="TableContents"/>
              <w:bidi w:val="0"/>
              <w:spacing w:before="0" w:after="283"/>
              <w:ind w:left="0" w:right="0" w:hanging="180"/>
              <w:jc w:val="right"/>
              <w:rPr/>
            </w:pPr>
            <w:r>
              <w:rPr/>
              <w:t>1,766,948</w:t>
            </w:r>
          </w:p>
        </w:tc>
      </w:tr>
      <w:tr>
        <w:trPr/>
        <w:tc>
          <w:tcPr>
            <w:tcW w:w="4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2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59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571" w:type="dxa"/>
            <w:tcBorders/>
            <w:vAlign w:val="center"/>
          </w:tcPr>
          <w:p>
            <w:pPr>
              <w:pStyle w:val="TableContents"/>
              <w:bidi w:val="0"/>
              <w:spacing w:before="0" w:after="283"/>
              <w:ind w:left="0" w:right="0" w:hanging="0"/>
              <w:jc w:val="right"/>
              <w:rPr/>
            </w:pPr>
            <w:r>
              <w:rPr/>
              <w:t> </w:t>
            </w:r>
          </w:p>
        </w:tc>
      </w:tr>
      <w:tr>
        <w:trPr/>
        <w:tc>
          <w:tcPr>
            <w:tcW w:w="4665" w:type="dxa"/>
            <w:tcBorders/>
            <w:vAlign w:val="center"/>
          </w:tcPr>
          <w:p>
            <w:pPr>
              <w:pStyle w:val="TableContents"/>
              <w:bidi w:val="0"/>
              <w:spacing w:before="0" w:after="283"/>
              <w:jc w:val="left"/>
              <w:rPr/>
            </w:pPr>
            <w:r>
              <w:rPr/>
              <w:t>Investments:</w:t>
            </w:r>
          </w:p>
        </w:tc>
        <w:tc>
          <w:tcPr>
            <w:tcW w:w="60"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62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59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571" w:type="dxa"/>
            <w:tcBorders/>
            <w:vAlign w:val="center"/>
          </w:tcPr>
          <w:p>
            <w:pPr>
              <w:pStyle w:val="TableContents"/>
              <w:bidi w:val="0"/>
              <w:spacing w:before="0" w:after="283"/>
              <w:ind w:left="0" w:right="0" w:hanging="0"/>
              <w:jc w:val="left"/>
              <w:rPr/>
            </w:pPr>
            <w:r>
              <w:rPr/>
              <w:t> </w:t>
            </w:r>
          </w:p>
        </w:tc>
      </w:tr>
      <w:tr>
        <w:trPr/>
        <w:tc>
          <w:tcPr>
            <w:tcW w:w="4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62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59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571" w:type="dxa"/>
            <w:tcBorders/>
            <w:vAlign w:val="center"/>
          </w:tcPr>
          <w:p>
            <w:pPr>
              <w:pStyle w:val="TableContents"/>
              <w:bidi w:val="0"/>
              <w:spacing w:before="0" w:after="283"/>
              <w:ind w:left="0" w:right="0" w:hanging="0"/>
              <w:jc w:val="left"/>
              <w:rPr/>
            </w:pPr>
            <w:r>
              <w:rPr/>
              <w:t> </w:t>
            </w:r>
          </w:p>
        </w:tc>
      </w:tr>
      <w:tr>
        <w:trPr/>
        <w:tc>
          <w:tcPr>
            <w:tcW w:w="4665" w:type="dxa"/>
            <w:tcBorders/>
            <w:vAlign w:val="center"/>
          </w:tcPr>
          <w:p>
            <w:pPr>
              <w:pStyle w:val="TableContents"/>
              <w:bidi w:val="0"/>
              <w:spacing w:before="0" w:after="283"/>
              <w:jc w:val="left"/>
              <w:rPr/>
            </w:pPr>
            <w:r>
              <w:rPr/>
              <w:t>At fair value through profit or loss</w:t>
            </w:r>
          </w:p>
        </w:tc>
        <w:tc>
          <w:tcPr>
            <w:tcW w:w="60"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center"/>
              <w:rPr/>
            </w:pPr>
            <w:r>
              <w:rPr/>
              <w:t>6(a)</w:t>
            </w:r>
          </w:p>
        </w:tc>
        <w:tc>
          <w:tcPr>
            <w:tcW w:w="60" w:type="dxa"/>
            <w:tcBorders/>
            <w:vAlign w:val="center"/>
          </w:tcPr>
          <w:p>
            <w:pPr>
              <w:pStyle w:val="TableContents"/>
              <w:bidi w:val="0"/>
              <w:spacing w:before="0" w:after="283"/>
              <w:jc w:val="left"/>
              <w:rPr/>
            </w:pPr>
            <w:r>
              <w:rPr/>
              <w:t> </w:t>
            </w:r>
          </w:p>
        </w:tc>
        <w:tc>
          <w:tcPr>
            <w:tcW w:w="1627" w:type="dxa"/>
            <w:tcBorders/>
            <w:vAlign w:val="center"/>
          </w:tcPr>
          <w:p>
            <w:pPr>
              <w:pStyle w:val="TableContents"/>
              <w:bidi w:val="0"/>
              <w:spacing w:before="0" w:after="283"/>
              <w:jc w:val="right"/>
              <w:rPr/>
            </w:pPr>
            <w:r>
              <w:rPr/>
              <w:t>4,982,661</w:t>
            </w:r>
          </w:p>
        </w:tc>
        <w:tc>
          <w:tcPr>
            <w:tcW w:w="60" w:type="dxa"/>
            <w:tcBorders/>
            <w:vAlign w:val="center"/>
          </w:tcPr>
          <w:p>
            <w:pPr>
              <w:pStyle w:val="TableContents"/>
              <w:bidi w:val="0"/>
              <w:spacing w:before="0" w:after="283"/>
              <w:jc w:val="left"/>
              <w:rPr/>
            </w:pPr>
            <w:r>
              <w:rPr/>
              <w:t> </w:t>
            </w:r>
          </w:p>
        </w:tc>
        <w:tc>
          <w:tcPr>
            <w:tcW w:w="1594" w:type="dxa"/>
            <w:tcBorders/>
            <w:vAlign w:val="center"/>
          </w:tcPr>
          <w:p>
            <w:pPr>
              <w:pStyle w:val="TableContents"/>
              <w:bidi w:val="0"/>
              <w:spacing w:before="0" w:after="283"/>
              <w:jc w:val="right"/>
              <w:rPr/>
            </w:pPr>
            <w:r>
              <w:rPr/>
              <w:t>4,199,334</w:t>
            </w:r>
          </w:p>
        </w:tc>
        <w:tc>
          <w:tcPr>
            <w:tcW w:w="60" w:type="dxa"/>
            <w:tcBorders/>
            <w:vAlign w:val="center"/>
          </w:tcPr>
          <w:p>
            <w:pPr>
              <w:pStyle w:val="TableContents"/>
              <w:bidi w:val="0"/>
              <w:spacing w:before="0" w:after="283"/>
              <w:jc w:val="left"/>
              <w:rPr/>
            </w:pPr>
            <w:r>
              <w:rPr/>
              <w:t> </w:t>
            </w:r>
          </w:p>
        </w:tc>
        <w:tc>
          <w:tcPr>
            <w:tcW w:w="1571" w:type="dxa"/>
            <w:tcBorders/>
            <w:vAlign w:val="center"/>
          </w:tcPr>
          <w:p>
            <w:pPr>
              <w:pStyle w:val="TableContents"/>
              <w:bidi w:val="0"/>
              <w:spacing w:before="0" w:after="283"/>
              <w:ind w:left="0" w:right="0" w:hanging="0"/>
              <w:jc w:val="right"/>
              <w:rPr/>
            </w:pPr>
            <w:r>
              <w:rPr/>
              <w:t>5,928,538</w:t>
            </w:r>
          </w:p>
        </w:tc>
      </w:tr>
      <w:tr>
        <w:trPr/>
        <w:tc>
          <w:tcPr>
            <w:tcW w:w="4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2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59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571" w:type="dxa"/>
            <w:tcBorders/>
            <w:vAlign w:val="center"/>
          </w:tcPr>
          <w:p>
            <w:pPr>
              <w:pStyle w:val="TableContents"/>
              <w:bidi w:val="0"/>
              <w:spacing w:before="0" w:after="283"/>
              <w:ind w:left="0" w:right="0" w:hanging="0"/>
              <w:jc w:val="right"/>
              <w:rPr/>
            </w:pPr>
            <w:r>
              <w:rPr/>
              <w:t> </w:t>
            </w:r>
          </w:p>
        </w:tc>
      </w:tr>
      <w:tr>
        <w:trPr/>
        <w:tc>
          <w:tcPr>
            <w:tcW w:w="4665" w:type="dxa"/>
            <w:tcBorders/>
            <w:vAlign w:val="center"/>
          </w:tcPr>
          <w:p>
            <w:pPr>
              <w:pStyle w:val="TableContents"/>
              <w:bidi w:val="0"/>
              <w:spacing w:before="0" w:after="283"/>
              <w:jc w:val="left"/>
              <w:rPr/>
            </w:pPr>
            <w:r>
              <w:rPr/>
              <w:t>At fair value through other comprehensive</w:t>
            </w:r>
          </w:p>
        </w:tc>
        <w:tc>
          <w:tcPr>
            <w:tcW w:w="60"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7" w:type="dxa"/>
            <w:tcBorders/>
            <w:vAlign w:val="center"/>
          </w:tcPr>
          <w:p>
            <w:pPr>
              <w:pStyle w:val="TableContents"/>
              <w:bidi w:val="0"/>
              <w:spacing w:before="0" w:after="283"/>
              <w:jc w:val="right"/>
              <w:rPr/>
            </w:pPr>
            <w:r>
              <w:rPr/>
              <w:t>32,774,078</w:t>
            </w:r>
          </w:p>
        </w:tc>
        <w:tc>
          <w:tcPr>
            <w:tcW w:w="60" w:type="dxa"/>
            <w:tcBorders/>
            <w:vAlign w:val="center"/>
          </w:tcPr>
          <w:p>
            <w:pPr>
              <w:pStyle w:val="TableContents"/>
              <w:bidi w:val="0"/>
              <w:spacing w:before="0" w:after="283"/>
              <w:jc w:val="left"/>
              <w:rPr/>
            </w:pPr>
            <w:r>
              <w:rPr/>
              <w:t> </w:t>
            </w:r>
          </w:p>
        </w:tc>
        <w:tc>
          <w:tcPr>
            <w:tcW w:w="1594" w:type="dxa"/>
            <w:tcBorders/>
            <w:vAlign w:val="center"/>
          </w:tcPr>
          <w:p>
            <w:pPr>
              <w:pStyle w:val="TableContents"/>
              <w:bidi w:val="0"/>
              <w:spacing w:before="0" w:after="283"/>
              <w:jc w:val="right"/>
              <w:rPr/>
            </w:pPr>
            <w:r>
              <w:rPr/>
              <w:t>29,678,061</w:t>
            </w:r>
          </w:p>
        </w:tc>
        <w:tc>
          <w:tcPr>
            <w:tcW w:w="60" w:type="dxa"/>
            <w:tcBorders/>
            <w:vAlign w:val="center"/>
          </w:tcPr>
          <w:p>
            <w:pPr>
              <w:pStyle w:val="TableContents"/>
              <w:bidi w:val="0"/>
              <w:spacing w:before="0" w:after="283"/>
              <w:jc w:val="left"/>
              <w:rPr/>
            </w:pPr>
            <w:r>
              <w:rPr/>
              <w:t> </w:t>
            </w:r>
          </w:p>
        </w:tc>
        <w:tc>
          <w:tcPr>
            <w:tcW w:w="1571" w:type="dxa"/>
            <w:tcBorders/>
            <w:vAlign w:val="center"/>
          </w:tcPr>
          <w:p>
            <w:pPr>
              <w:pStyle w:val="TableContents"/>
              <w:bidi w:val="0"/>
              <w:spacing w:before="0" w:after="283"/>
              <w:ind w:left="0" w:right="0" w:hanging="0"/>
              <w:jc w:val="right"/>
              <w:rPr/>
            </w:pPr>
            <w:r>
              <w:rPr/>
              <w:t>34,440,091</w:t>
            </w:r>
          </w:p>
        </w:tc>
      </w:tr>
      <w:tr>
        <w:trPr/>
        <w:tc>
          <w:tcPr>
            <w:tcW w:w="4665" w:type="dxa"/>
            <w:tcBorders/>
            <w:vAlign w:val="center"/>
          </w:tcPr>
          <w:p>
            <w:pPr>
              <w:pStyle w:val="TableContents"/>
              <w:bidi w:val="0"/>
              <w:spacing w:before="0" w:after="283"/>
              <w:jc w:val="left"/>
              <w:rPr/>
            </w:pPr>
            <w:r>
              <w:rPr/>
              <w:t>At fair value through other comprehensive pledged as collateral</w:t>
            </w:r>
          </w:p>
        </w:tc>
        <w:tc>
          <w:tcPr>
            <w:tcW w:w="60"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627" w:type="dxa"/>
            <w:tcBorders>
              <w:bottom w:val="single" w:sz="8" w:space="0" w:color="000000"/>
            </w:tcBorders>
            <w:tcMar>
              <w:bottom w:w="28" w:type="dxa"/>
            </w:tcMar>
            <w:vAlign w:val="center"/>
          </w:tcPr>
          <w:p>
            <w:pPr>
              <w:pStyle w:val="TableContents"/>
              <w:bidi w:val="0"/>
              <w:spacing w:before="0" w:after="283"/>
              <w:jc w:val="right"/>
              <w:rPr/>
            </w:pPr>
            <w:r>
              <w:rPr/>
              <w:t>4,269,862</w:t>
            </w:r>
          </w:p>
        </w:tc>
        <w:tc>
          <w:tcPr>
            <w:tcW w:w="60" w:type="dxa"/>
            <w:tcBorders/>
            <w:vAlign w:val="center"/>
          </w:tcPr>
          <w:p>
            <w:pPr>
              <w:pStyle w:val="TableContents"/>
              <w:bidi w:val="0"/>
              <w:spacing w:before="0" w:after="283"/>
              <w:jc w:val="left"/>
              <w:rPr/>
            </w:pPr>
            <w:r>
              <w:rPr/>
              <w:t> </w:t>
            </w:r>
          </w:p>
        </w:tc>
        <w:tc>
          <w:tcPr>
            <w:tcW w:w="1594" w:type="dxa"/>
            <w:tcBorders>
              <w:bottom w:val="single" w:sz="8" w:space="0" w:color="000000"/>
            </w:tcBorders>
            <w:tcMar>
              <w:bottom w:w="28" w:type="dxa"/>
            </w:tcMar>
            <w:vAlign w:val="center"/>
          </w:tcPr>
          <w:p>
            <w:pPr>
              <w:pStyle w:val="TableContents"/>
              <w:bidi w:val="0"/>
              <w:spacing w:before="0" w:after="283"/>
              <w:jc w:val="right"/>
              <w:rPr/>
            </w:pPr>
            <w:r>
              <w:rPr/>
              <w:t>1,108,100</w:t>
            </w:r>
          </w:p>
        </w:tc>
        <w:tc>
          <w:tcPr>
            <w:tcW w:w="60" w:type="dxa"/>
            <w:tcBorders/>
            <w:vAlign w:val="center"/>
          </w:tcPr>
          <w:p>
            <w:pPr>
              <w:pStyle w:val="TableContents"/>
              <w:bidi w:val="0"/>
              <w:spacing w:before="0" w:after="283"/>
              <w:jc w:val="left"/>
              <w:rPr/>
            </w:pPr>
            <w:r>
              <w:rPr/>
              <w:t> </w:t>
            </w:r>
          </w:p>
        </w:tc>
        <w:tc>
          <w:tcPr>
            <w:tcW w:w="1571" w:type="dxa"/>
            <w:tcBorders>
              <w:bottom w:val="single" w:sz="8" w:space="0" w:color="000000"/>
            </w:tcBorders>
            <w:tcMar>
              <w:bottom w:w="28" w:type="dxa"/>
            </w:tcMar>
            <w:vAlign w:val="center"/>
          </w:tcPr>
          <w:p>
            <w:pPr>
              <w:pStyle w:val="TableContents"/>
              <w:bidi w:val="0"/>
              <w:spacing w:before="0" w:after="283"/>
              <w:ind w:left="0" w:right="0" w:hanging="0"/>
              <w:jc w:val="right"/>
              <w:rPr/>
            </w:pPr>
            <w:r>
              <w:rPr/>
              <w:t>318,352</w:t>
            </w:r>
          </w:p>
        </w:tc>
      </w:tr>
      <w:tr>
        <w:trPr/>
        <w:tc>
          <w:tcPr>
            <w:tcW w:w="466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center"/>
              <w:rPr/>
            </w:pPr>
            <w:r>
              <w:rPr/>
              <w:t>6(b)</w:t>
            </w:r>
          </w:p>
        </w:tc>
        <w:tc>
          <w:tcPr>
            <w:tcW w:w="60" w:type="dxa"/>
            <w:tcBorders/>
            <w:vAlign w:val="center"/>
          </w:tcPr>
          <w:p>
            <w:pPr>
              <w:pStyle w:val="TableContents"/>
              <w:bidi w:val="0"/>
              <w:spacing w:before="0" w:after="283"/>
              <w:jc w:val="left"/>
              <w:rPr/>
            </w:pPr>
            <w:r>
              <w:rPr/>
              <w:t> </w:t>
            </w:r>
          </w:p>
        </w:tc>
        <w:tc>
          <w:tcPr>
            <w:tcW w:w="1627" w:type="dxa"/>
            <w:tcBorders/>
            <w:vAlign w:val="center"/>
          </w:tcPr>
          <w:p>
            <w:pPr>
              <w:pStyle w:val="TableContents"/>
              <w:bidi w:val="0"/>
              <w:spacing w:before="0" w:after="283"/>
              <w:jc w:val="right"/>
              <w:rPr/>
            </w:pPr>
            <w:r>
              <w:rPr/>
              <w:t>37,043,940</w:t>
            </w:r>
          </w:p>
        </w:tc>
        <w:tc>
          <w:tcPr>
            <w:tcW w:w="60" w:type="dxa"/>
            <w:tcBorders/>
            <w:vAlign w:val="center"/>
          </w:tcPr>
          <w:p>
            <w:pPr>
              <w:pStyle w:val="TableContents"/>
              <w:bidi w:val="0"/>
              <w:spacing w:before="0" w:after="283"/>
              <w:jc w:val="left"/>
              <w:rPr/>
            </w:pPr>
            <w:r>
              <w:rPr/>
              <w:t> </w:t>
            </w:r>
          </w:p>
        </w:tc>
        <w:tc>
          <w:tcPr>
            <w:tcW w:w="1594" w:type="dxa"/>
            <w:tcBorders/>
            <w:vAlign w:val="center"/>
          </w:tcPr>
          <w:p>
            <w:pPr>
              <w:pStyle w:val="TableContents"/>
              <w:bidi w:val="0"/>
              <w:spacing w:before="0" w:after="283"/>
              <w:jc w:val="right"/>
              <w:rPr/>
            </w:pPr>
            <w:r>
              <w:rPr/>
              <w:t>30,786,161</w:t>
            </w:r>
          </w:p>
        </w:tc>
        <w:tc>
          <w:tcPr>
            <w:tcW w:w="60" w:type="dxa"/>
            <w:tcBorders/>
            <w:vAlign w:val="center"/>
          </w:tcPr>
          <w:p>
            <w:pPr>
              <w:pStyle w:val="TableContents"/>
              <w:bidi w:val="0"/>
              <w:spacing w:before="0" w:after="283"/>
              <w:jc w:val="left"/>
              <w:rPr/>
            </w:pPr>
            <w:r>
              <w:rPr/>
              <w:t> </w:t>
            </w:r>
          </w:p>
        </w:tc>
        <w:tc>
          <w:tcPr>
            <w:tcW w:w="1571" w:type="dxa"/>
            <w:tcBorders/>
            <w:vAlign w:val="center"/>
          </w:tcPr>
          <w:p>
            <w:pPr>
              <w:pStyle w:val="TableContents"/>
              <w:bidi w:val="0"/>
              <w:spacing w:before="0" w:after="283"/>
              <w:ind w:left="0" w:right="0" w:hanging="0"/>
              <w:jc w:val="right"/>
              <w:rPr/>
            </w:pPr>
            <w:r>
              <w:rPr/>
              <w:t>34,758,443</w:t>
            </w:r>
          </w:p>
        </w:tc>
      </w:tr>
      <w:tr>
        <w:trPr/>
        <w:tc>
          <w:tcPr>
            <w:tcW w:w="466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2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59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571" w:type="dxa"/>
            <w:tcBorders/>
            <w:vAlign w:val="center"/>
          </w:tcPr>
          <w:p>
            <w:pPr>
              <w:pStyle w:val="TableContents"/>
              <w:bidi w:val="0"/>
              <w:spacing w:before="0" w:after="283"/>
              <w:ind w:left="0" w:right="0" w:hanging="0"/>
              <w:jc w:val="right"/>
              <w:rPr/>
            </w:pPr>
            <w:r>
              <w:rPr/>
              <w:t> </w:t>
            </w:r>
          </w:p>
        </w:tc>
      </w:tr>
      <w:tr>
        <w:trPr/>
        <w:tc>
          <w:tcPr>
            <w:tcW w:w="4665" w:type="dxa"/>
            <w:tcBorders/>
            <w:vAlign w:val="center"/>
          </w:tcPr>
          <w:p>
            <w:pPr>
              <w:pStyle w:val="TableContents"/>
              <w:bidi w:val="0"/>
              <w:spacing w:before="0" w:after="283"/>
              <w:jc w:val="left"/>
              <w:rPr/>
            </w:pPr>
            <w:r>
              <w:rPr/>
              <w:t>Amortized cost</w:t>
            </w:r>
          </w:p>
        </w:tc>
        <w:tc>
          <w:tcPr>
            <w:tcW w:w="60"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627" w:type="dxa"/>
            <w:tcBorders/>
            <w:vAlign w:val="center"/>
          </w:tcPr>
          <w:p>
            <w:pPr>
              <w:pStyle w:val="TableContents"/>
              <w:bidi w:val="0"/>
              <w:spacing w:before="0" w:after="283"/>
              <w:jc w:val="right"/>
              <w:rPr/>
            </w:pPr>
            <w:r>
              <w:rPr/>
              <w:t>7,924,830</w:t>
            </w:r>
          </w:p>
        </w:tc>
        <w:tc>
          <w:tcPr>
            <w:tcW w:w="60" w:type="dxa"/>
            <w:tcBorders/>
            <w:vAlign w:val="center"/>
          </w:tcPr>
          <w:p>
            <w:pPr>
              <w:pStyle w:val="TableContents"/>
              <w:bidi w:val="0"/>
              <w:spacing w:before="0" w:after="283"/>
              <w:jc w:val="left"/>
              <w:rPr/>
            </w:pPr>
            <w:r>
              <w:rPr/>
              <w:t> </w:t>
            </w:r>
          </w:p>
        </w:tc>
        <w:tc>
          <w:tcPr>
            <w:tcW w:w="1594" w:type="dxa"/>
            <w:tcBorders/>
            <w:vAlign w:val="center"/>
          </w:tcPr>
          <w:p>
            <w:pPr>
              <w:pStyle w:val="TableContents"/>
              <w:bidi w:val="0"/>
              <w:spacing w:before="0" w:after="283"/>
              <w:jc w:val="right"/>
              <w:rPr/>
            </w:pPr>
            <w:r>
              <w:rPr/>
              <w:t xml:space="preserve">6,905,201 </w:t>
            </w:r>
          </w:p>
        </w:tc>
        <w:tc>
          <w:tcPr>
            <w:tcW w:w="60" w:type="dxa"/>
            <w:tcBorders/>
            <w:vAlign w:val="center"/>
          </w:tcPr>
          <w:p>
            <w:pPr>
              <w:pStyle w:val="TableContents"/>
              <w:bidi w:val="0"/>
              <w:spacing w:before="0" w:after="283"/>
              <w:jc w:val="left"/>
              <w:rPr/>
            </w:pPr>
            <w:r>
              <w:rPr/>
              <w:t> </w:t>
            </w:r>
          </w:p>
        </w:tc>
        <w:tc>
          <w:tcPr>
            <w:tcW w:w="1571" w:type="dxa"/>
            <w:tcBorders/>
            <w:vAlign w:val="center"/>
          </w:tcPr>
          <w:p>
            <w:pPr>
              <w:pStyle w:val="TableContents"/>
              <w:bidi w:val="0"/>
              <w:spacing w:before="0" w:after="283"/>
              <w:ind w:left="0" w:right="0" w:hanging="0"/>
              <w:jc w:val="right"/>
              <w:rPr/>
            </w:pPr>
            <w:r>
              <w:rPr/>
              <w:t>4,411,592</w:t>
            </w:r>
          </w:p>
        </w:tc>
      </w:tr>
      <w:tr>
        <w:trPr/>
        <w:tc>
          <w:tcPr>
            <w:tcW w:w="4665" w:type="dxa"/>
            <w:tcBorders/>
            <w:vAlign w:val="center"/>
          </w:tcPr>
          <w:p>
            <w:pPr>
              <w:pStyle w:val="TableContents"/>
              <w:bidi w:val="0"/>
              <w:spacing w:before="0" w:after="283"/>
              <w:jc w:val="left"/>
              <w:rPr/>
            </w:pPr>
            <w:r>
              <w:rPr/>
              <w:t>Amortized cost pledged as collateral</w:t>
            </w:r>
          </w:p>
        </w:tc>
        <w:tc>
          <w:tcPr>
            <w:tcW w:w="60"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627" w:type="dxa"/>
            <w:tcBorders>
              <w:bottom w:val="single" w:sz="8" w:space="0" w:color="000000"/>
            </w:tcBorders>
            <w:tcMar>
              <w:bottom w:w="28" w:type="dxa"/>
            </w:tcMar>
            <w:vAlign w:val="center"/>
          </w:tcPr>
          <w:p>
            <w:pPr>
              <w:pStyle w:val="TableContents"/>
              <w:bidi w:val="0"/>
              <w:spacing w:before="0" w:after="283"/>
              <w:jc w:val="right"/>
              <w:rPr/>
            </w:pPr>
            <w:r>
              <w:rPr/>
              <w:t>2,264,097</w:t>
            </w:r>
          </w:p>
        </w:tc>
        <w:tc>
          <w:tcPr>
            <w:tcW w:w="60" w:type="dxa"/>
            <w:tcBorders/>
            <w:vAlign w:val="center"/>
          </w:tcPr>
          <w:p>
            <w:pPr>
              <w:pStyle w:val="TableContents"/>
              <w:bidi w:val="0"/>
              <w:spacing w:before="0" w:after="283"/>
              <w:jc w:val="left"/>
              <w:rPr/>
            </w:pPr>
            <w:r>
              <w:rPr/>
              <w:t> </w:t>
            </w:r>
          </w:p>
        </w:tc>
        <w:tc>
          <w:tcPr>
            <w:tcW w:w="1594" w:type="dxa"/>
            <w:tcBorders>
              <w:bottom w:val="single" w:sz="8" w:space="0" w:color="000000"/>
            </w:tcBorders>
            <w:tcMar>
              <w:bottom w:w="28" w:type="dxa"/>
            </w:tcMar>
            <w:vAlign w:val="center"/>
          </w:tcPr>
          <w:p>
            <w:pPr>
              <w:pStyle w:val="TableContents"/>
              <w:bidi w:val="0"/>
              <w:spacing w:before="0" w:after="283"/>
              <w:jc w:val="right"/>
              <w:rPr/>
            </w:pPr>
            <w:r>
              <w:rPr/>
              <w:t>3,540,528</w:t>
            </w:r>
          </w:p>
        </w:tc>
        <w:tc>
          <w:tcPr>
            <w:tcW w:w="60" w:type="dxa"/>
            <w:tcBorders/>
            <w:vAlign w:val="center"/>
          </w:tcPr>
          <w:p>
            <w:pPr>
              <w:pStyle w:val="TableContents"/>
              <w:bidi w:val="0"/>
              <w:spacing w:before="0" w:after="283"/>
              <w:jc w:val="left"/>
              <w:rPr/>
            </w:pPr>
            <w:r>
              <w:rPr/>
              <w:t> </w:t>
            </w:r>
          </w:p>
        </w:tc>
        <w:tc>
          <w:tcPr>
            <w:tcW w:w="1571" w:type="dxa"/>
            <w:tcBorders>
              <w:bottom w:val="single" w:sz="8" w:space="0" w:color="000000"/>
            </w:tcBorders>
            <w:tcMar>
              <w:bottom w:w="28" w:type="dxa"/>
            </w:tcMar>
            <w:vAlign w:val="center"/>
          </w:tcPr>
          <w:p>
            <w:pPr>
              <w:pStyle w:val="TableContents"/>
              <w:bidi w:val="0"/>
              <w:spacing w:before="0" w:after="283"/>
              <w:ind w:left="0" w:right="0" w:hanging="0"/>
              <w:jc w:val="right"/>
              <w:rPr/>
            </w:pPr>
            <w:r>
              <w:rPr/>
              <w:t>3,853.967</w:t>
            </w:r>
          </w:p>
        </w:tc>
      </w:tr>
      <w:tr>
        <w:trPr/>
        <w:tc>
          <w:tcPr>
            <w:tcW w:w="466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center"/>
              <w:rPr/>
            </w:pPr>
            <w:r>
              <w:rPr/>
              <w:t>6(c)</w:t>
            </w:r>
          </w:p>
        </w:tc>
        <w:tc>
          <w:tcPr>
            <w:tcW w:w="60" w:type="dxa"/>
            <w:tcBorders/>
            <w:vAlign w:val="center"/>
          </w:tcPr>
          <w:p>
            <w:pPr>
              <w:pStyle w:val="TableContents"/>
              <w:bidi w:val="0"/>
              <w:spacing w:before="0" w:after="283"/>
              <w:jc w:val="left"/>
              <w:rPr/>
            </w:pPr>
            <w:r>
              <w:rPr/>
              <w:t> </w:t>
            </w:r>
          </w:p>
        </w:tc>
        <w:tc>
          <w:tcPr>
            <w:tcW w:w="1627" w:type="dxa"/>
            <w:tcBorders/>
            <w:vAlign w:val="center"/>
          </w:tcPr>
          <w:p>
            <w:pPr>
              <w:pStyle w:val="TableContents"/>
              <w:bidi w:val="0"/>
              <w:spacing w:before="0" w:after="283"/>
              <w:jc w:val="right"/>
              <w:rPr/>
            </w:pPr>
            <w:r>
              <w:rPr/>
              <w:t>10,188,927</w:t>
            </w:r>
          </w:p>
        </w:tc>
        <w:tc>
          <w:tcPr>
            <w:tcW w:w="60" w:type="dxa"/>
            <w:tcBorders/>
            <w:vAlign w:val="center"/>
          </w:tcPr>
          <w:p>
            <w:pPr>
              <w:pStyle w:val="TableContents"/>
              <w:bidi w:val="0"/>
              <w:spacing w:before="0" w:after="283"/>
              <w:jc w:val="left"/>
              <w:rPr/>
            </w:pPr>
            <w:r>
              <w:rPr/>
              <w:t> </w:t>
            </w:r>
          </w:p>
        </w:tc>
        <w:tc>
          <w:tcPr>
            <w:tcW w:w="1594" w:type="dxa"/>
            <w:tcBorders/>
            <w:vAlign w:val="center"/>
          </w:tcPr>
          <w:p>
            <w:pPr>
              <w:pStyle w:val="TableContents"/>
              <w:bidi w:val="0"/>
              <w:spacing w:before="0" w:after="283"/>
              <w:jc w:val="right"/>
              <w:rPr/>
            </w:pPr>
            <w:r>
              <w:rPr/>
              <w:t>10,445,729</w:t>
            </w:r>
          </w:p>
        </w:tc>
        <w:tc>
          <w:tcPr>
            <w:tcW w:w="60" w:type="dxa"/>
            <w:tcBorders/>
            <w:vAlign w:val="center"/>
          </w:tcPr>
          <w:p>
            <w:pPr>
              <w:pStyle w:val="TableContents"/>
              <w:bidi w:val="0"/>
              <w:spacing w:before="0" w:after="283"/>
              <w:jc w:val="left"/>
              <w:rPr/>
            </w:pPr>
            <w:r>
              <w:rPr/>
              <w:t> </w:t>
            </w:r>
          </w:p>
        </w:tc>
        <w:tc>
          <w:tcPr>
            <w:tcW w:w="1571" w:type="dxa"/>
            <w:tcBorders/>
            <w:vAlign w:val="center"/>
          </w:tcPr>
          <w:p>
            <w:pPr>
              <w:pStyle w:val="TableContents"/>
              <w:bidi w:val="0"/>
              <w:spacing w:before="0" w:after="283"/>
              <w:jc w:val="right"/>
              <w:rPr/>
            </w:pPr>
            <w:r>
              <w:rPr/>
              <w:t>8,265,559</w:t>
            </w:r>
          </w:p>
        </w:tc>
      </w:tr>
      <w:tr>
        <w:trPr/>
        <w:tc>
          <w:tcPr>
            <w:tcW w:w="4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2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9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71" w:type="dxa"/>
            <w:tcBorders/>
            <w:vAlign w:val="center"/>
          </w:tcPr>
          <w:p>
            <w:pPr>
              <w:pStyle w:val="TableContents"/>
              <w:bidi w:val="0"/>
              <w:spacing w:before="0" w:after="283"/>
              <w:jc w:val="left"/>
              <w:rPr/>
            </w:pPr>
            <w:r>
              <w:rPr/>
              <w:t> </w:t>
            </w:r>
          </w:p>
        </w:tc>
      </w:tr>
      <w:tr>
        <w:trPr/>
        <w:tc>
          <w:tcPr>
            <w:tcW w:w="4665" w:type="dxa"/>
            <w:tcBorders/>
            <w:vAlign w:val="center"/>
          </w:tcPr>
          <w:p>
            <w:pPr>
              <w:pStyle w:val="TableContents"/>
              <w:bidi w:val="0"/>
              <w:spacing w:before="0" w:after="283"/>
              <w:jc w:val="left"/>
              <w:rPr/>
            </w:pPr>
            <w:r>
              <w:rPr/>
              <w:t xml:space="preserve">Loans: </w:t>
            </w:r>
          </w:p>
        </w:tc>
        <w:tc>
          <w:tcPr>
            <w:tcW w:w="60"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center"/>
              <w:rPr/>
            </w:pPr>
            <w:r>
              <w:rPr/>
              <w:t>7</w:t>
            </w:r>
          </w:p>
        </w:tc>
        <w:tc>
          <w:tcPr>
            <w:tcW w:w="60" w:type="dxa"/>
            <w:tcBorders/>
            <w:vAlign w:val="center"/>
          </w:tcPr>
          <w:p>
            <w:pPr>
              <w:pStyle w:val="TableContents"/>
              <w:bidi w:val="0"/>
              <w:spacing w:before="0" w:after="283"/>
              <w:jc w:val="left"/>
              <w:rPr/>
            </w:pPr>
            <w:r>
              <w:rPr/>
              <w:t> </w:t>
            </w:r>
          </w:p>
        </w:tc>
        <w:tc>
          <w:tcPr>
            <w:tcW w:w="162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9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71" w:type="dxa"/>
            <w:tcBorders/>
            <w:vAlign w:val="center"/>
          </w:tcPr>
          <w:p>
            <w:pPr>
              <w:pStyle w:val="TableContents"/>
              <w:bidi w:val="0"/>
              <w:spacing w:before="0" w:after="283"/>
              <w:ind w:left="0" w:right="0" w:hanging="0"/>
              <w:jc w:val="left"/>
              <w:rPr/>
            </w:pPr>
            <w:r>
              <w:rPr/>
              <w:t> </w:t>
            </w:r>
          </w:p>
        </w:tc>
      </w:tr>
      <w:tr>
        <w:trPr/>
        <w:tc>
          <w:tcPr>
            <w:tcW w:w="4665" w:type="dxa"/>
            <w:tcBorders/>
            <w:vAlign w:val="center"/>
          </w:tcPr>
          <w:p>
            <w:pPr>
              <w:pStyle w:val="TableContents"/>
              <w:bidi w:val="0"/>
              <w:spacing w:before="0" w:after="283"/>
              <w:jc w:val="left"/>
              <w:rPr/>
            </w:pPr>
            <w:r>
              <w:rPr/>
              <w:t>Loans</w:t>
            </w:r>
          </w:p>
        </w:tc>
        <w:tc>
          <w:tcPr>
            <w:tcW w:w="60"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627" w:type="dxa"/>
            <w:tcBorders/>
            <w:vAlign w:val="center"/>
          </w:tcPr>
          <w:p>
            <w:pPr>
              <w:pStyle w:val="TableContents"/>
              <w:bidi w:val="0"/>
              <w:spacing w:before="0" w:after="283"/>
              <w:jc w:val="right"/>
              <w:rPr/>
            </w:pPr>
            <w:r>
              <w:rPr/>
              <w:t>144,976,051</w:t>
            </w:r>
          </w:p>
        </w:tc>
        <w:tc>
          <w:tcPr>
            <w:tcW w:w="60" w:type="dxa"/>
            <w:tcBorders/>
            <w:vAlign w:val="center"/>
          </w:tcPr>
          <w:p>
            <w:pPr>
              <w:pStyle w:val="TableContents"/>
              <w:bidi w:val="0"/>
              <w:spacing w:before="0" w:after="283"/>
              <w:jc w:val="left"/>
              <w:rPr/>
            </w:pPr>
            <w:r>
              <w:rPr/>
              <w:t> </w:t>
            </w:r>
          </w:p>
        </w:tc>
        <w:tc>
          <w:tcPr>
            <w:tcW w:w="1594" w:type="dxa"/>
            <w:tcBorders/>
            <w:vAlign w:val="center"/>
          </w:tcPr>
          <w:p>
            <w:pPr>
              <w:pStyle w:val="TableContents"/>
              <w:bidi w:val="0"/>
              <w:spacing w:before="0" w:after="283"/>
              <w:jc w:val="right"/>
              <w:rPr/>
            </w:pPr>
            <w:r>
              <w:rPr/>
              <w:t>148,626,374</w:t>
            </w:r>
          </w:p>
        </w:tc>
        <w:tc>
          <w:tcPr>
            <w:tcW w:w="60" w:type="dxa"/>
            <w:tcBorders/>
            <w:vAlign w:val="center"/>
          </w:tcPr>
          <w:p>
            <w:pPr>
              <w:pStyle w:val="TableContents"/>
              <w:bidi w:val="0"/>
              <w:spacing w:before="0" w:after="283"/>
              <w:jc w:val="left"/>
              <w:rPr/>
            </w:pPr>
            <w:r>
              <w:rPr/>
              <w:t> </w:t>
            </w:r>
          </w:p>
        </w:tc>
        <w:tc>
          <w:tcPr>
            <w:tcW w:w="1571" w:type="dxa"/>
            <w:tcBorders/>
            <w:vAlign w:val="center"/>
          </w:tcPr>
          <w:p>
            <w:pPr>
              <w:pStyle w:val="TableContents"/>
              <w:bidi w:val="0"/>
              <w:spacing w:before="0" w:after="283"/>
              <w:ind w:left="0" w:right="0" w:hanging="0"/>
              <w:jc w:val="right"/>
              <w:rPr/>
            </w:pPr>
            <w:r>
              <w:rPr/>
              <w:t>147,597,412</w:t>
            </w:r>
          </w:p>
        </w:tc>
      </w:tr>
      <w:tr>
        <w:trPr/>
        <w:tc>
          <w:tcPr>
            <w:tcW w:w="4665" w:type="dxa"/>
            <w:tcBorders/>
            <w:vAlign w:val="center"/>
          </w:tcPr>
          <w:p>
            <w:pPr>
              <w:pStyle w:val="TableContents"/>
              <w:bidi w:val="0"/>
              <w:spacing w:before="0" w:after="283"/>
              <w:jc w:val="left"/>
              <w:rPr/>
            </w:pPr>
            <w:r>
              <w:rPr/>
              <w:t>Allowance for loan losses</w:t>
            </w:r>
          </w:p>
        </w:tc>
        <w:tc>
          <w:tcPr>
            <w:tcW w:w="60"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627" w:type="dxa"/>
            <w:tcBorders>
              <w:bottom w:val="single" w:sz="8" w:space="0" w:color="000000"/>
            </w:tcBorders>
            <w:tcMar>
              <w:bottom w:w="28" w:type="dxa"/>
            </w:tcMar>
            <w:vAlign w:val="center"/>
          </w:tcPr>
          <w:p>
            <w:pPr>
              <w:pStyle w:val="TableContents"/>
              <w:bidi w:val="0"/>
              <w:spacing w:before="0" w:after="283"/>
              <w:jc w:val="right"/>
              <w:rPr/>
            </w:pPr>
            <w:r>
              <w:rPr/>
              <w:t>(8,277,916)</w:t>
            </w:r>
          </w:p>
        </w:tc>
        <w:tc>
          <w:tcPr>
            <w:tcW w:w="60" w:type="dxa"/>
            <w:tcBorders/>
            <w:vAlign w:val="center"/>
          </w:tcPr>
          <w:p>
            <w:pPr>
              <w:pStyle w:val="TableContents"/>
              <w:bidi w:val="0"/>
              <w:spacing w:before="0" w:after="283"/>
              <w:jc w:val="left"/>
              <w:rPr/>
            </w:pPr>
            <w:r>
              <w:rPr/>
              <w:t> </w:t>
            </w:r>
          </w:p>
        </w:tc>
        <w:tc>
          <w:tcPr>
            <w:tcW w:w="1594" w:type="dxa"/>
            <w:tcBorders>
              <w:bottom w:val="single" w:sz="8" w:space="0" w:color="000000"/>
            </w:tcBorders>
            <w:tcMar>
              <w:bottom w:w="28" w:type="dxa"/>
            </w:tcMar>
            <w:vAlign w:val="center"/>
          </w:tcPr>
          <w:p>
            <w:pPr>
              <w:pStyle w:val="TableContents"/>
              <w:bidi w:val="0"/>
              <w:spacing w:before="0" w:after="283"/>
              <w:jc w:val="right"/>
              <w:rPr/>
            </w:pPr>
            <w:r>
              <w:rPr/>
              <w:t>(7,872,402)</w:t>
            </w:r>
          </w:p>
        </w:tc>
        <w:tc>
          <w:tcPr>
            <w:tcW w:w="60" w:type="dxa"/>
            <w:tcBorders/>
            <w:vAlign w:val="center"/>
          </w:tcPr>
          <w:p>
            <w:pPr>
              <w:pStyle w:val="TableContents"/>
              <w:bidi w:val="0"/>
              <w:spacing w:before="0" w:after="283"/>
              <w:jc w:val="left"/>
              <w:rPr/>
            </w:pPr>
            <w:r>
              <w:rPr/>
              <w:t> </w:t>
            </w:r>
          </w:p>
        </w:tc>
        <w:tc>
          <w:tcPr>
            <w:tcW w:w="1571" w:type="dxa"/>
            <w:tcBorders>
              <w:bottom w:val="single" w:sz="8" w:space="0" w:color="000000"/>
            </w:tcBorders>
            <w:tcMar>
              <w:bottom w:w="28" w:type="dxa"/>
            </w:tcMar>
            <w:vAlign w:val="center"/>
          </w:tcPr>
          <w:p>
            <w:pPr>
              <w:pStyle w:val="TableContents"/>
              <w:bidi w:val="0"/>
              <w:spacing w:before="0" w:after="283"/>
              <w:ind w:left="0" w:right="0" w:hanging="0"/>
              <w:jc w:val="right"/>
              <w:rPr/>
            </w:pPr>
            <w:r>
              <w:rPr/>
              <w:t>(8,477,308)</w:t>
            </w:r>
          </w:p>
        </w:tc>
      </w:tr>
      <w:tr>
        <w:trPr/>
        <w:tc>
          <w:tcPr>
            <w:tcW w:w="4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627" w:type="dxa"/>
            <w:tcBorders/>
            <w:vAlign w:val="center"/>
          </w:tcPr>
          <w:p>
            <w:pPr>
              <w:pStyle w:val="TableContents"/>
              <w:bidi w:val="0"/>
              <w:spacing w:before="0" w:after="283"/>
              <w:jc w:val="right"/>
              <w:rPr/>
            </w:pPr>
            <w:r>
              <w:rPr/>
              <w:t>136,698,135</w:t>
            </w:r>
          </w:p>
        </w:tc>
        <w:tc>
          <w:tcPr>
            <w:tcW w:w="60" w:type="dxa"/>
            <w:tcBorders/>
            <w:vAlign w:val="center"/>
          </w:tcPr>
          <w:p>
            <w:pPr>
              <w:pStyle w:val="TableContents"/>
              <w:bidi w:val="0"/>
              <w:spacing w:before="0" w:after="283"/>
              <w:jc w:val="left"/>
              <w:rPr/>
            </w:pPr>
            <w:r>
              <w:rPr/>
              <w:t> </w:t>
            </w:r>
          </w:p>
        </w:tc>
        <w:tc>
          <w:tcPr>
            <w:tcW w:w="1594" w:type="dxa"/>
            <w:tcBorders/>
            <w:vAlign w:val="center"/>
          </w:tcPr>
          <w:p>
            <w:pPr>
              <w:pStyle w:val="TableContents"/>
              <w:bidi w:val="0"/>
              <w:spacing w:before="0" w:after="283"/>
              <w:jc w:val="right"/>
              <w:rPr/>
            </w:pPr>
            <w:r>
              <w:rPr/>
              <w:t>140,753,972</w:t>
            </w:r>
          </w:p>
        </w:tc>
        <w:tc>
          <w:tcPr>
            <w:tcW w:w="60" w:type="dxa"/>
            <w:tcBorders/>
            <w:vAlign w:val="center"/>
          </w:tcPr>
          <w:p>
            <w:pPr>
              <w:pStyle w:val="TableContents"/>
              <w:bidi w:val="0"/>
              <w:spacing w:before="0" w:after="283"/>
              <w:jc w:val="left"/>
              <w:rPr/>
            </w:pPr>
            <w:r>
              <w:rPr/>
              <w:t> </w:t>
            </w:r>
          </w:p>
        </w:tc>
        <w:tc>
          <w:tcPr>
            <w:tcW w:w="1571" w:type="dxa"/>
            <w:tcBorders/>
            <w:vAlign w:val="center"/>
          </w:tcPr>
          <w:p>
            <w:pPr>
              <w:pStyle w:val="TableContents"/>
              <w:bidi w:val="0"/>
              <w:spacing w:before="0" w:after="283"/>
              <w:ind w:left="0" w:right="0" w:hanging="0"/>
              <w:jc w:val="right"/>
              <w:rPr/>
            </w:pPr>
            <w:r>
              <w:rPr/>
              <w:t>139,120,104</w:t>
            </w:r>
          </w:p>
        </w:tc>
      </w:tr>
      <w:tr>
        <w:trPr/>
        <w:tc>
          <w:tcPr>
            <w:tcW w:w="4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62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59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571" w:type="dxa"/>
            <w:tcBorders/>
            <w:vAlign w:val="center"/>
          </w:tcPr>
          <w:p>
            <w:pPr>
              <w:pStyle w:val="TableContents"/>
              <w:bidi w:val="0"/>
              <w:spacing w:before="0" w:after="283"/>
              <w:ind w:left="0" w:right="0" w:hanging="0"/>
              <w:jc w:val="right"/>
              <w:rPr/>
            </w:pPr>
            <w:r>
              <w:rPr/>
              <w:t> </w:t>
            </w:r>
          </w:p>
        </w:tc>
      </w:tr>
      <w:tr>
        <w:trPr/>
        <w:tc>
          <w:tcPr>
            <w:tcW w:w="4665" w:type="dxa"/>
            <w:tcBorders/>
            <w:vAlign w:val="center"/>
          </w:tcPr>
          <w:p>
            <w:pPr>
              <w:pStyle w:val="TableContents"/>
              <w:bidi w:val="0"/>
              <w:spacing w:before="0" w:after="283"/>
              <w:jc w:val="left"/>
              <w:rPr/>
            </w:pPr>
            <w:r>
              <w:rPr/>
              <w:t>Financial assets designated at fair value through profit</w:t>
            </w:r>
          </w:p>
        </w:tc>
        <w:tc>
          <w:tcPr>
            <w:tcW w:w="60"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627" w:type="dxa"/>
            <w:tcBorders/>
            <w:vAlign w:val="center"/>
          </w:tcPr>
          <w:p>
            <w:pPr>
              <w:pStyle w:val="TableContents"/>
              <w:bidi w:val="0"/>
              <w:spacing w:before="0" w:after="283"/>
              <w:jc w:val="right"/>
              <w:rPr/>
            </w:pPr>
            <w:r>
              <w:rPr/>
              <w:t>810,932</w:t>
            </w:r>
          </w:p>
        </w:tc>
        <w:tc>
          <w:tcPr>
            <w:tcW w:w="60" w:type="dxa"/>
            <w:tcBorders/>
            <w:vAlign w:val="center"/>
          </w:tcPr>
          <w:p>
            <w:pPr>
              <w:pStyle w:val="TableContents"/>
              <w:bidi w:val="0"/>
              <w:spacing w:before="0" w:after="283"/>
              <w:jc w:val="left"/>
              <w:rPr/>
            </w:pPr>
            <w:r>
              <w:rPr/>
              <w:t> </w:t>
            </w:r>
          </w:p>
        </w:tc>
        <w:tc>
          <w:tcPr>
            <w:tcW w:w="1594" w:type="dxa"/>
            <w:tcBorders/>
            <w:vAlign w:val="center"/>
          </w:tcPr>
          <w:p>
            <w:pPr>
              <w:pStyle w:val="TableContents"/>
              <w:bidi w:val="0"/>
              <w:spacing w:before="0" w:after="283"/>
              <w:jc w:val="right"/>
              <w:rPr/>
            </w:pPr>
            <w:r>
              <w:rPr/>
              <w:t>768,801</w:t>
            </w:r>
          </w:p>
        </w:tc>
        <w:tc>
          <w:tcPr>
            <w:tcW w:w="60" w:type="dxa"/>
            <w:tcBorders/>
            <w:vAlign w:val="center"/>
          </w:tcPr>
          <w:p>
            <w:pPr>
              <w:pStyle w:val="TableContents"/>
              <w:bidi w:val="0"/>
              <w:spacing w:before="0" w:after="283"/>
              <w:jc w:val="left"/>
              <w:rPr/>
            </w:pPr>
            <w:r>
              <w:rPr/>
              <w:t> </w:t>
            </w:r>
          </w:p>
        </w:tc>
        <w:tc>
          <w:tcPr>
            <w:tcW w:w="1571" w:type="dxa"/>
            <w:tcBorders/>
            <w:vAlign w:val="center"/>
          </w:tcPr>
          <w:p>
            <w:pPr>
              <w:pStyle w:val="TableContents"/>
              <w:bidi w:val="0"/>
              <w:spacing w:before="0" w:after="283"/>
              <w:ind w:left="0" w:right="0" w:hanging="0"/>
              <w:jc w:val="right"/>
              <w:rPr/>
            </w:pPr>
            <w:r>
              <w:rPr/>
              <w:t>987,082</w:t>
            </w:r>
          </w:p>
        </w:tc>
      </w:tr>
      <w:tr>
        <w:trPr/>
        <w:tc>
          <w:tcPr>
            <w:tcW w:w="4665" w:type="dxa"/>
            <w:tcBorders/>
            <w:vAlign w:val="center"/>
          </w:tcPr>
          <w:p>
            <w:pPr>
              <w:pStyle w:val="TableContents"/>
              <w:bidi w:val="0"/>
              <w:spacing w:before="0" w:after="283"/>
              <w:jc w:val="left"/>
              <w:rPr/>
            </w:pPr>
            <w:r>
              <w:rPr/>
              <w:t>Reinsurance contract assets</w:t>
            </w:r>
          </w:p>
        </w:tc>
        <w:tc>
          <w:tcPr>
            <w:tcW w:w="60"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center"/>
              <w:rPr/>
            </w:pPr>
            <w:r>
              <w:rPr/>
              <w:t>8(a)</w:t>
            </w:r>
          </w:p>
        </w:tc>
        <w:tc>
          <w:tcPr>
            <w:tcW w:w="60" w:type="dxa"/>
            <w:tcBorders/>
            <w:vAlign w:val="center"/>
          </w:tcPr>
          <w:p>
            <w:pPr>
              <w:pStyle w:val="TableContents"/>
              <w:bidi w:val="0"/>
              <w:spacing w:before="0" w:after="283"/>
              <w:jc w:val="left"/>
              <w:rPr/>
            </w:pPr>
            <w:r>
              <w:rPr/>
              <w:t> </w:t>
            </w:r>
          </w:p>
        </w:tc>
        <w:tc>
          <w:tcPr>
            <w:tcW w:w="1627" w:type="dxa"/>
            <w:tcBorders/>
            <w:vAlign w:val="center"/>
          </w:tcPr>
          <w:p>
            <w:pPr>
              <w:pStyle w:val="TableContents"/>
              <w:bidi w:val="0"/>
              <w:spacing w:before="0" w:after="283"/>
              <w:jc w:val="right"/>
              <w:rPr/>
            </w:pPr>
            <w:r>
              <w:rPr/>
              <w:t>872,046</w:t>
            </w:r>
          </w:p>
        </w:tc>
        <w:tc>
          <w:tcPr>
            <w:tcW w:w="60" w:type="dxa"/>
            <w:tcBorders/>
            <w:vAlign w:val="center"/>
          </w:tcPr>
          <w:p>
            <w:pPr>
              <w:pStyle w:val="TableContents"/>
              <w:bidi w:val="0"/>
              <w:spacing w:before="0" w:after="283"/>
              <w:jc w:val="left"/>
              <w:rPr/>
            </w:pPr>
            <w:r>
              <w:rPr/>
              <w:t> </w:t>
            </w:r>
          </w:p>
        </w:tc>
        <w:tc>
          <w:tcPr>
            <w:tcW w:w="1594" w:type="dxa"/>
            <w:tcBorders/>
            <w:vAlign w:val="center"/>
          </w:tcPr>
          <w:p>
            <w:pPr>
              <w:pStyle w:val="TableContents"/>
              <w:bidi w:val="0"/>
              <w:spacing w:before="0" w:after="283"/>
              <w:jc w:val="right"/>
              <w:rPr/>
            </w:pPr>
            <w:r>
              <w:rPr/>
              <w:t>744,008</w:t>
            </w:r>
          </w:p>
        </w:tc>
        <w:tc>
          <w:tcPr>
            <w:tcW w:w="60" w:type="dxa"/>
            <w:tcBorders/>
            <w:vAlign w:val="center"/>
          </w:tcPr>
          <w:p>
            <w:pPr>
              <w:pStyle w:val="TableContents"/>
              <w:bidi w:val="0"/>
              <w:spacing w:before="0" w:after="283"/>
              <w:jc w:val="left"/>
              <w:rPr/>
            </w:pPr>
            <w:r>
              <w:rPr/>
              <w:t> </w:t>
            </w:r>
          </w:p>
        </w:tc>
        <w:tc>
          <w:tcPr>
            <w:tcW w:w="1571" w:type="dxa"/>
            <w:tcBorders/>
            <w:vAlign w:val="center"/>
          </w:tcPr>
          <w:p>
            <w:pPr>
              <w:pStyle w:val="TableContents"/>
              <w:bidi w:val="0"/>
              <w:spacing w:before="0" w:after="283"/>
              <w:ind w:left="0" w:right="0" w:hanging="0"/>
              <w:jc w:val="right"/>
              <w:rPr/>
            </w:pPr>
            <w:r>
              <w:rPr/>
              <w:t>812,466</w:t>
            </w:r>
          </w:p>
        </w:tc>
      </w:tr>
      <w:tr>
        <w:trPr/>
        <w:tc>
          <w:tcPr>
            <w:tcW w:w="4665" w:type="dxa"/>
            <w:tcBorders/>
            <w:vAlign w:val="center"/>
          </w:tcPr>
          <w:p>
            <w:pPr>
              <w:pStyle w:val="TableContents"/>
              <w:bidi w:val="0"/>
              <w:spacing w:before="0" w:after="283"/>
              <w:jc w:val="left"/>
              <w:rPr/>
            </w:pPr>
            <w:r>
              <w:rPr/>
              <w:t>Property, furniture and equipment, net</w:t>
            </w:r>
          </w:p>
        </w:tc>
        <w:tc>
          <w:tcPr>
            <w:tcW w:w="60"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center"/>
              <w:rPr/>
            </w:pPr>
            <w:r>
              <w:rPr/>
              <w:t>9</w:t>
            </w:r>
          </w:p>
        </w:tc>
        <w:tc>
          <w:tcPr>
            <w:tcW w:w="60" w:type="dxa"/>
            <w:tcBorders/>
            <w:vAlign w:val="center"/>
          </w:tcPr>
          <w:p>
            <w:pPr>
              <w:pStyle w:val="TableContents"/>
              <w:bidi w:val="0"/>
              <w:spacing w:before="0" w:after="283"/>
              <w:jc w:val="left"/>
              <w:rPr/>
            </w:pPr>
            <w:r>
              <w:rPr/>
              <w:t> </w:t>
            </w:r>
          </w:p>
        </w:tc>
        <w:tc>
          <w:tcPr>
            <w:tcW w:w="1627" w:type="dxa"/>
            <w:tcBorders/>
            <w:vAlign w:val="center"/>
          </w:tcPr>
          <w:p>
            <w:pPr>
              <w:pStyle w:val="TableContents"/>
              <w:bidi w:val="0"/>
              <w:spacing w:before="0" w:after="283"/>
              <w:jc w:val="right"/>
              <w:rPr/>
            </w:pPr>
            <w:r>
              <w:rPr/>
              <w:t>1,357,525</w:t>
            </w:r>
          </w:p>
        </w:tc>
        <w:tc>
          <w:tcPr>
            <w:tcW w:w="60" w:type="dxa"/>
            <w:tcBorders/>
            <w:vAlign w:val="center"/>
          </w:tcPr>
          <w:p>
            <w:pPr>
              <w:pStyle w:val="TableContents"/>
              <w:bidi w:val="0"/>
              <w:spacing w:before="0" w:after="283"/>
              <w:jc w:val="left"/>
              <w:rPr/>
            </w:pPr>
            <w:r>
              <w:rPr/>
              <w:t> </w:t>
            </w:r>
          </w:p>
        </w:tc>
        <w:tc>
          <w:tcPr>
            <w:tcW w:w="1594" w:type="dxa"/>
            <w:tcBorders/>
            <w:vAlign w:val="center"/>
          </w:tcPr>
          <w:p>
            <w:pPr>
              <w:pStyle w:val="TableContents"/>
              <w:bidi w:val="0"/>
              <w:spacing w:before="0" w:after="283"/>
              <w:jc w:val="right"/>
              <w:rPr/>
            </w:pPr>
            <w:r>
              <w:rPr/>
              <w:t>1,281,098</w:t>
            </w:r>
          </w:p>
        </w:tc>
        <w:tc>
          <w:tcPr>
            <w:tcW w:w="60" w:type="dxa"/>
            <w:tcBorders/>
            <w:vAlign w:val="center"/>
          </w:tcPr>
          <w:p>
            <w:pPr>
              <w:pStyle w:val="TableContents"/>
              <w:bidi w:val="0"/>
              <w:spacing w:before="0" w:after="283"/>
              <w:jc w:val="left"/>
              <w:rPr/>
            </w:pPr>
            <w:r>
              <w:rPr/>
              <w:t> </w:t>
            </w:r>
          </w:p>
        </w:tc>
        <w:tc>
          <w:tcPr>
            <w:tcW w:w="1571" w:type="dxa"/>
            <w:tcBorders/>
            <w:vAlign w:val="center"/>
          </w:tcPr>
          <w:p>
            <w:pPr>
              <w:pStyle w:val="TableContents"/>
              <w:bidi w:val="0"/>
              <w:spacing w:before="0" w:after="283"/>
              <w:ind w:left="0" w:right="0" w:hanging="0"/>
              <w:jc w:val="right"/>
              <w:rPr/>
            </w:pPr>
            <w:r>
              <w:rPr/>
              <w:t>1,308,779</w:t>
            </w:r>
          </w:p>
        </w:tc>
      </w:tr>
      <w:tr>
        <w:trPr/>
        <w:tc>
          <w:tcPr>
            <w:tcW w:w="4665" w:type="dxa"/>
            <w:tcBorders/>
            <w:vAlign w:val="center"/>
          </w:tcPr>
          <w:p>
            <w:pPr>
              <w:pStyle w:val="TableContents"/>
              <w:bidi w:val="0"/>
              <w:spacing w:before="0" w:after="283"/>
              <w:jc w:val="left"/>
              <w:rPr/>
            </w:pPr>
            <w:r>
              <w:rPr/>
              <w:t>Due from customers on banker's acceptances</w:t>
            </w:r>
          </w:p>
        </w:tc>
        <w:tc>
          <w:tcPr>
            <w:tcW w:w="60"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center"/>
              <w:rPr/>
            </w:pPr>
            <w:r>
              <w:rPr/>
              <w:t>7(b)</w:t>
            </w:r>
          </w:p>
        </w:tc>
        <w:tc>
          <w:tcPr>
            <w:tcW w:w="60" w:type="dxa"/>
            <w:tcBorders/>
            <w:vAlign w:val="center"/>
          </w:tcPr>
          <w:p>
            <w:pPr>
              <w:pStyle w:val="TableContents"/>
              <w:bidi w:val="0"/>
              <w:spacing w:before="0" w:after="283"/>
              <w:jc w:val="left"/>
              <w:rPr/>
            </w:pPr>
            <w:r>
              <w:rPr/>
              <w:t> </w:t>
            </w:r>
          </w:p>
        </w:tc>
        <w:tc>
          <w:tcPr>
            <w:tcW w:w="1627" w:type="dxa"/>
            <w:tcBorders/>
            <w:vAlign w:val="center"/>
          </w:tcPr>
          <w:p>
            <w:pPr>
              <w:pStyle w:val="TableContents"/>
              <w:bidi w:val="0"/>
              <w:spacing w:before="0" w:after="283"/>
              <w:jc w:val="right"/>
              <w:rPr/>
            </w:pPr>
            <w:r>
              <w:rPr/>
              <w:t>412,401</w:t>
            </w:r>
          </w:p>
        </w:tc>
        <w:tc>
          <w:tcPr>
            <w:tcW w:w="60" w:type="dxa"/>
            <w:tcBorders/>
            <w:vAlign w:val="center"/>
          </w:tcPr>
          <w:p>
            <w:pPr>
              <w:pStyle w:val="TableContents"/>
              <w:bidi w:val="0"/>
              <w:spacing w:before="0" w:after="283"/>
              <w:jc w:val="left"/>
              <w:rPr/>
            </w:pPr>
            <w:r>
              <w:rPr/>
              <w:t> </w:t>
            </w:r>
          </w:p>
        </w:tc>
        <w:tc>
          <w:tcPr>
            <w:tcW w:w="1594" w:type="dxa"/>
            <w:tcBorders/>
            <w:vAlign w:val="center"/>
          </w:tcPr>
          <w:p>
            <w:pPr>
              <w:pStyle w:val="TableContents"/>
              <w:bidi w:val="0"/>
              <w:spacing w:before="0" w:after="283"/>
              <w:jc w:val="right"/>
              <w:rPr/>
            </w:pPr>
            <w:r>
              <w:rPr/>
              <w:t>699,678</w:t>
            </w:r>
          </w:p>
        </w:tc>
        <w:tc>
          <w:tcPr>
            <w:tcW w:w="60" w:type="dxa"/>
            <w:tcBorders/>
            <w:vAlign w:val="center"/>
          </w:tcPr>
          <w:p>
            <w:pPr>
              <w:pStyle w:val="TableContents"/>
              <w:bidi w:val="0"/>
              <w:spacing w:before="0" w:after="283"/>
              <w:jc w:val="left"/>
              <w:rPr/>
            </w:pPr>
            <w:r>
              <w:rPr/>
              <w:t> </w:t>
            </w:r>
          </w:p>
        </w:tc>
        <w:tc>
          <w:tcPr>
            <w:tcW w:w="1571" w:type="dxa"/>
            <w:tcBorders/>
            <w:vAlign w:val="center"/>
          </w:tcPr>
          <w:p>
            <w:pPr>
              <w:pStyle w:val="TableContents"/>
              <w:bidi w:val="0"/>
              <w:spacing w:before="0" w:after="283"/>
              <w:ind w:left="0" w:right="0" w:hanging="0"/>
              <w:jc w:val="right"/>
              <w:rPr/>
            </w:pPr>
            <w:r>
              <w:rPr/>
              <w:t>532,404</w:t>
            </w:r>
          </w:p>
        </w:tc>
      </w:tr>
      <w:tr>
        <w:trPr/>
        <w:tc>
          <w:tcPr>
            <w:tcW w:w="4665" w:type="dxa"/>
            <w:tcBorders/>
            <w:vAlign w:val="center"/>
          </w:tcPr>
          <w:p>
            <w:pPr>
              <w:pStyle w:val="TableContents"/>
              <w:bidi w:val="0"/>
              <w:spacing w:before="0" w:after="283"/>
              <w:jc w:val="left"/>
              <w:rPr/>
            </w:pPr>
            <w:r>
              <w:rPr/>
              <w:t>Intangible assets and goodwill, net</w:t>
            </w:r>
          </w:p>
        </w:tc>
        <w:tc>
          <w:tcPr>
            <w:tcW w:w="60"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center"/>
              <w:rPr/>
            </w:pPr>
            <w:r>
              <w:rPr/>
              <w:t>10</w:t>
            </w:r>
          </w:p>
        </w:tc>
        <w:tc>
          <w:tcPr>
            <w:tcW w:w="60" w:type="dxa"/>
            <w:tcBorders/>
            <w:vAlign w:val="center"/>
          </w:tcPr>
          <w:p>
            <w:pPr>
              <w:pStyle w:val="TableContents"/>
              <w:bidi w:val="0"/>
              <w:spacing w:before="0" w:after="283"/>
              <w:jc w:val="left"/>
              <w:rPr/>
            </w:pPr>
            <w:r>
              <w:rPr/>
              <w:t> </w:t>
            </w:r>
          </w:p>
        </w:tc>
        <w:tc>
          <w:tcPr>
            <w:tcW w:w="1627" w:type="dxa"/>
            <w:tcBorders/>
            <w:vAlign w:val="center"/>
          </w:tcPr>
          <w:p>
            <w:pPr>
              <w:pStyle w:val="TableContents"/>
              <w:bidi w:val="0"/>
              <w:spacing w:before="0" w:after="283"/>
              <w:jc w:val="right"/>
              <w:rPr/>
            </w:pPr>
            <w:r>
              <w:rPr/>
              <w:t>3,225,499</w:t>
            </w:r>
          </w:p>
        </w:tc>
        <w:tc>
          <w:tcPr>
            <w:tcW w:w="60" w:type="dxa"/>
            <w:tcBorders/>
            <w:vAlign w:val="center"/>
          </w:tcPr>
          <w:p>
            <w:pPr>
              <w:pStyle w:val="TableContents"/>
              <w:bidi w:val="0"/>
              <w:spacing w:before="0" w:after="283"/>
              <w:jc w:val="left"/>
              <w:rPr/>
            </w:pPr>
            <w:r>
              <w:rPr/>
              <w:t> </w:t>
            </w:r>
          </w:p>
        </w:tc>
        <w:tc>
          <w:tcPr>
            <w:tcW w:w="1594" w:type="dxa"/>
            <w:tcBorders/>
            <w:vAlign w:val="center"/>
          </w:tcPr>
          <w:p>
            <w:pPr>
              <w:pStyle w:val="TableContents"/>
              <w:bidi w:val="0"/>
              <w:spacing w:before="0" w:after="283"/>
              <w:jc w:val="right"/>
              <w:rPr/>
            </w:pPr>
            <w:r>
              <w:rPr/>
              <w:t>2,899,429</w:t>
            </w:r>
          </w:p>
        </w:tc>
        <w:tc>
          <w:tcPr>
            <w:tcW w:w="60" w:type="dxa"/>
            <w:tcBorders/>
            <w:vAlign w:val="center"/>
          </w:tcPr>
          <w:p>
            <w:pPr>
              <w:pStyle w:val="TableContents"/>
              <w:bidi w:val="0"/>
              <w:spacing w:before="0" w:after="283"/>
              <w:jc w:val="left"/>
              <w:rPr/>
            </w:pPr>
            <w:r>
              <w:rPr/>
              <w:t> </w:t>
            </w:r>
          </w:p>
        </w:tc>
        <w:tc>
          <w:tcPr>
            <w:tcW w:w="1571" w:type="dxa"/>
            <w:tcBorders/>
            <w:vAlign w:val="center"/>
          </w:tcPr>
          <w:p>
            <w:pPr>
              <w:pStyle w:val="TableContents"/>
              <w:bidi w:val="0"/>
              <w:spacing w:before="0" w:after="283"/>
              <w:ind w:left="0" w:right="0" w:hanging="0"/>
              <w:jc w:val="right"/>
              <w:rPr/>
            </w:pPr>
            <w:r>
              <w:rPr/>
              <w:t>2,710,080</w:t>
            </w:r>
          </w:p>
        </w:tc>
      </w:tr>
      <w:tr>
        <w:trPr/>
        <w:tc>
          <w:tcPr>
            <w:tcW w:w="4665" w:type="dxa"/>
            <w:tcBorders/>
            <w:vAlign w:val="center"/>
          </w:tcPr>
          <w:p>
            <w:pPr>
              <w:pStyle w:val="TableContents"/>
              <w:bidi w:val="0"/>
              <w:spacing w:before="0" w:after="283"/>
              <w:jc w:val="left"/>
              <w:rPr/>
            </w:pPr>
            <w:r>
              <w:rPr/>
              <w:t>Right-of-use assets, net</w:t>
            </w:r>
          </w:p>
        </w:tc>
        <w:tc>
          <w:tcPr>
            <w:tcW w:w="60"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center"/>
              <w:rPr/>
            </w:pPr>
            <w:r>
              <w:rPr/>
              <w:t>11(a)</w:t>
            </w:r>
          </w:p>
        </w:tc>
        <w:tc>
          <w:tcPr>
            <w:tcW w:w="60" w:type="dxa"/>
            <w:tcBorders/>
            <w:vAlign w:val="center"/>
          </w:tcPr>
          <w:p>
            <w:pPr>
              <w:pStyle w:val="TableContents"/>
              <w:bidi w:val="0"/>
              <w:spacing w:before="0" w:after="283"/>
              <w:jc w:val="left"/>
              <w:rPr/>
            </w:pPr>
            <w:r>
              <w:rPr/>
              <w:t> </w:t>
            </w:r>
          </w:p>
        </w:tc>
        <w:tc>
          <w:tcPr>
            <w:tcW w:w="1627" w:type="dxa"/>
            <w:tcBorders/>
            <w:vAlign w:val="center"/>
          </w:tcPr>
          <w:p>
            <w:pPr>
              <w:pStyle w:val="TableContents"/>
              <w:bidi w:val="0"/>
              <w:spacing w:before="0" w:after="283"/>
              <w:jc w:val="right"/>
              <w:rPr/>
            </w:pPr>
            <w:r>
              <w:rPr/>
              <w:t>499,715</w:t>
            </w:r>
          </w:p>
        </w:tc>
        <w:tc>
          <w:tcPr>
            <w:tcW w:w="60" w:type="dxa"/>
            <w:tcBorders/>
            <w:vAlign w:val="center"/>
          </w:tcPr>
          <w:p>
            <w:pPr>
              <w:pStyle w:val="TableContents"/>
              <w:bidi w:val="0"/>
              <w:spacing w:before="0" w:after="283"/>
              <w:jc w:val="left"/>
              <w:rPr/>
            </w:pPr>
            <w:r>
              <w:rPr/>
              <w:t> </w:t>
            </w:r>
          </w:p>
        </w:tc>
        <w:tc>
          <w:tcPr>
            <w:tcW w:w="1594" w:type="dxa"/>
            <w:tcBorders/>
            <w:vAlign w:val="center"/>
          </w:tcPr>
          <w:p>
            <w:pPr>
              <w:pStyle w:val="TableContents"/>
              <w:bidi w:val="0"/>
              <w:spacing w:before="0" w:after="283"/>
              <w:jc w:val="right"/>
              <w:rPr/>
            </w:pPr>
            <w:r>
              <w:rPr/>
              <w:t>543,833</w:t>
            </w:r>
          </w:p>
        </w:tc>
        <w:tc>
          <w:tcPr>
            <w:tcW w:w="60" w:type="dxa"/>
            <w:tcBorders/>
            <w:vAlign w:val="center"/>
          </w:tcPr>
          <w:p>
            <w:pPr>
              <w:pStyle w:val="TableContents"/>
              <w:bidi w:val="0"/>
              <w:spacing w:before="0" w:after="283"/>
              <w:jc w:val="left"/>
              <w:rPr/>
            </w:pPr>
            <w:r>
              <w:rPr/>
              <w:t> </w:t>
            </w:r>
          </w:p>
        </w:tc>
        <w:tc>
          <w:tcPr>
            <w:tcW w:w="1571" w:type="dxa"/>
            <w:tcBorders/>
            <w:vAlign w:val="center"/>
          </w:tcPr>
          <w:p>
            <w:pPr>
              <w:pStyle w:val="TableContents"/>
              <w:bidi w:val="0"/>
              <w:spacing w:before="0" w:after="283"/>
              <w:ind w:left="0" w:right="0" w:hanging="0"/>
              <w:jc w:val="right"/>
              <w:rPr/>
            </w:pPr>
            <w:r>
              <w:rPr/>
              <w:t>536,417</w:t>
            </w:r>
          </w:p>
        </w:tc>
      </w:tr>
      <w:tr>
        <w:trPr/>
        <w:tc>
          <w:tcPr>
            <w:tcW w:w="4665" w:type="dxa"/>
            <w:tcBorders/>
            <w:vAlign w:val="center"/>
          </w:tcPr>
          <w:p>
            <w:pPr>
              <w:pStyle w:val="TableContents"/>
              <w:bidi w:val="0"/>
              <w:spacing w:before="0" w:after="283"/>
              <w:jc w:val="left"/>
              <w:rPr/>
            </w:pPr>
            <w:r>
              <w:rPr/>
              <w:t>Deferred tax assets, net</w:t>
            </w:r>
          </w:p>
        </w:tc>
        <w:tc>
          <w:tcPr>
            <w:tcW w:w="60"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center"/>
              <w:rPr/>
            </w:pPr>
            <w:r>
              <w:rPr/>
              <w:t>17(c)</w:t>
            </w:r>
          </w:p>
        </w:tc>
        <w:tc>
          <w:tcPr>
            <w:tcW w:w="60" w:type="dxa"/>
            <w:tcBorders/>
            <w:vAlign w:val="center"/>
          </w:tcPr>
          <w:p>
            <w:pPr>
              <w:pStyle w:val="TableContents"/>
              <w:bidi w:val="0"/>
              <w:spacing w:before="0" w:after="283"/>
              <w:jc w:val="left"/>
              <w:rPr/>
            </w:pPr>
            <w:r>
              <w:rPr/>
              <w:t> </w:t>
            </w:r>
          </w:p>
        </w:tc>
        <w:tc>
          <w:tcPr>
            <w:tcW w:w="1627" w:type="dxa"/>
            <w:tcBorders/>
            <w:vAlign w:val="center"/>
          </w:tcPr>
          <w:p>
            <w:pPr>
              <w:pStyle w:val="TableContents"/>
              <w:bidi w:val="0"/>
              <w:spacing w:before="0" w:after="283"/>
              <w:jc w:val="right"/>
              <w:rPr/>
            </w:pPr>
            <w:r>
              <w:rPr/>
              <w:t>1,182,195</w:t>
            </w:r>
          </w:p>
        </w:tc>
        <w:tc>
          <w:tcPr>
            <w:tcW w:w="60" w:type="dxa"/>
            <w:tcBorders/>
            <w:vAlign w:val="center"/>
          </w:tcPr>
          <w:p>
            <w:pPr>
              <w:pStyle w:val="TableContents"/>
              <w:bidi w:val="0"/>
              <w:spacing w:before="0" w:after="283"/>
              <w:jc w:val="left"/>
              <w:rPr/>
            </w:pPr>
            <w:r>
              <w:rPr/>
              <w:t> </w:t>
            </w:r>
          </w:p>
        </w:tc>
        <w:tc>
          <w:tcPr>
            <w:tcW w:w="1594" w:type="dxa"/>
            <w:tcBorders/>
            <w:vAlign w:val="center"/>
          </w:tcPr>
          <w:p>
            <w:pPr>
              <w:pStyle w:val="TableContents"/>
              <w:bidi w:val="0"/>
              <w:spacing w:before="0" w:after="283"/>
              <w:jc w:val="right"/>
              <w:rPr/>
            </w:pPr>
            <w:r>
              <w:rPr/>
              <w:t>1,134,747</w:t>
            </w:r>
          </w:p>
        </w:tc>
        <w:tc>
          <w:tcPr>
            <w:tcW w:w="60" w:type="dxa"/>
            <w:tcBorders/>
            <w:vAlign w:val="center"/>
          </w:tcPr>
          <w:p>
            <w:pPr>
              <w:pStyle w:val="TableContents"/>
              <w:bidi w:val="0"/>
              <w:spacing w:before="0" w:after="283"/>
              <w:jc w:val="left"/>
              <w:rPr/>
            </w:pPr>
            <w:r>
              <w:rPr/>
              <w:t> </w:t>
            </w:r>
          </w:p>
        </w:tc>
        <w:tc>
          <w:tcPr>
            <w:tcW w:w="1571" w:type="dxa"/>
            <w:tcBorders/>
            <w:vAlign w:val="center"/>
          </w:tcPr>
          <w:p>
            <w:pPr>
              <w:pStyle w:val="TableContents"/>
              <w:bidi w:val="0"/>
              <w:spacing w:before="0" w:after="283"/>
              <w:ind w:left="0" w:right="0" w:hanging="0"/>
              <w:jc w:val="right"/>
              <w:rPr/>
            </w:pPr>
            <w:r>
              <w:rPr/>
              <w:t>1,146,468</w:t>
            </w:r>
          </w:p>
        </w:tc>
      </w:tr>
      <w:tr>
        <w:trPr/>
        <w:tc>
          <w:tcPr>
            <w:tcW w:w="4665" w:type="dxa"/>
            <w:tcBorders/>
            <w:vAlign w:val="center"/>
          </w:tcPr>
          <w:p>
            <w:pPr>
              <w:pStyle w:val="TableContents"/>
              <w:bidi w:val="0"/>
              <w:spacing w:before="0" w:after="283"/>
              <w:jc w:val="left"/>
              <w:rPr/>
            </w:pPr>
            <w:r>
              <w:rPr/>
              <w:t>Other assets</w:t>
            </w:r>
          </w:p>
        </w:tc>
        <w:tc>
          <w:tcPr>
            <w:tcW w:w="60"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center"/>
              <w:rPr/>
            </w:pPr>
            <w:r>
              <w:rPr/>
              <w:t>12</w:t>
            </w:r>
          </w:p>
        </w:tc>
        <w:tc>
          <w:tcPr>
            <w:tcW w:w="60" w:type="dxa"/>
            <w:tcBorders/>
            <w:vAlign w:val="center"/>
          </w:tcPr>
          <w:p>
            <w:pPr>
              <w:pStyle w:val="TableContents"/>
              <w:bidi w:val="0"/>
              <w:spacing w:before="0" w:after="283"/>
              <w:jc w:val="left"/>
              <w:rPr/>
            </w:pPr>
            <w:r>
              <w:rPr/>
              <w:t> </w:t>
            </w:r>
          </w:p>
        </w:tc>
        <w:tc>
          <w:tcPr>
            <w:tcW w:w="1627" w:type="dxa"/>
            <w:tcBorders>
              <w:bottom w:val="single" w:sz="8" w:space="0" w:color="000000"/>
            </w:tcBorders>
            <w:tcMar>
              <w:bottom w:w="28" w:type="dxa"/>
            </w:tcMar>
            <w:vAlign w:val="center"/>
          </w:tcPr>
          <w:p>
            <w:pPr>
              <w:pStyle w:val="TableContents"/>
              <w:bidi w:val="0"/>
              <w:spacing w:before="0" w:after="283"/>
              <w:jc w:val="right"/>
              <w:rPr/>
            </w:pPr>
            <w:r>
              <w:rPr/>
              <w:t>6,224,617</w:t>
            </w:r>
          </w:p>
        </w:tc>
        <w:tc>
          <w:tcPr>
            <w:tcW w:w="60" w:type="dxa"/>
            <w:tcBorders/>
            <w:vAlign w:val="center"/>
          </w:tcPr>
          <w:p>
            <w:pPr>
              <w:pStyle w:val="TableContents"/>
              <w:bidi w:val="0"/>
              <w:spacing w:before="0" w:after="283"/>
              <w:jc w:val="left"/>
              <w:rPr/>
            </w:pPr>
            <w:r>
              <w:rPr/>
              <w:t> </w:t>
            </w:r>
          </w:p>
        </w:tc>
        <w:tc>
          <w:tcPr>
            <w:tcW w:w="1594" w:type="dxa"/>
            <w:tcBorders>
              <w:bottom w:val="single" w:sz="8" w:space="0" w:color="000000"/>
            </w:tcBorders>
            <w:tcMar>
              <w:bottom w:w="28" w:type="dxa"/>
            </w:tcMar>
            <w:vAlign w:val="center"/>
          </w:tcPr>
          <w:p>
            <w:pPr>
              <w:pStyle w:val="TableContents"/>
              <w:bidi w:val="0"/>
              <w:spacing w:before="0" w:after="283"/>
              <w:jc w:val="right"/>
              <w:rPr/>
            </w:pPr>
            <w:r>
              <w:rPr/>
              <w:t>5,871,671</w:t>
            </w:r>
          </w:p>
        </w:tc>
        <w:tc>
          <w:tcPr>
            <w:tcW w:w="60" w:type="dxa"/>
            <w:tcBorders/>
            <w:vAlign w:val="center"/>
          </w:tcPr>
          <w:p>
            <w:pPr>
              <w:pStyle w:val="TableContents"/>
              <w:bidi w:val="0"/>
              <w:spacing w:before="0" w:after="283"/>
              <w:jc w:val="left"/>
              <w:rPr/>
            </w:pPr>
            <w:r>
              <w:rPr/>
              <w:t> </w:t>
            </w:r>
          </w:p>
        </w:tc>
        <w:tc>
          <w:tcPr>
            <w:tcW w:w="1571" w:type="dxa"/>
            <w:tcBorders>
              <w:bottom w:val="single" w:sz="8" w:space="0" w:color="000000"/>
            </w:tcBorders>
            <w:tcMar>
              <w:bottom w:w="28" w:type="dxa"/>
            </w:tcMar>
            <w:vAlign w:val="center"/>
          </w:tcPr>
          <w:p>
            <w:pPr>
              <w:pStyle w:val="TableContents"/>
              <w:bidi w:val="0"/>
              <w:spacing w:before="0" w:after="283"/>
              <w:ind w:left="0" w:right="0" w:hanging="0"/>
              <w:jc w:val="right"/>
              <w:rPr/>
            </w:pPr>
            <w:r>
              <w:rPr/>
              <w:t>6,199,844</w:t>
            </w:r>
          </w:p>
        </w:tc>
      </w:tr>
      <w:tr>
        <w:trPr/>
        <w:tc>
          <w:tcPr>
            <w:tcW w:w="4665" w:type="dxa"/>
            <w:tcBorders/>
            <w:vAlign w:val="center"/>
          </w:tcPr>
          <w:p>
            <w:pPr>
              <w:pStyle w:val="TableContents"/>
              <w:bidi w:val="0"/>
              <w:spacing w:before="0" w:after="283"/>
              <w:jc w:val="left"/>
              <w:rPr>
                <w:b/>
              </w:rPr>
            </w:pPr>
            <w:r>
              <w:rPr>
                <w:b/>
              </w:rPr>
              <w:t>Total assets</w:t>
            </w:r>
          </w:p>
        </w:tc>
        <w:tc>
          <w:tcPr>
            <w:tcW w:w="60"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7" w:type="dxa"/>
            <w:tcBorders>
              <w:bottom w:val="single" w:sz="8" w:space="0" w:color="000000"/>
            </w:tcBorders>
            <w:tcMar>
              <w:bottom w:w="28" w:type="dxa"/>
            </w:tcMar>
            <w:vAlign w:val="center"/>
          </w:tcPr>
          <w:p>
            <w:pPr>
              <w:pStyle w:val="TableContents"/>
              <w:bidi w:val="0"/>
              <w:spacing w:before="0" w:after="283"/>
              <w:jc w:val="right"/>
              <w:rPr/>
            </w:pPr>
            <w:r>
              <w:rPr/>
              <w:t>238,840,188</w:t>
            </w:r>
          </w:p>
        </w:tc>
        <w:tc>
          <w:tcPr>
            <w:tcW w:w="60" w:type="dxa"/>
            <w:tcBorders/>
            <w:vAlign w:val="center"/>
          </w:tcPr>
          <w:p>
            <w:pPr>
              <w:pStyle w:val="TableContents"/>
              <w:bidi w:val="0"/>
              <w:spacing w:before="0" w:after="283"/>
              <w:jc w:val="left"/>
              <w:rPr/>
            </w:pPr>
            <w:r>
              <w:rPr/>
              <w:t> </w:t>
            </w:r>
          </w:p>
        </w:tc>
        <w:tc>
          <w:tcPr>
            <w:tcW w:w="1594" w:type="dxa"/>
            <w:tcBorders>
              <w:bottom w:val="single" w:sz="8" w:space="0" w:color="000000"/>
            </w:tcBorders>
            <w:tcMar>
              <w:bottom w:w="28" w:type="dxa"/>
            </w:tcMar>
            <w:vAlign w:val="center"/>
          </w:tcPr>
          <w:p>
            <w:pPr>
              <w:pStyle w:val="TableContents"/>
              <w:bidi w:val="0"/>
              <w:spacing w:before="0" w:after="283"/>
              <w:jc w:val="right"/>
              <w:rPr/>
            </w:pPr>
            <w:r>
              <w:rPr/>
              <w:t>235,414,157</w:t>
            </w:r>
          </w:p>
        </w:tc>
        <w:tc>
          <w:tcPr>
            <w:tcW w:w="60" w:type="dxa"/>
            <w:tcBorders/>
            <w:vAlign w:val="center"/>
          </w:tcPr>
          <w:p>
            <w:pPr>
              <w:pStyle w:val="TableContents"/>
              <w:bidi w:val="0"/>
              <w:spacing w:before="0" w:after="283"/>
              <w:jc w:val="left"/>
              <w:rPr/>
            </w:pPr>
            <w:r>
              <w:rPr/>
              <w:t> </w:t>
            </w:r>
          </w:p>
        </w:tc>
        <w:tc>
          <w:tcPr>
            <w:tcW w:w="1571" w:type="dxa"/>
            <w:tcBorders>
              <w:bottom w:val="single" w:sz="8" w:space="0" w:color="000000"/>
            </w:tcBorders>
            <w:tcMar>
              <w:bottom w:w="28" w:type="dxa"/>
            </w:tcMar>
            <w:vAlign w:val="center"/>
          </w:tcPr>
          <w:p>
            <w:pPr>
              <w:pStyle w:val="TableContents"/>
              <w:bidi w:val="0"/>
              <w:spacing w:before="0" w:after="283"/>
              <w:jc w:val="right"/>
              <w:rPr/>
            </w:pPr>
            <w:r>
              <w:rPr/>
              <w:t>243,443,872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color w:val="000000"/>
          <w:sz w:val="20"/>
        </w:rPr>
        <w:t xml:space="preserve">(*) </w:t>
      </w:r>
      <w:r>
        <w:rPr>
          <w:rFonts w:ascii="Arial" w:hAnsi="Arial"/>
          <w:b w:val="false"/>
          <w:i w:val="false"/>
          <w:caps w:val="false"/>
          <w:smallCaps w:val="false"/>
          <w:sz w:val="20"/>
        </w:rPr>
        <w:t>See n</w:t>
      </w:r>
      <w:r>
        <w:rPr>
          <w:rFonts w:ascii="Arial" w:hAnsi="Arial"/>
          <w:b w:val="false"/>
          <w:i w:val="false"/>
          <w:caps w:val="false"/>
          <w:smallCaps w:val="false"/>
          <w:color w:val="000000"/>
          <w:sz w:val="20"/>
        </w:rPr>
        <w:t xml:space="preserve">ote </w:t>
      </w:r>
      <w:r>
        <w:rPr>
          <w:rFonts w:ascii="Arial" w:hAnsi="Arial"/>
          <w:b w:val="false"/>
          <w:i w:val="false"/>
          <w:caps w:val="false"/>
          <w:smallCaps w:val="false"/>
          <w:sz w:val="20"/>
        </w:rPr>
        <w:t>3(b)</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color w:val="000000"/>
          <w:sz w:val="20"/>
        </w:rPr>
        <w:t>51</w:t>
      </w:r>
      <w:r>
        <w:rPr>
          <w:rFonts w:ascii="Arial" w:hAnsi="Arial"/>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33"/>
        <w:gridCol w:w="60"/>
        <w:gridCol w:w="522"/>
        <w:gridCol w:w="60"/>
        <w:gridCol w:w="1531"/>
        <w:gridCol w:w="60"/>
        <w:gridCol w:w="1765"/>
        <w:gridCol w:w="60"/>
        <w:gridCol w:w="1414"/>
      </w:tblGrid>
      <w:tr>
        <w:trPr/>
        <w:tc>
          <w:tcPr>
            <w:tcW w:w="47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2" w:type="dxa"/>
            <w:tcBorders/>
            <w:vAlign w:val="center"/>
          </w:tcPr>
          <w:p>
            <w:pPr>
              <w:pStyle w:val="TableContents"/>
              <w:bidi w:val="0"/>
              <w:spacing w:before="0" w:after="283"/>
              <w:jc w:val="center"/>
              <w:rPr>
                <w:b/>
                <w:i w:val="false"/>
                <w:caps w:val="false"/>
                <w:smallCaps w:val="false"/>
              </w:rPr>
            </w:pPr>
            <w:r>
              <w:rPr>
                <w:b/>
                <w:i w:val="false"/>
                <w:caps w:val="false"/>
                <w:smallCaps w:val="false"/>
              </w:rPr>
              <w:t>Note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1" w:type="dxa"/>
            <w:tcBorders>
              <w:bottom w:val="single" w:sz="8" w:space="0" w:color="000000"/>
            </w:tcBorders>
            <w:tcMar>
              <w:bottom w:w="28" w:type="dxa"/>
            </w:tcMar>
            <w:vAlign w:val="center"/>
          </w:tcPr>
          <w:p>
            <w:pPr>
              <w:pStyle w:val="TableContents"/>
              <w:bidi w:val="0"/>
              <w:spacing w:before="0" w:after="283"/>
              <w:jc w:val="left"/>
              <w:rPr>
                <w:b/>
                <w:i w:val="false"/>
                <w:caps w:val="false"/>
                <w:smallCaps w:val="false"/>
              </w:rPr>
            </w:pPr>
            <w:r>
              <w:rPr>
                <w:b/>
                <w:i w:val="false"/>
                <w:caps w:val="false"/>
                <w:smallCaps w:val="false"/>
              </w:rPr>
              <w:t>As of December</w:t>
              <w:br/>
              <w:t>31, 2023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65" w:type="dxa"/>
            <w:tcBorders>
              <w:bottom w:val="single" w:sz="8" w:space="0" w:color="000000"/>
            </w:tcBorders>
            <w:tcMar>
              <w:bottom w:w="28" w:type="dxa"/>
            </w:tcMar>
            <w:vAlign w:val="center"/>
          </w:tcPr>
          <w:p>
            <w:pPr>
              <w:pStyle w:val="TableContents"/>
              <w:bidi w:val="0"/>
              <w:spacing w:before="0" w:after="283"/>
              <w:jc w:val="left"/>
              <w:rPr>
                <w:b/>
                <w:i w:val="false"/>
                <w:caps w:val="false"/>
                <w:smallCaps w:val="false"/>
              </w:rPr>
            </w:pPr>
            <w:r>
              <w:rPr>
                <w:b/>
                <w:i w:val="false"/>
                <w:caps w:val="false"/>
                <w:smallCaps w:val="false"/>
              </w:rPr>
              <w:t>As of</w:t>
              <w:br/>
              <w:t>December 31, 2022</w:t>
              <w:br/>
              <w:t>(Restated)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14" w:type="dxa"/>
            <w:tcBorders>
              <w:bottom w:val="single" w:sz="8" w:space="0" w:color="000000"/>
            </w:tcBorders>
            <w:tcMar>
              <w:bottom w:w="28" w:type="dxa"/>
            </w:tcMar>
            <w:vAlign w:val="center"/>
          </w:tcPr>
          <w:p>
            <w:pPr>
              <w:pStyle w:val="TableContents"/>
              <w:bidi w:val="0"/>
              <w:spacing w:before="0" w:after="283"/>
              <w:jc w:val="left"/>
              <w:rPr>
                <w:b/>
                <w:i w:val="false"/>
                <w:caps w:val="false"/>
                <w:smallCaps w:val="false"/>
              </w:rPr>
            </w:pPr>
            <w:r>
              <w:rPr>
                <w:b/>
                <w:i w:val="false"/>
                <w:caps w:val="false"/>
                <w:smallCaps w:val="false"/>
              </w:rPr>
              <w:t>As of January</w:t>
              <w:br/>
              <w:t>01, 2022</w:t>
              <w:br/>
              <w:t>(Restated) (*)</w:t>
            </w:r>
          </w:p>
        </w:tc>
      </w:tr>
      <w:tr>
        <w:trPr/>
        <w:tc>
          <w:tcPr>
            <w:tcW w:w="47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1" w:type="dxa"/>
            <w:tcBorders/>
            <w:vAlign w:val="center"/>
          </w:tcPr>
          <w:p>
            <w:pPr>
              <w:pStyle w:val="TableContents"/>
              <w:bidi w:val="0"/>
              <w:spacing w:before="0" w:after="283"/>
              <w:jc w:val="left"/>
              <w:rPr>
                <w:b/>
                <w:i w:val="false"/>
                <w:caps w:val="false"/>
                <w:smallCaps w:val="false"/>
              </w:rPr>
            </w:pPr>
            <w:r>
              <w:rPr>
                <w:b/>
                <w:i w:val="false"/>
                <w:caps w:val="false"/>
                <w:smallCaps w:val="false"/>
              </w:rPr>
              <w:t>S/(000)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65" w:type="dxa"/>
            <w:tcBorders/>
            <w:vAlign w:val="center"/>
          </w:tcPr>
          <w:p>
            <w:pPr>
              <w:pStyle w:val="TableContents"/>
              <w:bidi w:val="0"/>
              <w:spacing w:before="0" w:after="283"/>
              <w:jc w:val="left"/>
              <w:rPr>
                <w:b/>
                <w:i w:val="false"/>
                <w:caps w:val="false"/>
                <w:smallCaps w:val="false"/>
              </w:rPr>
            </w:pPr>
            <w:r>
              <w:rPr>
                <w:b/>
                <w:i w:val="false"/>
                <w:caps w:val="false"/>
                <w:smallCaps w:val="false"/>
              </w:rPr>
              <w:t>S/(000)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14" w:type="dxa"/>
            <w:tcBorders/>
            <w:vAlign w:val="center"/>
          </w:tcPr>
          <w:p>
            <w:pPr>
              <w:pStyle w:val="TableContents"/>
              <w:bidi w:val="0"/>
              <w:spacing w:before="0" w:after="283"/>
              <w:jc w:val="left"/>
              <w:rPr>
                <w:b/>
                <w:i w:val="false"/>
                <w:caps w:val="false"/>
                <w:smallCaps w:val="false"/>
              </w:rPr>
            </w:pPr>
            <w:r>
              <w:rPr>
                <w:b/>
                <w:i w:val="false"/>
                <w:caps w:val="false"/>
                <w:smallCaps w:val="false"/>
              </w:rPr>
              <w:t>S/(000)</w:t>
            </w:r>
          </w:p>
        </w:tc>
      </w:tr>
      <w:tr>
        <w:trPr/>
        <w:tc>
          <w:tcPr>
            <w:tcW w:w="47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tcBorders/>
            <w:vAlign w:val="center"/>
          </w:tcPr>
          <w:p>
            <w:pPr>
              <w:pStyle w:val="TableContents"/>
              <w:bidi w:val="0"/>
              <w:spacing w:before="0" w:after="283"/>
              <w:jc w:val="left"/>
              <w:rPr/>
            </w:pPr>
            <w:r>
              <w:rPr/>
              <w:t> </w:t>
            </w:r>
          </w:p>
        </w:tc>
      </w:tr>
      <w:tr>
        <w:trPr/>
        <w:tc>
          <w:tcPr>
            <w:tcW w:w="4733" w:type="dxa"/>
            <w:tcBorders/>
            <w:vAlign w:val="center"/>
          </w:tcPr>
          <w:p>
            <w:pPr>
              <w:pStyle w:val="TableContents"/>
              <w:bidi w:val="0"/>
              <w:spacing w:before="0" w:after="283"/>
              <w:jc w:val="left"/>
              <w:rPr>
                <w:b/>
                <w:i w:val="false"/>
                <w:caps w:val="false"/>
                <w:smallCaps w:val="false"/>
              </w:rPr>
            </w:pPr>
            <w:r>
              <w:rPr>
                <w:b/>
                <w:i w:val="false"/>
                <w:caps w:val="false"/>
                <w:smallCaps w:val="false"/>
              </w:rPr>
              <w:t>Liabilities</w:t>
            </w:r>
          </w:p>
        </w:tc>
        <w:tc>
          <w:tcPr>
            <w:tcW w:w="60"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tcBorders/>
            <w:vAlign w:val="center"/>
          </w:tcPr>
          <w:p>
            <w:pPr>
              <w:pStyle w:val="TableContents"/>
              <w:bidi w:val="0"/>
              <w:spacing w:before="0" w:after="283"/>
              <w:jc w:val="left"/>
              <w:rPr/>
            </w:pPr>
            <w:r>
              <w:rPr/>
              <w:t> </w:t>
            </w:r>
          </w:p>
        </w:tc>
      </w:tr>
      <w:tr>
        <w:trPr/>
        <w:tc>
          <w:tcPr>
            <w:tcW w:w="47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tcBorders/>
            <w:vAlign w:val="center"/>
          </w:tcPr>
          <w:p>
            <w:pPr>
              <w:pStyle w:val="TableContents"/>
              <w:bidi w:val="0"/>
              <w:spacing w:before="0" w:after="283"/>
              <w:jc w:val="left"/>
              <w:rPr/>
            </w:pPr>
            <w:r>
              <w:rPr/>
              <w:t> </w:t>
            </w:r>
          </w:p>
        </w:tc>
      </w:tr>
      <w:tr>
        <w:trPr/>
        <w:tc>
          <w:tcPr>
            <w:tcW w:w="4733"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Deposits and obligations:</w:t>
            </w:r>
          </w:p>
        </w:tc>
        <w:tc>
          <w:tcPr>
            <w:tcW w:w="60"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tcBorders/>
            <w:vAlign w:val="center"/>
          </w:tcPr>
          <w:p>
            <w:pPr>
              <w:pStyle w:val="TableContents"/>
              <w:bidi w:val="0"/>
              <w:spacing w:before="0" w:after="283"/>
              <w:jc w:val="left"/>
              <w:rPr/>
            </w:pPr>
            <w:r>
              <w:rPr/>
              <w:t> </w:t>
            </w:r>
          </w:p>
        </w:tc>
      </w:tr>
      <w:tr>
        <w:trPr/>
        <w:tc>
          <w:tcPr>
            <w:tcW w:w="4733"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Non-interest-bearing</w:t>
            </w:r>
          </w:p>
        </w:tc>
        <w:tc>
          <w:tcPr>
            <w:tcW w:w="60"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1" w:type="dxa"/>
            <w:tcBorders/>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42,234,498</w:t>
            </w:r>
          </w:p>
        </w:tc>
        <w:tc>
          <w:tcPr>
            <w:tcW w:w="60" w:type="dxa"/>
            <w:tcBorders/>
            <w:vAlign w:val="center"/>
          </w:tcPr>
          <w:p>
            <w:pPr>
              <w:pStyle w:val="TableContents"/>
              <w:bidi w:val="0"/>
              <w:spacing w:before="0" w:after="283"/>
              <w:jc w:val="left"/>
              <w:rPr/>
            </w:pPr>
            <w:r>
              <w:rPr/>
              <w:t> </w:t>
            </w:r>
          </w:p>
        </w:tc>
        <w:tc>
          <w:tcPr>
            <w:tcW w:w="1765" w:type="dxa"/>
            <w:tcBorders/>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43,346,151</w:t>
            </w:r>
          </w:p>
        </w:tc>
        <w:tc>
          <w:tcPr>
            <w:tcW w:w="60" w:type="dxa"/>
            <w:tcBorders/>
            <w:vAlign w:val="center"/>
          </w:tcPr>
          <w:p>
            <w:pPr>
              <w:pStyle w:val="TableContents"/>
              <w:bidi w:val="0"/>
              <w:spacing w:before="0" w:after="283"/>
              <w:jc w:val="left"/>
              <w:rPr/>
            </w:pPr>
            <w:r>
              <w:rPr/>
              <w:t> </w:t>
            </w:r>
          </w:p>
        </w:tc>
        <w:tc>
          <w:tcPr>
            <w:tcW w:w="1414" w:type="dxa"/>
            <w:tcBorders/>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51,851,206</w:t>
            </w:r>
          </w:p>
        </w:tc>
      </w:tr>
      <w:tr>
        <w:trPr/>
        <w:tc>
          <w:tcPr>
            <w:tcW w:w="4733" w:type="dxa"/>
            <w:tcBorders/>
            <w:vAlign w:val="center"/>
          </w:tcPr>
          <w:p>
            <w:pPr>
              <w:pStyle w:val="TableContents"/>
              <w:bidi w:val="0"/>
              <w:spacing w:before="0" w:after="283"/>
              <w:jc w:val="left"/>
              <w:rPr>
                <w:b w:val="false"/>
                <w:i w:val="false"/>
                <w:caps w:val="false"/>
                <w:smallCaps w:val="false"/>
                <w:color w:val="000000"/>
              </w:rPr>
            </w:pPr>
            <w:r>
              <w:rPr>
                <w:b w:val="false"/>
                <w:i w:val="false"/>
                <w:caps w:val="false"/>
                <w:smallCaps w:val="false"/>
                <w:color w:val="000000"/>
              </w:rPr>
              <w:t>Interest-bearing</w:t>
            </w:r>
          </w:p>
        </w:tc>
        <w:tc>
          <w:tcPr>
            <w:tcW w:w="60"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1" w:type="dxa"/>
            <w:tcBorders>
              <w:bottom w:val="single" w:sz="8" w:space="0" w:color="000000"/>
            </w:tcBorders>
            <w:tcMar>
              <w:bottom w:w="28" w:type="dxa"/>
            </w:tcMar>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105,470,496</w:t>
            </w:r>
          </w:p>
        </w:tc>
        <w:tc>
          <w:tcPr>
            <w:tcW w:w="60" w:type="dxa"/>
            <w:tcBorders/>
            <w:vAlign w:val="center"/>
          </w:tcPr>
          <w:p>
            <w:pPr>
              <w:pStyle w:val="TableContents"/>
              <w:bidi w:val="0"/>
              <w:spacing w:before="0" w:after="283"/>
              <w:jc w:val="left"/>
              <w:rPr/>
            </w:pPr>
            <w:r>
              <w:rPr/>
              <w:t> </w:t>
            </w:r>
          </w:p>
        </w:tc>
        <w:tc>
          <w:tcPr>
            <w:tcW w:w="1765" w:type="dxa"/>
            <w:tcBorders>
              <w:bottom w:val="single" w:sz="8" w:space="0" w:color="000000"/>
            </w:tcBorders>
            <w:tcMar>
              <w:bottom w:w="28" w:type="dxa"/>
            </w:tcMar>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103,674,636</w:t>
            </w:r>
          </w:p>
        </w:tc>
        <w:tc>
          <w:tcPr>
            <w:tcW w:w="60" w:type="dxa"/>
            <w:tcBorders/>
            <w:vAlign w:val="center"/>
          </w:tcPr>
          <w:p>
            <w:pPr>
              <w:pStyle w:val="TableContents"/>
              <w:bidi w:val="0"/>
              <w:spacing w:before="0" w:after="283"/>
              <w:jc w:val="left"/>
              <w:rPr/>
            </w:pPr>
            <w:r>
              <w:rPr/>
              <w:t> </w:t>
            </w:r>
          </w:p>
        </w:tc>
        <w:tc>
          <w:tcPr>
            <w:tcW w:w="1414" w:type="dxa"/>
            <w:tcBorders>
              <w:bottom w:val="single" w:sz="8" w:space="0" w:color="000000"/>
            </w:tcBorders>
            <w:tcMar>
              <w:bottom w:w="28" w:type="dxa"/>
            </w:tcMar>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97,745,339</w:t>
            </w:r>
          </w:p>
        </w:tc>
      </w:tr>
      <w:tr>
        <w:trPr/>
        <w:tc>
          <w:tcPr>
            <w:tcW w:w="47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522" w:type="dxa"/>
            <w:tcBorders/>
            <w:vAlign w:val="center"/>
          </w:tcPr>
          <w:p>
            <w:pPr>
              <w:pStyle w:val="TableContents"/>
              <w:bidi w:val="0"/>
              <w:spacing w:before="0" w:after="283"/>
              <w:jc w:val="center"/>
              <w:rPr>
                <w:b w:val="false"/>
                <w:i w:val="false"/>
                <w:caps w:val="false"/>
                <w:smallCaps w:val="false"/>
                <w:color w:val="000000"/>
              </w:rPr>
            </w:pPr>
            <w:r>
              <w:rPr>
                <w:b w:val="false"/>
                <w:i w:val="false"/>
                <w:caps w:val="false"/>
                <w:smallCaps w:val="false"/>
                <w:color w:val="000000"/>
              </w:rPr>
              <w:t>13(a)</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31"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147,704,994</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65"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147,020,787</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14"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149,596,545</w:t>
            </w:r>
          </w:p>
        </w:tc>
      </w:tr>
      <w:tr>
        <w:trPr/>
        <w:tc>
          <w:tcPr>
            <w:tcW w:w="4733" w:type="dxa"/>
            <w:tcBorders/>
            <w:vAlign w:val="center"/>
          </w:tcPr>
          <w:p>
            <w:pPr>
              <w:pStyle w:val="TableContents"/>
              <w:bidi w:val="0"/>
              <w:spacing w:before="0" w:after="283"/>
              <w:jc w:val="left"/>
              <w:rPr>
                <w:b w:val="false"/>
                <w:i w:val="false"/>
                <w:caps w:val="false"/>
                <w:smallCaps w:val="false"/>
                <w:color w:val="000000"/>
              </w:rPr>
            </w:pPr>
            <w:r>
              <w:rPr>
                <w:b w:val="false"/>
                <w:i w:val="false"/>
                <w:caps w:val="false"/>
                <w:smallCaps w:val="false"/>
                <w:color w:val="000000"/>
              </w:rPr>
              <w:t>Payables from repurchase agreements and securities lending</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522" w:type="dxa"/>
            <w:tcBorders/>
            <w:vAlign w:val="center"/>
          </w:tcPr>
          <w:p>
            <w:pPr>
              <w:pStyle w:val="TableContents"/>
              <w:bidi w:val="0"/>
              <w:spacing w:before="0" w:after="283"/>
              <w:jc w:val="center"/>
              <w:rPr>
                <w:b w:val="false"/>
                <w:i w:val="false"/>
                <w:caps w:val="false"/>
                <w:smallCaps w:val="false"/>
                <w:color w:val="000000"/>
              </w:rPr>
            </w:pPr>
            <w:r>
              <w:rPr>
                <w:b w:val="false"/>
                <w:i w:val="false"/>
                <w:caps w:val="false"/>
                <w:smallCaps w:val="false"/>
                <w:color w:val="000000"/>
              </w:rPr>
              <w:t>5(b)</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31"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10,168,427</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65"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12,966,725</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14"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22,013,866</w:t>
            </w:r>
          </w:p>
        </w:tc>
      </w:tr>
      <w:tr>
        <w:trPr/>
        <w:tc>
          <w:tcPr>
            <w:tcW w:w="4733" w:type="dxa"/>
            <w:tcBorders/>
            <w:vAlign w:val="center"/>
          </w:tcPr>
          <w:p>
            <w:pPr>
              <w:pStyle w:val="TableContents"/>
              <w:bidi w:val="0"/>
              <w:spacing w:before="0" w:after="283"/>
              <w:jc w:val="left"/>
              <w:rPr>
                <w:b w:val="false"/>
                <w:i w:val="false"/>
                <w:caps w:val="false"/>
                <w:smallCaps w:val="false"/>
                <w:color w:val="000000"/>
              </w:rPr>
            </w:pPr>
            <w:r>
              <w:rPr>
                <w:b w:val="false"/>
                <w:i w:val="false"/>
                <w:caps w:val="false"/>
                <w:smallCaps w:val="false"/>
                <w:color w:val="000000"/>
              </w:rPr>
              <w:t>Due to banks and correspondents</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522" w:type="dxa"/>
            <w:tcBorders/>
            <w:vAlign w:val="center"/>
          </w:tcPr>
          <w:p>
            <w:pPr>
              <w:pStyle w:val="TableContents"/>
              <w:bidi w:val="0"/>
              <w:spacing w:before="0" w:after="283"/>
              <w:jc w:val="center"/>
              <w:rPr>
                <w:b w:val="false"/>
                <w:i w:val="false"/>
                <w:caps w:val="false"/>
                <w:smallCaps w:val="false"/>
                <w:color w:val="000000"/>
              </w:rPr>
            </w:pPr>
            <w:r>
              <w:rPr>
                <w:b w:val="false"/>
                <w:i w:val="false"/>
                <w:caps w:val="false"/>
                <w:smallCaps w:val="false"/>
                <w:color w:val="000000"/>
              </w:rPr>
              <w:t>14(a)</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31"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12,278,681</w:t>
            </w:r>
          </w:p>
        </w:tc>
        <w:tc>
          <w:tcPr>
            <w:tcW w:w="60" w:type="dxa"/>
            <w:tcBorders/>
            <w:vAlign w:val="center"/>
          </w:tcPr>
          <w:p>
            <w:pPr>
              <w:pStyle w:val="TableContents"/>
              <w:bidi w:val="0"/>
              <w:spacing w:before="0" w:after="283"/>
              <w:jc w:val="left"/>
              <w:rPr/>
            </w:pPr>
            <w:r>
              <w:rPr/>
              <w:t> </w:t>
            </w:r>
          </w:p>
        </w:tc>
        <w:tc>
          <w:tcPr>
            <w:tcW w:w="1765" w:type="dxa"/>
            <w:tcBorders/>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8,937,411</w:t>
            </w:r>
          </w:p>
        </w:tc>
        <w:tc>
          <w:tcPr>
            <w:tcW w:w="60" w:type="dxa"/>
            <w:tcBorders/>
            <w:vAlign w:val="center"/>
          </w:tcPr>
          <w:p>
            <w:pPr>
              <w:pStyle w:val="TableContents"/>
              <w:bidi w:val="0"/>
              <w:spacing w:before="0" w:after="283"/>
              <w:jc w:val="left"/>
              <w:rPr/>
            </w:pPr>
            <w:r>
              <w:rPr/>
              <w:t> </w:t>
            </w:r>
          </w:p>
        </w:tc>
        <w:tc>
          <w:tcPr>
            <w:tcW w:w="1414" w:type="dxa"/>
            <w:tcBorders/>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7,212,946</w:t>
            </w:r>
          </w:p>
        </w:tc>
      </w:tr>
      <w:tr>
        <w:trPr/>
        <w:tc>
          <w:tcPr>
            <w:tcW w:w="4733" w:type="dxa"/>
            <w:tcBorders/>
            <w:vAlign w:val="center"/>
          </w:tcPr>
          <w:p>
            <w:pPr>
              <w:pStyle w:val="TableContents"/>
              <w:bidi w:val="0"/>
              <w:spacing w:before="0" w:after="283"/>
              <w:jc w:val="left"/>
              <w:rPr>
                <w:b w:val="false"/>
                <w:i w:val="false"/>
                <w:caps w:val="false"/>
                <w:smallCaps w:val="false"/>
                <w:color w:val="000000"/>
              </w:rPr>
            </w:pPr>
            <w:r>
              <w:rPr>
                <w:b w:val="false"/>
                <w:i w:val="false"/>
                <w:caps w:val="false"/>
                <w:smallCaps w:val="false"/>
                <w:color w:val="000000"/>
              </w:rPr>
              <w:t>Due from customers on banker's acceptances</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522" w:type="dxa"/>
            <w:tcBorders/>
            <w:vAlign w:val="center"/>
          </w:tcPr>
          <w:p>
            <w:pPr>
              <w:pStyle w:val="TableContents"/>
              <w:bidi w:val="0"/>
              <w:spacing w:before="0" w:after="283"/>
              <w:jc w:val="center"/>
              <w:rPr>
                <w:b w:val="false"/>
                <w:i w:val="false"/>
                <w:caps w:val="false"/>
                <w:smallCaps w:val="false"/>
                <w:color w:val="000000"/>
              </w:rPr>
            </w:pPr>
            <w:r>
              <w:rPr>
                <w:b w:val="false"/>
                <w:i w:val="false"/>
                <w:caps w:val="false"/>
                <w:smallCaps w:val="false"/>
                <w:color w:val="000000"/>
              </w:rPr>
              <w:t>3(o)</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31"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412,401</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65"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699,678</w:t>
            </w:r>
          </w:p>
        </w:tc>
        <w:tc>
          <w:tcPr>
            <w:tcW w:w="60" w:type="dxa"/>
            <w:tcBorders/>
            <w:vAlign w:val="center"/>
          </w:tcPr>
          <w:p>
            <w:pPr>
              <w:pStyle w:val="TableContents"/>
              <w:bidi w:val="0"/>
              <w:spacing w:before="0" w:after="283"/>
              <w:jc w:val="left"/>
              <w:rPr/>
            </w:pPr>
            <w:r>
              <w:rPr/>
              <w:t> </w:t>
            </w:r>
          </w:p>
        </w:tc>
        <w:tc>
          <w:tcPr>
            <w:tcW w:w="1414" w:type="dxa"/>
            <w:tcBorders/>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532,404</w:t>
            </w:r>
          </w:p>
        </w:tc>
      </w:tr>
      <w:tr>
        <w:trPr/>
        <w:tc>
          <w:tcPr>
            <w:tcW w:w="4733" w:type="dxa"/>
            <w:tcBorders/>
            <w:vAlign w:val="center"/>
          </w:tcPr>
          <w:p>
            <w:pPr>
              <w:pStyle w:val="TableContents"/>
              <w:bidi w:val="0"/>
              <w:spacing w:before="0" w:after="283"/>
              <w:jc w:val="left"/>
              <w:rPr>
                <w:b w:val="false"/>
                <w:i w:val="false"/>
                <w:caps w:val="false"/>
                <w:smallCaps w:val="false"/>
                <w:color w:val="000000"/>
              </w:rPr>
            </w:pPr>
            <w:r>
              <w:rPr>
                <w:b w:val="false"/>
                <w:i w:val="false"/>
                <w:caps w:val="false"/>
                <w:smallCaps w:val="false"/>
                <w:color w:val="000000"/>
              </w:rPr>
              <w:t>Lease liabilities</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522" w:type="dxa"/>
            <w:tcBorders/>
            <w:vAlign w:val="center"/>
          </w:tcPr>
          <w:p>
            <w:pPr>
              <w:pStyle w:val="TableContents"/>
              <w:bidi w:val="0"/>
              <w:spacing w:before="0" w:after="283"/>
              <w:jc w:val="center"/>
              <w:rPr>
                <w:b w:val="false"/>
                <w:i w:val="false"/>
                <w:caps w:val="false"/>
                <w:smallCaps w:val="false"/>
                <w:color w:val="000000"/>
              </w:rPr>
            </w:pPr>
            <w:r>
              <w:rPr>
                <w:b w:val="false"/>
                <w:i w:val="false"/>
                <w:caps w:val="false"/>
                <w:smallCaps w:val="false"/>
                <w:color w:val="000000"/>
              </w:rPr>
              <w:t>11(b)</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31"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512,579</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65"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578,074</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14"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655,294</w:t>
            </w:r>
          </w:p>
        </w:tc>
      </w:tr>
      <w:tr>
        <w:trPr/>
        <w:tc>
          <w:tcPr>
            <w:tcW w:w="4733" w:type="dxa"/>
            <w:tcBorders/>
            <w:vAlign w:val="center"/>
          </w:tcPr>
          <w:p>
            <w:pPr>
              <w:pStyle w:val="TableContents"/>
              <w:bidi w:val="0"/>
              <w:spacing w:before="0" w:after="283"/>
              <w:jc w:val="left"/>
              <w:rPr>
                <w:b w:val="false"/>
                <w:i w:val="false"/>
                <w:caps w:val="false"/>
                <w:smallCaps w:val="false"/>
                <w:color w:val="000000"/>
              </w:rPr>
            </w:pPr>
            <w:r>
              <w:rPr>
                <w:b w:val="false"/>
                <w:i w:val="false"/>
                <w:caps w:val="false"/>
                <w:smallCaps w:val="false"/>
                <w:color w:val="000000"/>
              </w:rPr>
              <w:t>Financial liabilities at fair value through profit or loss</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522" w:type="dxa"/>
            <w:tcBorders/>
            <w:vAlign w:val="center"/>
          </w:tcPr>
          <w:p>
            <w:pPr>
              <w:pStyle w:val="TableContents"/>
              <w:bidi w:val="0"/>
              <w:spacing w:before="0" w:after="283"/>
              <w:jc w:val="center"/>
              <w:rPr>
                <w:b w:val="false"/>
                <w:i w:val="false"/>
                <w:caps w:val="false"/>
                <w:smallCaps w:val="false"/>
                <w:color w:val="000000"/>
              </w:rPr>
            </w:pPr>
            <w:r>
              <w:rPr>
                <w:b w:val="false"/>
                <w:i w:val="false"/>
                <w:caps w:val="false"/>
                <w:smallCaps w:val="false"/>
                <w:color w:val="000000"/>
              </w:rPr>
              <w:t>3(z)</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31"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641,915</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65"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191,010</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14"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337,909</w:t>
            </w:r>
          </w:p>
        </w:tc>
      </w:tr>
      <w:tr>
        <w:trPr/>
        <w:tc>
          <w:tcPr>
            <w:tcW w:w="4733" w:type="dxa"/>
            <w:tcBorders/>
            <w:vAlign w:val="center"/>
          </w:tcPr>
          <w:p>
            <w:pPr>
              <w:pStyle w:val="TableContents"/>
              <w:bidi w:val="0"/>
              <w:spacing w:before="0" w:after="283"/>
              <w:jc w:val="left"/>
              <w:rPr>
                <w:b w:val="false"/>
                <w:i w:val="false"/>
                <w:caps w:val="false"/>
                <w:smallCaps w:val="false"/>
                <w:color w:val="000000"/>
              </w:rPr>
            </w:pPr>
            <w:r>
              <w:rPr>
                <w:b w:val="false"/>
                <w:i w:val="false"/>
                <w:caps w:val="false"/>
                <w:smallCaps w:val="false"/>
                <w:color w:val="000000"/>
              </w:rPr>
              <w:t>Insurance contract liability</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522" w:type="dxa"/>
            <w:tcBorders/>
            <w:vAlign w:val="center"/>
          </w:tcPr>
          <w:p>
            <w:pPr>
              <w:pStyle w:val="TableContents"/>
              <w:bidi w:val="0"/>
              <w:spacing w:before="0" w:after="283"/>
              <w:jc w:val="center"/>
              <w:rPr>
                <w:b w:val="false"/>
                <w:i w:val="false"/>
                <w:caps w:val="false"/>
                <w:smallCaps w:val="false"/>
                <w:color w:val="000000"/>
              </w:rPr>
            </w:pPr>
            <w:r>
              <w:rPr>
                <w:b w:val="false"/>
                <w:i w:val="false"/>
                <w:caps w:val="false"/>
                <w:smallCaps w:val="false"/>
                <w:color w:val="000000"/>
              </w:rPr>
              <w:t>8(b)</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31"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12,318,133</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65"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11,154,008</w:t>
            </w:r>
          </w:p>
        </w:tc>
        <w:tc>
          <w:tcPr>
            <w:tcW w:w="60" w:type="dxa"/>
            <w:tcBorders/>
            <w:vAlign w:val="center"/>
          </w:tcPr>
          <w:p>
            <w:pPr>
              <w:pStyle w:val="TableContents"/>
              <w:bidi w:val="0"/>
              <w:spacing w:before="0" w:after="283"/>
              <w:jc w:val="left"/>
              <w:rPr/>
            </w:pPr>
            <w:r>
              <w:rPr/>
              <w:t> </w:t>
            </w:r>
          </w:p>
        </w:tc>
        <w:tc>
          <w:tcPr>
            <w:tcW w:w="1414" w:type="dxa"/>
            <w:tcBorders/>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11,920,974</w:t>
            </w:r>
          </w:p>
        </w:tc>
      </w:tr>
      <w:tr>
        <w:trPr/>
        <w:tc>
          <w:tcPr>
            <w:tcW w:w="4733" w:type="dxa"/>
            <w:tcBorders/>
            <w:vAlign w:val="center"/>
          </w:tcPr>
          <w:p>
            <w:pPr>
              <w:pStyle w:val="TableContents"/>
              <w:bidi w:val="0"/>
              <w:spacing w:before="0" w:after="283"/>
              <w:jc w:val="left"/>
              <w:rPr>
                <w:b w:val="false"/>
                <w:i w:val="false"/>
                <w:caps w:val="false"/>
                <w:smallCaps w:val="false"/>
                <w:color w:val="000000"/>
              </w:rPr>
            </w:pPr>
            <w:r>
              <w:rPr>
                <w:b w:val="false"/>
                <w:i w:val="false"/>
                <w:caps w:val="false"/>
                <w:smallCaps w:val="false"/>
                <w:color w:val="000000"/>
              </w:rPr>
              <w:t>Bonds and notes issued</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522" w:type="dxa"/>
            <w:tcBorders/>
            <w:vAlign w:val="center"/>
          </w:tcPr>
          <w:p>
            <w:pPr>
              <w:pStyle w:val="TableContents"/>
              <w:bidi w:val="0"/>
              <w:spacing w:before="0" w:after="283"/>
              <w:jc w:val="center"/>
              <w:rPr>
                <w:b w:val="false"/>
                <w:i w:val="false"/>
                <w:caps w:val="false"/>
                <w:smallCaps w:val="false"/>
                <w:color w:val="000000"/>
              </w:rPr>
            </w:pPr>
            <w:r>
              <w:rPr>
                <w:b w:val="false"/>
                <w:i w:val="false"/>
                <w:caps w:val="false"/>
                <w:smallCaps w:val="false"/>
                <w:color w:val="000000"/>
              </w:rPr>
              <w:t>15</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31"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14,594,785</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65"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17,007,194</w:t>
            </w:r>
          </w:p>
        </w:tc>
        <w:tc>
          <w:tcPr>
            <w:tcW w:w="60" w:type="dxa"/>
            <w:tcBorders/>
            <w:vAlign w:val="center"/>
          </w:tcPr>
          <w:p>
            <w:pPr>
              <w:pStyle w:val="TableContents"/>
              <w:bidi w:val="0"/>
              <w:spacing w:before="0" w:after="283"/>
              <w:jc w:val="left"/>
              <w:rPr/>
            </w:pPr>
            <w:r>
              <w:rPr/>
              <w:t> </w:t>
            </w:r>
          </w:p>
        </w:tc>
        <w:tc>
          <w:tcPr>
            <w:tcW w:w="1414" w:type="dxa"/>
            <w:tcBorders/>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17,823,146</w:t>
            </w:r>
          </w:p>
        </w:tc>
      </w:tr>
      <w:tr>
        <w:trPr/>
        <w:tc>
          <w:tcPr>
            <w:tcW w:w="4733" w:type="dxa"/>
            <w:tcBorders/>
            <w:vAlign w:val="center"/>
          </w:tcPr>
          <w:p>
            <w:pPr>
              <w:pStyle w:val="TableContents"/>
              <w:bidi w:val="0"/>
              <w:spacing w:before="0" w:after="283"/>
              <w:jc w:val="left"/>
              <w:rPr>
                <w:b w:val="false"/>
                <w:i w:val="false"/>
                <w:caps w:val="false"/>
                <w:smallCaps w:val="false"/>
                <w:color w:val="000000"/>
              </w:rPr>
            </w:pPr>
            <w:r>
              <w:rPr>
                <w:b w:val="false"/>
                <w:i w:val="false"/>
                <w:caps w:val="false"/>
                <w:smallCaps w:val="false"/>
                <w:color w:val="000000"/>
              </w:rPr>
              <w:t>Deferred tax liabilities, net</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522" w:type="dxa"/>
            <w:tcBorders/>
            <w:vAlign w:val="center"/>
          </w:tcPr>
          <w:p>
            <w:pPr>
              <w:pStyle w:val="TableContents"/>
              <w:bidi w:val="0"/>
              <w:spacing w:before="0" w:after="283"/>
              <w:jc w:val="center"/>
              <w:rPr>
                <w:b w:val="false"/>
                <w:i w:val="false"/>
                <w:caps w:val="false"/>
                <w:smallCaps w:val="false"/>
                <w:color w:val="000000"/>
              </w:rPr>
            </w:pPr>
            <w:r>
              <w:rPr>
                <w:b w:val="false"/>
                <w:i w:val="false"/>
                <w:caps w:val="false"/>
                <w:smallCaps w:val="false"/>
                <w:color w:val="000000"/>
              </w:rPr>
              <w:t>17(c)</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31"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107,517</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65"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75,005</w:t>
            </w:r>
          </w:p>
        </w:tc>
        <w:tc>
          <w:tcPr>
            <w:tcW w:w="60" w:type="dxa"/>
            <w:tcBorders/>
            <w:vAlign w:val="center"/>
          </w:tcPr>
          <w:p>
            <w:pPr>
              <w:pStyle w:val="TableContents"/>
              <w:bidi w:val="0"/>
              <w:spacing w:before="0" w:after="283"/>
              <w:jc w:val="left"/>
              <w:rPr/>
            </w:pPr>
            <w:r>
              <w:rPr/>
              <w:t> </w:t>
            </w:r>
          </w:p>
        </w:tc>
        <w:tc>
          <w:tcPr>
            <w:tcW w:w="1414" w:type="dxa"/>
            <w:tcBorders/>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74,167</w:t>
            </w:r>
          </w:p>
        </w:tc>
      </w:tr>
      <w:tr>
        <w:trPr/>
        <w:tc>
          <w:tcPr>
            <w:tcW w:w="4733" w:type="dxa"/>
            <w:tcBorders/>
            <w:vAlign w:val="center"/>
          </w:tcPr>
          <w:p>
            <w:pPr>
              <w:pStyle w:val="TableContents"/>
              <w:bidi w:val="0"/>
              <w:spacing w:before="0" w:after="283"/>
              <w:jc w:val="left"/>
              <w:rPr>
                <w:b w:val="false"/>
                <w:i w:val="false"/>
                <w:caps w:val="false"/>
                <w:smallCaps w:val="false"/>
                <w:color w:val="000000"/>
              </w:rPr>
            </w:pPr>
            <w:r>
              <w:rPr>
                <w:b w:val="false"/>
                <w:i w:val="false"/>
                <w:caps w:val="false"/>
                <w:smallCaps w:val="false"/>
                <w:color w:val="000000"/>
              </w:rPr>
              <w:t>Other liabilities</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522" w:type="dxa"/>
            <w:tcBorders/>
            <w:vAlign w:val="center"/>
          </w:tcPr>
          <w:p>
            <w:pPr>
              <w:pStyle w:val="TableContents"/>
              <w:bidi w:val="0"/>
              <w:spacing w:before="0" w:after="283"/>
              <w:jc w:val="center"/>
              <w:rPr>
                <w:b w:val="false"/>
                <w:i w:val="false"/>
                <w:caps w:val="false"/>
                <w:smallCaps w:val="false"/>
                <w:color w:val="000000"/>
              </w:rPr>
            </w:pPr>
            <w:r>
              <w:rPr>
                <w:b w:val="false"/>
                <w:i w:val="false"/>
                <w:caps w:val="false"/>
                <w:smallCaps w:val="false"/>
                <w:color w:val="000000"/>
              </w:rPr>
              <w:t>12</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31"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6,993,691</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65"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7,189,052</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14"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6,444,097</w:t>
            </w:r>
          </w:p>
        </w:tc>
      </w:tr>
      <w:tr>
        <w:trPr/>
        <w:tc>
          <w:tcPr>
            <w:tcW w:w="4733"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522" w:type="dxa"/>
            <w:tcBorders/>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31" w:type="dxa"/>
            <w:tcBorders>
              <w:bottom w:val="single" w:sz="8" w:space="0" w:color="000000"/>
            </w:tcBorders>
            <w:tcMar>
              <w:bottom w:w="28"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65" w:type="dxa"/>
            <w:tcBorders>
              <w:bottom w:val="single" w:sz="8" w:space="0" w:color="000000"/>
            </w:tcBorders>
            <w:tcMar>
              <w:bottom w:w="28"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14" w:type="dxa"/>
            <w:tcBorders>
              <w:bottom w:val="single" w:sz="8" w:space="0" w:color="000000"/>
            </w:tcBorders>
            <w:tcMar>
              <w:bottom w:w="28"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r>
      <w:tr>
        <w:trPr/>
        <w:tc>
          <w:tcPr>
            <w:tcW w:w="4733" w:type="dxa"/>
            <w:tcBorders/>
            <w:vAlign w:val="center"/>
          </w:tcPr>
          <w:p>
            <w:pPr>
              <w:pStyle w:val="TableContents"/>
              <w:bidi w:val="0"/>
              <w:spacing w:before="0" w:after="283"/>
              <w:jc w:val="left"/>
              <w:rPr>
                <w:b w:val="false"/>
                <w:i w:val="false"/>
                <w:caps w:val="false"/>
                <w:smallCaps w:val="false"/>
                <w:color w:val="000000"/>
              </w:rPr>
            </w:pPr>
            <w:r>
              <w:rPr>
                <w:b w:val="false"/>
                <w:i w:val="false"/>
                <w:caps w:val="false"/>
                <w:smallCaps w:val="false"/>
                <w:color w:val="000000"/>
              </w:rPr>
              <w:t>Total liabilities</w:t>
            </w:r>
          </w:p>
        </w:tc>
        <w:tc>
          <w:tcPr>
            <w:tcW w:w="60"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31"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205,733,123</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65"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205,818,944</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14"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216,611,348</w:t>
            </w:r>
          </w:p>
        </w:tc>
      </w:tr>
      <w:tr>
        <w:trPr/>
        <w:tc>
          <w:tcPr>
            <w:tcW w:w="4733"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522" w:type="dxa"/>
            <w:tcBorders/>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pPr>
            <w:r>
              <w:rPr/>
              <w:t> </w:t>
            </w:r>
          </w:p>
        </w:tc>
        <w:tc>
          <w:tcPr>
            <w:tcW w:w="15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76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14" w:type="dxa"/>
            <w:tcBorders/>
            <w:vAlign w:val="center"/>
          </w:tcPr>
          <w:p>
            <w:pPr>
              <w:pStyle w:val="TableContents"/>
              <w:bidi w:val="0"/>
              <w:spacing w:before="0" w:after="283"/>
              <w:jc w:val="right"/>
              <w:rPr/>
            </w:pPr>
            <w:r>
              <w:rPr/>
              <w:t> </w:t>
            </w:r>
          </w:p>
        </w:tc>
      </w:tr>
      <w:tr>
        <w:trPr/>
        <w:tc>
          <w:tcPr>
            <w:tcW w:w="4733" w:type="dxa"/>
            <w:tcBorders/>
            <w:vAlign w:val="center"/>
          </w:tcPr>
          <w:p>
            <w:pPr>
              <w:pStyle w:val="TableContents"/>
              <w:bidi w:val="0"/>
              <w:spacing w:before="0" w:after="283"/>
              <w:jc w:val="left"/>
              <w:rPr>
                <w:b/>
                <w:i w:val="false"/>
                <w:caps w:val="false"/>
                <w:smallCaps w:val="false"/>
                <w:color w:val="000000"/>
              </w:rPr>
            </w:pPr>
            <w:r>
              <w:rPr>
                <w:b/>
                <w:i w:val="false"/>
                <w:caps w:val="false"/>
                <w:smallCaps w:val="false"/>
                <w:color w:val="000000"/>
              </w:rPr>
              <w:t>Equity, net</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522" w:type="dxa"/>
            <w:tcBorders/>
            <w:vAlign w:val="center"/>
          </w:tcPr>
          <w:p>
            <w:pPr>
              <w:pStyle w:val="TableContents"/>
              <w:bidi w:val="0"/>
              <w:spacing w:before="0" w:after="283"/>
              <w:jc w:val="center"/>
              <w:rPr>
                <w:b w:val="false"/>
                <w:i w:val="false"/>
                <w:caps w:val="false"/>
                <w:smallCaps w:val="false"/>
                <w:color w:val="000000"/>
              </w:rPr>
            </w:pPr>
            <w:r>
              <w:rPr>
                <w:b w:val="false"/>
                <w:i w:val="false"/>
                <w:caps w:val="false"/>
                <w:smallCaps w:val="false"/>
                <w:color w:val="000000"/>
              </w:rPr>
              <w:t>16</w:t>
            </w:r>
          </w:p>
        </w:tc>
        <w:tc>
          <w:tcPr>
            <w:tcW w:w="60" w:type="dxa"/>
            <w:tcBorders/>
            <w:vAlign w:val="center"/>
          </w:tcPr>
          <w:p>
            <w:pPr>
              <w:pStyle w:val="TableContents"/>
              <w:bidi w:val="0"/>
              <w:spacing w:before="0" w:after="283"/>
              <w:jc w:val="left"/>
              <w:rPr/>
            </w:pPr>
            <w:r>
              <w:rPr/>
              <w:t> </w:t>
            </w:r>
          </w:p>
        </w:tc>
        <w:tc>
          <w:tcPr>
            <w:tcW w:w="15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76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14" w:type="dxa"/>
            <w:tcBorders/>
            <w:vAlign w:val="center"/>
          </w:tcPr>
          <w:p>
            <w:pPr>
              <w:pStyle w:val="TableContents"/>
              <w:bidi w:val="0"/>
              <w:spacing w:before="0" w:after="283"/>
              <w:jc w:val="right"/>
              <w:rPr/>
            </w:pPr>
            <w:r>
              <w:rPr/>
              <w:t> </w:t>
            </w:r>
          </w:p>
        </w:tc>
      </w:tr>
      <w:tr>
        <w:trPr/>
        <w:tc>
          <w:tcPr>
            <w:tcW w:w="4733"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522" w:type="dxa"/>
            <w:tcBorders/>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pPr>
            <w:r>
              <w:rPr/>
              <w:t> </w:t>
            </w:r>
          </w:p>
        </w:tc>
        <w:tc>
          <w:tcPr>
            <w:tcW w:w="15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76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14" w:type="dxa"/>
            <w:tcBorders/>
            <w:vAlign w:val="center"/>
          </w:tcPr>
          <w:p>
            <w:pPr>
              <w:pStyle w:val="TableContents"/>
              <w:bidi w:val="0"/>
              <w:spacing w:before="0" w:after="283"/>
              <w:jc w:val="right"/>
              <w:rPr/>
            </w:pPr>
            <w:r>
              <w:rPr/>
              <w:t> </w:t>
            </w:r>
          </w:p>
        </w:tc>
      </w:tr>
      <w:tr>
        <w:trPr/>
        <w:tc>
          <w:tcPr>
            <w:tcW w:w="4733" w:type="dxa"/>
            <w:tcBorders/>
            <w:vAlign w:val="center"/>
          </w:tcPr>
          <w:p>
            <w:pPr>
              <w:pStyle w:val="TableContents"/>
              <w:bidi w:val="0"/>
              <w:spacing w:before="0" w:after="283"/>
              <w:jc w:val="left"/>
              <w:rPr>
                <w:b w:val="false"/>
                <w:i w:val="false"/>
                <w:caps w:val="false"/>
                <w:smallCaps w:val="false"/>
                <w:color w:val="000000"/>
              </w:rPr>
            </w:pPr>
            <w:r>
              <w:rPr>
                <w:b w:val="false"/>
                <w:i w:val="false"/>
                <w:caps w:val="false"/>
                <w:smallCaps w:val="false"/>
                <w:color w:val="000000"/>
              </w:rPr>
              <w:t>Equity attributable to Credicorp's equity holders:</w:t>
            </w:r>
          </w:p>
        </w:tc>
        <w:tc>
          <w:tcPr>
            <w:tcW w:w="60"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14" w:type="dxa"/>
            <w:tcBorders/>
            <w:vAlign w:val="center"/>
          </w:tcPr>
          <w:p>
            <w:pPr>
              <w:pStyle w:val="TableContents"/>
              <w:bidi w:val="0"/>
              <w:spacing w:before="0" w:after="283"/>
              <w:jc w:val="left"/>
              <w:rPr/>
            </w:pPr>
            <w:r>
              <w:rPr/>
              <w:t> </w:t>
            </w:r>
          </w:p>
        </w:tc>
      </w:tr>
      <w:tr>
        <w:trPr/>
        <w:tc>
          <w:tcPr>
            <w:tcW w:w="4733"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14" w:type="dxa"/>
            <w:tcBorders/>
            <w:vAlign w:val="center"/>
          </w:tcPr>
          <w:p>
            <w:pPr>
              <w:pStyle w:val="TableContents"/>
              <w:bidi w:val="0"/>
              <w:spacing w:before="0" w:after="283"/>
              <w:jc w:val="left"/>
              <w:rPr/>
            </w:pPr>
            <w:r>
              <w:rPr/>
              <w:t> </w:t>
            </w:r>
          </w:p>
        </w:tc>
      </w:tr>
      <w:tr>
        <w:trPr/>
        <w:tc>
          <w:tcPr>
            <w:tcW w:w="4733" w:type="dxa"/>
            <w:tcBorders/>
            <w:vAlign w:val="center"/>
          </w:tcPr>
          <w:p>
            <w:pPr>
              <w:pStyle w:val="TableContents"/>
              <w:bidi w:val="0"/>
              <w:spacing w:before="0" w:after="283"/>
              <w:jc w:val="left"/>
              <w:rPr>
                <w:b w:val="false"/>
                <w:i w:val="false"/>
                <w:caps w:val="false"/>
                <w:smallCaps w:val="false"/>
                <w:color w:val="000000"/>
              </w:rPr>
            </w:pPr>
            <w:r>
              <w:rPr>
                <w:b w:val="false"/>
                <w:i w:val="false"/>
                <w:caps w:val="false"/>
                <w:smallCaps w:val="false"/>
                <w:color w:val="000000"/>
              </w:rPr>
              <w:t>Capital stock</w:t>
            </w:r>
          </w:p>
        </w:tc>
        <w:tc>
          <w:tcPr>
            <w:tcW w:w="60"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31"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1,318,993</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65"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1,318,993</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14"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1,318,993</w:t>
            </w:r>
          </w:p>
        </w:tc>
      </w:tr>
      <w:tr>
        <w:trPr/>
        <w:tc>
          <w:tcPr>
            <w:tcW w:w="4733" w:type="dxa"/>
            <w:tcBorders/>
            <w:vAlign w:val="center"/>
          </w:tcPr>
          <w:p>
            <w:pPr>
              <w:pStyle w:val="TableContents"/>
              <w:bidi w:val="0"/>
              <w:spacing w:before="0" w:after="283"/>
              <w:jc w:val="left"/>
              <w:rPr>
                <w:b w:val="false"/>
                <w:i w:val="false"/>
                <w:caps w:val="false"/>
                <w:smallCaps w:val="false"/>
                <w:color w:val="000000"/>
              </w:rPr>
            </w:pPr>
            <w:r>
              <w:rPr>
                <w:b w:val="false"/>
                <w:i w:val="false"/>
                <w:caps w:val="false"/>
                <w:smallCaps w:val="false"/>
                <w:color w:val="000000"/>
              </w:rPr>
              <w:t>Treasury stock</w:t>
            </w:r>
          </w:p>
        </w:tc>
        <w:tc>
          <w:tcPr>
            <w:tcW w:w="60"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1" w:type="dxa"/>
            <w:tcBorders/>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(208,033)</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65"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(207,518)</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14"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(207,534)</w:t>
            </w:r>
          </w:p>
        </w:tc>
      </w:tr>
      <w:tr>
        <w:trPr/>
        <w:tc>
          <w:tcPr>
            <w:tcW w:w="4733" w:type="dxa"/>
            <w:tcBorders/>
            <w:vAlign w:val="center"/>
          </w:tcPr>
          <w:p>
            <w:pPr>
              <w:pStyle w:val="TableContents"/>
              <w:bidi w:val="0"/>
              <w:spacing w:before="0" w:after="283"/>
              <w:jc w:val="left"/>
              <w:rPr>
                <w:b w:val="false"/>
                <w:i w:val="false"/>
                <w:caps w:val="false"/>
                <w:smallCaps w:val="false"/>
                <w:color w:val="000000"/>
              </w:rPr>
            </w:pPr>
            <w:r>
              <w:rPr>
                <w:b w:val="false"/>
                <w:i w:val="false"/>
                <w:caps w:val="false"/>
                <w:smallCaps w:val="false"/>
                <w:color w:val="000000"/>
              </w:rPr>
              <w:t>Capital surplus</w:t>
            </w:r>
          </w:p>
        </w:tc>
        <w:tc>
          <w:tcPr>
            <w:tcW w:w="60"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1" w:type="dxa"/>
            <w:tcBorders/>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228,239</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65"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231,556</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14"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228,853</w:t>
            </w:r>
          </w:p>
        </w:tc>
      </w:tr>
      <w:tr>
        <w:trPr/>
        <w:tc>
          <w:tcPr>
            <w:tcW w:w="4733" w:type="dxa"/>
            <w:tcBorders/>
            <w:vAlign w:val="center"/>
          </w:tcPr>
          <w:p>
            <w:pPr>
              <w:pStyle w:val="TableContents"/>
              <w:bidi w:val="0"/>
              <w:spacing w:before="0" w:after="283"/>
              <w:jc w:val="left"/>
              <w:rPr>
                <w:b w:val="false"/>
                <w:i w:val="false"/>
                <w:caps w:val="false"/>
                <w:smallCaps w:val="false"/>
                <w:color w:val="000000"/>
              </w:rPr>
            </w:pPr>
            <w:r>
              <w:rPr>
                <w:b w:val="false"/>
                <w:i w:val="false"/>
                <w:caps w:val="false"/>
                <w:smallCaps w:val="false"/>
                <w:color w:val="000000"/>
              </w:rPr>
              <w:t>Reserves and others</w:t>
            </w:r>
          </w:p>
        </w:tc>
        <w:tc>
          <w:tcPr>
            <w:tcW w:w="60"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1" w:type="dxa"/>
            <w:tcBorders/>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26,548,361</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65"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23,383,454</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14"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21,768,421</w:t>
            </w:r>
          </w:p>
        </w:tc>
      </w:tr>
      <w:tr>
        <w:trPr/>
        <w:tc>
          <w:tcPr>
            <w:tcW w:w="4733" w:type="dxa"/>
            <w:tcBorders/>
            <w:vAlign w:val="center"/>
          </w:tcPr>
          <w:p>
            <w:pPr>
              <w:pStyle w:val="TableContents"/>
              <w:bidi w:val="0"/>
              <w:spacing w:before="0" w:after="283"/>
              <w:jc w:val="left"/>
              <w:rPr>
                <w:b w:val="false"/>
                <w:i w:val="false"/>
                <w:caps w:val="false"/>
                <w:smallCaps w:val="false"/>
                <w:color w:val="000000"/>
              </w:rPr>
            </w:pPr>
            <w:r>
              <w:rPr>
                <w:b w:val="false"/>
                <w:i w:val="false"/>
                <w:caps w:val="false"/>
                <w:smallCaps w:val="false"/>
                <w:color w:val="000000"/>
              </w:rPr>
              <w:t>Retained earnings</w:t>
            </w:r>
          </w:p>
        </w:tc>
        <w:tc>
          <w:tcPr>
            <w:tcW w:w="60"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31"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4,572,444</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65"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4,277,159</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14"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3,183,119</w:t>
            </w:r>
          </w:p>
        </w:tc>
      </w:tr>
      <w:tr>
        <w:trPr/>
        <w:tc>
          <w:tcPr>
            <w:tcW w:w="47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31"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32,460,004</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65"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29,003,644</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14"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26,291,852</w:t>
            </w:r>
          </w:p>
        </w:tc>
      </w:tr>
      <w:tr>
        <w:trPr/>
        <w:tc>
          <w:tcPr>
            <w:tcW w:w="4733" w:type="dxa"/>
            <w:tcBorders/>
            <w:vAlign w:val="center"/>
          </w:tcPr>
          <w:p>
            <w:pPr>
              <w:pStyle w:val="TableContents"/>
              <w:bidi w:val="0"/>
              <w:spacing w:before="0" w:after="283"/>
              <w:jc w:val="left"/>
              <w:rPr>
                <w:b w:val="false"/>
                <w:i w:val="false"/>
                <w:caps w:val="false"/>
                <w:smallCaps w:val="false"/>
                <w:color w:val="000000"/>
              </w:rPr>
            </w:pPr>
            <w:r>
              <w:rPr>
                <w:b w:val="false"/>
                <w:i w:val="false"/>
                <w:caps w:val="false"/>
                <w:smallCaps w:val="false"/>
                <w:color w:val="000000"/>
              </w:rPr>
              <w:t>Non-controlling interest</w:t>
            </w:r>
          </w:p>
        </w:tc>
        <w:tc>
          <w:tcPr>
            <w:tcW w:w="60"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31"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647,061</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65"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591,569</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14"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540,672</w:t>
            </w:r>
          </w:p>
        </w:tc>
      </w:tr>
      <w:tr>
        <w:trPr/>
        <w:tc>
          <w:tcPr>
            <w:tcW w:w="4733"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31" w:type="dxa"/>
            <w:tcBorders>
              <w:bottom w:val="single" w:sz="8" w:space="0" w:color="000000"/>
            </w:tcBorders>
            <w:tcMar>
              <w:bottom w:w="28"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65" w:type="dxa"/>
            <w:tcBorders>
              <w:bottom w:val="single" w:sz="8" w:space="0" w:color="000000"/>
            </w:tcBorders>
            <w:tcMar>
              <w:bottom w:w="28"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14" w:type="dxa"/>
            <w:tcBorders>
              <w:bottom w:val="single" w:sz="8" w:space="0" w:color="000000"/>
            </w:tcBorders>
            <w:tcMar>
              <w:bottom w:w="28"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r>
      <w:tr>
        <w:trPr/>
        <w:tc>
          <w:tcPr>
            <w:tcW w:w="4733" w:type="dxa"/>
            <w:tcBorders/>
            <w:vAlign w:val="center"/>
          </w:tcPr>
          <w:p>
            <w:pPr>
              <w:pStyle w:val="TableContents"/>
              <w:bidi w:val="0"/>
              <w:spacing w:before="0" w:after="283"/>
              <w:jc w:val="left"/>
              <w:rPr>
                <w:b w:val="false"/>
                <w:i w:val="false"/>
                <w:caps w:val="false"/>
                <w:smallCaps w:val="false"/>
                <w:color w:val="000000"/>
              </w:rPr>
            </w:pPr>
            <w:r>
              <w:rPr>
                <w:b w:val="false"/>
                <w:i w:val="false"/>
                <w:caps w:val="false"/>
                <w:smallCaps w:val="false"/>
                <w:color w:val="000000"/>
              </w:rPr>
              <w:t>Total equity, net</w:t>
            </w:r>
          </w:p>
        </w:tc>
        <w:tc>
          <w:tcPr>
            <w:tcW w:w="60"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31"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33,107,065</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65"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29,595,213</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14"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26,832,524</w:t>
            </w:r>
          </w:p>
        </w:tc>
      </w:tr>
      <w:tr>
        <w:trPr/>
        <w:tc>
          <w:tcPr>
            <w:tcW w:w="4733"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31" w:type="dxa"/>
            <w:tcBorders>
              <w:bottom w:val="single" w:sz="8" w:space="0" w:color="000000"/>
            </w:tcBorders>
            <w:tcMar>
              <w:bottom w:w="28"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65" w:type="dxa"/>
            <w:tcBorders>
              <w:bottom w:val="single" w:sz="8" w:space="0" w:color="000000"/>
            </w:tcBorders>
            <w:tcMar>
              <w:bottom w:w="28"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14" w:type="dxa"/>
            <w:tcBorders>
              <w:bottom w:val="single" w:sz="8" w:space="0" w:color="000000"/>
            </w:tcBorders>
            <w:tcMar>
              <w:bottom w:w="28"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r>
      <w:tr>
        <w:trPr/>
        <w:tc>
          <w:tcPr>
            <w:tcW w:w="4733" w:type="dxa"/>
            <w:tcBorders/>
            <w:vAlign w:val="center"/>
          </w:tcPr>
          <w:p>
            <w:pPr>
              <w:pStyle w:val="TableContents"/>
              <w:bidi w:val="0"/>
              <w:spacing w:before="0" w:after="283"/>
              <w:jc w:val="left"/>
              <w:rPr>
                <w:b/>
                <w:i w:val="false"/>
                <w:caps w:val="false"/>
                <w:smallCaps w:val="false"/>
                <w:color w:val="000000"/>
              </w:rPr>
            </w:pPr>
            <w:r>
              <w:rPr>
                <w:b/>
                <w:i w:val="false"/>
                <w:caps w:val="false"/>
                <w:smallCaps w:val="false"/>
                <w:color w:val="000000"/>
              </w:rPr>
              <w:t>Total liabilities and net equity</w:t>
            </w:r>
          </w:p>
        </w:tc>
        <w:tc>
          <w:tcPr>
            <w:tcW w:w="60"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531"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238,840,188</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65"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235,414,157</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14"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243,443,872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color w:val="000000"/>
          <w:sz w:val="20"/>
        </w:rPr>
        <w:t>52</w:t>
      </w:r>
      <w:r>
        <w:rPr>
          <w:rFonts w:ascii="Arial" w:hAnsi="Arial"/>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i w:val="false"/>
          <w:caps w:val="false"/>
          <w:smallCaps w:val="false"/>
          <w:sz w:val="20"/>
          <w:shd w:fill="FFFFFF" w:val="clear"/>
        </w:rPr>
        <w:t>CREDICORP LTD. AND SUBSIDIARIES</w:t>
      </w:r>
      <w:r>
        <w:rPr>
          <w:rFonts w:ascii="Arial" w:hAnsi="Arial"/>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CONSOLIDATED STATEMENT OF INCOME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FOR THE YEARS ENDED DECEMBER 31, 2023, 2022 (RESTATED) AND 2021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83"/>
        <w:gridCol w:w="60"/>
        <w:gridCol w:w="835"/>
        <w:gridCol w:w="60"/>
        <w:gridCol w:w="1116"/>
        <w:gridCol w:w="60"/>
        <w:gridCol w:w="1116"/>
        <w:gridCol w:w="60"/>
        <w:gridCol w:w="1115"/>
      </w:tblGrid>
      <w:tr>
        <w:trPr/>
        <w:tc>
          <w:tcPr>
            <w:tcW w:w="578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tcBorders/>
            <w:vAlign w:val="center"/>
          </w:tcPr>
          <w:p>
            <w:pPr>
              <w:pStyle w:val="TableContents"/>
              <w:bidi w:val="0"/>
              <w:spacing w:before="0" w:after="283"/>
              <w:jc w:val="center"/>
              <w:rPr>
                <w:b/>
                <w:i w:val="false"/>
                <w:caps w:val="false"/>
                <w:smallCaps w:val="false"/>
              </w:rPr>
            </w:pPr>
            <w:r>
              <w:rPr>
                <w:b/>
                <w:i w:val="false"/>
                <w:caps w:val="false"/>
                <w:smallCaps w:val="false"/>
              </w:rPr>
              <w:t>Note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6" w:type="dxa"/>
            <w:tcBorders>
              <w:bottom w:val="single" w:sz="8" w:space="0" w:color="000000"/>
            </w:tcBorders>
            <w:tcMar>
              <w:bottom w:w="28" w:type="dxa"/>
            </w:tcMar>
            <w:vAlign w:val="center"/>
          </w:tcPr>
          <w:p>
            <w:pPr>
              <w:pStyle w:val="TableContents"/>
              <w:bidi w:val="0"/>
              <w:spacing w:before="0" w:after="283"/>
              <w:jc w:val="left"/>
              <w:rPr>
                <w:b/>
                <w:i w:val="false"/>
                <w:caps w:val="false"/>
                <w:smallCaps w:val="false"/>
              </w:rPr>
            </w:pPr>
            <w:r>
              <w:rPr>
                <w:b/>
                <w:i w:val="false"/>
                <w:caps w:val="false"/>
                <w:smallCaps w:val="false"/>
              </w:rPr>
              <w:t>2023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6" w:type="dxa"/>
            <w:tcBorders>
              <w:bottom w:val="single" w:sz="8" w:space="0" w:color="000000"/>
            </w:tcBorders>
            <w:tcMar>
              <w:bottom w:w="28" w:type="dxa"/>
            </w:tcMar>
            <w:vAlign w:val="center"/>
          </w:tcPr>
          <w:p>
            <w:pPr>
              <w:pStyle w:val="TableContents"/>
              <w:bidi w:val="0"/>
              <w:spacing w:before="0" w:after="283"/>
              <w:jc w:val="left"/>
              <w:rPr>
                <w:b/>
                <w:i w:val="false"/>
                <w:caps w:val="false"/>
                <w:smallCaps w:val="false"/>
              </w:rPr>
            </w:pPr>
            <w:r>
              <w:rPr>
                <w:b/>
                <w:i w:val="false"/>
                <w:caps w:val="false"/>
                <w:smallCaps w:val="false"/>
              </w:rPr>
              <w:t>2022</w:t>
              <w:br/>
              <w:t>(Restated)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tcMar>
              <w:bottom w:w="28" w:type="dxa"/>
            </w:tcMar>
            <w:vAlign w:val="center"/>
          </w:tcPr>
          <w:p>
            <w:pPr>
              <w:pStyle w:val="TableContents"/>
              <w:bidi w:val="0"/>
              <w:spacing w:before="0" w:after="283"/>
              <w:jc w:val="left"/>
              <w:rPr>
                <w:b/>
                <w:i w:val="false"/>
                <w:caps w:val="false"/>
                <w:smallCaps w:val="false"/>
              </w:rPr>
            </w:pPr>
            <w:r>
              <w:rPr>
                <w:b/>
                <w:i w:val="false"/>
                <w:caps w:val="false"/>
                <w:smallCaps w:val="false"/>
              </w:rPr>
              <w:t>2021</w:t>
            </w:r>
          </w:p>
        </w:tc>
      </w:tr>
      <w:tr>
        <w:trPr/>
        <w:tc>
          <w:tcPr>
            <w:tcW w:w="578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6" w:type="dxa"/>
            <w:tcBorders/>
            <w:vAlign w:val="center"/>
          </w:tcPr>
          <w:p>
            <w:pPr>
              <w:pStyle w:val="TableContents"/>
              <w:bidi w:val="0"/>
              <w:spacing w:before="0" w:after="283"/>
              <w:jc w:val="left"/>
              <w:rPr>
                <w:b/>
                <w:i w:val="false"/>
                <w:caps w:val="false"/>
                <w:smallCaps w:val="false"/>
              </w:rPr>
            </w:pPr>
            <w:r>
              <w:rPr>
                <w:b/>
                <w:i w:val="false"/>
                <w:caps w:val="false"/>
                <w:smallCaps w:val="false"/>
              </w:rPr>
              <w:t>S/(000)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6" w:type="dxa"/>
            <w:tcBorders/>
            <w:vAlign w:val="center"/>
          </w:tcPr>
          <w:p>
            <w:pPr>
              <w:pStyle w:val="TableContents"/>
              <w:bidi w:val="0"/>
              <w:spacing w:before="0" w:after="283"/>
              <w:jc w:val="left"/>
              <w:rPr>
                <w:b/>
                <w:i w:val="false"/>
                <w:caps w:val="false"/>
                <w:smallCaps w:val="false"/>
              </w:rPr>
            </w:pPr>
            <w:r>
              <w:rPr>
                <w:b/>
                <w:i w:val="false"/>
                <w:caps w:val="false"/>
                <w:smallCaps w:val="false"/>
              </w:rPr>
              <w:t>S/(000)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tcBorders/>
            <w:vAlign w:val="center"/>
          </w:tcPr>
          <w:p>
            <w:pPr>
              <w:pStyle w:val="TableContents"/>
              <w:bidi w:val="0"/>
              <w:spacing w:before="0" w:after="283"/>
              <w:jc w:val="left"/>
              <w:rPr>
                <w:b/>
                <w:i w:val="false"/>
                <w:caps w:val="false"/>
                <w:smallCaps w:val="false"/>
              </w:rPr>
            </w:pPr>
            <w:r>
              <w:rPr>
                <w:b/>
                <w:i w:val="false"/>
                <w:caps w:val="false"/>
                <w:smallCaps w:val="false"/>
              </w:rPr>
              <w:t>S/(000)</w:t>
            </w:r>
          </w:p>
        </w:tc>
      </w:tr>
      <w:tr>
        <w:trPr/>
        <w:tc>
          <w:tcPr>
            <w:tcW w:w="5783" w:type="dxa"/>
            <w:tcBorders/>
            <w:vAlign w:val="center"/>
          </w:tcPr>
          <w:p>
            <w:pPr>
              <w:pStyle w:val="TableContents"/>
              <w:bidi w:val="0"/>
              <w:spacing w:before="0" w:after="283"/>
              <w:jc w:val="both"/>
              <w:rPr>
                <w:b w:val="false"/>
                <w:i w:val="false"/>
                <w:caps w:val="false"/>
                <w:smallCaps w:val="false"/>
              </w:rPr>
            </w:pPr>
            <w:r>
              <w:rPr>
                <w:b w:val="false"/>
                <w:i w:val="false"/>
                <w:caps w:val="false"/>
                <w:smallCaps w:val="false"/>
              </w:rPr>
              <w:t>Interest and similar income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tcBorders/>
            <w:vAlign w:val="center"/>
          </w:tcPr>
          <w:p>
            <w:pPr>
              <w:pStyle w:val="TableContents"/>
              <w:bidi w:val="0"/>
              <w:spacing w:before="0" w:after="283"/>
              <w:jc w:val="center"/>
              <w:rPr>
                <w:b w:val="false"/>
                <w:i w:val="false"/>
                <w:caps w:val="false"/>
                <w:smallCaps w:val="false"/>
              </w:rPr>
            </w:pPr>
            <w:r>
              <w:rPr>
                <w:b w:val="false"/>
                <w:i w:val="false"/>
                <w:caps w:val="false"/>
                <w:smallCaps w:val="false"/>
              </w:rPr>
              <w:t>19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6"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18,798,495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6"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15,011,282</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11,850,406</w:t>
            </w:r>
          </w:p>
        </w:tc>
      </w:tr>
      <w:tr>
        <w:trPr/>
        <w:tc>
          <w:tcPr>
            <w:tcW w:w="5783" w:type="dxa"/>
            <w:tcBorders/>
            <w:vAlign w:val="center"/>
          </w:tcPr>
          <w:p>
            <w:pPr>
              <w:pStyle w:val="TableContents"/>
              <w:bidi w:val="0"/>
              <w:spacing w:before="0" w:after="283"/>
              <w:jc w:val="both"/>
              <w:rPr>
                <w:b w:val="false"/>
                <w:i w:val="false"/>
                <w:caps w:val="false"/>
                <w:smallCaps w:val="false"/>
                <w:color w:val="000000"/>
              </w:rPr>
            </w:pPr>
            <w:r>
              <w:rPr>
                <w:b w:val="false"/>
                <w:i w:val="false"/>
                <w:caps w:val="false"/>
                <w:smallCaps w:val="false"/>
                <w:color w:val="000000"/>
              </w:rPr>
              <w:t>Interest and similar expenses</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35" w:type="dxa"/>
            <w:tcBorders/>
            <w:vAlign w:val="center"/>
          </w:tcPr>
          <w:p>
            <w:pPr>
              <w:pStyle w:val="TableContents"/>
              <w:bidi w:val="0"/>
              <w:spacing w:before="0" w:after="283"/>
              <w:jc w:val="center"/>
              <w:rPr>
                <w:b w:val="false"/>
                <w:i w:val="false"/>
                <w:caps w:val="false"/>
                <w:smallCaps w:val="false"/>
                <w:color w:val="000000"/>
              </w:rPr>
            </w:pPr>
            <w:r>
              <w:rPr>
                <w:b w:val="false"/>
                <w:i w:val="false"/>
                <w:caps w:val="false"/>
                <w:smallCaps w:val="false"/>
                <w:color w:val="000000"/>
              </w:rPr>
              <w:t>19</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(5,860,523)</w:t>
            </w:r>
          </w:p>
        </w:tc>
        <w:tc>
          <w:tcPr>
            <w:tcW w:w="60" w:type="dxa"/>
            <w:tcBorders/>
            <w:vAlign w:val="center"/>
          </w:tcPr>
          <w:p>
            <w:pPr>
              <w:pStyle w:val="TableContents"/>
              <w:bidi w:val="0"/>
              <w:spacing w:before="0" w:after="283"/>
              <w:jc w:val="left"/>
              <w:rPr/>
            </w:pPr>
            <w:r>
              <w:rPr/>
              <w:t> </w:t>
            </w:r>
          </w:p>
        </w:tc>
        <w:tc>
          <w:tcPr>
            <w:tcW w:w="1116" w:type="dxa"/>
            <w:tcBorders>
              <w:bottom w:val="single" w:sz="8" w:space="0" w:color="000000"/>
            </w:tcBorders>
            <w:tcMar>
              <w:bottom w:w="28" w:type="dxa"/>
            </w:tcMar>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(3,919,664)</w:t>
            </w:r>
          </w:p>
        </w:tc>
        <w:tc>
          <w:tcPr>
            <w:tcW w:w="60" w:type="dxa"/>
            <w:tcBorders/>
            <w:vAlign w:val="center"/>
          </w:tcPr>
          <w:p>
            <w:pPr>
              <w:pStyle w:val="TableContents"/>
              <w:bidi w:val="0"/>
              <w:spacing w:before="0" w:after="283"/>
              <w:jc w:val="left"/>
              <w:rPr/>
            </w:pPr>
            <w:r>
              <w:rPr/>
              <w:t> </w:t>
            </w:r>
          </w:p>
        </w:tc>
        <w:tc>
          <w:tcPr>
            <w:tcW w:w="1115" w:type="dxa"/>
            <w:tcBorders>
              <w:bottom w:val="single" w:sz="8" w:space="0" w:color="000000"/>
            </w:tcBorders>
            <w:tcMar>
              <w:bottom w:w="28" w:type="dxa"/>
            </w:tcMar>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(2,490,802)</w:t>
            </w:r>
          </w:p>
        </w:tc>
      </w:tr>
      <w:tr>
        <w:trPr/>
        <w:tc>
          <w:tcPr>
            <w:tcW w:w="5783" w:type="dxa"/>
            <w:tcBorders/>
            <w:vAlign w:val="center"/>
          </w:tcPr>
          <w:p>
            <w:pPr>
              <w:pStyle w:val="TableContents"/>
              <w:bidi w:val="0"/>
              <w:spacing w:before="0" w:after="283"/>
              <w:jc w:val="both"/>
              <w:rPr>
                <w:b/>
                <w:i w:val="false"/>
                <w:caps w:val="false"/>
                <w:smallCaps w:val="false"/>
                <w:color w:val="000000"/>
              </w:rPr>
            </w:pPr>
            <w:r>
              <w:rPr>
                <w:b/>
                <w:i w:val="false"/>
                <w:caps w:val="false"/>
                <w:smallCaps w:val="false"/>
                <w:color w:val="000000"/>
              </w:rPr>
              <w:t>Net interest, similar income, and expenses</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12,937,972</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11,091,618</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5"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9,359,604</w:t>
            </w:r>
          </w:p>
        </w:tc>
      </w:tr>
      <w:tr>
        <w:trPr/>
        <w:tc>
          <w:tcPr>
            <w:tcW w:w="5783"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5" w:type="dxa"/>
            <w:tcBorders/>
            <w:vAlign w:val="center"/>
          </w:tcPr>
          <w:p>
            <w:pPr>
              <w:pStyle w:val="TableContents"/>
              <w:bidi w:val="0"/>
              <w:spacing w:before="0" w:after="283"/>
              <w:jc w:val="right"/>
              <w:rPr>
                <w:caps w:val="false"/>
                <w:smallCaps w:val="false"/>
                <w:color w:val="000000"/>
              </w:rPr>
            </w:pPr>
            <w:r>
              <w:rPr>
                <w:caps w:val="false"/>
                <w:smallCaps w:val="false"/>
                <w:color w:val="000000"/>
              </w:rPr>
              <w:t> </w:t>
            </w:r>
          </w:p>
        </w:tc>
      </w:tr>
      <w:tr>
        <w:trPr/>
        <w:tc>
          <w:tcPr>
            <w:tcW w:w="5783" w:type="dxa"/>
            <w:tcBorders/>
            <w:vAlign w:val="center"/>
          </w:tcPr>
          <w:p>
            <w:pPr>
              <w:pStyle w:val="TableContents"/>
              <w:bidi w:val="0"/>
              <w:spacing w:before="0" w:after="283"/>
              <w:jc w:val="both"/>
              <w:rPr>
                <w:b w:val="false"/>
                <w:i w:val="false"/>
                <w:caps w:val="false"/>
                <w:smallCaps w:val="false"/>
                <w:color w:val="000000"/>
              </w:rPr>
            </w:pPr>
            <w:r>
              <w:rPr>
                <w:b w:val="false"/>
                <w:i w:val="false"/>
                <w:caps w:val="false"/>
                <w:smallCaps w:val="false"/>
                <w:color w:val="000000"/>
              </w:rPr>
              <w:t>Provision for gross credit losses on loan portfolio</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35" w:type="dxa"/>
            <w:tcBorders/>
            <w:vAlign w:val="center"/>
          </w:tcPr>
          <w:p>
            <w:pPr>
              <w:pStyle w:val="TableContents"/>
              <w:bidi w:val="0"/>
              <w:spacing w:before="0" w:after="283"/>
              <w:jc w:val="center"/>
              <w:rPr>
                <w:b w:val="false"/>
                <w:i w:val="false"/>
                <w:caps w:val="false"/>
                <w:smallCaps w:val="false"/>
                <w:color w:val="000000"/>
              </w:rPr>
            </w:pPr>
            <w:r>
              <w:rPr>
                <w:b w:val="false"/>
                <w:i w:val="false"/>
                <w:caps w:val="false"/>
                <w:smallCaps w:val="false"/>
                <w:color w:val="000000"/>
              </w:rPr>
              <w:t>7(c)</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(3,957,143)</w:t>
            </w:r>
          </w:p>
        </w:tc>
        <w:tc>
          <w:tcPr>
            <w:tcW w:w="60"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(2,158,555)</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(1,558,951)</w:t>
            </w:r>
          </w:p>
        </w:tc>
      </w:tr>
      <w:tr>
        <w:trPr/>
        <w:tc>
          <w:tcPr>
            <w:tcW w:w="5783" w:type="dxa"/>
            <w:tcBorders/>
            <w:vAlign w:val="center"/>
          </w:tcPr>
          <w:p>
            <w:pPr>
              <w:pStyle w:val="TableContents"/>
              <w:bidi w:val="0"/>
              <w:spacing w:before="0" w:after="283"/>
              <w:jc w:val="both"/>
              <w:rPr>
                <w:b w:val="false"/>
                <w:i w:val="false"/>
                <w:caps w:val="false"/>
                <w:smallCaps w:val="false"/>
                <w:color w:val="000000"/>
              </w:rPr>
            </w:pPr>
            <w:r>
              <w:rPr>
                <w:b w:val="false"/>
                <w:i w:val="false"/>
                <w:caps w:val="false"/>
                <w:smallCaps w:val="false"/>
                <w:color w:val="000000"/>
              </w:rPr>
              <w:t>Recoveries of written-off loans</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334,798</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347,017</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5"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346,728</w:t>
            </w:r>
          </w:p>
        </w:tc>
      </w:tr>
      <w:tr>
        <w:trPr/>
        <w:tc>
          <w:tcPr>
            <w:tcW w:w="5783" w:type="dxa"/>
            <w:tcBorders/>
            <w:vAlign w:val="center"/>
          </w:tcPr>
          <w:p>
            <w:pPr>
              <w:pStyle w:val="TableContents"/>
              <w:bidi w:val="0"/>
              <w:spacing w:before="0" w:after="283"/>
              <w:jc w:val="both"/>
              <w:rPr>
                <w:b/>
                <w:i w:val="false"/>
                <w:caps w:val="false"/>
                <w:smallCaps w:val="false"/>
                <w:color w:val="000000"/>
              </w:rPr>
            </w:pPr>
            <w:r>
              <w:rPr>
                <w:b/>
                <w:i w:val="false"/>
                <w:caps w:val="false"/>
                <w:smallCaps w:val="false"/>
                <w:color w:val="000000"/>
              </w:rPr>
              <w:t>Provision for credit losses on loan porfolio, net of recoveries</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(3,622,345)</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(1,811,538)</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5"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(1,212,223)</w:t>
            </w:r>
          </w:p>
        </w:tc>
      </w:tr>
      <w:tr>
        <w:trPr/>
        <w:tc>
          <w:tcPr>
            <w:tcW w:w="5783"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5" w:type="dxa"/>
            <w:tcBorders/>
            <w:vAlign w:val="center"/>
          </w:tcPr>
          <w:p>
            <w:pPr>
              <w:pStyle w:val="TableContents"/>
              <w:bidi w:val="0"/>
              <w:spacing w:before="0" w:after="283"/>
              <w:jc w:val="right"/>
              <w:rPr>
                <w:caps w:val="false"/>
                <w:smallCaps w:val="false"/>
                <w:color w:val="000000"/>
              </w:rPr>
            </w:pPr>
            <w:r>
              <w:rPr>
                <w:caps w:val="false"/>
                <w:smallCaps w:val="false"/>
                <w:color w:val="000000"/>
              </w:rPr>
              <w:t> </w:t>
            </w:r>
          </w:p>
        </w:tc>
      </w:tr>
      <w:tr>
        <w:trPr/>
        <w:tc>
          <w:tcPr>
            <w:tcW w:w="5783" w:type="dxa"/>
            <w:tcBorders/>
            <w:vAlign w:val="center"/>
          </w:tcPr>
          <w:p>
            <w:pPr>
              <w:pStyle w:val="TableContents"/>
              <w:bidi w:val="0"/>
              <w:spacing w:before="0" w:after="283"/>
              <w:jc w:val="left"/>
              <w:rPr>
                <w:b/>
                <w:i w:val="false"/>
                <w:caps w:val="false"/>
                <w:smallCaps w:val="false"/>
                <w:color w:val="000000"/>
              </w:rPr>
            </w:pPr>
            <w:r>
              <w:rPr>
                <w:b/>
                <w:i w:val="false"/>
                <w:caps w:val="false"/>
                <w:smallCaps w:val="false"/>
                <w:color w:val="000000"/>
              </w:rPr>
              <w:t>Net interest, similar income, and expenses, after provision for credit losses on loan portfolio</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9,315,627</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9,280,080</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5"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8,147,381</w:t>
            </w:r>
          </w:p>
        </w:tc>
      </w:tr>
      <w:tr>
        <w:trPr/>
        <w:tc>
          <w:tcPr>
            <w:tcW w:w="5783"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5" w:type="dxa"/>
            <w:tcBorders/>
            <w:vAlign w:val="center"/>
          </w:tcPr>
          <w:p>
            <w:pPr>
              <w:pStyle w:val="TableContents"/>
              <w:bidi w:val="0"/>
              <w:spacing w:before="0" w:after="283"/>
              <w:jc w:val="right"/>
              <w:rPr>
                <w:caps w:val="false"/>
                <w:smallCaps w:val="false"/>
                <w:color w:val="000000"/>
              </w:rPr>
            </w:pPr>
            <w:r>
              <w:rPr>
                <w:caps w:val="false"/>
                <w:smallCaps w:val="false"/>
                <w:color w:val="000000"/>
              </w:rPr>
              <w:t> </w:t>
            </w:r>
          </w:p>
        </w:tc>
      </w:tr>
      <w:tr>
        <w:trPr/>
        <w:tc>
          <w:tcPr>
            <w:tcW w:w="5783" w:type="dxa"/>
            <w:tcBorders/>
            <w:vAlign w:val="center"/>
          </w:tcPr>
          <w:p>
            <w:pPr>
              <w:pStyle w:val="TableContents"/>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Other income</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 </w:t>
            </w:r>
          </w:p>
        </w:tc>
      </w:tr>
      <w:tr>
        <w:trPr/>
        <w:tc>
          <w:tcPr>
            <w:tcW w:w="5783" w:type="dxa"/>
            <w:tcBorders/>
            <w:vAlign w:val="center"/>
          </w:tcPr>
          <w:p>
            <w:pPr>
              <w:pStyle w:val="TableContents"/>
              <w:bidi w:val="0"/>
              <w:spacing w:before="0" w:after="283"/>
              <w:jc w:val="both"/>
              <w:rPr>
                <w:b w:val="false"/>
                <w:i w:val="false"/>
                <w:caps w:val="false"/>
                <w:smallCaps w:val="false"/>
                <w:color w:val="000000"/>
              </w:rPr>
            </w:pPr>
            <w:r>
              <w:rPr>
                <w:b w:val="false"/>
                <w:i w:val="false"/>
                <w:caps w:val="false"/>
                <w:smallCaps w:val="false"/>
                <w:color w:val="000000"/>
              </w:rPr>
              <w:t>Commissions and fees</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35" w:type="dxa"/>
            <w:tcBorders/>
            <w:vAlign w:val="center"/>
          </w:tcPr>
          <w:p>
            <w:pPr>
              <w:pStyle w:val="TableContents"/>
              <w:bidi w:val="0"/>
              <w:spacing w:before="0" w:after="283"/>
              <w:jc w:val="center"/>
              <w:rPr>
                <w:b w:val="false"/>
                <w:i w:val="false"/>
                <w:caps w:val="false"/>
                <w:smallCaps w:val="false"/>
                <w:color w:val="000000"/>
              </w:rPr>
            </w:pPr>
            <w:r>
              <w:rPr>
                <w:b w:val="false"/>
                <w:i w:val="false"/>
                <w:caps w:val="false"/>
                <w:smallCaps w:val="false"/>
                <w:color w:val="000000"/>
              </w:rPr>
              <w:t>20</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3,804,459</w:t>
            </w:r>
          </w:p>
        </w:tc>
        <w:tc>
          <w:tcPr>
            <w:tcW w:w="60"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3,642,857</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3,493,734</w:t>
            </w:r>
          </w:p>
        </w:tc>
      </w:tr>
      <w:tr>
        <w:trPr/>
        <w:tc>
          <w:tcPr>
            <w:tcW w:w="5783" w:type="dxa"/>
            <w:tcBorders/>
            <w:vAlign w:val="center"/>
          </w:tcPr>
          <w:p>
            <w:pPr>
              <w:pStyle w:val="TableContents"/>
              <w:bidi w:val="0"/>
              <w:spacing w:before="0" w:after="283"/>
              <w:jc w:val="both"/>
              <w:rPr>
                <w:b w:val="false"/>
                <w:i w:val="false"/>
                <w:caps w:val="false"/>
                <w:smallCaps w:val="false"/>
                <w:color w:val="000000"/>
              </w:rPr>
            </w:pPr>
            <w:r>
              <w:rPr>
                <w:b w:val="false"/>
                <w:i w:val="false"/>
                <w:caps w:val="false"/>
                <w:smallCaps w:val="false"/>
                <w:color w:val="000000"/>
              </w:rPr>
              <w:t>Net gain on foreign exchange transactions</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886,126</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1,084,151</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922,917</w:t>
            </w:r>
          </w:p>
        </w:tc>
      </w:tr>
      <w:tr>
        <w:trPr/>
        <w:tc>
          <w:tcPr>
            <w:tcW w:w="5783" w:type="dxa"/>
            <w:tcBorders/>
            <w:vAlign w:val="center"/>
          </w:tcPr>
          <w:p>
            <w:pPr>
              <w:pStyle w:val="TableContents"/>
              <w:bidi w:val="0"/>
              <w:spacing w:before="0" w:after="283"/>
              <w:jc w:val="both"/>
              <w:rPr>
                <w:b w:val="false"/>
                <w:i w:val="false"/>
                <w:caps w:val="false"/>
                <w:smallCaps w:val="false"/>
                <w:color w:val="000000"/>
              </w:rPr>
            </w:pPr>
            <w:r>
              <w:rPr>
                <w:b w:val="false"/>
                <w:i w:val="false"/>
                <w:caps w:val="false"/>
                <w:smallCaps w:val="false"/>
                <w:color w:val="000000"/>
              </w:rPr>
              <w:t>Net gain on securities</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35" w:type="dxa"/>
            <w:tcBorders/>
            <w:vAlign w:val="center"/>
          </w:tcPr>
          <w:p>
            <w:pPr>
              <w:pStyle w:val="TableContents"/>
              <w:bidi w:val="0"/>
              <w:spacing w:before="0" w:after="283"/>
              <w:jc w:val="center"/>
              <w:rPr>
                <w:b w:val="false"/>
                <w:i w:val="false"/>
                <w:caps w:val="false"/>
                <w:smallCaps w:val="false"/>
                <w:color w:val="000000"/>
              </w:rPr>
            </w:pPr>
            <w:r>
              <w:rPr>
                <w:b w:val="false"/>
                <w:i w:val="false"/>
                <w:caps w:val="false"/>
                <w:smallCaps w:val="false"/>
                <w:color w:val="000000"/>
              </w:rPr>
              <w:t>21</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425,144</w:t>
            </w:r>
          </w:p>
        </w:tc>
        <w:tc>
          <w:tcPr>
            <w:tcW w:w="60"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5,468</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28,650</w:t>
            </w:r>
          </w:p>
        </w:tc>
      </w:tr>
      <w:tr>
        <w:trPr/>
        <w:tc>
          <w:tcPr>
            <w:tcW w:w="5783" w:type="dxa"/>
            <w:tcBorders/>
            <w:vAlign w:val="center"/>
          </w:tcPr>
          <w:p>
            <w:pPr>
              <w:pStyle w:val="TableContents"/>
              <w:bidi w:val="0"/>
              <w:spacing w:before="0" w:after="283"/>
              <w:jc w:val="both"/>
              <w:rPr>
                <w:b w:val="false"/>
                <w:i w:val="false"/>
                <w:caps w:val="false"/>
                <w:smallCaps w:val="false"/>
                <w:color w:val="000000"/>
              </w:rPr>
            </w:pPr>
            <w:r>
              <w:rPr>
                <w:b w:val="false"/>
                <w:i w:val="false"/>
                <w:caps w:val="false"/>
                <w:smallCaps w:val="false"/>
                <w:color w:val="000000"/>
              </w:rPr>
              <w:t>Net gain on derivatives heId for trading</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53,665</w:t>
            </w:r>
          </w:p>
        </w:tc>
        <w:tc>
          <w:tcPr>
            <w:tcW w:w="60"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65,187</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221,064</w:t>
            </w:r>
          </w:p>
        </w:tc>
      </w:tr>
      <w:tr>
        <w:trPr/>
        <w:tc>
          <w:tcPr>
            <w:tcW w:w="5783" w:type="dxa"/>
            <w:tcBorders/>
            <w:vAlign w:val="center"/>
          </w:tcPr>
          <w:p>
            <w:pPr>
              <w:pStyle w:val="TableContents"/>
              <w:bidi w:val="0"/>
              <w:spacing w:before="0" w:after="283"/>
              <w:jc w:val="both"/>
              <w:rPr>
                <w:b w:val="false"/>
                <w:i w:val="false"/>
                <w:caps w:val="false"/>
                <w:smallCaps w:val="false"/>
                <w:color w:val="000000"/>
              </w:rPr>
            </w:pPr>
            <w:r>
              <w:rPr>
                <w:b w:val="false"/>
                <w:i w:val="false"/>
                <w:caps w:val="false"/>
                <w:smallCaps w:val="false"/>
                <w:color w:val="000000"/>
              </w:rPr>
              <w:t>Exchange difference result</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45,778</w:t>
            </w:r>
          </w:p>
        </w:tc>
        <w:tc>
          <w:tcPr>
            <w:tcW w:w="60"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337</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(3,215)</w:t>
            </w:r>
          </w:p>
        </w:tc>
      </w:tr>
      <w:tr>
        <w:trPr/>
        <w:tc>
          <w:tcPr>
            <w:tcW w:w="5783" w:type="dxa"/>
            <w:tcBorders/>
            <w:vAlign w:val="center"/>
          </w:tcPr>
          <w:p>
            <w:pPr>
              <w:pStyle w:val="TableContents"/>
              <w:bidi w:val="0"/>
              <w:spacing w:before="0" w:after="283"/>
              <w:jc w:val="both"/>
              <w:rPr>
                <w:b w:val="false"/>
                <w:i w:val="false"/>
                <w:caps w:val="false"/>
                <w:smallCaps w:val="false"/>
                <w:color w:val="000000"/>
              </w:rPr>
            </w:pPr>
            <w:r>
              <w:rPr>
                <w:b w:val="false"/>
                <w:i w:val="false"/>
                <w:caps w:val="false"/>
                <w:smallCaps w:val="false"/>
                <w:color w:val="000000"/>
              </w:rPr>
              <w:t>Others</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35" w:type="dxa"/>
            <w:tcBorders/>
            <w:vAlign w:val="center"/>
          </w:tcPr>
          <w:p>
            <w:pPr>
              <w:pStyle w:val="TableContents"/>
              <w:bidi w:val="0"/>
              <w:spacing w:before="0" w:after="283"/>
              <w:jc w:val="center"/>
              <w:rPr>
                <w:b w:val="false"/>
                <w:i w:val="false"/>
                <w:caps w:val="false"/>
                <w:smallCaps w:val="false"/>
                <w:color w:val="000000"/>
              </w:rPr>
            </w:pPr>
            <w:r>
              <w:rPr>
                <w:b w:val="false"/>
                <w:i w:val="false"/>
                <w:caps w:val="false"/>
                <w:smallCaps w:val="false"/>
                <w:color w:val="000000"/>
              </w:rPr>
              <w:t>25</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440,653</w:t>
            </w:r>
          </w:p>
        </w:tc>
        <w:tc>
          <w:tcPr>
            <w:tcW w:w="60" w:type="dxa"/>
            <w:tcBorders/>
            <w:vAlign w:val="center"/>
          </w:tcPr>
          <w:p>
            <w:pPr>
              <w:pStyle w:val="TableContents"/>
              <w:bidi w:val="0"/>
              <w:spacing w:before="0" w:after="283"/>
              <w:jc w:val="left"/>
              <w:rPr/>
            </w:pPr>
            <w:r>
              <w:rPr/>
              <w:t> </w:t>
            </w:r>
          </w:p>
        </w:tc>
        <w:tc>
          <w:tcPr>
            <w:tcW w:w="1116" w:type="dxa"/>
            <w:tcBorders>
              <w:bottom w:val="single" w:sz="8" w:space="0" w:color="000000"/>
            </w:tcBorders>
            <w:tcMar>
              <w:bottom w:w="28" w:type="dxa"/>
            </w:tcMar>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268,046</w:t>
            </w:r>
          </w:p>
        </w:tc>
        <w:tc>
          <w:tcPr>
            <w:tcW w:w="60" w:type="dxa"/>
            <w:tcBorders/>
            <w:vAlign w:val="center"/>
          </w:tcPr>
          <w:p>
            <w:pPr>
              <w:pStyle w:val="TableContents"/>
              <w:bidi w:val="0"/>
              <w:spacing w:before="0" w:after="283"/>
              <w:jc w:val="left"/>
              <w:rPr/>
            </w:pPr>
            <w:r>
              <w:rPr/>
              <w:t> </w:t>
            </w:r>
          </w:p>
        </w:tc>
        <w:tc>
          <w:tcPr>
            <w:tcW w:w="1115" w:type="dxa"/>
            <w:tcBorders>
              <w:bottom w:val="single" w:sz="8" w:space="0" w:color="000000"/>
            </w:tcBorders>
            <w:tcMar>
              <w:bottom w:w="28" w:type="dxa"/>
            </w:tcMar>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266,567</w:t>
            </w:r>
          </w:p>
        </w:tc>
      </w:tr>
      <w:tr>
        <w:trPr/>
        <w:tc>
          <w:tcPr>
            <w:tcW w:w="5783" w:type="dxa"/>
            <w:tcBorders/>
            <w:vAlign w:val="center"/>
          </w:tcPr>
          <w:p>
            <w:pPr>
              <w:pStyle w:val="TableContents"/>
              <w:bidi w:val="0"/>
              <w:spacing w:before="0" w:after="283"/>
              <w:jc w:val="both"/>
              <w:rPr>
                <w:b/>
                <w:i w:val="false"/>
                <w:caps w:val="false"/>
                <w:smallCaps w:val="false"/>
                <w:color w:val="000000"/>
              </w:rPr>
            </w:pPr>
            <w:r>
              <w:rPr>
                <w:b/>
                <w:i w:val="false"/>
                <w:caps w:val="false"/>
                <w:smallCaps w:val="false"/>
                <w:color w:val="000000"/>
              </w:rPr>
              <w:t>Total other income</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5,655,825</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5,066,096</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5"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4,929,717</w:t>
            </w:r>
          </w:p>
        </w:tc>
      </w:tr>
      <w:tr>
        <w:trPr/>
        <w:tc>
          <w:tcPr>
            <w:tcW w:w="5783"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5" w:type="dxa"/>
            <w:tcBorders/>
            <w:vAlign w:val="center"/>
          </w:tcPr>
          <w:p>
            <w:pPr>
              <w:pStyle w:val="TableContents"/>
              <w:bidi w:val="0"/>
              <w:spacing w:before="0" w:after="283"/>
              <w:jc w:val="right"/>
              <w:rPr>
                <w:caps w:val="false"/>
                <w:smallCaps w:val="false"/>
                <w:color w:val="000000"/>
              </w:rPr>
            </w:pPr>
            <w:r>
              <w:rPr>
                <w:caps w:val="false"/>
                <w:smallCaps w:val="false"/>
                <w:color w:val="000000"/>
              </w:rPr>
              <w:t> </w:t>
            </w:r>
          </w:p>
        </w:tc>
      </w:tr>
      <w:tr>
        <w:trPr/>
        <w:tc>
          <w:tcPr>
            <w:tcW w:w="5783" w:type="dxa"/>
            <w:tcBorders/>
            <w:vAlign w:val="center"/>
          </w:tcPr>
          <w:p>
            <w:pPr>
              <w:pStyle w:val="TableContents"/>
              <w:bidi w:val="0"/>
              <w:spacing w:before="0" w:after="283"/>
              <w:jc w:val="both"/>
              <w:rPr>
                <w:b/>
                <w:i w:val="false"/>
                <w:caps w:val="false"/>
                <w:smallCaps w:val="false"/>
                <w:color w:val="000000"/>
              </w:rPr>
            </w:pPr>
            <w:r>
              <w:rPr>
                <w:b/>
                <w:i w:val="false"/>
                <w:caps w:val="false"/>
                <w:smallCaps w:val="false"/>
                <w:color w:val="000000"/>
              </w:rPr>
              <w:t>Insurance and underwriting result</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 </w:t>
            </w:r>
          </w:p>
        </w:tc>
      </w:tr>
      <w:tr>
        <w:trPr/>
        <w:tc>
          <w:tcPr>
            <w:tcW w:w="5783" w:type="dxa"/>
            <w:tcBorders/>
            <w:vAlign w:val="center"/>
          </w:tcPr>
          <w:p>
            <w:pPr>
              <w:pStyle w:val="TableContents"/>
              <w:bidi w:val="0"/>
              <w:spacing w:before="0" w:after="283"/>
              <w:jc w:val="both"/>
              <w:rPr>
                <w:b w:val="false"/>
                <w:i w:val="false"/>
                <w:caps w:val="false"/>
                <w:smallCaps w:val="false"/>
                <w:color w:val="000000"/>
              </w:rPr>
            </w:pPr>
            <w:r>
              <w:rPr>
                <w:b w:val="false"/>
                <w:i w:val="false"/>
                <w:caps w:val="false"/>
                <w:smallCaps w:val="false"/>
                <w:color w:val="000000"/>
              </w:rPr>
              <w:t>Insurance service result</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35" w:type="dxa"/>
            <w:tcBorders/>
            <w:vAlign w:val="center"/>
          </w:tcPr>
          <w:p>
            <w:pPr>
              <w:pStyle w:val="TableContents"/>
              <w:bidi w:val="0"/>
              <w:spacing w:before="0" w:after="283"/>
              <w:jc w:val="center"/>
              <w:rPr>
                <w:b w:val="false"/>
                <w:i w:val="false"/>
                <w:caps w:val="false"/>
                <w:smallCaps w:val="false"/>
                <w:color w:val="000000"/>
              </w:rPr>
            </w:pPr>
            <w:r>
              <w:rPr>
                <w:b w:val="false"/>
                <w:i w:val="false"/>
                <w:caps w:val="false"/>
                <w:smallCaps w:val="false"/>
                <w:color w:val="000000"/>
              </w:rPr>
              <w:t>22 (a)</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1,602,421</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1,302,347</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5" w:type="dxa"/>
            <w:tcBorders/>
            <w:vAlign w:val="center"/>
          </w:tcPr>
          <w:p>
            <w:pPr>
              <w:pStyle w:val="TableContents"/>
              <w:bidi w:val="0"/>
              <w:spacing w:before="0" w:after="283"/>
              <w:jc w:val="right"/>
              <w:rPr>
                <w:caps w:val="false"/>
                <w:smallCaps w:val="false"/>
                <w:color w:val="000000"/>
              </w:rPr>
            </w:pPr>
            <w:r>
              <w:rPr>
                <w:caps w:val="false"/>
                <w:smallCaps w:val="false"/>
                <w:color w:val="000000"/>
              </w:rPr>
              <w:t>—</w:t>
            </w:r>
          </w:p>
        </w:tc>
      </w:tr>
      <w:tr>
        <w:trPr/>
        <w:tc>
          <w:tcPr>
            <w:tcW w:w="5783" w:type="dxa"/>
            <w:tcBorders/>
            <w:vAlign w:val="center"/>
          </w:tcPr>
          <w:p>
            <w:pPr>
              <w:pStyle w:val="TableContents"/>
              <w:bidi w:val="0"/>
              <w:spacing w:before="0" w:after="283"/>
              <w:jc w:val="both"/>
              <w:rPr>
                <w:b w:val="false"/>
                <w:i w:val="false"/>
                <w:caps w:val="false"/>
                <w:smallCaps w:val="false"/>
                <w:color w:val="000000"/>
              </w:rPr>
            </w:pPr>
            <w:r>
              <w:rPr>
                <w:b w:val="false"/>
                <w:i w:val="false"/>
                <w:caps w:val="false"/>
                <w:smallCaps w:val="false"/>
                <w:color w:val="000000"/>
              </w:rPr>
              <w:t>Underwriting result</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35" w:type="dxa"/>
            <w:tcBorders/>
            <w:vAlign w:val="center"/>
          </w:tcPr>
          <w:p>
            <w:pPr>
              <w:pStyle w:val="TableContents"/>
              <w:bidi w:val="0"/>
              <w:spacing w:before="0" w:after="283"/>
              <w:jc w:val="center"/>
              <w:rPr>
                <w:b w:val="false"/>
                <w:i w:val="false"/>
                <w:caps w:val="false"/>
                <w:smallCaps w:val="false"/>
                <w:color w:val="000000"/>
              </w:rPr>
            </w:pPr>
            <w:r>
              <w:rPr>
                <w:b w:val="false"/>
                <w:i w:val="false"/>
                <w:caps w:val="false"/>
                <w:smallCaps w:val="false"/>
                <w:color w:val="000000"/>
              </w:rPr>
              <w:t>22 (a)</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(391,321)</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(460,899)</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5" w:type="dxa"/>
            <w:tcBorders/>
            <w:vAlign w:val="center"/>
          </w:tcPr>
          <w:p>
            <w:pPr>
              <w:pStyle w:val="TableContents"/>
              <w:bidi w:val="0"/>
              <w:spacing w:before="0" w:after="283"/>
              <w:jc w:val="right"/>
              <w:rPr>
                <w:caps w:val="false"/>
                <w:smallCaps w:val="false"/>
                <w:color w:val="000000"/>
              </w:rPr>
            </w:pPr>
            <w:r>
              <w:rPr>
                <w:caps w:val="false"/>
                <w:smallCaps w:val="false"/>
                <w:color w:val="000000"/>
              </w:rPr>
              <w:t>—</w:t>
            </w:r>
          </w:p>
        </w:tc>
      </w:tr>
      <w:tr>
        <w:trPr/>
        <w:tc>
          <w:tcPr>
            <w:tcW w:w="5783" w:type="dxa"/>
            <w:tcBorders/>
            <w:vAlign w:val="center"/>
          </w:tcPr>
          <w:p>
            <w:pPr>
              <w:pStyle w:val="TableContents"/>
              <w:bidi w:val="0"/>
              <w:spacing w:before="0" w:after="283"/>
              <w:jc w:val="both"/>
              <w:rPr>
                <w:b w:val="false"/>
                <w:i w:val="false"/>
                <w:caps w:val="false"/>
                <w:smallCaps w:val="false"/>
                <w:color w:val="000000"/>
              </w:rPr>
            </w:pPr>
            <w:r>
              <w:rPr>
                <w:b w:val="false"/>
                <w:i w:val="false"/>
                <w:caps w:val="false"/>
                <w:smallCaps w:val="false"/>
                <w:color w:val="000000"/>
              </w:rPr>
              <w:t>Net premiums earned</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35" w:type="dxa"/>
            <w:tcBorders/>
            <w:vAlign w:val="center"/>
          </w:tcPr>
          <w:p>
            <w:pPr>
              <w:pStyle w:val="TableContents"/>
              <w:bidi w:val="0"/>
              <w:spacing w:before="0" w:after="283"/>
              <w:jc w:val="center"/>
              <w:rPr>
                <w:b w:val="false"/>
                <w:i w:val="false"/>
                <w:caps w:val="false"/>
                <w:smallCaps w:val="false"/>
                <w:color w:val="000000"/>
              </w:rPr>
            </w:pPr>
            <w:r>
              <w:rPr>
                <w:b w:val="false"/>
                <w:i w:val="false"/>
                <w:caps w:val="false"/>
                <w:smallCaps w:val="false"/>
                <w:color w:val="000000"/>
              </w:rPr>
              <w:t>22 (g)</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5"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2,671,530</w:t>
            </w:r>
          </w:p>
        </w:tc>
      </w:tr>
      <w:tr>
        <w:trPr/>
        <w:tc>
          <w:tcPr>
            <w:tcW w:w="5783" w:type="dxa"/>
            <w:tcBorders/>
            <w:vAlign w:val="center"/>
          </w:tcPr>
          <w:p>
            <w:pPr>
              <w:pStyle w:val="TableContents"/>
              <w:bidi w:val="0"/>
              <w:spacing w:before="0" w:after="283"/>
              <w:jc w:val="both"/>
              <w:rPr>
                <w:b w:val="false"/>
                <w:i w:val="false"/>
                <w:caps w:val="false"/>
                <w:smallCaps w:val="false"/>
                <w:color w:val="000000"/>
              </w:rPr>
            </w:pPr>
            <w:r>
              <w:rPr>
                <w:b w:val="false"/>
                <w:i w:val="false"/>
                <w:caps w:val="false"/>
                <w:smallCaps w:val="false"/>
                <w:color w:val="000000"/>
              </w:rPr>
              <w:t>Net claims incurred for life, general and health insurance contracts</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35" w:type="dxa"/>
            <w:tcBorders/>
            <w:vAlign w:val="center"/>
          </w:tcPr>
          <w:p>
            <w:pPr>
              <w:pStyle w:val="TableContents"/>
              <w:bidi w:val="0"/>
              <w:spacing w:before="0" w:after="283"/>
              <w:jc w:val="center"/>
              <w:rPr>
                <w:b w:val="false"/>
                <w:i w:val="false"/>
                <w:caps w:val="false"/>
                <w:smallCaps w:val="false"/>
                <w:color w:val="000000"/>
              </w:rPr>
            </w:pPr>
            <w:r>
              <w:rPr>
                <w:b w:val="false"/>
                <w:i w:val="false"/>
                <w:caps w:val="false"/>
                <w:smallCaps w:val="false"/>
                <w:color w:val="000000"/>
              </w:rPr>
              <w:t>22 (h)</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(2,341,917)</w:t>
            </w:r>
          </w:p>
        </w:tc>
      </w:tr>
      <w:tr>
        <w:trPr/>
        <w:tc>
          <w:tcPr>
            <w:tcW w:w="5783" w:type="dxa"/>
            <w:tcBorders/>
            <w:vAlign w:val="center"/>
          </w:tcPr>
          <w:p>
            <w:pPr>
              <w:pStyle w:val="TableContents"/>
              <w:bidi w:val="0"/>
              <w:spacing w:before="0" w:after="283"/>
              <w:jc w:val="both"/>
              <w:rPr>
                <w:b w:val="false"/>
                <w:i w:val="false"/>
                <w:caps w:val="false"/>
                <w:smallCaps w:val="false"/>
                <w:color w:val="000000"/>
              </w:rPr>
            </w:pPr>
            <w:r>
              <w:rPr>
                <w:b w:val="false"/>
                <w:i w:val="false"/>
                <w:caps w:val="false"/>
                <w:smallCaps w:val="false"/>
                <w:color w:val="000000"/>
              </w:rPr>
              <w:t>Acquisition cost</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bottom w:val="single" w:sz="8" w:space="0" w:color="000000"/>
            </w:tcBorders>
            <w:tcMar>
              <w:bottom w:w="28"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bottom w:val="single" w:sz="8" w:space="0" w:color="000000"/>
            </w:tcBorders>
            <w:tcMar>
              <w:bottom w:w="28"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5"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(333,334)</w:t>
            </w:r>
          </w:p>
        </w:tc>
      </w:tr>
      <w:tr>
        <w:trPr/>
        <w:tc>
          <w:tcPr>
            <w:tcW w:w="5783" w:type="dxa"/>
            <w:tcBorders/>
            <w:vAlign w:val="center"/>
          </w:tcPr>
          <w:p>
            <w:pPr>
              <w:pStyle w:val="TableContents"/>
              <w:bidi w:val="0"/>
              <w:spacing w:before="0" w:after="283"/>
              <w:jc w:val="both"/>
              <w:rPr>
                <w:b/>
                <w:i w:val="false"/>
                <w:caps w:val="false"/>
                <w:smallCaps w:val="false"/>
                <w:color w:val="000000"/>
              </w:rPr>
            </w:pPr>
            <w:r>
              <w:rPr>
                <w:b/>
                <w:i w:val="false"/>
                <w:caps w:val="false"/>
                <w:smallCaps w:val="false"/>
                <w:color w:val="000000"/>
              </w:rPr>
              <w:t>Total insurance and underwriting result</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1,211,100</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841,448</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5"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(3,721)</w:t>
            </w:r>
          </w:p>
        </w:tc>
      </w:tr>
      <w:tr>
        <w:trPr/>
        <w:tc>
          <w:tcPr>
            <w:tcW w:w="5783"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5" w:type="dxa"/>
            <w:tcBorders/>
            <w:vAlign w:val="center"/>
          </w:tcPr>
          <w:p>
            <w:pPr>
              <w:pStyle w:val="TableContents"/>
              <w:bidi w:val="0"/>
              <w:spacing w:before="0" w:after="283"/>
              <w:jc w:val="right"/>
              <w:rPr>
                <w:caps w:val="false"/>
                <w:smallCaps w:val="false"/>
                <w:color w:val="000000"/>
              </w:rPr>
            </w:pPr>
            <w:r>
              <w:rPr>
                <w:caps w:val="false"/>
                <w:smallCaps w:val="false"/>
                <w:color w:val="000000"/>
              </w:rPr>
              <w:t> </w:t>
            </w:r>
          </w:p>
        </w:tc>
      </w:tr>
      <w:tr>
        <w:trPr/>
        <w:tc>
          <w:tcPr>
            <w:tcW w:w="5783" w:type="dxa"/>
            <w:tcBorders/>
            <w:vAlign w:val="center"/>
          </w:tcPr>
          <w:p>
            <w:pPr>
              <w:pStyle w:val="TableContents"/>
              <w:bidi w:val="0"/>
              <w:spacing w:before="0" w:after="283"/>
              <w:jc w:val="both"/>
              <w:rPr>
                <w:b/>
                <w:i w:val="false"/>
                <w:caps w:val="false"/>
                <w:smallCaps w:val="false"/>
                <w:color w:val="000000"/>
              </w:rPr>
            </w:pPr>
            <w:r>
              <w:rPr>
                <w:b/>
                <w:i w:val="false"/>
                <w:caps w:val="false"/>
                <w:smallCaps w:val="false"/>
                <w:color w:val="000000"/>
              </w:rPr>
              <w:t>Other expenses</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 </w:t>
            </w:r>
          </w:p>
        </w:tc>
      </w:tr>
      <w:tr>
        <w:trPr/>
        <w:tc>
          <w:tcPr>
            <w:tcW w:w="5783" w:type="dxa"/>
            <w:tcBorders/>
            <w:vAlign w:val="center"/>
          </w:tcPr>
          <w:p>
            <w:pPr>
              <w:pStyle w:val="TableContents"/>
              <w:bidi w:val="0"/>
              <w:spacing w:before="0" w:after="283"/>
              <w:jc w:val="both"/>
              <w:rPr>
                <w:b w:val="false"/>
                <w:i w:val="false"/>
                <w:caps w:val="false"/>
                <w:smallCaps w:val="false"/>
                <w:color w:val="000000"/>
              </w:rPr>
            </w:pPr>
            <w:r>
              <w:rPr>
                <w:b w:val="false"/>
                <w:i w:val="false"/>
                <w:caps w:val="false"/>
                <w:smallCaps w:val="false"/>
                <w:color w:val="000000"/>
              </w:rPr>
              <w:t>Salaries and employee benefits</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35" w:type="dxa"/>
            <w:tcBorders/>
            <w:vAlign w:val="center"/>
          </w:tcPr>
          <w:p>
            <w:pPr>
              <w:pStyle w:val="TableContents"/>
              <w:bidi w:val="0"/>
              <w:spacing w:before="0" w:after="283"/>
              <w:jc w:val="center"/>
              <w:rPr>
                <w:b w:val="false"/>
                <w:i w:val="false"/>
                <w:caps w:val="false"/>
                <w:smallCaps w:val="false"/>
                <w:color w:val="000000"/>
              </w:rPr>
            </w:pPr>
            <w:r>
              <w:rPr>
                <w:b w:val="false"/>
                <w:i w:val="false"/>
                <w:caps w:val="false"/>
                <w:smallCaps w:val="false"/>
                <w:color w:val="000000"/>
              </w:rPr>
              <w:t>23</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(4,265,453)</w:t>
            </w:r>
          </w:p>
        </w:tc>
        <w:tc>
          <w:tcPr>
            <w:tcW w:w="60"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(3,902,161)</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(3,658,476)</w:t>
            </w:r>
          </w:p>
        </w:tc>
      </w:tr>
      <w:tr>
        <w:trPr/>
        <w:tc>
          <w:tcPr>
            <w:tcW w:w="5783" w:type="dxa"/>
            <w:tcBorders/>
            <w:vAlign w:val="center"/>
          </w:tcPr>
          <w:p>
            <w:pPr>
              <w:pStyle w:val="TableContents"/>
              <w:bidi w:val="0"/>
              <w:spacing w:before="0" w:after="283"/>
              <w:jc w:val="both"/>
              <w:rPr>
                <w:b w:val="false"/>
                <w:i w:val="false"/>
                <w:caps w:val="false"/>
                <w:smallCaps w:val="false"/>
                <w:color w:val="000000"/>
              </w:rPr>
            </w:pPr>
            <w:r>
              <w:rPr>
                <w:b w:val="false"/>
                <w:i w:val="false"/>
                <w:caps w:val="false"/>
                <w:smallCaps w:val="false"/>
                <w:color w:val="000000"/>
              </w:rPr>
              <w:t>Administrative expenses</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35" w:type="dxa"/>
            <w:tcBorders/>
            <w:vAlign w:val="center"/>
          </w:tcPr>
          <w:p>
            <w:pPr>
              <w:pStyle w:val="TableContents"/>
              <w:bidi w:val="0"/>
              <w:spacing w:before="0" w:after="283"/>
              <w:jc w:val="center"/>
              <w:rPr>
                <w:b w:val="false"/>
                <w:i w:val="false"/>
                <w:caps w:val="false"/>
                <w:smallCaps w:val="false"/>
                <w:color w:val="000000"/>
              </w:rPr>
            </w:pPr>
            <w:r>
              <w:rPr>
                <w:b w:val="false"/>
                <w:i w:val="false"/>
                <w:caps w:val="false"/>
                <w:smallCaps w:val="false"/>
                <w:color w:val="000000"/>
              </w:rPr>
              <w:t>24</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(3,803,203)</w:t>
            </w:r>
          </w:p>
        </w:tc>
        <w:tc>
          <w:tcPr>
            <w:tcW w:w="60"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(3,414,065)</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(2,953,717)</w:t>
            </w:r>
          </w:p>
        </w:tc>
      </w:tr>
      <w:tr>
        <w:trPr/>
        <w:tc>
          <w:tcPr>
            <w:tcW w:w="5783" w:type="dxa"/>
            <w:tcBorders/>
            <w:vAlign w:val="center"/>
          </w:tcPr>
          <w:p>
            <w:pPr>
              <w:pStyle w:val="TableContents"/>
              <w:bidi w:val="0"/>
              <w:spacing w:before="0" w:after="283"/>
              <w:jc w:val="both"/>
              <w:rPr>
                <w:b w:val="false"/>
                <w:i w:val="false"/>
                <w:caps w:val="false"/>
                <w:smallCaps w:val="false"/>
                <w:color w:val="000000"/>
              </w:rPr>
            </w:pPr>
            <w:r>
              <w:rPr>
                <w:b w:val="false"/>
                <w:i w:val="false"/>
                <w:caps w:val="false"/>
                <w:smallCaps w:val="false"/>
                <w:color w:val="000000"/>
              </w:rPr>
              <w:t>Depreciation and amortization</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35" w:type="dxa"/>
            <w:tcBorders/>
            <w:vAlign w:val="center"/>
          </w:tcPr>
          <w:p>
            <w:pPr>
              <w:pStyle w:val="TableContents"/>
              <w:bidi w:val="0"/>
              <w:spacing w:before="0" w:after="283"/>
              <w:jc w:val="center"/>
              <w:rPr>
                <w:b w:val="false"/>
                <w:i w:val="false"/>
                <w:caps w:val="false"/>
                <w:smallCaps w:val="false"/>
                <w:color w:val="000000"/>
              </w:rPr>
            </w:pPr>
            <w:r>
              <w:rPr>
                <w:b w:val="false"/>
                <w:i w:val="false"/>
                <w:caps w:val="false"/>
                <w:smallCaps w:val="false"/>
                <w:color w:val="000000"/>
              </w:rPr>
              <w:t>9 and 10(a)</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(511,174)</w:t>
            </w:r>
          </w:p>
        </w:tc>
        <w:tc>
          <w:tcPr>
            <w:tcW w:w="60"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(485,207)</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(521,967)</w:t>
            </w:r>
          </w:p>
        </w:tc>
      </w:tr>
      <w:tr>
        <w:trPr/>
        <w:tc>
          <w:tcPr>
            <w:tcW w:w="5783" w:type="dxa"/>
            <w:tcBorders/>
            <w:vAlign w:val="center"/>
          </w:tcPr>
          <w:p>
            <w:pPr>
              <w:pStyle w:val="TableContents"/>
              <w:bidi w:val="0"/>
              <w:spacing w:before="0" w:after="283"/>
              <w:jc w:val="both"/>
              <w:rPr>
                <w:b w:val="false"/>
                <w:i w:val="false"/>
                <w:caps w:val="false"/>
                <w:smallCaps w:val="false"/>
                <w:color w:val="000000"/>
              </w:rPr>
            </w:pPr>
            <w:r>
              <w:rPr>
                <w:b w:val="false"/>
                <w:i w:val="false"/>
                <w:caps w:val="false"/>
                <w:smallCaps w:val="false"/>
                <w:color w:val="000000"/>
              </w:rPr>
              <w:t>Impairment loss on goodwill</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35" w:type="dxa"/>
            <w:tcBorders/>
            <w:vAlign w:val="center"/>
          </w:tcPr>
          <w:p>
            <w:pPr>
              <w:pStyle w:val="TableContents"/>
              <w:bidi w:val="0"/>
              <w:spacing w:before="0" w:after="283"/>
              <w:jc w:val="center"/>
              <w:rPr>
                <w:b w:val="false"/>
                <w:i w:val="false"/>
                <w:caps w:val="false"/>
                <w:smallCaps w:val="false"/>
                <w:color w:val="000000"/>
              </w:rPr>
            </w:pPr>
            <w:r>
              <w:rPr>
                <w:b w:val="false"/>
                <w:i w:val="false"/>
                <w:caps w:val="false"/>
                <w:smallCaps w:val="false"/>
                <w:color w:val="000000"/>
              </w:rPr>
              <w:t>10(b)</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(71,959)</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5"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w:t>
            </w:r>
          </w:p>
        </w:tc>
      </w:tr>
      <w:tr>
        <w:trPr/>
        <w:tc>
          <w:tcPr>
            <w:tcW w:w="5783" w:type="dxa"/>
            <w:tcBorders/>
            <w:vAlign w:val="center"/>
          </w:tcPr>
          <w:p>
            <w:pPr>
              <w:pStyle w:val="TableContents"/>
              <w:bidi w:val="0"/>
              <w:spacing w:before="0" w:after="283"/>
              <w:jc w:val="both"/>
              <w:rPr>
                <w:b w:val="false"/>
                <w:i w:val="false"/>
                <w:caps w:val="false"/>
                <w:smallCaps w:val="false"/>
                <w:color w:val="000000"/>
              </w:rPr>
            </w:pPr>
            <w:r>
              <w:rPr>
                <w:b w:val="false"/>
                <w:i w:val="false"/>
                <w:caps w:val="false"/>
                <w:smallCaps w:val="false"/>
                <w:color w:val="000000"/>
              </w:rPr>
              <w:t>Depreciation for right-of-use assets</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35" w:type="dxa"/>
            <w:tcBorders/>
            <w:vAlign w:val="center"/>
          </w:tcPr>
          <w:p>
            <w:pPr>
              <w:pStyle w:val="TableContents"/>
              <w:bidi w:val="0"/>
              <w:spacing w:before="0" w:after="283"/>
              <w:jc w:val="center"/>
              <w:rPr>
                <w:b w:val="false"/>
                <w:i w:val="false"/>
                <w:caps w:val="false"/>
                <w:smallCaps w:val="false"/>
                <w:color w:val="000000"/>
              </w:rPr>
            </w:pPr>
            <w:r>
              <w:rPr>
                <w:b w:val="false"/>
                <w:i w:val="false"/>
                <w:caps w:val="false"/>
                <w:smallCaps w:val="false"/>
                <w:color w:val="000000"/>
              </w:rPr>
              <w:t>11(a)</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(147,833)</w:t>
            </w:r>
          </w:p>
        </w:tc>
        <w:tc>
          <w:tcPr>
            <w:tcW w:w="60"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(151,282)</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(161,287)</w:t>
            </w:r>
          </w:p>
        </w:tc>
      </w:tr>
      <w:tr>
        <w:trPr/>
        <w:tc>
          <w:tcPr>
            <w:tcW w:w="5783" w:type="dxa"/>
            <w:tcBorders/>
            <w:vAlign w:val="center"/>
          </w:tcPr>
          <w:p>
            <w:pPr>
              <w:pStyle w:val="TableContents"/>
              <w:bidi w:val="0"/>
              <w:spacing w:before="0" w:after="283"/>
              <w:jc w:val="both"/>
              <w:rPr>
                <w:b w:val="false"/>
                <w:i w:val="false"/>
                <w:caps w:val="false"/>
                <w:smallCaps w:val="false"/>
                <w:color w:val="000000"/>
              </w:rPr>
            </w:pPr>
            <w:r>
              <w:rPr>
                <w:b w:val="false"/>
                <w:i w:val="false"/>
                <w:caps w:val="false"/>
                <w:smallCaps w:val="false"/>
                <w:color w:val="000000"/>
              </w:rPr>
              <w:t>Others</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35" w:type="dxa"/>
            <w:tcBorders/>
            <w:vAlign w:val="center"/>
          </w:tcPr>
          <w:p>
            <w:pPr>
              <w:pStyle w:val="TableContents"/>
              <w:bidi w:val="0"/>
              <w:spacing w:before="0" w:after="283"/>
              <w:jc w:val="center"/>
              <w:rPr>
                <w:b w:val="false"/>
                <w:i w:val="false"/>
                <w:caps w:val="false"/>
                <w:smallCaps w:val="false"/>
                <w:color w:val="000000"/>
              </w:rPr>
            </w:pPr>
            <w:r>
              <w:rPr>
                <w:b w:val="false"/>
                <w:i w:val="false"/>
                <w:caps w:val="false"/>
                <w:smallCaps w:val="false"/>
                <w:color w:val="000000"/>
              </w:rPr>
              <w:t>25</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(534,601)</w:t>
            </w:r>
          </w:p>
        </w:tc>
        <w:tc>
          <w:tcPr>
            <w:tcW w:w="60" w:type="dxa"/>
            <w:tcBorders/>
            <w:vAlign w:val="center"/>
          </w:tcPr>
          <w:p>
            <w:pPr>
              <w:pStyle w:val="TableContents"/>
              <w:bidi w:val="0"/>
              <w:spacing w:before="0" w:after="283"/>
              <w:jc w:val="left"/>
              <w:rPr/>
            </w:pPr>
            <w:r>
              <w:rPr/>
              <w:t> </w:t>
            </w:r>
          </w:p>
        </w:tc>
        <w:tc>
          <w:tcPr>
            <w:tcW w:w="1116" w:type="dxa"/>
            <w:tcBorders>
              <w:bottom w:val="single" w:sz="8" w:space="0" w:color="000000"/>
            </w:tcBorders>
            <w:tcMar>
              <w:bottom w:w="28" w:type="dxa"/>
            </w:tcMar>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(364,298)</w:t>
            </w:r>
          </w:p>
        </w:tc>
        <w:tc>
          <w:tcPr>
            <w:tcW w:w="60" w:type="dxa"/>
            <w:tcBorders/>
            <w:vAlign w:val="center"/>
          </w:tcPr>
          <w:p>
            <w:pPr>
              <w:pStyle w:val="TableContents"/>
              <w:bidi w:val="0"/>
              <w:spacing w:before="0" w:after="283"/>
              <w:jc w:val="left"/>
              <w:rPr/>
            </w:pPr>
            <w:r>
              <w:rPr/>
              <w:t> </w:t>
            </w:r>
          </w:p>
        </w:tc>
        <w:tc>
          <w:tcPr>
            <w:tcW w:w="1115" w:type="dxa"/>
            <w:tcBorders>
              <w:bottom w:val="single" w:sz="8" w:space="0" w:color="000000"/>
            </w:tcBorders>
            <w:tcMar>
              <w:bottom w:w="28" w:type="dxa"/>
            </w:tcMar>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(435,114)</w:t>
            </w:r>
          </w:p>
        </w:tc>
      </w:tr>
      <w:tr>
        <w:trPr/>
        <w:tc>
          <w:tcPr>
            <w:tcW w:w="5783" w:type="dxa"/>
            <w:tcBorders/>
            <w:vAlign w:val="center"/>
          </w:tcPr>
          <w:p>
            <w:pPr>
              <w:pStyle w:val="TableContents"/>
              <w:bidi w:val="0"/>
              <w:spacing w:before="0" w:after="283"/>
              <w:jc w:val="both"/>
              <w:rPr>
                <w:b/>
                <w:i w:val="false"/>
                <w:caps w:val="false"/>
                <w:smallCaps w:val="false"/>
                <w:color w:val="000000"/>
              </w:rPr>
            </w:pPr>
            <w:r>
              <w:rPr>
                <w:b/>
                <w:i w:val="false"/>
                <w:caps w:val="false"/>
                <w:smallCaps w:val="false"/>
                <w:color w:val="000000"/>
              </w:rPr>
              <w:t>TotaI other expenses</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(9,334,223)</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6"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(8,317,013)</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5"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(7,740,561)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color w:val="000000"/>
          <w:sz w:val="20"/>
        </w:rPr>
        <w:t>53</w:t>
      </w:r>
      <w:r>
        <w:rPr>
          <w:rFonts w:ascii="Arial" w:hAnsi="Arial"/>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CONSOLIDATED STATEMENT OF INCOME (continued)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26"/>
        <w:gridCol w:w="60"/>
        <w:gridCol w:w="518"/>
        <w:gridCol w:w="60"/>
        <w:gridCol w:w="989"/>
        <w:gridCol w:w="60"/>
        <w:gridCol w:w="1026"/>
        <w:gridCol w:w="60"/>
        <w:gridCol w:w="1006"/>
      </w:tblGrid>
      <w:tr>
        <w:trPr/>
        <w:tc>
          <w:tcPr>
            <w:tcW w:w="64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518" w:type="dxa"/>
            <w:tcBorders/>
            <w:vAlign w:val="center"/>
          </w:tcPr>
          <w:p>
            <w:pPr>
              <w:pStyle w:val="TableContents"/>
              <w:bidi w:val="0"/>
              <w:spacing w:before="0" w:after="283"/>
              <w:jc w:val="center"/>
              <w:rPr>
                <w:b/>
                <w:i w:val="false"/>
                <w:caps w:val="false"/>
                <w:smallCaps w:val="false"/>
                <w:color w:val="000000"/>
              </w:rPr>
            </w:pPr>
            <w:r>
              <w:rPr>
                <w:b/>
                <w:i w:val="false"/>
                <w:caps w:val="false"/>
                <w:smallCaps w:val="false"/>
                <w:color w:val="000000"/>
              </w:rPr>
              <w:t>Note</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89" w:type="dxa"/>
            <w:tcBorders>
              <w:bottom w:val="single" w:sz="8" w:space="0" w:color="000000"/>
            </w:tcBorders>
            <w:tcMar>
              <w:bottom w:w="28" w:type="dxa"/>
            </w:tcMar>
            <w:vAlign w:val="center"/>
          </w:tcPr>
          <w:p>
            <w:pPr>
              <w:pStyle w:val="TableContents"/>
              <w:bidi w:val="0"/>
              <w:spacing w:before="0" w:after="283"/>
              <w:jc w:val="left"/>
              <w:rPr>
                <w:b/>
                <w:i w:val="false"/>
                <w:caps w:val="false"/>
                <w:smallCaps w:val="false"/>
                <w:color w:val="000000"/>
              </w:rPr>
            </w:pPr>
            <w:r>
              <w:rPr>
                <w:b/>
                <w:i w:val="false"/>
                <w:caps w:val="false"/>
                <w:smallCaps w:val="false"/>
                <w:color w:val="000000"/>
              </w:rPr>
              <w:t>2023</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26" w:type="dxa"/>
            <w:tcBorders>
              <w:bottom w:val="single" w:sz="8" w:space="0" w:color="000000"/>
            </w:tcBorders>
            <w:tcMar>
              <w:bottom w:w="28" w:type="dxa"/>
            </w:tcMar>
            <w:vAlign w:val="center"/>
          </w:tcPr>
          <w:p>
            <w:pPr>
              <w:pStyle w:val="TableContents"/>
              <w:bidi w:val="0"/>
              <w:spacing w:before="0" w:after="283"/>
              <w:jc w:val="left"/>
              <w:rPr>
                <w:b/>
                <w:i w:val="false"/>
                <w:caps w:val="false"/>
                <w:smallCaps w:val="false"/>
                <w:color w:val="000000"/>
              </w:rPr>
            </w:pPr>
            <w:r>
              <w:rPr>
                <w:b/>
                <w:i w:val="false"/>
                <w:caps w:val="false"/>
                <w:smallCaps w:val="false"/>
                <w:color w:val="000000"/>
              </w:rPr>
              <w:t>2022</w:t>
              <w:br/>
              <w:t>(Restated)</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06" w:type="dxa"/>
            <w:tcBorders>
              <w:bottom w:val="single" w:sz="8" w:space="0" w:color="000000"/>
            </w:tcBorders>
            <w:tcMar>
              <w:bottom w:w="28" w:type="dxa"/>
            </w:tcMar>
            <w:vAlign w:val="center"/>
          </w:tcPr>
          <w:p>
            <w:pPr>
              <w:pStyle w:val="TableContents"/>
              <w:bidi w:val="0"/>
              <w:spacing w:before="0" w:after="283"/>
              <w:jc w:val="left"/>
              <w:rPr>
                <w:b/>
                <w:i w:val="false"/>
                <w:caps w:val="false"/>
                <w:smallCaps w:val="false"/>
                <w:color w:val="000000"/>
              </w:rPr>
            </w:pPr>
            <w:r>
              <w:rPr>
                <w:b/>
                <w:i w:val="false"/>
                <w:caps w:val="false"/>
                <w:smallCaps w:val="false"/>
                <w:color w:val="000000"/>
              </w:rPr>
              <w:t>2021</w:t>
            </w:r>
          </w:p>
        </w:tc>
      </w:tr>
      <w:tr>
        <w:trPr/>
        <w:tc>
          <w:tcPr>
            <w:tcW w:w="64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89" w:type="dxa"/>
            <w:tcBorders/>
            <w:vAlign w:val="center"/>
          </w:tcPr>
          <w:p>
            <w:pPr>
              <w:pStyle w:val="TableContents"/>
              <w:bidi w:val="0"/>
              <w:spacing w:before="0" w:after="283"/>
              <w:jc w:val="left"/>
              <w:rPr>
                <w:b/>
                <w:i w:val="false"/>
                <w:caps w:val="false"/>
                <w:smallCaps w:val="false"/>
                <w:color w:val="000000"/>
              </w:rPr>
            </w:pPr>
            <w:r>
              <w:rPr>
                <w:b/>
                <w:i w:val="false"/>
                <w:caps w:val="false"/>
                <w:smallCaps w:val="false"/>
                <w:color w:val="000000"/>
              </w:rPr>
              <w:t>S/(000)</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26" w:type="dxa"/>
            <w:tcBorders/>
            <w:vAlign w:val="center"/>
          </w:tcPr>
          <w:p>
            <w:pPr>
              <w:pStyle w:val="TableContents"/>
              <w:bidi w:val="0"/>
              <w:spacing w:before="0" w:after="283"/>
              <w:jc w:val="left"/>
              <w:rPr>
                <w:b/>
                <w:i w:val="false"/>
                <w:caps w:val="false"/>
                <w:smallCaps w:val="false"/>
                <w:color w:val="000000"/>
              </w:rPr>
            </w:pPr>
            <w:r>
              <w:rPr>
                <w:b/>
                <w:i w:val="false"/>
                <w:caps w:val="false"/>
                <w:smallCaps w:val="false"/>
                <w:color w:val="000000"/>
              </w:rPr>
              <w:t>S/(000)</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06" w:type="dxa"/>
            <w:tcBorders/>
            <w:vAlign w:val="center"/>
          </w:tcPr>
          <w:p>
            <w:pPr>
              <w:pStyle w:val="TableContents"/>
              <w:bidi w:val="0"/>
              <w:spacing w:before="0" w:after="283"/>
              <w:jc w:val="left"/>
              <w:rPr>
                <w:b/>
                <w:i w:val="false"/>
                <w:caps w:val="false"/>
                <w:smallCaps w:val="false"/>
                <w:color w:val="000000"/>
              </w:rPr>
            </w:pPr>
            <w:r>
              <w:rPr>
                <w:b/>
                <w:i w:val="false"/>
                <w:caps w:val="false"/>
                <w:smallCaps w:val="false"/>
                <w:color w:val="000000"/>
              </w:rPr>
              <w:t>S/(000)</w:t>
            </w:r>
          </w:p>
        </w:tc>
      </w:tr>
      <w:tr>
        <w:trPr/>
        <w:tc>
          <w:tcPr>
            <w:tcW w:w="6426" w:type="dxa"/>
            <w:tcBorders/>
            <w:vAlign w:val="center"/>
          </w:tcPr>
          <w:p>
            <w:pPr>
              <w:pStyle w:val="TableContents"/>
              <w:bidi w:val="0"/>
              <w:spacing w:before="0" w:after="283"/>
              <w:jc w:val="left"/>
              <w:rPr>
                <w:b/>
                <w:i w:val="false"/>
                <w:caps w:val="false"/>
                <w:smallCaps w:val="false"/>
                <w:color w:val="000000"/>
              </w:rPr>
            </w:pPr>
            <w:r>
              <w:rPr>
                <w:b/>
                <w:i w:val="false"/>
                <w:caps w:val="false"/>
                <w:smallCaps w:val="false"/>
                <w:color w:val="000000"/>
              </w:rPr>
              <w:t>Net result before income tax</w:t>
            </w:r>
          </w:p>
        </w:tc>
        <w:tc>
          <w:tcPr>
            <w:tcW w:w="60" w:type="dxa"/>
            <w:tcBorders/>
            <w:vAlign w:val="center"/>
          </w:tcPr>
          <w:p>
            <w:pPr>
              <w:pStyle w:val="TableContents"/>
              <w:bidi w:val="0"/>
              <w:spacing w:before="0" w:after="283"/>
              <w:jc w:val="left"/>
              <w:rPr/>
            </w:pPr>
            <w:r>
              <w:rPr/>
              <w:t> </w:t>
            </w:r>
          </w:p>
        </w:tc>
        <w:tc>
          <w:tcPr>
            <w:tcW w:w="51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6,848,329</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6,870,611</w:t>
            </w:r>
          </w:p>
        </w:tc>
        <w:tc>
          <w:tcPr>
            <w:tcW w:w="60"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5,332,816</w:t>
            </w:r>
          </w:p>
        </w:tc>
      </w:tr>
      <w:tr>
        <w:trPr/>
        <w:tc>
          <w:tcPr>
            <w:tcW w:w="6426" w:type="dxa"/>
            <w:tcBorders/>
            <w:vAlign w:val="center"/>
          </w:tcPr>
          <w:p>
            <w:pPr>
              <w:pStyle w:val="TableContents"/>
              <w:bidi w:val="0"/>
              <w:spacing w:before="0" w:after="283"/>
              <w:jc w:val="left"/>
              <w:rPr>
                <w:b w:val="false"/>
                <w:i w:val="false"/>
                <w:caps w:val="false"/>
                <w:smallCaps w:val="false"/>
                <w:color w:val="000000"/>
              </w:rPr>
            </w:pPr>
            <w:r>
              <w:rPr>
                <w:b w:val="false"/>
                <w:i w:val="false"/>
                <w:caps w:val="false"/>
                <w:smallCaps w:val="false"/>
                <w:color w:val="000000"/>
              </w:rPr>
              <w:t>Income tax</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518" w:type="dxa"/>
            <w:tcBorders/>
            <w:vAlign w:val="center"/>
          </w:tcPr>
          <w:p>
            <w:pPr>
              <w:pStyle w:val="TableContents"/>
              <w:bidi w:val="0"/>
              <w:spacing w:before="0" w:after="283"/>
              <w:jc w:val="center"/>
              <w:rPr>
                <w:b w:val="false"/>
                <w:i w:val="false"/>
                <w:caps w:val="false"/>
                <w:smallCaps w:val="false"/>
                <w:color w:val="000000"/>
              </w:rPr>
            </w:pPr>
            <w:r>
              <w:rPr>
                <w:b w:val="false"/>
                <w:i w:val="false"/>
                <w:caps w:val="false"/>
                <w:smallCaps w:val="false"/>
                <w:color w:val="000000"/>
              </w:rPr>
              <w:t>17(b)</w:t>
            </w:r>
          </w:p>
        </w:tc>
        <w:tc>
          <w:tcPr>
            <w:tcW w:w="60" w:type="dxa"/>
            <w:tcBorders/>
            <w:vAlign w:val="center"/>
          </w:tcPr>
          <w:p>
            <w:pPr>
              <w:pStyle w:val="TableContents"/>
              <w:bidi w:val="0"/>
              <w:spacing w:before="0" w:after="283"/>
              <w:jc w:val="left"/>
              <w:rPr/>
            </w:pPr>
            <w:r>
              <w:rPr/>
              <w:t> </w:t>
            </w:r>
          </w:p>
        </w:tc>
        <w:tc>
          <w:tcPr>
            <w:tcW w:w="989" w:type="dxa"/>
            <w:tcBorders>
              <w:bottom w:val="single" w:sz="8" w:space="0" w:color="000000"/>
            </w:tcBorders>
            <w:tcMar>
              <w:bottom w:w="28" w:type="dxa"/>
            </w:tcMar>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(1,888,451)</w:t>
            </w:r>
          </w:p>
        </w:tc>
        <w:tc>
          <w:tcPr>
            <w:tcW w:w="60" w:type="dxa"/>
            <w:tcBorders/>
            <w:vAlign w:val="center"/>
          </w:tcPr>
          <w:p>
            <w:pPr>
              <w:pStyle w:val="TableContents"/>
              <w:bidi w:val="0"/>
              <w:spacing w:before="0" w:after="283"/>
              <w:jc w:val="left"/>
              <w:rPr/>
            </w:pPr>
            <w:r>
              <w:rPr/>
              <w:t> </w:t>
            </w:r>
          </w:p>
        </w:tc>
        <w:tc>
          <w:tcPr>
            <w:tcW w:w="1026" w:type="dxa"/>
            <w:tcBorders>
              <w:bottom w:val="single" w:sz="8" w:space="0" w:color="000000"/>
            </w:tcBorders>
            <w:tcMar>
              <w:bottom w:w="28" w:type="dxa"/>
            </w:tcMar>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(2,110,501)</w:t>
            </w:r>
          </w:p>
        </w:tc>
        <w:tc>
          <w:tcPr>
            <w:tcW w:w="60" w:type="dxa"/>
            <w:tcBorders/>
            <w:vAlign w:val="center"/>
          </w:tcPr>
          <w:p>
            <w:pPr>
              <w:pStyle w:val="TableContents"/>
              <w:bidi w:val="0"/>
              <w:spacing w:before="0" w:after="283"/>
              <w:jc w:val="left"/>
              <w:rPr/>
            </w:pPr>
            <w:r>
              <w:rPr/>
              <w:t> </w:t>
            </w:r>
          </w:p>
        </w:tc>
        <w:tc>
          <w:tcPr>
            <w:tcW w:w="1006" w:type="dxa"/>
            <w:tcBorders>
              <w:bottom w:val="single" w:sz="8" w:space="0" w:color="000000"/>
            </w:tcBorders>
            <w:tcMar>
              <w:bottom w:w="28" w:type="dxa"/>
            </w:tcMar>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(1,660,987)</w:t>
            </w:r>
          </w:p>
        </w:tc>
      </w:tr>
      <w:tr>
        <w:trPr/>
        <w:tc>
          <w:tcPr>
            <w:tcW w:w="6426" w:type="dxa"/>
            <w:tcBorders/>
            <w:vAlign w:val="center"/>
          </w:tcPr>
          <w:p>
            <w:pPr>
              <w:pStyle w:val="TableContents"/>
              <w:bidi w:val="0"/>
              <w:spacing w:before="0" w:after="283"/>
              <w:jc w:val="left"/>
              <w:rPr>
                <w:b/>
                <w:i w:val="false"/>
                <w:caps w:val="false"/>
                <w:smallCaps w:val="false"/>
                <w:color w:val="000000"/>
              </w:rPr>
            </w:pPr>
            <w:r>
              <w:rPr>
                <w:b/>
                <w:i w:val="false"/>
                <w:caps w:val="false"/>
                <w:smallCaps w:val="false"/>
                <w:color w:val="000000"/>
              </w:rPr>
              <w:t>Net result after income tax</w:t>
            </w:r>
          </w:p>
        </w:tc>
        <w:tc>
          <w:tcPr>
            <w:tcW w:w="60" w:type="dxa"/>
            <w:tcBorders/>
            <w:vAlign w:val="center"/>
          </w:tcPr>
          <w:p>
            <w:pPr>
              <w:pStyle w:val="TableContents"/>
              <w:bidi w:val="0"/>
              <w:spacing w:before="0" w:after="283"/>
              <w:jc w:val="left"/>
              <w:rPr/>
            </w:pPr>
            <w:r>
              <w:rPr/>
              <w:t> </w:t>
            </w:r>
          </w:p>
        </w:tc>
        <w:tc>
          <w:tcPr>
            <w:tcW w:w="51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89"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4,959,878</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26"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4,760,110</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06"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3,671,829</w:t>
            </w:r>
          </w:p>
        </w:tc>
      </w:tr>
      <w:tr>
        <w:trPr/>
        <w:tc>
          <w:tcPr>
            <w:tcW w:w="642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1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ind w:left="0" w:right="0" w:hanging="0"/>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ind w:left="0" w:right="0" w:hanging="0"/>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ind w:left="0" w:right="0" w:hanging="0"/>
              <w:jc w:val="left"/>
              <w:rPr>
                <w:sz w:val="4"/>
                <w:szCs w:val="4"/>
              </w:rPr>
            </w:pPr>
            <w:r>
              <w:rPr>
                <w:sz w:val="4"/>
                <w:szCs w:val="4"/>
              </w:rPr>
            </w:r>
          </w:p>
        </w:tc>
      </w:tr>
      <w:tr>
        <w:trPr/>
        <w:tc>
          <w:tcPr>
            <w:tcW w:w="6426" w:type="dxa"/>
            <w:tcBorders/>
            <w:vAlign w:val="center"/>
          </w:tcPr>
          <w:p>
            <w:pPr>
              <w:pStyle w:val="TableContents"/>
              <w:bidi w:val="0"/>
              <w:spacing w:before="0" w:after="283"/>
              <w:jc w:val="left"/>
              <w:rPr>
                <w:b/>
                <w:i w:val="false"/>
                <w:caps w:val="false"/>
                <w:smallCaps w:val="false"/>
              </w:rPr>
            </w:pPr>
            <w:r>
              <w:rPr>
                <w:b/>
                <w:i w:val="false"/>
                <w:caps w:val="false"/>
                <w:smallCaps w:val="false"/>
              </w:rPr>
              <w:t>Attributable to:</w:t>
            </w:r>
          </w:p>
        </w:tc>
        <w:tc>
          <w:tcPr>
            <w:tcW w:w="60" w:type="dxa"/>
            <w:tcBorders/>
            <w:vAlign w:val="center"/>
          </w:tcPr>
          <w:p>
            <w:pPr>
              <w:pStyle w:val="TableContents"/>
              <w:bidi w:val="0"/>
              <w:spacing w:before="0" w:after="283"/>
              <w:jc w:val="left"/>
              <w:rPr/>
            </w:pPr>
            <w:r>
              <w:rPr/>
              <w:t> </w:t>
            </w:r>
          </w:p>
        </w:tc>
        <w:tc>
          <w:tcPr>
            <w:tcW w:w="51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right"/>
              <w:rPr/>
            </w:pPr>
            <w:r>
              <w:rPr/>
              <w:t> </w:t>
            </w:r>
          </w:p>
        </w:tc>
      </w:tr>
      <w:tr>
        <w:trPr/>
        <w:tc>
          <w:tcPr>
            <w:tcW w:w="6426"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Credicorp's equity holders</w:t>
            </w:r>
          </w:p>
        </w:tc>
        <w:tc>
          <w:tcPr>
            <w:tcW w:w="60" w:type="dxa"/>
            <w:tcBorders/>
            <w:vAlign w:val="center"/>
          </w:tcPr>
          <w:p>
            <w:pPr>
              <w:pStyle w:val="TableContents"/>
              <w:bidi w:val="0"/>
              <w:spacing w:before="0" w:after="283"/>
              <w:jc w:val="left"/>
              <w:rPr/>
            </w:pPr>
            <w:r>
              <w:rPr/>
              <w:t> </w:t>
            </w:r>
          </w:p>
        </w:tc>
        <w:tc>
          <w:tcPr>
            <w:tcW w:w="51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right"/>
              <w:rPr>
                <w:rFonts w:ascii="Arial" w:hAnsi="Arial"/>
                <w:b w:val="false"/>
                <w:i w:val="false"/>
                <w:caps w:val="false"/>
                <w:smallCaps w:val="false"/>
                <w:sz w:val="20"/>
              </w:rPr>
            </w:pPr>
            <w:r>
              <w:rPr>
                <w:rFonts w:ascii="Arial" w:hAnsi="Arial"/>
                <w:b w:val="false"/>
                <w:i w:val="false"/>
                <w:caps w:val="false"/>
                <w:smallCaps w:val="false"/>
                <w:sz w:val="20"/>
              </w:rPr>
              <w:t>4,865,540</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right"/>
              <w:rPr>
                <w:rFonts w:ascii="Arial" w:hAnsi="Arial"/>
                <w:b w:val="false"/>
                <w:i w:val="false"/>
                <w:caps w:val="false"/>
                <w:smallCaps w:val="false"/>
                <w:sz w:val="20"/>
              </w:rPr>
            </w:pPr>
            <w:r>
              <w:rPr>
                <w:rFonts w:ascii="Arial" w:hAnsi="Arial"/>
                <w:b w:val="false"/>
                <w:i w:val="false"/>
                <w:caps w:val="false"/>
                <w:smallCaps w:val="false"/>
                <w:sz w:val="20"/>
              </w:rPr>
              <w:t>4,647,018</w:t>
            </w:r>
          </w:p>
        </w:tc>
        <w:tc>
          <w:tcPr>
            <w:tcW w:w="60"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right"/>
              <w:rPr>
                <w:rFonts w:ascii="Arial" w:hAnsi="Arial"/>
                <w:b w:val="false"/>
                <w:i w:val="false"/>
                <w:caps w:val="false"/>
                <w:smallCaps w:val="false"/>
                <w:sz w:val="20"/>
              </w:rPr>
            </w:pPr>
            <w:r>
              <w:rPr>
                <w:rFonts w:ascii="Arial" w:hAnsi="Arial"/>
                <w:b w:val="false"/>
                <w:i w:val="false"/>
                <w:caps w:val="false"/>
                <w:smallCaps w:val="false"/>
                <w:sz w:val="20"/>
              </w:rPr>
              <w:t>3,584,582</w:t>
            </w:r>
          </w:p>
        </w:tc>
      </w:tr>
      <w:tr>
        <w:trPr/>
        <w:tc>
          <w:tcPr>
            <w:tcW w:w="6426"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Non-controlling interest</w:t>
            </w:r>
          </w:p>
        </w:tc>
        <w:tc>
          <w:tcPr>
            <w:tcW w:w="60" w:type="dxa"/>
            <w:tcBorders/>
            <w:vAlign w:val="center"/>
          </w:tcPr>
          <w:p>
            <w:pPr>
              <w:pStyle w:val="TableContents"/>
              <w:bidi w:val="0"/>
              <w:spacing w:before="0" w:after="283"/>
              <w:jc w:val="left"/>
              <w:rPr/>
            </w:pPr>
            <w:r>
              <w:rPr/>
              <w:t> </w:t>
            </w:r>
          </w:p>
        </w:tc>
        <w:tc>
          <w:tcPr>
            <w:tcW w:w="51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9" w:type="dxa"/>
            <w:tcBorders>
              <w:bottom w:val="single" w:sz="8" w:space="0" w:color="000000"/>
            </w:tcBorders>
            <w:tcMar>
              <w:bottom w:w="28" w:type="dxa"/>
            </w:tcMar>
            <w:vAlign w:val="center"/>
          </w:tcPr>
          <w:p>
            <w:pPr>
              <w:pStyle w:val="TableContents"/>
              <w:bidi w:val="0"/>
              <w:spacing w:before="0" w:after="283"/>
              <w:jc w:val="right"/>
              <w:rPr/>
            </w:pPr>
            <w:r>
              <w:rPr/>
              <w:t>94,338</w:t>
            </w:r>
          </w:p>
        </w:tc>
        <w:tc>
          <w:tcPr>
            <w:tcW w:w="60" w:type="dxa"/>
            <w:tcBorders/>
            <w:vAlign w:val="center"/>
          </w:tcPr>
          <w:p>
            <w:pPr>
              <w:pStyle w:val="TableContents"/>
              <w:bidi w:val="0"/>
              <w:spacing w:before="0" w:after="283"/>
              <w:jc w:val="left"/>
              <w:rPr/>
            </w:pPr>
            <w:r>
              <w:rPr/>
              <w:t> </w:t>
            </w:r>
          </w:p>
        </w:tc>
        <w:tc>
          <w:tcPr>
            <w:tcW w:w="1026" w:type="dxa"/>
            <w:tcBorders>
              <w:bottom w:val="single" w:sz="8" w:space="0" w:color="000000"/>
            </w:tcBorders>
            <w:tcMar>
              <w:bottom w:w="28" w:type="dxa"/>
            </w:tcMar>
            <w:vAlign w:val="center"/>
          </w:tcPr>
          <w:p>
            <w:pPr>
              <w:pStyle w:val="TableContents"/>
              <w:bidi w:val="0"/>
              <w:spacing w:before="0" w:after="283"/>
              <w:jc w:val="right"/>
              <w:rPr/>
            </w:pPr>
            <w:r>
              <w:rPr/>
              <w:t>112,292</w:t>
            </w:r>
          </w:p>
        </w:tc>
        <w:tc>
          <w:tcPr>
            <w:tcW w:w="60" w:type="dxa"/>
            <w:tcBorders/>
            <w:vAlign w:val="center"/>
          </w:tcPr>
          <w:p>
            <w:pPr>
              <w:pStyle w:val="TableContents"/>
              <w:bidi w:val="0"/>
              <w:spacing w:before="0" w:after="283"/>
              <w:jc w:val="left"/>
              <w:rPr/>
            </w:pPr>
            <w:r>
              <w:rPr/>
              <w:t> </w:t>
            </w:r>
          </w:p>
        </w:tc>
        <w:tc>
          <w:tcPr>
            <w:tcW w:w="1006" w:type="dxa"/>
            <w:tcBorders>
              <w:bottom w:val="single" w:sz="8" w:space="0" w:color="000000"/>
            </w:tcBorders>
            <w:tcMar>
              <w:bottom w:w="28" w:type="dxa"/>
            </w:tcMar>
            <w:vAlign w:val="center"/>
          </w:tcPr>
          <w:p>
            <w:pPr>
              <w:pStyle w:val="TableContents"/>
              <w:bidi w:val="0"/>
              <w:spacing w:before="0" w:after="283"/>
              <w:jc w:val="right"/>
              <w:rPr/>
            </w:pPr>
            <w:r>
              <w:rPr/>
              <w:t>87,247</w:t>
            </w:r>
          </w:p>
        </w:tc>
      </w:tr>
      <w:tr>
        <w:trPr/>
        <w:tc>
          <w:tcPr>
            <w:tcW w:w="64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1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9" w:type="dxa"/>
            <w:tcBorders>
              <w:bottom w:val="single" w:sz="8" w:space="0" w:color="000000"/>
            </w:tcBorders>
            <w:tcMar>
              <w:bottom w:w="28" w:type="dxa"/>
            </w:tcMar>
            <w:vAlign w:val="center"/>
          </w:tcPr>
          <w:p>
            <w:pPr>
              <w:pStyle w:val="TableContents"/>
              <w:bidi w:val="0"/>
              <w:spacing w:before="0" w:after="283"/>
              <w:jc w:val="right"/>
              <w:rPr/>
            </w:pPr>
            <w:r>
              <w:rPr/>
              <w:t>4,959,878</w:t>
            </w:r>
          </w:p>
        </w:tc>
        <w:tc>
          <w:tcPr>
            <w:tcW w:w="60" w:type="dxa"/>
            <w:tcBorders/>
            <w:vAlign w:val="center"/>
          </w:tcPr>
          <w:p>
            <w:pPr>
              <w:pStyle w:val="TableContents"/>
              <w:bidi w:val="0"/>
              <w:spacing w:before="0" w:after="283"/>
              <w:jc w:val="left"/>
              <w:rPr/>
            </w:pPr>
            <w:r>
              <w:rPr/>
              <w:t> </w:t>
            </w:r>
          </w:p>
        </w:tc>
        <w:tc>
          <w:tcPr>
            <w:tcW w:w="1026" w:type="dxa"/>
            <w:tcBorders>
              <w:bottom w:val="single" w:sz="8" w:space="0" w:color="000000"/>
            </w:tcBorders>
            <w:tcMar>
              <w:bottom w:w="28" w:type="dxa"/>
            </w:tcMar>
            <w:vAlign w:val="center"/>
          </w:tcPr>
          <w:p>
            <w:pPr>
              <w:pStyle w:val="TableContents"/>
              <w:bidi w:val="0"/>
              <w:spacing w:before="0" w:after="283"/>
              <w:jc w:val="right"/>
              <w:rPr/>
            </w:pPr>
            <w:r>
              <w:rPr/>
              <w:t>4,760,110</w:t>
            </w:r>
          </w:p>
        </w:tc>
        <w:tc>
          <w:tcPr>
            <w:tcW w:w="60" w:type="dxa"/>
            <w:tcBorders/>
            <w:vAlign w:val="center"/>
          </w:tcPr>
          <w:p>
            <w:pPr>
              <w:pStyle w:val="TableContents"/>
              <w:bidi w:val="0"/>
              <w:spacing w:before="0" w:after="283"/>
              <w:jc w:val="left"/>
              <w:rPr/>
            </w:pPr>
            <w:r>
              <w:rPr/>
              <w:t> </w:t>
            </w:r>
          </w:p>
        </w:tc>
        <w:tc>
          <w:tcPr>
            <w:tcW w:w="1006" w:type="dxa"/>
            <w:tcBorders>
              <w:bottom w:val="single" w:sz="8" w:space="0" w:color="000000"/>
            </w:tcBorders>
            <w:tcMar>
              <w:bottom w:w="28" w:type="dxa"/>
            </w:tcMar>
            <w:vAlign w:val="center"/>
          </w:tcPr>
          <w:p>
            <w:pPr>
              <w:pStyle w:val="TableContents"/>
              <w:bidi w:val="0"/>
              <w:spacing w:before="0" w:after="283"/>
              <w:ind w:left="0" w:right="0" w:hanging="180"/>
              <w:jc w:val="right"/>
              <w:rPr/>
            </w:pPr>
            <w:r>
              <w:rPr/>
              <w:t>3,671,829</w:t>
            </w:r>
          </w:p>
        </w:tc>
      </w:tr>
      <w:tr>
        <w:trPr/>
        <w:tc>
          <w:tcPr>
            <w:tcW w:w="6426" w:type="dxa"/>
            <w:tcBorders/>
            <w:vAlign w:val="center"/>
          </w:tcPr>
          <w:p>
            <w:pPr>
              <w:pStyle w:val="TableContents"/>
              <w:bidi w:val="0"/>
              <w:spacing w:before="0" w:after="283"/>
              <w:jc w:val="left"/>
              <w:rPr>
                <w:b/>
                <w:i w:val="false"/>
                <w:caps w:val="false"/>
                <w:smallCaps w:val="false"/>
              </w:rPr>
            </w:pPr>
            <w:r>
              <w:rPr>
                <w:b/>
                <w:i w:val="false"/>
                <w:caps w:val="false"/>
                <w:smallCaps w:val="false"/>
              </w:rPr>
              <w:t>Net basic and dilutive earnings per share attributable to Credicorp's equity holders (in soles):</w:t>
            </w:r>
          </w:p>
        </w:tc>
        <w:tc>
          <w:tcPr>
            <w:tcW w:w="60" w:type="dxa"/>
            <w:tcBorders/>
            <w:vAlign w:val="center"/>
          </w:tcPr>
          <w:p>
            <w:pPr>
              <w:pStyle w:val="TableContents"/>
              <w:bidi w:val="0"/>
              <w:spacing w:before="0" w:after="283"/>
              <w:jc w:val="left"/>
              <w:rPr/>
            </w:pPr>
            <w:r>
              <w:rPr/>
              <w:t> </w:t>
            </w:r>
          </w:p>
        </w:tc>
        <w:tc>
          <w:tcPr>
            <w:tcW w:w="51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left"/>
              <w:rPr/>
            </w:pPr>
            <w:r>
              <w:rPr/>
              <w:t> </w:t>
            </w:r>
          </w:p>
        </w:tc>
      </w:tr>
      <w:tr>
        <w:trPr/>
        <w:tc>
          <w:tcPr>
            <w:tcW w:w="6426"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Basic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8" w:type="dxa"/>
            <w:tcBorders/>
            <w:vAlign w:val="center"/>
          </w:tcPr>
          <w:p>
            <w:pPr>
              <w:pStyle w:val="TableContents"/>
              <w:bidi w:val="0"/>
              <w:spacing w:before="0" w:after="283"/>
              <w:jc w:val="center"/>
              <w:rPr>
                <w:b w:val="false"/>
                <w:i w:val="false"/>
                <w:caps w:val="false"/>
                <w:smallCaps w:val="false"/>
              </w:rPr>
            </w:pPr>
            <w:r>
              <w:rPr>
                <w:b w:val="false"/>
                <w:i w:val="false"/>
                <w:caps w:val="false"/>
                <w:smallCaps w:val="false"/>
              </w:rPr>
              <w:t>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9"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61.22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6"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58.44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6"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45.09</w:t>
            </w:r>
          </w:p>
        </w:tc>
      </w:tr>
      <w:tr>
        <w:trPr/>
        <w:tc>
          <w:tcPr>
            <w:tcW w:w="6426"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Diluted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8" w:type="dxa"/>
            <w:tcBorders/>
            <w:vAlign w:val="center"/>
          </w:tcPr>
          <w:p>
            <w:pPr>
              <w:pStyle w:val="TableContents"/>
              <w:bidi w:val="0"/>
              <w:spacing w:before="0" w:after="283"/>
              <w:jc w:val="center"/>
              <w:rPr>
                <w:b w:val="false"/>
                <w:i w:val="false"/>
                <w:caps w:val="false"/>
                <w:smallCaps w:val="false"/>
              </w:rPr>
            </w:pPr>
            <w:r>
              <w:rPr>
                <w:b w:val="false"/>
                <w:i w:val="false"/>
                <w:caps w:val="false"/>
                <w:smallCaps w:val="false"/>
              </w:rPr>
              <w:t>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9"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61.08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6"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58.32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6"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44.99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 xml:space="preserve">The </w:t>
      </w:r>
      <w:r>
        <w:rPr>
          <w:rFonts w:ascii="Arial" w:hAnsi="Arial"/>
          <w:b w:val="false"/>
          <w:i w:val="false"/>
          <w:caps w:val="false"/>
          <w:smallCaps w:val="false"/>
          <w:color w:val="000000"/>
          <w:sz w:val="20"/>
        </w:rPr>
        <w:t xml:space="preserve">accompanying notes are </w:t>
      </w:r>
      <w:r>
        <w:rPr>
          <w:rFonts w:ascii="Arial" w:hAnsi="Arial"/>
          <w:b w:val="false"/>
          <w:i w:val="false"/>
          <w:caps w:val="false"/>
          <w:smallCaps w:val="false"/>
          <w:sz w:val="20"/>
        </w:rPr>
        <w:t xml:space="preserve">an </w:t>
      </w:r>
      <w:r>
        <w:rPr>
          <w:rFonts w:ascii="Arial" w:hAnsi="Arial"/>
          <w:b w:val="false"/>
          <w:i w:val="false"/>
          <w:caps w:val="false"/>
          <w:smallCaps w:val="false"/>
          <w:color w:val="000000"/>
          <w:sz w:val="20"/>
        </w:rPr>
        <w:t>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color w:val="000000"/>
          <w:sz w:val="20"/>
        </w:rPr>
        <w:t>54</w:t>
      </w:r>
      <w:r>
        <w:rPr>
          <w:rFonts w:ascii="Arial" w:hAnsi="Arial"/>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 xml:space="preserve">CREDICORP </w:t>
      </w:r>
      <w:r>
        <w:rPr>
          <w:rFonts w:ascii="Arial" w:hAnsi="Arial"/>
          <w:b/>
          <w:i w:val="false"/>
          <w:caps w:val="false"/>
          <w:smallCaps w:val="false"/>
          <w:color w:val="000000"/>
          <w:sz w:val="20"/>
        </w:rPr>
        <w:t>LTD.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CONSOLIDATED STATEMENT OF COMPREHENSIVE INCOME</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FOR THE YEARS ENDED DECEMBER 31, 2023, 2022 (RESTATED) AND 2021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295"/>
        <w:gridCol w:w="60"/>
        <w:gridCol w:w="464"/>
        <w:gridCol w:w="60"/>
        <w:gridCol w:w="980"/>
        <w:gridCol w:w="60"/>
        <w:gridCol w:w="1104"/>
        <w:gridCol w:w="60"/>
        <w:gridCol w:w="1122"/>
      </w:tblGrid>
      <w:tr>
        <w:trPr/>
        <w:tc>
          <w:tcPr>
            <w:tcW w:w="6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left"/>
              <w:rPr>
                <w:b/>
                <w:i w:val="false"/>
                <w:caps w:val="false"/>
                <w:smallCaps w:val="false"/>
              </w:rPr>
            </w:pPr>
            <w:r>
              <w:rPr>
                <w:b/>
                <w:i w:val="false"/>
                <w:caps w:val="false"/>
                <w:smallCaps w:val="false"/>
              </w:rPr>
              <w:t>2023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4" w:type="dxa"/>
            <w:tcBorders>
              <w:bottom w:val="single" w:sz="8" w:space="0" w:color="000000"/>
            </w:tcBorders>
            <w:tcMar>
              <w:bottom w:w="28" w:type="dxa"/>
            </w:tcMar>
            <w:vAlign w:val="center"/>
          </w:tcPr>
          <w:p>
            <w:pPr>
              <w:pStyle w:val="TableContents"/>
              <w:bidi w:val="0"/>
              <w:spacing w:before="0" w:after="283"/>
              <w:jc w:val="left"/>
              <w:rPr>
                <w:b/>
                <w:i w:val="false"/>
                <w:caps w:val="false"/>
                <w:smallCaps w:val="false"/>
              </w:rPr>
            </w:pPr>
            <w:r>
              <w:rPr>
                <w:b/>
                <w:i w:val="false"/>
                <w:caps w:val="false"/>
                <w:smallCaps w:val="false"/>
              </w:rPr>
              <w:t>2022</w:t>
              <w:br/>
              <w:t>(Restated)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2" w:type="dxa"/>
            <w:tcBorders>
              <w:bottom w:val="single" w:sz="8" w:space="0" w:color="000000"/>
            </w:tcBorders>
            <w:tcMar>
              <w:bottom w:w="28" w:type="dxa"/>
            </w:tcMar>
            <w:vAlign w:val="center"/>
          </w:tcPr>
          <w:p>
            <w:pPr>
              <w:pStyle w:val="TableContents"/>
              <w:bidi w:val="0"/>
              <w:spacing w:before="0" w:after="283"/>
              <w:jc w:val="left"/>
              <w:rPr>
                <w:b/>
                <w:i w:val="false"/>
                <w:caps w:val="false"/>
                <w:smallCaps w:val="false"/>
              </w:rPr>
            </w:pPr>
            <w:r>
              <w:rPr>
                <w:b/>
                <w:i w:val="false"/>
                <w:caps w:val="false"/>
                <w:smallCaps w:val="false"/>
              </w:rPr>
              <w:t>2021</w:t>
            </w:r>
          </w:p>
        </w:tc>
      </w:tr>
      <w:tr>
        <w:trPr/>
        <w:tc>
          <w:tcPr>
            <w:tcW w:w="6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left"/>
              <w:rPr>
                <w:b/>
                <w:i w:val="false"/>
                <w:caps w:val="false"/>
                <w:smallCaps w:val="false"/>
              </w:rPr>
            </w:pPr>
            <w:r>
              <w:rPr>
                <w:b/>
                <w:i w:val="false"/>
                <w:caps w:val="false"/>
                <w:smallCaps w:val="false"/>
              </w:rPr>
              <w:t>S/(000)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4" w:type="dxa"/>
            <w:tcBorders/>
            <w:vAlign w:val="center"/>
          </w:tcPr>
          <w:p>
            <w:pPr>
              <w:pStyle w:val="TableContents"/>
              <w:bidi w:val="0"/>
              <w:spacing w:before="0" w:after="283"/>
              <w:jc w:val="left"/>
              <w:rPr>
                <w:b/>
                <w:i w:val="false"/>
                <w:caps w:val="false"/>
                <w:smallCaps w:val="false"/>
              </w:rPr>
            </w:pPr>
            <w:r>
              <w:rPr>
                <w:b/>
                <w:i w:val="false"/>
                <w:caps w:val="false"/>
                <w:smallCaps w:val="false"/>
              </w:rPr>
              <w:t>S/(000)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2" w:type="dxa"/>
            <w:tcBorders/>
            <w:vAlign w:val="center"/>
          </w:tcPr>
          <w:p>
            <w:pPr>
              <w:pStyle w:val="TableContents"/>
              <w:bidi w:val="0"/>
              <w:spacing w:before="0" w:after="283"/>
              <w:jc w:val="left"/>
              <w:rPr>
                <w:b/>
                <w:i w:val="false"/>
                <w:caps w:val="false"/>
                <w:smallCaps w:val="false"/>
              </w:rPr>
            </w:pPr>
            <w:r>
              <w:rPr>
                <w:b/>
                <w:i w:val="false"/>
                <w:caps w:val="false"/>
                <w:smallCaps w:val="false"/>
              </w:rPr>
              <w:t>S/(000)</w:t>
            </w:r>
          </w:p>
        </w:tc>
      </w:tr>
      <w:tr>
        <w:trPr/>
        <w:tc>
          <w:tcPr>
            <w:tcW w:w="6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95" w:type="dxa"/>
            <w:tcBorders/>
            <w:vAlign w:val="center"/>
          </w:tcPr>
          <w:p>
            <w:pPr>
              <w:pStyle w:val="TableContents"/>
              <w:bidi w:val="0"/>
              <w:spacing w:before="0" w:after="283"/>
              <w:jc w:val="left"/>
              <w:rPr>
                <w:b/>
                <w:i w:val="false"/>
                <w:caps w:val="false"/>
                <w:smallCaps w:val="false"/>
              </w:rPr>
            </w:pPr>
            <w:r>
              <w:rPr>
                <w:b/>
                <w:i w:val="false"/>
                <w:caps w:val="false"/>
                <w:smallCaps w:val="false"/>
              </w:rPr>
              <w:t>Net profit for the year</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4,959,878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4"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4,760,110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2"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3,671,829</w:t>
            </w:r>
          </w:p>
        </w:tc>
      </w:tr>
      <w:tr>
        <w:trPr/>
        <w:tc>
          <w:tcPr>
            <w:tcW w:w="6295" w:type="dxa"/>
            <w:tcBorders/>
            <w:vAlign w:val="center"/>
          </w:tcPr>
          <w:p>
            <w:pPr>
              <w:pStyle w:val="TableContents"/>
              <w:bidi w:val="0"/>
              <w:spacing w:before="0" w:after="283"/>
              <w:jc w:val="left"/>
              <w:rPr>
                <w:b/>
                <w:i w:val="false"/>
                <w:caps w:val="false"/>
                <w:smallCaps w:val="false"/>
              </w:rPr>
            </w:pPr>
            <w:r>
              <w:rPr>
                <w:b/>
                <w:i w:val="false"/>
                <w:caps w:val="false"/>
                <w:smallCaps w:val="false"/>
              </w:rPr>
              <w:t>Other comprehensive income:</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 </w:t>
            </w:r>
          </w:p>
        </w:tc>
      </w:tr>
      <w:tr>
        <w:trPr/>
        <w:tc>
          <w:tcPr>
            <w:tcW w:w="6295" w:type="dxa"/>
            <w:tcBorders/>
            <w:vAlign w:val="center"/>
          </w:tcPr>
          <w:p>
            <w:pPr>
              <w:pStyle w:val="TableContents"/>
              <w:bidi w:val="0"/>
              <w:spacing w:before="0" w:after="283"/>
              <w:jc w:val="both"/>
              <w:rPr>
                <w:b/>
                <w:i w:val="false"/>
                <w:caps w:val="false"/>
                <w:smallCaps w:val="false"/>
              </w:rPr>
            </w:pPr>
            <w:r>
              <w:rPr>
                <w:b/>
                <w:i w:val="false"/>
                <w:caps w:val="false"/>
                <w:smallCaps w:val="false"/>
              </w:rPr>
              <w:t>To be reclassified to profit or loss in subsequent periods:</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left"/>
              <w:rPr/>
            </w:pPr>
            <w:r>
              <w:rPr/>
              <w:t> </w:t>
            </w:r>
          </w:p>
        </w:tc>
      </w:tr>
      <w:tr>
        <w:trPr/>
        <w:tc>
          <w:tcPr>
            <w:tcW w:w="6295"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Net Gain (loss) on investments at fair value through other comprehensive income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4" w:type="dxa"/>
            <w:tcBorders/>
            <w:vAlign w:val="center"/>
          </w:tcPr>
          <w:p>
            <w:pPr>
              <w:pStyle w:val="TableContents"/>
              <w:bidi w:val="0"/>
              <w:spacing w:before="0" w:after="283"/>
              <w:jc w:val="center"/>
              <w:rPr>
                <w:b w:val="false"/>
                <w:i w:val="false"/>
                <w:caps w:val="false"/>
                <w:smallCaps w:val="false"/>
              </w:rPr>
            </w:pPr>
            <w:r>
              <w:rPr>
                <w:b w:val="false"/>
                <w:i w:val="false"/>
                <w:caps w:val="false"/>
                <w:smallCaps w:val="false"/>
              </w:rPr>
              <w:t>16(d)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1,334,943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4"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(1,614,053)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2"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(2,491,907)</w:t>
            </w:r>
          </w:p>
        </w:tc>
      </w:tr>
      <w:tr>
        <w:trPr/>
        <w:tc>
          <w:tcPr>
            <w:tcW w:w="6295"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Income tax</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4" w:type="dxa"/>
            <w:tcBorders/>
            <w:vAlign w:val="center"/>
          </w:tcPr>
          <w:p>
            <w:pPr>
              <w:pStyle w:val="TableContents"/>
              <w:bidi w:val="0"/>
              <w:spacing w:before="0" w:after="283"/>
              <w:jc w:val="center"/>
              <w:rPr>
                <w:b w:val="false"/>
                <w:i w:val="false"/>
                <w:caps w:val="false"/>
                <w:smallCaps w:val="false"/>
              </w:rPr>
            </w:pPr>
            <w:r>
              <w:rPr>
                <w:b w:val="false"/>
                <w:i w:val="false"/>
                <w:caps w:val="false"/>
                <w:smallCaps w:val="false"/>
              </w:rPr>
              <w:t>16(d)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(58,489)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4"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82,459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2"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52,086</w:t>
            </w:r>
          </w:p>
        </w:tc>
      </w:tr>
      <w:tr>
        <w:trPr/>
        <w:tc>
          <w:tcPr>
            <w:tcW w:w="6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1,276,454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4"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(1,531,594)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2"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(2,439,821)</w:t>
            </w:r>
          </w:p>
        </w:tc>
      </w:tr>
      <w:tr>
        <w:trPr/>
        <w:tc>
          <w:tcPr>
            <w:tcW w:w="6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4"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2"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6295" w:type="dxa"/>
            <w:tcBorders/>
            <w:vAlign w:val="center"/>
          </w:tcPr>
          <w:p>
            <w:pPr>
              <w:pStyle w:val="TableContents"/>
              <w:pBdr/>
              <w:bidi w:val="0"/>
              <w:spacing w:before="0" w:after="283"/>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 xml:space="preserve">Net movement of cash flow hedge reserves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4" w:type="dxa"/>
            <w:tcBorders/>
            <w:vAlign w:val="center"/>
          </w:tcPr>
          <w:p>
            <w:pPr>
              <w:pStyle w:val="TableContents"/>
              <w:bidi w:val="0"/>
              <w:spacing w:before="0" w:after="283"/>
              <w:jc w:val="center"/>
              <w:rPr>
                <w:b w:val="false"/>
                <w:i w:val="false"/>
                <w:caps w:val="false"/>
                <w:smallCaps w:val="false"/>
              </w:rPr>
            </w:pPr>
            <w:r>
              <w:rPr>
                <w:b w:val="false"/>
                <w:i w:val="false"/>
                <w:caps w:val="false"/>
                <w:smallCaps w:val="false"/>
              </w:rPr>
              <w:t>16(d)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(17,443)</w:t>
            </w:r>
          </w:p>
        </w:tc>
        <w:tc>
          <w:tcPr>
            <w:tcW w:w="60"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1,246</w:t>
            </w:r>
          </w:p>
        </w:tc>
        <w:tc>
          <w:tcPr>
            <w:tcW w:w="60"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58,586</w:t>
            </w:r>
          </w:p>
        </w:tc>
      </w:tr>
      <w:tr>
        <w:trPr/>
        <w:tc>
          <w:tcPr>
            <w:tcW w:w="6295" w:type="dxa"/>
            <w:tcBorders/>
            <w:vAlign w:val="center"/>
          </w:tcPr>
          <w:p>
            <w:pPr>
              <w:pStyle w:val="TableContents"/>
              <w:bidi w:val="0"/>
              <w:spacing w:before="0" w:after="283"/>
              <w:jc w:val="left"/>
              <w:rPr>
                <w:b w:val="false"/>
                <w:i w:val="false"/>
                <w:caps w:val="false"/>
                <w:smallCaps w:val="false"/>
                <w:color w:val="000000"/>
              </w:rPr>
            </w:pPr>
            <w:r>
              <w:rPr>
                <w:b w:val="false"/>
                <w:i w:val="false"/>
                <w:caps w:val="false"/>
                <w:smallCaps w:val="false"/>
                <w:color w:val="000000"/>
              </w:rPr>
              <w:t>Income tax</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64" w:type="dxa"/>
            <w:tcBorders/>
            <w:vAlign w:val="center"/>
          </w:tcPr>
          <w:p>
            <w:pPr>
              <w:pStyle w:val="TableContents"/>
              <w:bidi w:val="0"/>
              <w:spacing w:before="0" w:after="283"/>
              <w:jc w:val="center"/>
              <w:rPr>
                <w:b w:val="false"/>
                <w:i w:val="false"/>
                <w:caps w:val="false"/>
                <w:smallCaps w:val="false"/>
                <w:color w:val="000000"/>
              </w:rPr>
            </w:pPr>
            <w:r>
              <w:rPr>
                <w:b w:val="false"/>
                <w:i w:val="false"/>
                <w:caps w:val="false"/>
                <w:smallCaps w:val="false"/>
                <w:color w:val="000000"/>
              </w:rPr>
              <w:t>16(d)</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5,104</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04"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(158)</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22"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(16,834)</w:t>
            </w:r>
          </w:p>
        </w:tc>
      </w:tr>
      <w:tr>
        <w:trPr/>
        <w:tc>
          <w:tcPr>
            <w:tcW w:w="62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80"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(12,339)</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04"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1,080</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22"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41,752</w:t>
            </w:r>
          </w:p>
        </w:tc>
      </w:tr>
      <w:tr>
        <w:trPr/>
        <w:tc>
          <w:tcPr>
            <w:tcW w:w="62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80" w:type="dxa"/>
            <w:tcBorders/>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04" w:type="dxa"/>
            <w:tcBorders/>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22" w:type="dxa"/>
            <w:tcBorders/>
            <w:vAlign w:val="center"/>
          </w:tcPr>
          <w:p>
            <w:pPr>
              <w:pStyle w:val="TableContents"/>
              <w:bidi w:val="0"/>
              <w:spacing w:before="0" w:after="283"/>
              <w:jc w:val="right"/>
              <w:rPr>
                <w:caps w:val="false"/>
                <w:smallCaps w:val="false"/>
                <w:color w:val="000000"/>
              </w:rPr>
            </w:pPr>
            <w:r>
              <w:rPr>
                <w:caps w:val="false"/>
                <w:smallCaps w:val="false"/>
                <w:color w:val="000000"/>
              </w:rPr>
              <w:t> </w:t>
            </w:r>
          </w:p>
        </w:tc>
      </w:tr>
      <w:tr>
        <w:trPr/>
        <w:tc>
          <w:tcPr>
            <w:tcW w:w="6295" w:type="dxa"/>
            <w:tcBorders/>
            <w:vAlign w:val="center"/>
          </w:tcPr>
          <w:p>
            <w:pPr>
              <w:pStyle w:val="TableContents"/>
              <w:bidi w:val="0"/>
              <w:spacing w:before="0" w:after="283"/>
              <w:jc w:val="left"/>
              <w:rPr>
                <w:b w:val="false"/>
                <w:i w:val="false"/>
                <w:caps w:val="false"/>
                <w:smallCaps w:val="false"/>
                <w:color w:val="000000"/>
              </w:rPr>
            </w:pPr>
            <w:r>
              <w:rPr>
                <w:b w:val="false"/>
                <w:i w:val="false"/>
                <w:caps w:val="false"/>
                <w:smallCaps w:val="false"/>
                <w:color w:val="000000"/>
              </w:rPr>
              <w:t>Other reserves</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64" w:type="dxa"/>
            <w:tcBorders/>
            <w:vAlign w:val="center"/>
          </w:tcPr>
          <w:p>
            <w:pPr>
              <w:pStyle w:val="TableContents"/>
              <w:bidi w:val="0"/>
              <w:spacing w:before="0" w:after="283"/>
              <w:jc w:val="center"/>
              <w:rPr>
                <w:b w:val="false"/>
                <w:i w:val="false"/>
                <w:caps w:val="false"/>
                <w:smallCaps w:val="false"/>
                <w:color w:val="000000"/>
              </w:rPr>
            </w:pPr>
            <w:r>
              <w:rPr>
                <w:b w:val="false"/>
                <w:i w:val="false"/>
                <w:caps w:val="false"/>
                <w:smallCaps w:val="false"/>
                <w:color w:val="000000"/>
              </w:rPr>
              <w:t>16(d)</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80"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(762,811)</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04"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1,144,140</w:t>
            </w:r>
          </w:p>
        </w:tc>
        <w:tc>
          <w:tcPr>
            <w:tcW w:w="60"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769,291</w:t>
            </w:r>
          </w:p>
        </w:tc>
      </w:tr>
      <w:tr>
        <w:trPr/>
        <w:tc>
          <w:tcPr>
            <w:tcW w:w="6295" w:type="dxa"/>
            <w:tcBorders/>
            <w:vAlign w:val="center"/>
          </w:tcPr>
          <w:p>
            <w:pPr>
              <w:pStyle w:val="TableContents"/>
              <w:bidi w:val="0"/>
              <w:spacing w:before="0" w:after="283"/>
              <w:jc w:val="left"/>
              <w:rPr>
                <w:b w:val="false"/>
                <w:i w:val="false"/>
                <w:caps w:val="false"/>
                <w:smallCaps w:val="false"/>
                <w:color w:val="000000"/>
              </w:rPr>
            </w:pPr>
            <w:r>
              <w:rPr>
                <w:b w:val="false"/>
                <w:i w:val="false"/>
                <w:caps w:val="false"/>
                <w:smallCaps w:val="false"/>
                <w:color w:val="000000"/>
              </w:rPr>
              <w:t>Income tax</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64" w:type="dxa"/>
            <w:tcBorders/>
            <w:vAlign w:val="center"/>
          </w:tcPr>
          <w:p>
            <w:pPr>
              <w:pStyle w:val="TableContents"/>
              <w:bidi w:val="0"/>
              <w:spacing w:before="0" w:after="283"/>
              <w:jc w:val="center"/>
              <w:rPr>
                <w:b w:val="false"/>
                <w:i w:val="false"/>
                <w:caps w:val="false"/>
                <w:smallCaps w:val="false"/>
                <w:color w:val="000000"/>
              </w:rPr>
            </w:pPr>
            <w:r>
              <w:rPr>
                <w:b w:val="false"/>
                <w:i w:val="false"/>
                <w:caps w:val="false"/>
                <w:smallCaps w:val="false"/>
                <w:color w:val="000000"/>
              </w:rPr>
              <w:t>16(d)</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80" w:type="dxa"/>
            <w:tcBorders>
              <w:bottom w:val="single" w:sz="8" w:space="0" w:color="000000"/>
            </w:tcBorders>
            <w:tcMar>
              <w:bottom w:w="28"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04" w:type="dxa"/>
            <w:tcBorders>
              <w:bottom w:val="single" w:sz="8" w:space="0" w:color="000000"/>
            </w:tcBorders>
            <w:tcMar>
              <w:bottom w:w="28"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22"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(26,846)</w:t>
            </w:r>
          </w:p>
        </w:tc>
      </w:tr>
      <w:tr>
        <w:trPr/>
        <w:tc>
          <w:tcPr>
            <w:tcW w:w="62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80"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(762,811)</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04"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1,144,140</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22"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742,445</w:t>
            </w:r>
          </w:p>
        </w:tc>
      </w:tr>
      <w:tr>
        <w:trPr/>
        <w:tc>
          <w:tcPr>
            <w:tcW w:w="62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80" w:type="dxa"/>
            <w:tcBorders/>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04" w:type="dxa"/>
            <w:tcBorders/>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22" w:type="dxa"/>
            <w:tcBorders/>
            <w:vAlign w:val="center"/>
          </w:tcPr>
          <w:p>
            <w:pPr>
              <w:pStyle w:val="TableContents"/>
              <w:bidi w:val="0"/>
              <w:spacing w:before="0" w:after="283"/>
              <w:jc w:val="right"/>
              <w:rPr>
                <w:caps w:val="false"/>
                <w:smallCaps w:val="false"/>
                <w:color w:val="000000"/>
              </w:rPr>
            </w:pPr>
            <w:r>
              <w:rPr>
                <w:caps w:val="false"/>
                <w:smallCaps w:val="false"/>
                <w:color w:val="000000"/>
              </w:rPr>
              <w:t> </w:t>
            </w:r>
          </w:p>
        </w:tc>
      </w:tr>
      <w:tr>
        <w:trPr/>
        <w:tc>
          <w:tcPr>
            <w:tcW w:w="6295" w:type="dxa"/>
            <w:tcBorders/>
            <w:vAlign w:val="center"/>
          </w:tcPr>
          <w:p>
            <w:pPr>
              <w:pStyle w:val="TableContents"/>
              <w:bidi w:val="0"/>
              <w:spacing w:before="0" w:after="283"/>
              <w:jc w:val="left"/>
              <w:rPr>
                <w:b w:val="false"/>
                <w:i w:val="false"/>
                <w:caps w:val="false"/>
                <w:smallCaps w:val="false"/>
                <w:color w:val="000000"/>
              </w:rPr>
            </w:pPr>
            <w:r>
              <w:rPr>
                <w:b w:val="false"/>
                <w:i w:val="false"/>
                <w:caps w:val="false"/>
                <w:smallCaps w:val="false"/>
                <w:color w:val="000000"/>
              </w:rPr>
              <w:t>Exchange differences on translation of foreign operations</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64" w:type="dxa"/>
            <w:tcBorders/>
            <w:vAlign w:val="center"/>
          </w:tcPr>
          <w:p>
            <w:pPr>
              <w:pStyle w:val="TableContents"/>
              <w:bidi w:val="0"/>
              <w:spacing w:before="0" w:after="283"/>
              <w:jc w:val="center"/>
              <w:rPr>
                <w:b w:val="false"/>
                <w:i w:val="false"/>
                <w:caps w:val="false"/>
                <w:smallCaps w:val="false"/>
                <w:color w:val="000000"/>
              </w:rPr>
            </w:pPr>
            <w:r>
              <w:rPr>
                <w:b w:val="false"/>
                <w:i w:val="false"/>
                <w:caps w:val="false"/>
                <w:smallCaps w:val="false"/>
                <w:color w:val="000000"/>
              </w:rPr>
              <w:t>16(d)</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80"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73,464</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04"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(302,083)</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22"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161,168</w:t>
            </w:r>
          </w:p>
        </w:tc>
      </w:tr>
      <w:tr>
        <w:trPr/>
        <w:tc>
          <w:tcPr>
            <w:tcW w:w="6295" w:type="dxa"/>
            <w:tcBorders/>
            <w:vAlign w:val="center"/>
          </w:tcPr>
          <w:p>
            <w:pPr>
              <w:pStyle w:val="TableContents"/>
              <w:bidi w:val="0"/>
              <w:spacing w:before="0" w:after="283"/>
              <w:jc w:val="left"/>
              <w:rPr>
                <w:b w:val="false"/>
                <w:i w:val="false"/>
                <w:caps w:val="false"/>
                <w:smallCaps w:val="false"/>
                <w:color w:val="000000"/>
              </w:rPr>
            </w:pPr>
            <w:r>
              <w:rPr>
                <w:b w:val="false"/>
                <w:i w:val="false"/>
                <w:caps w:val="false"/>
                <w:smallCaps w:val="false"/>
                <w:color w:val="000000"/>
              </w:rPr>
              <w:t>Net movement in hedges of net investments in foreign businesses</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64" w:type="dxa"/>
            <w:tcBorders/>
            <w:vAlign w:val="center"/>
          </w:tcPr>
          <w:p>
            <w:pPr>
              <w:pStyle w:val="TableContents"/>
              <w:bidi w:val="0"/>
              <w:spacing w:before="0" w:after="283"/>
              <w:jc w:val="center"/>
              <w:rPr>
                <w:b w:val="false"/>
                <w:i w:val="false"/>
                <w:caps w:val="false"/>
                <w:smallCaps w:val="false"/>
                <w:color w:val="000000"/>
              </w:rPr>
            </w:pPr>
            <w:r>
              <w:rPr>
                <w:b w:val="false"/>
                <w:i w:val="false"/>
                <w:caps w:val="false"/>
                <w:smallCaps w:val="false"/>
                <w:color w:val="000000"/>
              </w:rPr>
              <w:t>16(d)</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18,950</w:t>
            </w:r>
          </w:p>
        </w:tc>
        <w:tc>
          <w:tcPr>
            <w:tcW w:w="60" w:type="dxa"/>
            <w:tcBorders/>
            <w:vAlign w:val="center"/>
          </w:tcPr>
          <w:p>
            <w:pPr>
              <w:pStyle w:val="TableContents"/>
              <w:bidi w:val="0"/>
              <w:spacing w:before="0" w:after="283"/>
              <w:jc w:val="left"/>
              <w:rPr/>
            </w:pPr>
            <w:r>
              <w:rPr/>
              <w:t> </w:t>
            </w:r>
          </w:p>
        </w:tc>
        <w:tc>
          <w:tcPr>
            <w:tcW w:w="1104" w:type="dxa"/>
            <w:tcBorders>
              <w:bottom w:val="single" w:sz="8" w:space="0" w:color="000000"/>
            </w:tcBorders>
            <w:tcMar>
              <w:bottom w:w="28" w:type="dxa"/>
            </w:tcMar>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39,587</w:t>
            </w:r>
          </w:p>
        </w:tc>
        <w:tc>
          <w:tcPr>
            <w:tcW w:w="60" w:type="dxa"/>
            <w:tcBorders/>
            <w:vAlign w:val="center"/>
          </w:tcPr>
          <w:p>
            <w:pPr>
              <w:pStyle w:val="TableContents"/>
              <w:bidi w:val="0"/>
              <w:spacing w:before="0" w:after="283"/>
              <w:jc w:val="left"/>
              <w:rPr/>
            </w:pPr>
            <w:r>
              <w:rPr/>
              <w:t> </w:t>
            </w:r>
          </w:p>
        </w:tc>
        <w:tc>
          <w:tcPr>
            <w:tcW w:w="1122" w:type="dxa"/>
            <w:tcBorders>
              <w:bottom w:val="single" w:sz="8" w:space="0" w:color="000000"/>
            </w:tcBorders>
            <w:tcMar>
              <w:bottom w:w="28" w:type="dxa"/>
            </w:tcMar>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(57,319)</w:t>
            </w:r>
          </w:p>
        </w:tc>
      </w:tr>
      <w:tr>
        <w:trPr/>
        <w:tc>
          <w:tcPr>
            <w:tcW w:w="6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80"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92,414</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04"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(262,496)</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22"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103,849</w:t>
            </w:r>
          </w:p>
        </w:tc>
      </w:tr>
      <w:tr>
        <w:trPr/>
        <w:tc>
          <w:tcPr>
            <w:tcW w:w="6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80" w:type="dxa"/>
            <w:tcBorders>
              <w:bottom w:val="single" w:sz="8" w:space="0" w:color="000000"/>
            </w:tcBorders>
            <w:tcMar>
              <w:bottom w:w="28"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04" w:type="dxa"/>
            <w:tcBorders>
              <w:bottom w:val="single" w:sz="8" w:space="0" w:color="000000"/>
            </w:tcBorders>
            <w:tcMar>
              <w:bottom w:w="28"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22" w:type="dxa"/>
            <w:tcBorders>
              <w:bottom w:val="single" w:sz="8" w:space="0" w:color="000000"/>
            </w:tcBorders>
            <w:tcMar>
              <w:bottom w:w="28"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r>
      <w:tr>
        <w:trPr/>
        <w:tc>
          <w:tcPr>
            <w:tcW w:w="6295" w:type="dxa"/>
            <w:tcBorders/>
            <w:vAlign w:val="center"/>
          </w:tcPr>
          <w:p>
            <w:pPr>
              <w:pStyle w:val="TableContents"/>
              <w:bidi w:val="0"/>
              <w:spacing w:before="0" w:after="283"/>
              <w:jc w:val="left"/>
              <w:rPr>
                <w:b/>
                <w:i w:val="false"/>
                <w:caps w:val="false"/>
                <w:smallCaps w:val="false"/>
                <w:color w:val="000000"/>
              </w:rPr>
            </w:pPr>
            <w:r>
              <w:rPr>
                <w:b/>
                <w:i w:val="false"/>
                <w:caps w:val="false"/>
                <w:smallCaps w:val="false"/>
                <w:color w:val="000000"/>
              </w:rPr>
              <w:t>Total</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593,718</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04"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(648,862)</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22"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(1,551,775)</w:t>
            </w:r>
          </w:p>
        </w:tc>
      </w:tr>
      <w:tr>
        <w:trPr/>
        <w:tc>
          <w:tcPr>
            <w:tcW w:w="62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left"/>
              <w:rPr/>
            </w:pPr>
            <w:r>
              <w:rPr/>
              <w:t> </w:t>
            </w:r>
          </w:p>
        </w:tc>
      </w:tr>
      <w:tr>
        <w:trPr/>
        <w:tc>
          <w:tcPr>
            <w:tcW w:w="6295" w:type="dxa"/>
            <w:tcBorders/>
            <w:vAlign w:val="center"/>
          </w:tcPr>
          <w:p>
            <w:pPr>
              <w:pStyle w:val="TableContents"/>
              <w:bidi w:val="0"/>
              <w:spacing w:before="0" w:after="283"/>
              <w:jc w:val="left"/>
              <w:rPr>
                <w:b/>
                <w:i w:val="false"/>
                <w:caps w:val="false"/>
                <w:smallCaps w:val="false"/>
                <w:color w:val="000000"/>
              </w:rPr>
            </w:pPr>
            <w:r>
              <w:rPr>
                <w:b/>
                <w:i w:val="false"/>
                <w:caps w:val="false"/>
                <w:smallCaps w:val="false"/>
                <w:color w:val="000000"/>
              </w:rPr>
              <w:t>Not to be reclassified to profit or loss in subsequent periods:</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left"/>
              <w:rPr/>
            </w:pPr>
            <w:r>
              <w:rPr/>
              <w:t> </w:t>
            </w:r>
          </w:p>
        </w:tc>
      </w:tr>
      <w:tr>
        <w:trPr/>
        <w:tc>
          <w:tcPr>
            <w:tcW w:w="62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left"/>
              <w:rPr/>
            </w:pPr>
            <w:r>
              <w:rPr/>
              <w:t> </w:t>
            </w:r>
          </w:p>
        </w:tc>
      </w:tr>
      <w:tr>
        <w:trPr/>
        <w:tc>
          <w:tcPr>
            <w:tcW w:w="6295" w:type="dxa"/>
            <w:tcBorders/>
            <w:vAlign w:val="center"/>
          </w:tcPr>
          <w:p>
            <w:pPr>
              <w:pStyle w:val="TableContents"/>
              <w:bidi w:val="0"/>
              <w:spacing w:before="0" w:after="283"/>
              <w:jc w:val="left"/>
              <w:rPr>
                <w:b w:val="false"/>
                <w:i w:val="false"/>
                <w:caps w:val="false"/>
                <w:smallCaps w:val="false"/>
                <w:color w:val="000000"/>
              </w:rPr>
            </w:pPr>
            <w:r>
              <w:rPr>
                <w:b w:val="false"/>
                <w:i w:val="false"/>
                <w:caps w:val="false"/>
                <w:smallCaps w:val="false"/>
                <w:color w:val="000000"/>
              </w:rPr>
              <w:t>Net loss on equity instruments designated at fair value through other comprehensive income</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64" w:type="dxa"/>
            <w:tcBorders/>
            <w:vAlign w:val="center"/>
          </w:tcPr>
          <w:p>
            <w:pPr>
              <w:pStyle w:val="TableContents"/>
              <w:bidi w:val="0"/>
              <w:spacing w:before="0" w:after="283"/>
              <w:jc w:val="center"/>
              <w:rPr>
                <w:b w:val="false"/>
                <w:i w:val="false"/>
                <w:caps w:val="false"/>
                <w:smallCaps w:val="false"/>
                <w:color w:val="000000"/>
              </w:rPr>
            </w:pPr>
            <w:r>
              <w:rPr>
                <w:b w:val="false"/>
                <w:i w:val="false"/>
                <w:caps w:val="false"/>
                <w:smallCaps w:val="false"/>
                <w:color w:val="000000"/>
              </w:rPr>
              <w:t>16(d)</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80"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(8,329)</w:t>
            </w:r>
          </w:p>
        </w:tc>
        <w:tc>
          <w:tcPr>
            <w:tcW w:w="60"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(38,563)</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22"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(113,686)</w:t>
            </w:r>
          </w:p>
        </w:tc>
      </w:tr>
      <w:tr>
        <w:trPr/>
        <w:tc>
          <w:tcPr>
            <w:tcW w:w="6295" w:type="dxa"/>
            <w:tcBorders/>
            <w:vAlign w:val="center"/>
          </w:tcPr>
          <w:p>
            <w:pPr>
              <w:pStyle w:val="TableContents"/>
              <w:bidi w:val="0"/>
              <w:spacing w:before="0" w:after="283"/>
              <w:jc w:val="left"/>
              <w:rPr>
                <w:b w:val="false"/>
                <w:i w:val="false"/>
                <w:caps w:val="false"/>
                <w:smallCaps w:val="false"/>
                <w:color w:val="000000"/>
              </w:rPr>
            </w:pPr>
            <w:r>
              <w:rPr>
                <w:b w:val="false"/>
                <w:i w:val="false"/>
                <w:caps w:val="false"/>
                <w:smallCaps w:val="false"/>
                <w:color w:val="000000"/>
              </w:rPr>
              <w:t>Income tax</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64" w:type="dxa"/>
            <w:tcBorders/>
            <w:vAlign w:val="center"/>
          </w:tcPr>
          <w:p>
            <w:pPr>
              <w:pStyle w:val="TableContents"/>
              <w:bidi w:val="0"/>
              <w:spacing w:before="0" w:after="283"/>
              <w:jc w:val="center"/>
              <w:rPr>
                <w:b w:val="false"/>
                <w:i w:val="false"/>
                <w:caps w:val="false"/>
                <w:smallCaps w:val="false"/>
                <w:color w:val="000000"/>
              </w:rPr>
            </w:pPr>
            <w:r>
              <w:rPr>
                <w:b w:val="false"/>
                <w:i w:val="false"/>
                <w:caps w:val="false"/>
                <w:smallCaps w:val="false"/>
                <w:color w:val="000000"/>
              </w:rPr>
              <w:t>16(d)</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(3,791)</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04"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2,109</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22"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5,402</w:t>
            </w:r>
          </w:p>
        </w:tc>
      </w:tr>
      <w:tr>
        <w:trPr/>
        <w:tc>
          <w:tcPr>
            <w:tcW w:w="6295" w:type="dxa"/>
            <w:tcBorders/>
            <w:vAlign w:val="center"/>
          </w:tcPr>
          <w:p>
            <w:pPr>
              <w:pStyle w:val="TableContents"/>
              <w:bidi w:val="0"/>
              <w:spacing w:before="0" w:after="283"/>
              <w:jc w:val="left"/>
              <w:rPr>
                <w:b/>
                <w:i w:val="false"/>
                <w:caps w:val="false"/>
                <w:smallCaps w:val="false"/>
                <w:color w:val="000000"/>
              </w:rPr>
            </w:pPr>
            <w:r>
              <w:rPr>
                <w:b/>
                <w:i w:val="false"/>
                <w:caps w:val="false"/>
                <w:smallCaps w:val="false"/>
                <w:color w:val="000000"/>
              </w:rPr>
              <w:t>Total</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80"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(12,120)</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04"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(36,454)</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22"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(108,284)</w:t>
            </w:r>
          </w:p>
        </w:tc>
      </w:tr>
      <w:tr>
        <w:trPr/>
        <w:tc>
          <w:tcPr>
            <w:tcW w:w="62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80" w:type="dxa"/>
            <w:tcBorders>
              <w:bottom w:val="single" w:sz="8" w:space="0" w:color="000000"/>
            </w:tcBorders>
            <w:tcMar>
              <w:bottom w:w="28"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04" w:type="dxa"/>
            <w:tcBorders>
              <w:bottom w:val="single" w:sz="8" w:space="0" w:color="000000"/>
            </w:tcBorders>
            <w:tcMar>
              <w:bottom w:w="28"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22" w:type="dxa"/>
            <w:tcBorders>
              <w:bottom w:val="single" w:sz="8" w:space="0" w:color="000000"/>
            </w:tcBorders>
            <w:tcMar>
              <w:bottom w:w="28" w:type="dxa"/>
            </w:tcMar>
            <w:vAlign w:val="center"/>
          </w:tcPr>
          <w:p>
            <w:pPr>
              <w:pStyle w:val="TableContents"/>
              <w:bidi w:val="0"/>
              <w:spacing w:before="0" w:after="283"/>
              <w:jc w:val="right"/>
              <w:rPr>
                <w:caps w:val="false"/>
                <w:smallCaps w:val="false"/>
                <w:color w:val="000000"/>
              </w:rPr>
            </w:pPr>
            <w:r>
              <w:rPr>
                <w:caps w:val="false"/>
                <w:smallCaps w:val="false"/>
                <w:color w:val="000000"/>
              </w:rPr>
              <w:t> </w:t>
            </w:r>
          </w:p>
        </w:tc>
      </w:tr>
      <w:tr>
        <w:trPr/>
        <w:tc>
          <w:tcPr>
            <w:tcW w:w="6295" w:type="dxa"/>
            <w:tcBorders/>
            <w:vAlign w:val="center"/>
          </w:tcPr>
          <w:p>
            <w:pPr>
              <w:pStyle w:val="TableContents"/>
              <w:bidi w:val="0"/>
              <w:spacing w:before="0" w:after="283"/>
              <w:jc w:val="left"/>
              <w:rPr>
                <w:b/>
                <w:i w:val="false"/>
                <w:caps w:val="false"/>
                <w:smallCaps w:val="false"/>
                <w:color w:val="000000"/>
              </w:rPr>
            </w:pPr>
            <w:r>
              <w:rPr>
                <w:b/>
                <w:i w:val="false"/>
                <w:caps w:val="false"/>
                <w:smallCaps w:val="false"/>
                <w:color w:val="000000"/>
              </w:rPr>
              <w:t>TotaI other comprehensive income</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64" w:type="dxa"/>
            <w:tcBorders/>
            <w:vAlign w:val="center"/>
          </w:tcPr>
          <w:p>
            <w:pPr>
              <w:pStyle w:val="TableContents"/>
              <w:bidi w:val="0"/>
              <w:spacing w:before="0" w:after="283"/>
              <w:jc w:val="center"/>
              <w:rPr>
                <w:b w:val="false"/>
                <w:i w:val="false"/>
                <w:caps w:val="false"/>
                <w:smallCaps w:val="false"/>
                <w:color w:val="000000"/>
              </w:rPr>
            </w:pPr>
            <w:r>
              <w:rPr>
                <w:b w:val="false"/>
                <w:i w:val="false"/>
                <w:caps w:val="false"/>
                <w:smallCaps w:val="false"/>
                <w:color w:val="000000"/>
              </w:rPr>
              <w:t>16(d)</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581,598</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04"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(685,316)</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22"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(1,660,059)</w:t>
            </w:r>
          </w:p>
        </w:tc>
      </w:tr>
      <w:tr>
        <w:trPr/>
        <w:tc>
          <w:tcPr>
            <w:tcW w:w="62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64" w:type="dxa"/>
            <w:tcBorders/>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80" w:type="dxa"/>
            <w:tcBorders/>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04" w:type="dxa"/>
            <w:tcBorders/>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22" w:type="dxa"/>
            <w:tcBorders/>
            <w:vAlign w:val="center"/>
          </w:tcPr>
          <w:p>
            <w:pPr>
              <w:pStyle w:val="TableContents"/>
              <w:bidi w:val="0"/>
              <w:spacing w:before="0" w:after="283"/>
              <w:jc w:val="right"/>
              <w:rPr>
                <w:caps w:val="false"/>
                <w:smallCaps w:val="false"/>
                <w:color w:val="000000"/>
              </w:rPr>
            </w:pPr>
            <w:r>
              <w:rPr>
                <w:caps w:val="false"/>
                <w:smallCaps w:val="false"/>
                <w:color w:val="000000"/>
              </w:rPr>
              <w:t> </w:t>
            </w:r>
          </w:p>
        </w:tc>
      </w:tr>
      <w:tr>
        <w:trPr/>
        <w:tc>
          <w:tcPr>
            <w:tcW w:w="6295" w:type="dxa"/>
            <w:tcBorders/>
            <w:vAlign w:val="center"/>
          </w:tcPr>
          <w:p>
            <w:pPr>
              <w:pStyle w:val="TableContents"/>
              <w:bidi w:val="0"/>
              <w:spacing w:before="0" w:after="283"/>
              <w:jc w:val="left"/>
              <w:rPr>
                <w:b/>
                <w:i w:val="false"/>
                <w:caps w:val="false"/>
                <w:smallCaps w:val="false"/>
                <w:color w:val="000000"/>
              </w:rPr>
            </w:pPr>
            <w:r>
              <w:rPr>
                <w:b/>
                <w:i w:val="false"/>
                <w:caps w:val="false"/>
                <w:smallCaps w:val="false"/>
                <w:color w:val="000000"/>
              </w:rPr>
              <w:t>Total comprehensive income for the year, net of income tax</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80"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5,541,476</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04"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4,074,794</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22"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2,011,770</w:t>
            </w:r>
          </w:p>
        </w:tc>
      </w:tr>
      <w:tr>
        <w:trPr/>
        <w:tc>
          <w:tcPr>
            <w:tcW w:w="62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80" w:type="dxa"/>
            <w:tcBorders/>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04" w:type="dxa"/>
            <w:tcBorders/>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22" w:type="dxa"/>
            <w:tcBorders/>
            <w:vAlign w:val="center"/>
          </w:tcPr>
          <w:p>
            <w:pPr>
              <w:pStyle w:val="TableContents"/>
              <w:bidi w:val="0"/>
              <w:spacing w:before="0" w:after="283"/>
              <w:jc w:val="right"/>
              <w:rPr>
                <w:caps w:val="false"/>
                <w:smallCaps w:val="false"/>
                <w:color w:val="000000"/>
              </w:rPr>
            </w:pPr>
            <w:r>
              <w:rPr>
                <w:caps w:val="false"/>
                <w:smallCaps w:val="false"/>
                <w:color w:val="000000"/>
              </w:rPr>
              <w:t> </w:t>
            </w:r>
          </w:p>
        </w:tc>
      </w:tr>
      <w:tr>
        <w:trPr/>
        <w:tc>
          <w:tcPr>
            <w:tcW w:w="6295" w:type="dxa"/>
            <w:tcBorders/>
            <w:vAlign w:val="center"/>
          </w:tcPr>
          <w:p>
            <w:pPr>
              <w:pStyle w:val="TableContents"/>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Attributable to:</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 </w:t>
            </w:r>
          </w:p>
        </w:tc>
      </w:tr>
      <w:tr>
        <w:trPr/>
        <w:tc>
          <w:tcPr>
            <w:tcW w:w="6295" w:type="dxa"/>
            <w:tcBorders/>
            <w:vAlign w:val="center"/>
          </w:tcPr>
          <w:p>
            <w:pPr>
              <w:pStyle w:val="TableContents"/>
              <w:bidi w:val="0"/>
              <w:spacing w:before="0" w:after="283"/>
              <w:jc w:val="left"/>
              <w:rPr>
                <w:b w:val="false"/>
                <w:i w:val="false"/>
                <w:caps w:val="false"/>
                <w:smallCaps w:val="false"/>
                <w:color w:val="000000"/>
              </w:rPr>
            </w:pPr>
            <w:r>
              <w:rPr>
                <w:b w:val="false"/>
                <w:i w:val="false"/>
                <w:caps w:val="false"/>
                <w:smallCaps w:val="false"/>
                <w:color w:val="000000"/>
              </w:rPr>
              <w:t>Credicorp's equity holders</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80"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5,437,495</w:t>
            </w:r>
          </w:p>
        </w:tc>
        <w:tc>
          <w:tcPr>
            <w:tcW w:w="60"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3,967,497</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22" w:type="dxa"/>
            <w:tcBorders/>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1,954,586</w:t>
            </w:r>
          </w:p>
        </w:tc>
      </w:tr>
      <w:tr>
        <w:trPr/>
        <w:tc>
          <w:tcPr>
            <w:tcW w:w="6295" w:type="dxa"/>
            <w:tcBorders/>
            <w:vAlign w:val="center"/>
          </w:tcPr>
          <w:p>
            <w:pPr>
              <w:pStyle w:val="TableContents"/>
              <w:bidi w:val="0"/>
              <w:spacing w:before="0" w:after="283"/>
              <w:jc w:val="left"/>
              <w:rPr>
                <w:b w:val="false"/>
                <w:i w:val="false"/>
                <w:caps w:val="false"/>
                <w:smallCaps w:val="false"/>
                <w:color w:val="000000"/>
              </w:rPr>
            </w:pPr>
            <w:r>
              <w:rPr>
                <w:b w:val="false"/>
                <w:i w:val="false"/>
                <w:caps w:val="false"/>
                <w:smallCaps w:val="false"/>
                <w:color w:val="000000"/>
              </w:rPr>
              <w:t>Non-controlling interest</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103,981</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04"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107,297</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22"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57,184</w:t>
            </w:r>
          </w:p>
        </w:tc>
      </w:tr>
      <w:tr>
        <w:trPr/>
        <w:tc>
          <w:tcPr>
            <w:tcW w:w="62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5,541,476</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04"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4,074,794</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22"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color w:val="000000"/>
              </w:rPr>
            </w:pPr>
            <w:r>
              <w:rPr>
                <w:b w:val="false"/>
                <w:i w:val="false"/>
                <w:caps w:val="false"/>
                <w:smallCaps w:val="false"/>
                <w:color w:val="000000"/>
              </w:rPr>
              <w:t>2,011,770</w:t>
            </w:r>
          </w:p>
        </w:tc>
      </w:tr>
    </w:tbl>
    <w:p>
      <w:pPr>
        <w:pStyle w:val="TextBody"/>
        <w:bidi w:val="0"/>
        <w:jc w:val="left"/>
        <w:rPr>
          <w:caps w:val="false"/>
          <w:smallCaps w:val="false"/>
        </w:rPr>
      </w:pPr>
      <w:r>
        <w:rPr>
          <w:caps w:val="false"/>
          <w:smallCaps w:val="false"/>
        </w:rPr>
        <w:t> </w:t>
      </w:r>
    </w:p>
    <w:tbl>
      <w:tblPr>
        <w:tblW w:w="7715" w:type="dxa"/>
        <w:jc w:val="left"/>
        <w:tblInd w:w="0" w:type="dxa"/>
        <w:tblLayout w:type="fixed"/>
        <w:tblCellMar>
          <w:top w:w="0" w:type="dxa"/>
          <w:left w:w="0" w:type="dxa"/>
          <w:bottom w:w="0" w:type="dxa"/>
          <w:right w:w="0" w:type="dxa"/>
        </w:tblCellMar>
      </w:tblPr>
      <w:tblGrid>
        <w:gridCol w:w="7715"/>
      </w:tblGrid>
      <w:tr>
        <w:trPr/>
        <w:tc>
          <w:tcPr>
            <w:tcW w:w="7715"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 xml:space="preserve">The </w:t>
            </w:r>
            <w:r>
              <w:rPr>
                <w:rFonts w:ascii="Arial" w:hAnsi="Arial"/>
                <w:b w:val="false"/>
                <w:i w:val="false"/>
                <w:caps w:val="false"/>
                <w:smallCaps w:val="false"/>
                <w:color w:val="000000"/>
                <w:sz w:val="20"/>
              </w:rPr>
              <w:t>accompanying notes are an integral part of these consolidated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color w:val="000000"/>
          <w:sz w:val="20"/>
        </w:rPr>
        <w:t>55</w:t>
      </w:r>
      <w:r>
        <w:rPr>
          <w:rFonts w:ascii="Arial" w:hAnsi="Arial"/>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36"/>
        </w:rPr>
      </w:pPr>
      <w:bookmarkStart w:id="17" w:name="a010_v1"/>
      <w:bookmarkEnd w:id="17"/>
      <w:r>
        <w:rPr>
          <w:rFonts w:ascii="Arial" w:hAnsi="Arial"/>
          <w:b/>
          <w:i w:val="false"/>
          <w:caps w:val="false"/>
          <w:smallCaps w:val="false"/>
          <w:sz w:val="36"/>
        </w:rPr>
        <w:t>External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In accordance with SBS Resolution N°17026-20100, the information below provides details on the fees charged by independent auditors Tanaka, Valdivia y Asociados S.C.R.L (2023) and Gaveglio Aparicio y Asociados S.C.R.L. (2022 and 2021). This resolution stipulates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7"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1.</w:t>
            </w:r>
          </w:p>
        </w:tc>
        <w:tc>
          <w:tcPr>
            <w:tcW w:w="9963"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The concept of Auditing Fees must divulge the total fees charged by the auditing company for auditing services provided in each of the last three fiscal years.</w:t>
            </w:r>
          </w:p>
        </w:tc>
      </w:tr>
    </w:tbl>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2.</w:t>
            </w:r>
          </w:p>
        </w:tc>
        <w:tc>
          <w:tcPr>
            <w:tcW w:w="9990"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The concept of Auditing Fees must divulge the total fees charged by auditing firms for advisory services and services related to conducting auditing or reviewing the financial statements of the company and which are not included in the concept described in the previous paragraph. The purpose of the services included in this category was meant to guarantee the reasonability of the Financial Statements.</w:t>
            </w:r>
          </w:p>
        </w:tc>
      </w:tr>
    </w:tbl>
    <w:tbl>
      <w:tblPr>
        <w:tblW w:w="10205" w:type="dxa"/>
        <w:jc w:val="left"/>
        <w:tblInd w:w="0" w:type="dxa"/>
        <w:tblLayout w:type="fixed"/>
        <w:tblCellMar>
          <w:top w:w="0" w:type="dxa"/>
          <w:left w:w="0" w:type="dxa"/>
          <w:bottom w:w="0" w:type="dxa"/>
          <w:right w:w="0" w:type="dxa"/>
        </w:tblCellMar>
      </w:tblPr>
      <w:tblGrid>
        <w:gridCol w:w="75"/>
        <w:gridCol w:w="158"/>
        <w:gridCol w:w="997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8"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3.</w:t>
            </w:r>
          </w:p>
        </w:tc>
        <w:tc>
          <w:tcPr>
            <w:tcW w:w="9972"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The concept of Tax Fees must divulge the total fees billed in the last three fiscal years for professional services to ensure tax compliance, provide tax advisory services and conduct tax planning.</w:t>
            </w:r>
          </w:p>
        </w:tc>
      </w:tr>
    </w:tbl>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7"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4.</w:t>
            </w:r>
          </w:p>
        </w:tc>
        <w:tc>
          <w:tcPr>
            <w:tcW w:w="9963"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The concept of Other Fees must divulge the total fees billed in the last three fiscal years for products and services that are not included in the previous points.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All fees were approved by the auditing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Below, we provide details on the independent External Auditors Tanaka, Valdivia y Asociados S.C.R.L, a member firm of EY, for the year 2023; and for Gaveglio Aparicio y Asociados S.C.R.L., a member firm of PwC, for the years 2022 and 2021, as a reference to annual payment for independent external auditing services and for other projects conducted for the company.</w:t>
      </w:r>
    </w:p>
    <w:p>
      <w:pPr>
        <w:pStyle w:val="TextBody"/>
        <w:bidi w:val="0"/>
        <w:spacing w:before="0" w:after="0"/>
        <w:ind w:left="0" w:right="0" w:hanging="0"/>
        <w:jc w:val="left"/>
        <w:rPr>
          <w:caps w:val="false"/>
          <w:smallCaps w:val="false"/>
        </w:rPr>
      </w:pPr>
      <w:r>
        <w:rPr>
          <w:caps w:val="false"/>
          <w:smallCaps w:val="false"/>
        </w:rPr>
        <w:t> </w:t>
      </w:r>
    </w:p>
    <w:tbl>
      <w:tblPr>
        <w:tblW w:w="5345" w:type="dxa"/>
        <w:jc w:val="center"/>
        <w:tblInd w:w="0" w:type="dxa"/>
        <w:tblLayout w:type="fixed"/>
        <w:tblCellMar>
          <w:top w:w="0" w:type="dxa"/>
          <w:left w:w="0" w:type="dxa"/>
          <w:bottom w:w="0" w:type="dxa"/>
          <w:right w:w="0" w:type="dxa"/>
        </w:tblCellMar>
      </w:tblPr>
      <w:tblGrid>
        <w:gridCol w:w="3515"/>
        <w:gridCol w:w="605"/>
        <w:gridCol w:w="605"/>
        <w:gridCol w:w="620"/>
      </w:tblGrid>
      <w:tr>
        <w:trPr/>
        <w:tc>
          <w:tcPr>
            <w:tcW w:w="3515" w:type="dxa"/>
            <w:tcBorders/>
            <w:shd w:fill="000000" w:val="clear"/>
            <w:vAlign w:val="center"/>
          </w:tcPr>
          <w:p>
            <w:pPr>
              <w:pStyle w:val="TableContents"/>
              <w:bidi w:val="0"/>
              <w:spacing w:before="0" w:after="283"/>
              <w:jc w:val="left"/>
              <w:rPr>
                <w:rFonts w:ascii="Arial" w:hAnsi="Arial"/>
                <w:b/>
                <w:i w:val="false"/>
                <w:caps w:val="false"/>
                <w:smallCaps w:val="false"/>
                <w:color w:val="FFFFFF"/>
                <w:sz w:val="20"/>
              </w:rPr>
            </w:pPr>
            <w:r>
              <w:rPr>
                <w:rFonts w:ascii="Arial" w:hAnsi="Arial"/>
                <w:b/>
                <w:i w:val="false"/>
                <w:caps w:val="false"/>
                <w:smallCaps w:val="false"/>
                <w:color w:val="FFFFFF"/>
                <w:sz w:val="20"/>
              </w:rPr>
              <w:t>Years ending on December 31 (S/000)</w:t>
            </w:r>
          </w:p>
        </w:tc>
        <w:tc>
          <w:tcPr>
            <w:tcW w:w="605" w:type="dxa"/>
            <w:tcBorders/>
            <w:shd w:fill="000000" w:val="cle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2021</w:t>
            </w:r>
          </w:p>
        </w:tc>
        <w:tc>
          <w:tcPr>
            <w:tcW w:w="605" w:type="dxa"/>
            <w:tcBorders/>
            <w:shd w:fill="000000" w:val="cle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2022</w:t>
            </w:r>
          </w:p>
        </w:tc>
        <w:tc>
          <w:tcPr>
            <w:tcW w:w="620" w:type="dxa"/>
            <w:tcBorders/>
            <w:shd w:fill="000000" w:val="cle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2023</w:t>
            </w:r>
          </w:p>
        </w:tc>
      </w:tr>
      <w:tr>
        <w:trPr/>
        <w:tc>
          <w:tcPr>
            <w:tcW w:w="3515" w:type="dxa"/>
            <w:tcBorders>
              <w:bottom w:val="single" w:sz="8" w:space="0" w:color="FFFFFF"/>
              <w:right w:val="single" w:sz="12" w:space="0" w:color="FFFFFF"/>
            </w:tcBorders>
            <w:shd w:fill="E93BAC" w:val="clear"/>
            <w:tcMar>
              <w:bottom w:w="28" w:type="dxa"/>
              <w:right w:w="28" w:type="dxa"/>
            </w:tcMar>
            <w:vAlign w:val="center"/>
          </w:tcPr>
          <w:p>
            <w:pPr>
              <w:pStyle w:val="TableContents"/>
              <w:bidi w:val="0"/>
              <w:spacing w:before="0" w:after="283"/>
              <w:jc w:val="left"/>
              <w:rPr>
                <w:rFonts w:ascii="Arial" w:hAnsi="Arial"/>
                <w:b/>
                <w:i w:val="false"/>
                <w:caps w:val="false"/>
                <w:smallCaps w:val="false"/>
                <w:color w:val="FFFFFF"/>
                <w:sz w:val="20"/>
              </w:rPr>
            </w:pPr>
            <w:r>
              <w:rPr>
                <w:rFonts w:ascii="Arial" w:hAnsi="Arial"/>
                <w:b/>
                <w:i w:val="false"/>
                <w:caps w:val="false"/>
                <w:smallCaps w:val="false"/>
                <w:color w:val="FFFFFF"/>
                <w:sz w:val="20"/>
              </w:rPr>
              <w:t>Auditing</w:t>
            </w:r>
          </w:p>
        </w:tc>
        <w:tc>
          <w:tcPr>
            <w:tcW w:w="605" w:type="dxa"/>
            <w:tcBorders>
              <w:bottom w:val="single" w:sz="8" w:space="0" w:color="FFFFFF"/>
              <w:right w:val="single" w:sz="12" w:space="0" w:color="FFFFFF"/>
            </w:tcBorders>
            <w:shd w:fill="F1F1F1" w:val="clear"/>
            <w:tcMar>
              <w:bottom w:w="28" w:type="dxa"/>
              <w:right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23,775</w:t>
            </w:r>
          </w:p>
        </w:tc>
        <w:tc>
          <w:tcPr>
            <w:tcW w:w="605" w:type="dxa"/>
            <w:tcBorders>
              <w:bottom w:val="single" w:sz="8" w:space="0" w:color="FFFFFF"/>
              <w:right w:val="single" w:sz="12" w:space="0" w:color="FFFFFF"/>
            </w:tcBorders>
            <w:shd w:fill="F1F1F1" w:val="clear"/>
            <w:tcMar>
              <w:bottom w:w="28" w:type="dxa"/>
              <w:right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25,177</w:t>
            </w:r>
          </w:p>
        </w:tc>
        <w:tc>
          <w:tcPr>
            <w:tcW w:w="620" w:type="dxa"/>
            <w:tcBorders>
              <w:bottom w:val="single" w:sz="8" w:space="0" w:color="FFFFFF"/>
            </w:tcBorders>
            <w:shd w:fill="F1F1F1" w:val="clear"/>
            <w:tcMar>
              <w:bottom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18,423</w:t>
            </w:r>
          </w:p>
        </w:tc>
      </w:tr>
      <w:tr>
        <w:trPr/>
        <w:tc>
          <w:tcPr>
            <w:tcW w:w="3515" w:type="dxa"/>
            <w:tcBorders>
              <w:bottom w:val="single" w:sz="8" w:space="0" w:color="FFFFFF"/>
              <w:right w:val="single" w:sz="12" w:space="0" w:color="FFFFFF"/>
            </w:tcBorders>
            <w:shd w:fill="E93BAC" w:val="clear"/>
            <w:tcMar>
              <w:bottom w:w="28" w:type="dxa"/>
              <w:right w:w="28" w:type="dxa"/>
            </w:tcMar>
            <w:vAlign w:val="center"/>
          </w:tcPr>
          <w:p>
            <w:pPr>
              <w:pStyle w:val="TableContents"/>
              <w:bidi w:val="0"/>
              <w:spacing w:before="0" w:after="283"/>
              <w:jc w:val="left"/>
              <w:rPr>
                <w:rFonts w:ascii="Arial" w:hAnsi="Arial"/>
                <w:b/>
                <w:i w:val="false"/>
                <w:caps w:val="false"/>
                <w:smallCaps w:val="false"/>
                <w:color w:val="FFFFFF"/>
                <w:sz w:val="20"/>
              </w:rPr>
            </w:pPr>
            <w:r>
              <w:rPr>
                <w:rFonts w:ascii="Arial" w:hAnsi="Arial"/>
                <w:b/>
                <w:i w:val="false"/>
                <w:caps w:val="false"/>
                <w:smallCaps w:val="false"/>
                <w:color w:val="FFFFFF"/>
                <w:sz w:val="20"/>
              </w:rPr>
              <w:t>Related to Auditing</w:t>
            </w:r>
          </w:p>
        </w:tc>
        <w:tc>
          <w:tcPr>
            <w:tcW w:w="605" w:type="dxa"/>
            <w:tcBorders>
              <w:bottom w:val="single" w:sz="8" w:space="0" w:color="FFFFFF"/>
              <w:right w:val="single" w:sz="12" w:space="0" w:color="FFFFFF"/>
            </w:tcBorders>
            <w:shd w:fill="F1F1F1" w:val="clear"/>
            <w:tcMar>
              <w:bottom w:w="28" w:type="dxa"/>
              <w:right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849</w:t>
            </w:r>
          </w:p>
        </w:tc>
        <w:tc>
          <w:tcPr>
            <w:tcW w:w="605" w:type="dxa"/>
            <w:tcBorders>
              <w:bottom w:val="single" w:sz="8" w:space="0" w:color="FFFFFF"/>
              <w:right w:val="single" w:sz="12" w:space="0" w:color="FFFFFF"/>
            </w:tcBorders>
            <w:shd w:fill="F1F1F1" w:val="clear"/>
            <w:tcMar>
              <w:bottom w:w="28" w:type="dxa"/>
              <w:right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581</w:t>
            </w:r>
          </w:p>
        </w:tc>
        <w:tc>
          <w:tcPr>
            <w:tcW w:w="620" w:type="dxa"/>
            <w:tcBorders>
              <w:bottom w:val="single" w:sz="8" w:space="0" w:color="FFFFFF"/>
            </w:tcBorders>
            <w:shd w:fill="F1F1F1" w:val="clear"/>
            <w:tcMar>
              <w:bottom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705</w:t>
            </w:r>
          </w:p>
        </w:tc>
      </w:tr>
      <w:tr>
        <w:trPr/>
        <w:tc>
          <w:tcPr>
            <w:tcW w:w="3515" w:type="dxa"/>
            <w:tcBorders>
              <w:bottom w:val="single" w:sz="8" w:space="0" w:color="FFFFFF"/>
              <w:right w:val="single" w:sz="12" w:space="0" w:color="FFFFFF"/>
            </w:tcBorders>
            <w:shd w:fill="E93BAC" w:val="clear"/>
            <w:tcMar>
              <w:bottom w:w="28" w:type="dxa"/>
              <w:right w:w="28" w:type="dxa"/>
            </w:tcMar>
            <w:vAlign w:val="center"/>
          </w:tcPr>
          <w:p>
            <w:pPr>
              <w:pStyle w:val="TableContents"/>
              <w:bidi w:val="0"/>
              <w:spacing w:before="0" w:after="283"/>
              <w:jc w:val="left"/>
              <w:rPr>
                <w:rFonts w:ascii="Arial" w:hAnsi="Arial"/>
                <w:b/>
                <w:i w:val="false"/>
                <w:caps w:val="false"/>
                <w:smallCaps w:val="false"/>
                <w:color w:val="FFFFFF"/>
                <w:sz w:val="20"/>
              </w:rPr>
            </w:pPr>
            <w:r>
              <w:rPr>
                <w:rFonts w:ascii="Arial" w:hAnsi="Arial"/>
                <w:b/>
                <w:i w:val="false"/>
                <w:caps w:val="false"/>
                <w:smallCaps w:val="false"/>
                <w:color w:val="FFFFFF"/>
                <w:sz w:val="20"/>
              </w:rPr>
              <w:t>Taxes</w:t>
            </w:r>
          </w:p>
        </w:tc>
        <w:tc>
          <w:tcPr>
            <w:tcW w:w="605" w:type="dxa"/>
            <w:tcBorders>
              <w:bottom w:val="single" w:sz="8" w:space="0" w:color="FFFFFF"/>
              <w:right w:val="single" w:sz="12" w:space="0" w:color="FFFFFF"/>
            </w:tcBorders>
            <w:shd w:fill="F1F1F1" w:val="clear"/>
            <w:tcMar>
              <w:bottom w:w="28" w:type="dxa"/>
              <w:right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663</w:t>
            </w:r>
          </w:p>
        </w:tc>
        <w:tc>
          <w:tcPr>
            <w:tcW w:w="605" w:type="dxa"/>
            <w:tcBorders>
              <w:bottom w:val="single" w:sz="8" w:space="0" w:color="FFFFFF"/>
              <w:right w:val="single" w:sz="12" w:space="0" w:color="FFFFFF"/>
            </w:tcBorders>
            <w:shd w:fill="F1F1F1" w:val="clear"/>
            <w:tcMar>
              <w:bottom w:w="28" w:type="dxa"/>
              <w:right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724</w:t>
            </w:r>
          </w:p>
        </w:tc>
        <w:tc>
          <w:tcPr>
            <w:tcW w:w="620" w:type="dxa"/>
            <w:tcBorders>
              <w:bottom w:val="single" w:sz="8" w:space="0" w:color="FFFFFF"/>
            </w:tcBorders>
            <w:shd w:fill="F1F1F1" w:val="clear"/>
            <w:tcMar>
              <w:bottom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2,261</w:t>
            </w:r>
          </w:p>
        </w:tc>
      </w:tr>
      <w:tr>
        <w:trPr/>
        <w:tc>
          <w:tcPr>
            <w:tcW w:w="3515" w:type="dxa"/>
            <w:tcBorders>
              <w:bottom w:val="single" w:sz="12" w:space="0" w:color="FFFFFF"/>
              <w:right w:val="single" w:sz="12" w:space="0" w:color="FFFFFF"/>
            </w:tcBorders>
            <w:shd w:fill="E93BAC" w:val="clear"/>
            <w:tcMar>
              <w:bottom w:w="28" w:type="dxa"/>
              <w:right w:w="28" w:type="dxa"/>
            </w:tcMar>
            <w:vAlign w:val="center"/>
          </w:tcPr>
          <w:p>
            <w:pPr>
              <w:pStyle w:val="TableContents"/>
              <w:bidi w:val="0"/>
              <w:spacing w:before="0" w:after="283"/>
              <w:jc w:val="left"/>
              <w:rPr>
                <w:rFonts w:ascii="Arial" w:hAnsi="Arial"/>
                <w:b/>
                <w:i w:val="false"/>
                <w:caps w:val="false"/>
                <w:smallCaps w:val="false"/>
                <w:color w:val="FFFFFF"/>
                <w:sz w:val="20"/>
              </w:rPr>
            </w:pPr>
            <w:r>
              <w:rPr>
                <w:rFonts w:ascii="Arial" w:hAnsi="Arial"/>
                <w:b/>
                <w:i w:val="false"/>
                <w:caps w:val="false"/>
                <w:smallCaps w:val="false"/>
                <w:color w:val="FFFFFF"/>
                <w:sz w:val="20"/>
              </w:rPr>
              <w:t>Others</w:t>
            </w:r>
          </w:p>
        </w:tc>
        <w:tc>
          <w:tcPr>
            <w:tcW w:w="605" w:type="dxa"/>
            <w:tcBorders>
              <w:bottom w:val="single" w:sz="12" w:space="0" w:color="FFFFFF"/>
              <w:right w:val="single" w:sz="12" w:space="0" w:color="FFFFFF"/>
            </w:tcBorders>
            <w:shd w:fill="F1F1F1" w:val="clear"/>
            <w:tcMar>
              <w:bottom w:w="28" w:type="dxa"/>
              <w:right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244</w:t>
            </w:r>
          </w:p>
        </w:tc>
        <w:tc>
          <w:tcPr>
            <w:tcW w:w="605" w:type="dxa"/>
            <w:tcBorders>
              <w:bottom w:val="single" w:sz="12" w:space="0" w:color="FFFFFF"/>
              <w:right w:val="single" w:sz="12" w:space="0" w:color="FFFFFF"/>
            </w:tcBorders>
            <w:shd w:fill="F1F1F1" w:val="clear"/>
            <w:tcMar>
              <w:bottom w:w="28" w:type="dxa"/>
              <w:right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62</w:t>
            </w:r>
          </w:p>
        </w:tc>
        <w:tc>
          <w:tcPr>
            <w:tcW w:w="620" w:type="dxa"/>
            <w:tcBorders>
              <w:bottom w:val="single" w:sz="12" w:space="0" w:color="FFFFFF"/>
            </w:tcBorders>
            <w:shd w:fill="F1F1F1" w:val="clear"/>
            <w:tcMar>
              <w:bottom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618</w:t>
            </w:r>
          </w:p>
        </w:tc>
      </w:tr>
      <w:tr>
        <w:trPr/>
        <w:tc>
          <w:tcPr>
            <w:tcW w:w="3515" w:type="dxa"/>
            <w:tcBorders>
              <w:right w:val="single" w:sz="12" w:space="0" w:color="FFFFFF"/>
            </w:tcBorders>
            <w:shd w:fill="2AD2C8" w:val="clear"/>
            <w:tcMar>
              <w:right w:w="28"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Total</w:t>
            </w:r>
          </w:p>
        </w:tc>
        <w:tc>
          <w:tcPr>
            <w:tcW w:w="605" w:type="dxa"/>
            <w:tcBorders/>
            <w:shd w:fill="F1F1F1" w:val="cle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25,531</w:t>
            </w:r>
          </w:p>
        </w:tc>
        <w:tc>
          <w:tcPr>
            <w:tcW w:w="605" w:type="dxa"/>
            <w:tcBorders>
              <w:right w:val="single" w:sz="12" w:space="0" w:color="FFFFFF"/>
            </w:tcBorders>
            <w:shd w:fill="F1F1F1" w:val="clear"/>
            <w:tcMar>
              <w:right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26,544</w:t>
            </w:r>
          </w:p>
        </w:tc>
        <w:tc>
          <w:tcPr>
            <w:tcW w:w="620" w:type="dxa"/>
            <w:tcBorders/>
            <w:shd w:fill="F1F1F1" w:val="cle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22,007</w:t>
            </w:r>
          </w:p>
        </w:tc>
      </w:tr>
    </w:tbl>
    <w:p>
      <w:pPr>
        <w:pStyle w:val="TextBody"/>
        <w:bidi w:val="0"/>
        <w:spacing w:before="200" w:after="20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rFonts w:ascii="Arial" w:hAnsi="Arial"/>
          <w:b/>
          <w:i w:val="false"/>
          <w:caps w:val="false"/>
          <w:smallCaps w:val="false"/>
          <w:sz w:val="26"/>
        </w:rPr>
      </w:pPr>
      <w:r>
        <w:rPr>
          <w:rFonts w:ascii="Arial" w:hAnsi="Arial"/>
          <w:b/>
          <w:i w:val="false"/>
          <w:caps w:val="false"/>
          <w:smallCaps w:val="false"/>
          <w:sz w:val="26"/>
        </w:rPr>
        <w:t>Policy for External Auditing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E93BAC"/>
          <w:sz w:val="20"/>
        </w:rPr>
      </w:pPr>
      <w:r>
        <w:rPr>
          <w:rFonts w:ascii="Arial" w:hAnsi="Arial"/>
          <w:b/>
          <w:i w:val="false"/>
          <w:caps w:val="false"/>
          <w:smallCaps w:val="false"/>
          <w:color w:val="E93BAC"/>
          <w:sz w:val="20"/>
        </w:rPr>
        <w:t>Fees</w:t>
      </w:r>
    </w:p>
    <w:p>
      <w:pPr>
        <w:pStyle w:val="TextBody"/>
        <w:bidi w:val="0"/>
        <w:spacing w:before="0" w:after="0"/>
        <w:ind w:left="0" w:right="0" w:hanging="0"/>
        <w:jc w:val="left"/>
        <w:rPr>
          <w:caps w:val="false"/>
          <w:smallCaps w:val="false"/>
          <w:color w:val="E93BAC"/>
        </w:rPr>
      </w:pPr>
      <w:r>
        <w:rPr>
          <w:caps w:val="false"/>
          <w:smallCaps w:val="false"/>
          <w:color w:val="E93BAC"/>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Auditing Committee has set limits for payments to external auditors for “Taxes” and “Other” services. These payments may not exceed 35% of the total paid in a fiscal year. The Committee has the authority to change this limit to meet the needs of the corporation and to compensate independent auditors for highly complex services. Additionally, when the Committees considers it necessary to approve an exception, it assesses whether the service required is consistent with the rules for Independence for external auditors as defined by the United States Securities and Exchange Commission. For the years ending 2023, 2022 and 2021, payments for services related to “Taxes” and “Others” represented 12%, 3% and 4%, respectively of all fees paid to external auditors.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E93BAC"/>
          <w:sz w:val="20"/>
        </w:rPr>
      </w:pPr>
      <w:r>
        <w:rPr>
          <w:rFonts w:ascii="Arial" w:hAnsi="Arial"/>
          <w:b/>
          <w:i w:val="false"/>
          <w:caps w:val="false"/>
          <w:smallCaps w:val="false"/>
          <w:color w:val="E93BAC"/>
          <w:sz w:val="20"/>
        </w:rPr>
        <w:t>Competencies and Rotation</w:t>
      </w:r>
    </w:p>
    <w:p>
      <w:pPr>
        <w:pStyle w:val="TextBody"/>
        <w:bidi w:val="0"/>
        <w:spacing w:before="0" w:after="0"/>
        <w:ind w:left="0" w:right="0" w:hanging="0"/>
        <w:jc w:val="left"/>
        <w:rPr>
          <w:caps w:val="false"/>
          <w:smallCaps w:val="false"/>
          <w:color w:val="E93BAC"/>
        </w:rPr>
      </w:pPr>
      <w:r>
        <w:rPr>
          <w:caps w:val="false"/>
          <w:smallCaps w:val="false"/>
          <w:color w:val="E93BAC"/>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Auditing Committee must high the best qualified external auditors by considering: the firm’s prestige and whether the service can improve Credicorp’s ability to manage and control risks as well as improve the quality of its auditing. The Auditing Committee is informed if external auditors fulfill standards for rotation of team members. These standards require that the partner responsible for auditing and/or the concurring partner are changed every five (05)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*For more information, visit the “</w:t>
      </w:r>
      <w:r>
        <w:rPr>
          <w:rFonts w:ascii="Arial" w:hAnsi="Arial"/>
          <w:b w:val="false"/>
          <w:i w:val="false"/>
          <w:caps w:val="false"/>
          <w:smallCaps w:val="false"/>
          <w:color w:val="0462C1"/>
          <w:sz w:val="20"/>
          <w:u w:val="single"/>
        </w:rPr>
        <w:t>CG documents</w:t>
      </w:r>
      <w:r>
        <w:rPr>
          <w:rFonts w:ascii="Arial" w:hAnsi="Arial"/>
          <w:b w:val="false"/>
          <w:i w:val="false"/>
          <w:caps w:val="false"/>
          <w:smallCaps w:val="false"/>
          <w:sz w:val="20"/>
        </w:rPr>
        <w:t>” section of our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sz w:val="26"/>
        </w:rPr>
      </w:pPr>
      <w:r>
        <w:rPr>
          <w:rFonts w:ascii="Arial" w:hAnsi="Arial"/>
          <w:b/>
          <w:i w:val="false"/>
          <w:caps w:val="false"/>
          <w:smallCaps w:val="false"/>
          <w:sz w:val="26"/>
        </w:rPr>
        <w:t>Tax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To ensure that the administration of each of the Companies of the Credicorp Group, herewith EGC, applies and executes tax practices that reflect strict compliance with current legislation and act with transparency, clarity, order and coherence to fulfill the formal and substantial tax obligations responsibly and efficiently while promoting cooperative relations with different tax authorities. Our Tax Policy provides details on a series of principles and procedures that govern EGC, employees and managers of the Group. It also indicates which individuals are responsible for the process to ensure compliance with the policy and its scope.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E93BAC"/>
          <w:sz w:val="20"/>
        </w:rPr>
      </w:pPr>
      <w:r>
        <w:rPr>
          <w:rFonts w:ascii="Arial" w:hAnsi="Arial"/>
          <w:b/>
          <w:i w:val="false"/>
          <w:caps w:val="false"/>
          <w:smallCaps w:val="false"/>
          <w:color w:val="E93BAC"/>
          <w:sz w:val="20"/>
        </w:rPr>
        <w:t>Principles</w:t>
      </w:r>
    </w:p>
    <w:p>
      <w:pPr>
        <w:pStyle w:val="TextBody"/>
        <w:bidi w:val="0"/>
        <w:spacing w:before="0" w:after="0"/>
        <w:ind w:left="0" w:right="0" w:hanging="0"/>
        <w:jc w:val="left"/>
        <w:rPr>
          <w:caps w:val="false"/>
          <w:smallCaps w:val="false"/>
          <w:color w:val="E93BAC"/>
        </w:rPr>
      </w:pPr>
      <w:r>
        <w:rPr>
          <w:caps w:val="false"/>
          <w:smallCaps w:val="false"/>
          <w:color w:val="E93BAC"/>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Compliance with the tax obligations of EGC, as well as its relations with the Tax Administration in the countries in which each operates, is governed by the following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a)  Compliance with tax rules in the different countries and territories in which the EGC operate.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b)  Adopt business decisions based on reasonable interpretation.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c)  Mitigate tax risks, ensuring that taxation is adequately aligned with the business activity developed by each EGC.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d)  Collaboration with tax authorities is based on respect for the law, trust, collaboration and good faith, notwithstanding legitimate controversies that, respecting the aforementioned principles and in defense of social interests may arise with said authorities due to a difference in interpretation of applicable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e)  Transfers of operations to entities of the group that may be residents of countries with low or no tax impositions and/or will not be promoted; additionally, structures will not be designed for operations with the sole purpose of originating a lower tax burden </w:t>
      </w:r>
    </w:p>
    <w:p>
      <w:pPr>
        <w:pStyle w:val="TextBody"/>
        <w:bidi w:val="0"/>
        <w:spacing w:before="200" w:after="20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For more information, visit the section of our web “Corporate Governance Documents”. It is important to note that through Alerta GenETICA (See section: “Alerta GenETICA – Our Ethics Line”), people can report incidents that breach our tax practices and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E93BAC"/>
          <w:sz w:val="20"/>
        </w:rPr>
      </w:pPr>
      <w:r>
        <w:rPr>
          <w:rFonts w:ascii="Arial" w:hAnsi="Arial"/>
          <w:b/>
          <w:i w:val="false"/>
          <w:caps w:val="false"/>
          <w:smallCaps w:val="false"/>
          <w:color w:val="E93BAC"/>
          <w:sz w:val="20"/>
        </w:rPr>
        <w:t>Individuals in charge</w:t>
      </w:r>
    </w:p>
    <w:p>
      <w:pPr>
        <w:pStyle w:val="TextBody"/>
        <w:bidi w:val="0"/>
        <w:spacing w:before="0" w:after="0"/>
        <w:ind w:left="0" w:right="0" w:hanging="0"/>
        <w:jc w:val="left"/>
        <w:rPr>
          <w:caps w:val="false"/>
          <w:smallCaps w:val="false"/>
          <w:color w:val="E93BAC"/>
        </w:rPr>
      </w:pPr>
      <w:r>
        <w:rPr>
          <w:caps w:val="false"/>
          <w:smallCaps w:val="false"/>
          <w:color w:val="E93BAC"/>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The General Management of each EGC will be in charge of ensuring compliance with this Policy and will actively and permanently participate in work to advance on this front. General Management, where applicable, will request an opinion from the units responsible for legal and/tax matters at each EGC or from external tax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26"/>
        </w:rPr>
      </w:pPr>
      <w:r>
        <w:rPr>
          <w:rFonts w:ascii="Arial" w:hAnsi="Arial"/>
          <w:b/>
          <w:i w:val="false"/>
          <w:caps w:val="false"/>
          <w:smallCaps w:val="false"/>
          <w:sz w:val="26"/>
        </w:rPr>
        <w:t>Country by country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Credicorp Ltd. Must prepare a country-by-country for the group’s fiscal year, which beginning on or after January 1, 2016, and present said report to the tax authority in the jurisdiction where the company has its tax domicile within the 12 months following the end of the fiscal year, according to the current OECD framework: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color w:val="0462C1"/>
          <w:sz w:val="20"/>
          <w:u w:val="single"/>
        </w:rPr>
      </w:pPr>
      <w:r>
        <w:rPr>
          <w:rFonts w:ascii="Arial" w:hAnsi="Arial"/>
          <w:b w:val="false"/>
          <w:i w:val="false"/>
          <w:caps w:val="false"/>
          <w:smallCaps w:val="false"/>
          <w:color w:val="0462C1"/>
          <w:sz w:val="20"/>
          <w:u w:val="single"/>
        </w:rPr>
        <w:t>https://www.oecd.org/tax/beps/country-by-country-reporting-handbook-on-effective-implementation.pdf</w:t>
      </w:r>
    </w:p>
    <w:p>
      <w:pPr>
        <w:pStyle w:val="TextBody"/>
        <w:bidi w:val="0"/>
        <w:spacing w:before="0" w:after="0"/>
        <w:ind w:left="0" w:right="0" w:hanging="0"/>
        <w:jc w:val="left"/>
        <w:rPr>
          <w:caps w:val="false"/>
          <w:smallCaps w:val="false"/>
          <w:color w:val="0462C1"/>
        </w:rPr>
      </w:pPr>
      <w:r>
        <w:rPr>
          <w:caps w:val="false"/>
          <w:smallCaps w:val="false"/>
          <w:color w:val="0462C1"/>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In compliance with the aforementioned, Credicorp Ltd. presented a country-by-country report to the regulator in Bermuda for the period corresponding to FY 2022 in December 15, 2023, The country-by-country report was also presented to the tax regulator in Peru, SUNAT (National Superintendence for Customs and Tax Administration) in October 23, 2023 </w:t>
      </w:r>
    </w:p>
    <w:p>
      <w:pPr>
        <w:pStyle w:val="TextBody"/>
        <w:bidi w:val="0"/>
        <w:spacing w:before="200" w:after="20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rFonts w:ascii="Arial" w:hAnsi="Arial"/>
          <w:b/>
          <w:i w:val="false"/>
          <w:caps w:val="false"/>
          <w:smallCaps w:val="false"/>
          <w:sz w:val="36"/>
        </w:rPr>
      </w:pPr>
      <w:bookmarkStart w:id="18" w:name="a011_v1"/>
      <w:bookmarkEnd w:id="18"/>
      <w:r>
        <w:rPr>
          <w:rFonts w:ascii="Arial" w:hAnsi="Arial"/>
          <w:b/>
          <w:i w:val="false"/>
          <w:caps w:val="false"/>
          <w:smallCaps w:val="false"/>
          <w:sz w:val="36"/>
        </w:rPr>
        <w:t>Annexes</w:t>
      </w:r>
    </w:p>
    <w:p>
      <w:pPr>
        <w:pStyle w:val="TextBody"/>
        <w:bidi w:val="0"/>
        <w:spacing w:before="60" w:after="6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sz w:val="28"/>
        </w:rPr>
      </w:pPr>
      <w:r>
        <w:rPr>
          <w:rFonts w:ascii="Arial" w:hAnsi="Arial"/>
          <w:b/>
          <w:i w:val="false"/>
          <w:caps w:val="false"/>
          <w:smallCaps w:val="false"/>
          <w:sz w:val="28"/>
        </w:rPr>
        <w:t>A.  Economic Groups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i/>
          <w:caps w:val="false"/>
          <w:smallCaps w:val="false"/>
          <w:sz w:val="20"/>
        </w:rPr>
        <w:t xml:space="preserve">GRI </w:t>
      </w:r>
      <w:r>
        <w:rPr>
          <w:rFonts w:ascii="Arial" w:hAnsi="Arial"/>
          <w:b w:val="false"/>
          <w:i/>
          <w:caps w:val="false"/>
          <w:smallCaps w:val="false"/>
          <w:sz w:val="20"/>
        </w:rPr>
        <w:t>2-2, 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accordance with the stipulations in Circular 090-2017-SMV, companies that list on the Lima Stock Exchange must produce an Annual Report according to the guidelines set forth in the “Manual to Prepare Annual Reports, Quarterly Reports and other Informative Documents” and in the “Common Rules to Determine the Contents of Informative Documents.” In compliance with the requirements established by the Superintendence of the Securities Market and with those set forth in the aforementioned rules, the following section of our Annual Report contains, among other elements, a brief description of each of the subsidiaries in the Credicorp economic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20"/>
          <w:u w:val="single"/>
        </w:rPr>
      </w:pPr>
      <w:r>
        <w:rPr>
          <w:rFonts w:ascii="Arial" w:hAnsi="Arial"/>
          <w:b/>
          <w:i w:val="false"/>
          <w:caps w:val="false"/>
          <w:smallCaps w:val="false"/>
          <w:sz w:val="20"/>
          <w:u w:val="single"/>
        </w:rPr>
        <w:t>Credicorp Ltd. (“Credicorp”)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Credicorp is a holding company and the main shareholder of Grupo Crédito S.A., Atlantic Security Holding Corporation, Pacífico Compania de Seguros y Reaseguros S.A., Credicorp Capital Ltd. and CCR Inc. Founded in Bermuda in 1995, Credicorp’s principal activity is to manage coordinately the design and execution of its subsidiaries’ business plans to implement universal banking and financial services in Peru while selectively diversifying at the regional level. Credicorp operates mainly through its eight main subsidiaries: Banco de Crédito del Perú S.A., Banco de Crédito de Bolivia S.A., Mibanco, Banco de la Microempresa S.A, Mibanco – Banco de la Microempresa de Colombia S.A., Pacífico Compañía de Seguros y Reaseguros S.A., Prima AFP, Credicorp Capital Ltd. and ASB Bank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sz w:val="26"/>
        </w:rPr>
      </w:pPr>
      <w:r>
        <w:rPr>
          <w:rFonts w:ascii="Arial" w:hAnsi="Arial"/>
          <w:b/>
          <w:i w:val="false"/>
          <w:caps w:val="false"/>
          <w:smallCaps w:val="false"/>
          <w:sz w:val="26"/>
        </w:rPr>
        <w:t>Subsidiary Companies of Credicorp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u w:val="single"/>
        </w:rPr>
      </w:pPr>
      <w:r>
        <w:rPr>
          <w:rFonts w:ascii="Arial" w:hAnsi="Arial"/>
          <w:b w:val="false"/>
          <w:i w:val="false"/>
          <w:caps w:val="false"/>
          <w:smallCaps w:val="false"/>
          <w:sz w:val="20"/>
          <w:u w:val="single"/>
        </w:rPr>
        <w:t>Grupo Crédito 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100% subsidiary of Credicorp. The company's purpose is to engage in all types of commercial activities, investments in securities, buying and selling of stocks and securities, and business in general. Currently, it owns 97.74% of BCP's shares and subsidiaries, 99.99% of PRIMA AFP, 99.99% of Credicorp Peru S.A.C., 99.90% of Grupo Crédito Inversiones S.A., 99.99% of Soluciones en Procesamiento Peru S.A. - Servicorp, 99.91% of Inversiones 2020 S.A., 98.15% of Inversiones Credicorp Bolivia S.A., which in turn has 95.84% of Banco de Crédito de Bolivia S.A., 99.93% of Credifondo Sociedad Administradora de Fondos de Inversión S.A. Bolivia and 99.80% of Credibolsa S.A. Agencia de Bolsa - Bolivia. Furthermore, Grupo Crédito S.A. owns 100.00% of Compañía Incubadora de Soluciones Móviles S.A., 100.00% of Tenpo S.P.A. (formerly Krealo S.P.A.) and subsidiaries, 100% of Krealo Management S.A., 100% of Ventive Servicios De Consultoría España, S.L. and 100% of Yape Market S.A.C.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u w:val="single"/>
        </w:rPr>
      </w:pPr>
      <w:r>
        <w:rPr>
          <w:rFonts w:ascii="Arial" w:hAnsi="Arial"/>
          <w:b w:val="false"/>
          <w:i w:val="false"/>
          <w:caps w:val="false"/>
          <w:smallCaps w:val="false"/>
          <w:sz w:val="20"/>
          <w:u w:val="single"/>
        </w:rPr>
        <w:t>Atlantic Security Holding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This company was incorporated in the Cayman Islands. It is a wholly owned subsidiary of Credicorp. Atlantic Security Holding Corporation owns 100% of the shares of ASB Bank Corp. (formerly Atlantic Security Bank - ASB), Atlantic Security Int. Financial Services Inc., Atlantic Security Private Equity General Partner, Atlantic Private Equity Investment Advisor and 96% of ESIMSA.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u w:val="single"/>
        </w:rPr>
      </w:pPr>
      <w:r>
        <w:rPr>
          <w:rFonts w:ascii="Arial" w:hAnsi="Arial"/>
          <w:b w:val="false"/>
          <w:i w:val="false"/>
          <w:caps w:val="false"/>
          <w:smallCaps w:val="false"/>
          <w:sz w:val="20"/>
          <w:u w:val="single"/>
        </w:rPr>
        <w:t>CCR Inc.</w:t>
      </w:r>
    </w:p>
    <w:p>
      <w:pPr>
        <w:pStyle w:val="TextBody"/>
        <w:bidi w:val="0"/>
        <w:spacing w:before="0" w:after="0"/>
        <w:ind w:left="0" w:right="0" w:hanging="0"/>
        <w:jc w:val="both"/>
        <w:rPr/>
      </w:pPr>
      <w:r>
        <w:rPr/>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This vehicle was established in Bermuda to manage BCP’s securitization transactions in the international market, which are guaranteed by future collections on payment orders for international fund transfers in US Dollars that are received by the foreign banks associated with the Society for Worldwide Interbank Financial Telecommunications (SWIFT). This subsidiary is 100% owned by Credicorp. </w:t>
      </w:r>
    </w:p>
    <w:p>
      <w:pPr>
        <w:pStyle w:val="TextBody"/>
        <w:bidi w:val="0"/>
        <w:spacing w:before="200" w:after="20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rFonts w:ascii="Arial" w:hAnsi="Arial"/>
          <w:b w:val="false"/>
          <w:i w:val="false"/>
          <w:caps w:val="false"/>
          <w:smallCaps w:val="false"/>
          <w:sz w:val="20"/>
          <w:u w:val="single"/>
        </w:rPr>
      </w:pPr>
      <w:r>
        <w:rPr>
          <w:rFonts w:ascii="Arial" w:hAnsi="Arial"/>
          <w:b w:val="false"/>
          <w:i w:val="false"/>
          <w:caps w:val="false"/>
          <w:smallCaps w:val="false"/>
          <w:sz w:val="20"/>
          <w:u w:val="single"/>
        </w:rPr>
        <w:t>Credicorp Capital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Credicorp Capital Ltd is 100% subsidiary of Credicorp, was chartered in Bermuda in 2012. Credicorp Capital Ltd holds 99.99% of the shares of Credicorp Capital Holding Chile S.A.; 100% of Credicorp Capital Holding Colombia S.A.S.; 100% of Credicorp Capital UK Limited; 99.99% of Credicorp Capital Holding Peru S.A.A.; and 100% of Credicorp Capital USA Inc. and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u w:val="single"/>
        </w:rPr>
      </w:pPr>
      <w:r>
        <w:rPr>
          <w:rFonts w:ascii="Arial" w:hAnsi="Arial"/>
          <w:b w:val="false"/>
          <w:i w:val="false"/>
          <w:caps w:val="false"/>
          <w:smallCaps w:val="false"/>
          <w:sz w:val="20"/>
          <w:u w:val="single"/>
        </w:rPr>
        <w:t>Pacífico Compañía de Seguros y Reaseguros 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On August 1, 2017, the merger by absorption between El Pacífico Vida Compañía de Seguros y Reaseguros and El Pacifico Peruano Suiza Compania de Seguros y Reaseguros ("PPS") was carried out, forming the new entity Pacifico Compania de Seguros y Reaseguros S.A., of which Credicorp Ltd. owns 65.20% and Grupo Credito participates with 33.66%.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Pacífico Peruano Suiza Companía de Seguros y Reaseguros ("PPS") was an insurance company that arose from the merger of El Pacífico Compania de Seguros y Reaseguros and Peruano Suiza Compania de Seguros y Reaseguros, companies that had a presence in the Peruvian insurance market for more than 45 years. El Pacifico Vida Compania de Seguros y Reaseguros began operations on January 1, 1997 and had positioned itself as a specialist in this type of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1999, PPS established a new subsidiary called Pacífico S.A. Entidad Prestadora de Salud (Pacifico Salud "EPS"), owning 99.99% of the shares. The main activity of Pacífico Salud comprises the provision of health prevention and recovery services as an alternative to social security. In January 2015, a Joint Venture was established with Banmedica, of which Pacifico Compania de Seguros y Reaseguros S.A. owns 50%, so Pacifico EPS became an associate.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Pacifico Compania de Seguros y Reaseguros S.A. directly owns 48% of Crediseguro S.A. Seguros Personales and 48.04% of Crediseguro S.A. Seguros Generales, both companies domiciled in Bolivia. Likewise, it owns 100% of Pacifico Asiste S.A.C.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u w:val="single"/>
        </w:rPr>
      </w:pPr>
      <w:r>
        <w:rPr>
          <w:rFonts w:ascii="Arial" w:hAnsi="Arial"/>
          <w:b w:val="false"/>
          <w:i w:val="false"/>
          <w:caps w:val="false"/>
          <w:smallCaps w:val="false"/>
          <w:sz w:val="20"/>
          <w:u w:val="single"/>
        </w:rPr>
        <w:t>Krealo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Company incorporated in Bermuda in November 2022, 100% subsidiary of Credicorp. Its purpose is to be a holding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sz w:val="26"/>
        </w:rPr>
      </w:pPr>
      <w:r>
        <w:rPr>
          <w:rFonts w:ascii="Arial" w:hAnsi="Arial"/>
          <w:b/>
          <w:i w:val="false"/>
          <w:caps w:val="false"/>
          <w:smallCaps w:val="false"/>
          <w:sz w:val="26"/>
        </w:rPr>
        <w:t>Subsidiary Companies of the Grupo Crédito 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u w:val="single"/>
        </w:rPr>
      </w:pPr>
      <w:r>
        <w:rPr>
          <w:rFonts w:ascii="Arial" w:hAnsi="Arial"/>
          <w:b w:val="false"/>
          <w:i w:val="false"/>
          <w:caps w:val="false"/>
          <w:smallCaps w:val="false"/>
          <w:sz w:val="20"/>
          <w:u w:val="single"/>
        </w:rPr>
        <w:t>Banco de Crédito del Perú – BCP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BCP is a commercial bank. It was established in Peru in 1889. The Bank´s operations are currently governed by the General Law of the Financial and Insurance Systems and Organic Systems of the SBS. Grupo Credito is the main shareholder; it owns 97.74% of the shares directly. BCP is the largest institution in the Peruvian financial system and is the leading financial service provider.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u w:val="single"/>
        </w:rPr>
      </w:pPr>
      <w:r>
        <w:rPr>
          <w:rFonts w:ascii="Arial" w:hAnsi="Arial"/>
          <w:b w:val="false"/>
          <w:i w:val="false"/>
          <w:caps w:val="false"/>
          <w:smallCaps w:val="false"/>
          <w:sz w:val="20"/>
          <w:u w:val="single"/>
        </w:rPr>
        <w:t>Prima AFP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This company is a private pension fund manager and is 99.99% owned by Grupo Credito S.A. It was founded in 2005. In 2006, Prima AFP acquired 100% of the shares of AFP Union Vida, another pension fund manager, through a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u w:val="single"/>
        </w:rPr>
      </w:pPr>
      <w:r>
        <w:rPr>
          <w:rFonts w:ascii="Arial" w:hAnsi="Arial"/>
          <w:b w:val="false"/>
          <w:i w:val="false"/>
          <w:caps w:val="false"/>
          <w:smallCaps w:val="false"/>
          <w:sz w:val="20"/>
          <w:u w:val="single"/>
        </w:rPr>
        <w:t>Credicorp Perú S.A.C. (ex - Cobranzas y Recuperos S.A.C.)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Credicorp Peru engages in all kinds of commercial activities, investments in securities, buying and selling shares and securities as well as new business development. The company also engages in extra-judicial and judicial collections for all types of credit instruments, securities or overdue loan portfolios that are either acquired or received from affiliated companies or third parties. Grupo Crédito holds 99.99% of the shares in this company. </w:t>
      </w:r>
    </w:p>
    <w:p>
      <w:pPr>
        <w:pStyle w:val="TextBody"/>
        <w:bidi w:val="0"/>
        <w:spacing w:before="200" w:after="20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rFonts w:ascii="Arial" w:hAnsi="Arial"/>
          <w:b w:val="false"/>
          <w:i w:val="false"/>
          <w:caps w:val="false"/>
          <w:smallCaps w:val="false"/>
          <w:sz w:val="20"/>
          <w:u w:val="single"/>
        </w:rPr>
      </w:pPr>
      <w:r>
        <w:rPr>
          <w:rFonts w:ascii="Arial" w:hAnsi="Arial"/>
          <w:b w:val="false"/>
          <w:i w:val="false"/>
          <w:caps w:val="false"/>
          <w:smallCaps w:val="false"/>
          <w:sz w:val="20"/>
          <w:u w:val="single"/>
        </w:rPr>
        <w:t>Inversiones 2020 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Inversiones 2020 is 99.91% subsidiary of Grupo Crédito. It was established in October 1999 and its corporate purpose is to manage and promote the sale of foreclosed real estate properties and/or BCP’s properties. In July 2008, it absorbed the companies Inversiones Conexas y Complementarias S.A. and BCP Sociedad de Proposito Especial.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u w:val="single"/>
        </w:rPr>
      </w:pPr>
      <w:r>
        <w:rPr>
          <w:rFonts w:ascii="Arial" w:hAnsi="Arial"/>
          <w:b w:val="false"/>
          <w:i w:val="false"/>
          <w:caps w:val="false"/>
          <w:smallCaps w:val="false"/>
          <w:sz w:val="20"/>
          <w:u w:val="single"/>
        </w:rPr>
        <w:t>Inversiones Credicorp Bolivia 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This company is a subsidiary of Grupo Crédito, which owns 98.15% of total shares. It was established in February 2013. To date, Inversiones Credicorp Bolivia SA holds 99.93% of the shares of Credifondo SAFI Bolivia, 99.80% of Credibolsa S.A. Agencia de Bolsa (Bolivia), 51.95% of Crediseguro S.A. Seguros Personales, 51.87% of Crediseguros S.A. Seguros Generales, and 95.91% of Banco de Crédito Bolivia 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u w:val="single"/>
        </w:rPr>
        <w:t>Compañía Incubadora de Soluciones Móviles S.A. - Culq</w:t>
      </w:r>
      <w:r>
        <w:rPr>
          <w:rFonts w:ascii="Arial" w:hAnsi="Arial"/>
          <w:b w:val="false"/>
          <w:i w:val="false"/>
          <w:caps w:val="false"/>
          <w:smallCaps w:val="false"/>
          <w:sz w:val="20"/>
        </w:rPr>
        <w:t>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January 2019, Grupo Crédito acquired 91.36% of the shares of this entity. Currently, Currently, Grupo Crédito directly and indirectly owns 100% of the stake. Culqi was created in December 2013. Its main objective is to develop and operate a technological platform for online payments for digital businesses. Through APIs and e-commerce tools, which are designed for software developers, Culqi connects payment venues and platforms (such as credit cards, debit cards and prepaid cards) with websites, mobile applications, chatbots, IVRs, among others. Culqi also develops online payment bridges; onsite payment through POS or other devices; and methods to capture information, including QR.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u w:val="single"/>
        </w:rPr>
      </w:pPr>
      <w:r>
        <w:rPr>
          <w:rFonts w:ascii="Arial" w:hAnsi="Arial"/>
          <w:b w:val="false"/>
          <w:i w:val="false"/>
          <w:caps w:val="false"/>
          <w:smallCaps w:val="false"/>
          <w:sz w:val="20"/>
          <w:u w:val="single"/>
        </w:rPr>
        <w:t>Ventive Servicios De Consultoría España, S.L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In June 2021, Grupo Crédito established Ventive Servicios De Consultoría España, S.L with the purpose of providing consulting services to Credicorp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u w:val="single"/>
        </w:rPr>
      </w:pPr>
      <w:r>
        <w:rPr>
          <w:rFonts w:ascii="Arial" w:hAnsi="Arial"/>
          <w:b w:val="false"/>
          <w:i w:val="false"/>
          <w:caps w:val="false"/>
          <w:smallCaps w:val="false"/>
          <w:sz w:val="20"/>
          <w:u w:val="single"/>
        </w:rPr>
        <w:t>Tenpo S.P.A (antes Krealo S.P.A.)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In January 2019, Grupo Crédito set up Tenpo S.P.A. (formerly Krealo S.P.A.) in Chile to make investments in companies, real estate, and movable assets. Tenpo S.P.A. (formerly Krealo S.P.A.) acquired 100% of Tenpo Technologies S.P.A. (formerly Tenpo S.P.A.), which provides services and sells digital products, computing tools and telecommunication-related products, and 100% of Tenpo Prepago S.A. (formerly Multicaja Prepago S.A.), which issues and operates prepaid cards.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u w:val="single"/>
        </w:rPr>
      </w:pPr>
      <w:r>
        <w:rPr>
          <w:rFonts w:ascii="Arial" w:hAnsi="Arial"/>
          <w:b w:val="false"/>
          <w:i w:val="false"/>
          <w:caps w:val="false"/>
          <w:smallCaps w:val="false"/>
          <w:sz w:val="20"/>
          <w:u w:val="single"/>
        </w:rPr>
        <w:t>Yape Market S.A.C.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In July 2022, Grupo Crédito S.A. established Yape Market S.A.C. and currently owns 99.99% of the company. The business aims to promote and manage sales and placement of products and services through electronic media. It may also engage in activities related to e-commerce, technological platforms, and online advertising.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u w:val="single"/>
        </w:rPr>
      </w:pPr>
      <w:r>
        <w:rPr>
          <w:rFonts w:ascii="Arial" w:hAnsi="Arial"/>
          <w:b w:val="false"/>
          <w:i w:val="false"/>
          <w:caps w:val="false"/>
          <w:smallCaps w:val="false"/>
          <w:sz w:val="20"/>
          <w:u w:val="single"/>
        </w:rPr>
        <w:t>Krealo Management 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Krealo Management S.A. was incorporated in September 2022 with the purpose of being a Peruvian holding company. It currently owns 99.99% of Wally POS S.A.C., 99.99% of Sami Shop S.A.C., and 60.71% of Monokera S.A.S.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u w:val="single"/>
        </w:rPr>
      </w:pPr>
      <w:r>
        <w:rPr>
          <w:rFonts w:ascii="Arial" w:hAnsi="Arial"/>
          <w:b w:val="false"/>
          <w:i w:val="false"/>
          <w:caps w:val="false"/>
          <w:smallCaps w:val="false"/>
          <w:sz w:val="20"/>
          <w:u w:val="single"/>
        </w:rPr>
        <w:t>Joinnus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Joinnus was acquired in March 2023. The company is a subsidiary of Yape Market S.A.C, which currently holds 100% of shares. Joinnus is a digital platform that sells tickets to events and shows. </w:t>
      </w:r>
    </w:p>
    <w:p>
      <w:pPr>
        <w:pStyle w:val="TextBody"/>
        <w:bidi w:val="0"/>
        <w:spacing w:before="200" w:after="20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u w:val="single"/>
        </w:rPr>
        <w:t>Wally POS S.A.C</w:t>
      </w:r>
      <w:r>
        <w:rPr>
          <w:rFonts w:ascii="Arial" w:hAnsi="Arial"/>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Wally POS S.A.C. was acquired in February 2022 with the purpose of facilitating the management of clients' businesses through electronic tools and software that allow for control of key aspects such as electronic invoicing, inventory control, and reporting. Currently, Krealo Management holds 99.99% ownership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u w:val="single"/>
        </w:rPr>
      </w:pPr>
      <w:r>
        <w:rPr>
          <w:rFonts w:ascii="Arial" w:hAnsi="Arial"/>
          <w:b w:val="false"/>
          <w:i w:val="false"/>
          <w:caps w:val="false"/>
          <w:smallCaps w:val="false"/>
          <w:sz w:val="20"/>
          <w:u w:val="single"/>
        </w:rPr>
        <w:t>Sami Shop S.A.C.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Sami Shop S.A.C was acquired in June 2022, and currently, Krealo Management owns 99.99% of the company. It is a company that offers e-commerce platforms to small, medium, and large businesses. It aims to solve the problem that many businesses face when creating an online store that can actually sell, by resolving all the processes of online sales, such as payment methods, integrations with the commerce's own systems, and logistics.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u w:val="single"/>
        </w:rPr>
      </w:pPr>
      <w:r>
        <w:rPr>
          <w:rFonts w:ascii="Arial" w:hAnsi="Arial"/>
          <w:b w:val="false"/>
          <w:i w:val="false"/>
          <w:caps w:val="false"/>
          <w:smallCaps w:val="false"/>
          <w:sz w:val="20"/>
          <w:u w:val="single"/>
        </w:rPr>
        <w:t>Monokera S.A.S.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Monokera S.A.S. was acquired in December 2022, and currently, Krealo Management holds a 59.96% stake in the company. It is a colombian company that offers e-commerce platforms for contracting insurance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u w:val="single"/>
        </w:rPr>
      </w:pPr>
      <w:r>
        <w:rPr>
          <w:rFonts w:ascii="Arial" w:hAnsi="Arial"/>
          <w:b w:val="false"/>
          <w:i w:val="false"/>
          <w:caps w:val="false"/>
          <w:smallCaps w:val="false"/>
          <w:sz w:val="20"/>
          <w:u w:val="single"/>
        </w:rPr>
        <w:t>Monokera Agencia LTDA.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Monokera Agencia LTDA. was created in March 2023 to offer insurance, as well as promote insurance contracts and renewals, on behalf of one or various insurance companies. This endeavor leverages the low-commission model that Monokera SAS has implemented with channels. Currently, 99.9999% of the shares of Monokera Agencia LTDA are held by Monokera SAS and 0.00001% by MKRA S.A.S.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u w:val="single"/>
        </w:rPr>
      </w:pPr>
      <w:r>
        <w:rPr>
          <w:rFonts w:ascii="Arial" w:hAnsi="Arial"/>
          <w:b w:val="false"/>
          <w:i w:val="false"/>
          <w:caps w:val="false"/>
          <w:smallCaps w:val="false"/>
          <w:sz w:val="20"/>
          <w:u w:val="single"/>
        </w:rPr>
        <w:t>MKRA S.A.S.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MKRA S.A.S. was created in February 2023 after Monokera Agencia Ltda. and Monokera SAS joined forces, given that two companies are needed to set up a limited company. 100% of the capital of MKRA S.A.S belongs to Monokera S.A.S. The company has no employees at this time and is legally represented by the legal representative of Monokera S.A.S.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26"/>
        </w:rPr>
      </w:pPr>
      <w:r>
        <w:rPr>
          <w:rFonts w:ascii="Arial" w:hAnsi="Arial"/>
          <w:b/>
          <w:i w:val="false"/>
          <w:caps w:val="false"/>
          <w:smallCaps w:val="false"/>
          <w:sz w:val="26"/>
        </w:rPr>
        <w:t>Subsidiary Companies of Inversiones Credicorp Bolivia S.A</w:t>
      </w:r>
      <w:r>
        <w:rPr>
          <w:rFonts w:ascii="Arial" w:hAnsi="Arial"/>
          <w:b/>
          <w:i w:val="false"/>
          <w:caps w:val="false"/>
          <w:smallCaps w:val="false"/>
          <w:color w:val="585858"/>
          <w:sz w:val="26"/>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u w:val="single"/>
        </w:rPr>
      </w:pPr>
      <w:r>
        <w:rPr>
          <w:rFonts w:ascii="Arial" w:hAnsi="Arial"/>
          <w:b w:val="false"/>
          <w:i w:val="false"/>
          <w:caps w:val="false"/>
          <w:smallCaps w:val="false"/>
          <w:sz w:val="20"/>
          <w:u w:val="single"/>
        </w:rPr>
        <w:t>Banco de Crédito de Bolivia 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Banco de Crédito de Bolivia S.A. is a subsidiary of Inversiones Credicorp Bolivia S.A., which, together with Credicorp, holds 100% of its shares. It was acquired from the Peruvian Government in November 1993, when it was operating under the name Banco Popular S.A. This bank began operations in 1942 as a branch of Banco Popular del Peru.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The Banco de Crédito de Bolivia is a commercial bank that serves clients in the corporate banking, middle market banking and personal banking segments. It differentiates among these segments to serve them more efficiently.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u w:val="single"/>
        </w:rPr>
      </w:pPr>
      <w:r>
        <w:rPr>
          <w:rFonts w:ascii="Arial" w:hAnsi="Arial"/>
          <w:b w:val="false"/>
          <w:i w:val="false"/>
          <w:caps w:val="false"/>
          <w:smallCaps w:val="false"/>
          <w:sz w:val="20"/>
          <w:u w:val="single"/>
        </w:rPr>
        <w:t>Credibolsa S.A. Agencia de Bolsa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This company was chartered on October 21, 1994, in Bolivia. Its purpose is to conduct stock exchange operations through securities trading. Credibolsa S.A. Agencia de Bolsa can also trade securities for third parties; provide advisory and financial consulting services; manage securities portfolios; or represent foreign brokerage firms and foreign natural or legal persons who</w:t>
      </w:r>
    </w:p>
    <w:p>
      <w:pPr>
        <w:pStyle w:val="TextBody"/>
        <w:bidi w:val="0"/>
        <w:spacing w:before="200" w:after="20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engage in activities relative to the securities market. The company can make public offers of securities through issuers, invest in the shares of other companies that provide services that are necessary or complementary to the securities market, among other activities. Inversiones Credicorp Bolivia holds 99.80% of total shares in this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u w:val="single"/>
        </w:rPr>
      </w:pPr>
      <w:r>
        <w:rPr>
          <w:rFonts w:ascii="Arial" w:hAnsi="Arial"/>
          <w:b w:val="false"/>
          <w:i w:val="false"/>
          <w:caps w:val="false"/>
          <w:smallCaps w:val="false"/>
          <w:sz w:val="20"/>
          <w:u w:val="single"/>
        </w:rPr>
        <w:t>Credifondo SAFI 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This company was chartered on April 7, 2000, in Bolivia to offer investment fund management services. Inversiones Credicorp Bolivia holds 99.93% of the total shares of this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u w:val="single"/>
        </w:rPr>
      </w:pPr>
      <w:r>
        <w:rPr>
          <w:rFonts w:ascii="Arial" w:hAnsi="Arial"/>
          <w:b w:val="false"/>
          <w:i w:val="false"/>
          <w:caps w:val="false"/>
          <w:smallCaps w:val="false"/>
          <w:sz w:val="20"/>
          <w:u w:val="single"/>
        </w:rPr>
        <w:t>Crediseguro S.A. Seguros Personales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Crediseguro S.A. Seguros Personales is a limited company. It was incorporated on January 24, 2012 and its legal domicile is in the city of La Paz – Bolivia. The company’s sole purpose is, in accordance with Insurance Law N° 1883 of June 25,1998, to conduct, on its own account, or for third party accounts or accounts associated with third parties, both in Bolivia and abroad, activities related to personal insurance to insure natural persons, covering services relative to health or physical integrity. For this purpose, the company may engage in all businesses and activities that are related to insurance, co-insurance and reinsurance of persons or businesses that are authorized to operate by entities that work in the personal insurance segment. Inversiones Credicorp Bolivia S.A. owns 51.95% of this company and Pacífico Compania de Seguros y Reaseguros S.A., 48.00%.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u w:val="single"/>
        </w:rPr>
      </w:pPr>
      <w:r>
        <w:rPr>
          <w:rFonts w:ascii="Arial" w:hAnsi="Arial"/>
          <w:b w:val="false"/>
          <w:i w:val="false"/>
          <w:caps w:val="false"/>
          <w:smallCaps w:val="false"/>
          <w:sz w:val="20"/>
          <w:u w:val="single"/>
        </w:rPr>
        <w:t>Crediseguro S.A. Seguros Generales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This company was chartered in La Paz, Bolivia on 2017. Inversiones Credicorp Bolivia S.A. owns 51.87% of the total shares of this entity, and Pacífico Compañia de Seguros y Reaseguros S.A., 48.04%.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26"/>
        </w:rPr>
      </w:pPr>
      <w:r>
        <w:rPr>
          <w:rFonts w:ascii="Arial" w:hAnsi="Arial"/>
          <w:b/>
          <w:i w:val="false"/>
          <w:caps w:val="false"/>
          <w:smallCaps w:val="false"/>
          <w:sz w:val="26"/>
        </w:rPr>
        <w:t>Subsidiary Companies of Atlantic Security Holding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u w:val="single"/>
        </w:rPr>
      </w:pPr>
      <w:r>
        <w:rPr>
          <w:rFonts w:ascii="Arial" w:hAnsi="Arial"/>
          <w:b w:val="false"/>
          <w:i w:val="false"/>
          <w:caps w:val="false"/>
          <w:smallCaps w:val="false"/>
          <w:sz w:val="20"/>
          <w:u w:val="single"/>
        </w:rPr>
        <w:t>ASB Bank Corp, (formerly Atlantic Security Bank – ASB)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This bank was chartered in Cayman Islands in 1981, subsequently, Atlantic Security Bank (ASB) and ASB Bank Corp merged, leaving the latter as the only existing company registered in Panama. ASB Corp. engages in fund management, private banking, proprietary investment management and commercial banking. It is wholly (100%) owned by the Atlantic Security Holding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u w:val="single"/>
        </w:rPr>
      </w:pPr>
      <w:r>
        <w:rPr>
          <w:rFonts w:ascii="Arial" w:hAnsi="Arial"/>
          <w:b w:val="false"/>
          <w:i w:val="false"/>
          <w:caps w:val="false"/>
          <w:smallCaps w:val="false"/>
          <w:sz w:val="20"/>
          <w:u w:val="single"/>
        </w:rPr>
        <w:t>Atlantic Security Private Equity General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This company was established in Cayman Islands to maintain the investment in the Carlyle Peru Fund. It is a wholly (100%) owned subsidiary of the Atlantic Security Holding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u w:val="single"/>
        </w:rPr>
      </w:pPr>
      <w:r>
        <w:rPr>
          <w:rFonts w:ascii="Arial" w:hAnsi="Arial"/>
          <w:b w:val="false"/>
          <w:i w:val="false"/>
          <w:caps w:val="false"/>
          <w:smallCaps w:val="false"/>
          <w:sz w:val="20"/>
          <w:u w:val="single"/>
        </w:rPr>
        <w:t>Atlantic Private Equity Investment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The company was established in Cayman Islands to provide advisory services to the Carlyle Peru Fund. It is a wholly (100%) owned subsidiary of Atlantic Security Holding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u w:val="single"/>
        </w:rPr>
      </w:pPr>
      <w:r>
        <w:rPr>
          <w:rFonts w:ascii="Arial" w:hAnsi="Arial"/>
          <w:b w:val="false"/>
          <w:i w:val="false"/>
          <w:caps w:val="false"/>
          <w:smallCaps w:val="false"/>
          <w:sz w:val="20"/>
          <w:u w:val="single"/>
        </w:rPr>
        <w:t>Atlantic Security International Financial Services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Company incorporated in Panama with the purpose of carrying out financial activities. It is a 100% subsidiary of Atlantic Security Holding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u w:val="single"/>
        </w:rPr>
      </w:pPr>
      <w:r>
        <w:rPr>
          <w:rFonts w:ascii="Arial" w:hAnsi="Arial"/>
          <w:b w:val="false"/>
          <w:i w:val="false"/>
          <w:caps w:val="false"/>
          <w:smallCaps w:val="false"/>
          <w:sz w:val="20"/>
          <w:u w:val="single"/>
        </w:rPr>
        <w:t>ESIMSA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Empresa de Servicios Inmobiliarios y de Mantenimiento S.A. (ESIMSA) is a limited liability company. It was established on October 3, 2012, in La Paz - Bolivia. ASHC holds 96% of the total shares in this entity. </w:t>
      </w:r>
    </w:p>
    <w:p>
      <w:pPr>
        <w:pStyle w:val="TextBody"/>
        <w:bidi w:val="0"/>
        <w:spacing w:before="200" w:after="20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The purpose of this company is to engage in proprietary, third party or third-party associated transactions involving the real estate business and associated activities. The company provides services relative to real estate and movable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u w:val="single"/>
        </w:rPr>
      </w:pPr>
      <w:r>
        <w:rPr>
          <w:rFonts w:ascii="Arial" w:hAnsi="Arial"/>
          <w:b w:val="false"/>
          <w:i w:val="false"/>
          <w:caps w:val="false"/>
          <w:smallCaps w:val="false"/>
          <w:sz w:val="20"/>
          <w:u w:val="single"/>
        </w:rPr>
        <w:t>Credicorp Capital Cayman GP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Company incorporated in Cayman Islands in October 2022 for the purpose of conducting financial activities. It is a 100% subsidiary of Atlantic Security Holding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26"/>
        </w:rPr>
      </w:pPr>
      <w:r>
        <w:rPr>
          <w:rFonts w:ascii="Arial" w:hAnsi="Arial"/>
          <w:b/>
          <w:i w:val="false"/>
          <w:caps w:val="false"/>
          <w:smallCaps w:val="false"/>
          <w:sz w:val="26"/>
        </w:rPr>
        <w:t>Subsidiary Companies of Credicorp Capital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u w:val="single"/>
        </w:rPr>
      </w:pPr>
      <w:r>
        <w:rPr>
          <w:rFonts w:ascii="Arial" w:hAnsi="Arial"/>
          <w:b w:val="false"/>
          <w:i w:val="false"/>
          <w:caps w:val="false"/>
          <w:smallCaps w:val="false"/>
          <w:sz w:val="20"/>
          <w:u w:val="single"/>
        </w:rPr>
        <w:t>Credicorp Capital Holding Chile 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This company was established in Chile in 2012. Credicorp Capital Ltd. owns 99.99% of its shares. Credicorp Capital Holding Chile S.A. owns, in turn, 99.99% of Credicorp Capital Chile.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u w:val="single"/>
        </w:rPr>
      </w:pPr>
      <w:r>
        <w:rPr>
          <w:rFonts w:ascii="Arial" w:hAnsi="Arial"/>
          <w:b w:val="false"/>
          <w:i w:val="false"/>
          <w:caps w:val="false"/>
          <w:smallCaps w:val="false"/>
          <w:sz w:val="20"/>
          <w:u w:val="single"/>
        </w:rPr>
        <w:t>Credicorp Capital Chile 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This company was chartered on October 7, 1985. Its purpose is to engage in all types of investments involving movable and immovable assets, both tangible and intangible, shares, bonds, debentures, and rights or shares in any companies, promissory notes, bills of exchange, certificates of deposit, negotiable documents and, in general, all kinds of transferable securities and commercial effects in addition to issuing common or performance bonds to all types of persons. It holds 99.90% of the shares of Credicorp Capital Asesorias Financieras S.A., 99.95% of Credicorp Capital S.A. Administradora de Inversiones, 99.93% of Credicorp Capital S.A. Corredores de Bolsa, 100% of IM Trust International S.A. and 99.94% of Credicorp Capital Asset Management S.A. Adm. General de Fondos.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u w:val="single"/>
        </w:rPr>
      </w:pPr>
      <w:r>
        <w:rPr>
          <w:rFonts w:ascii="Arial" w:hAnsi="Arial"/>
          <w:b w:val="false"/>
          <w:i w:val="false"/>
          <w:caps w:val="false"/>
          <w:smallCaps w:val="false"/>
          <w:sz w:val="20"/>
          <w:u w:val="single"/>
        </w:rPr>
        <w:t>Credicorp Capital S.A. Corredores de Bolsa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Company established in October 1985 in Santiago, its purpose is exclusively to carry out securities brokerage operations on its own behalf or on behalf of others as a stockbroker, executing all types of operations typical of stockbrokers. Credicorp Capital Chile S.A owns a 99.93% stake.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u w:val="single"/>
        </w:rPr>
      </w:pPr>
      <w:r>
        <w:rPr>
          <w:rFonts w:ascii="Arial" w:hAnsi="Arial"/>
          <w:b w:val="false"/>
          <w:i w:val="false"/>
          <w:caps w:val="false"/>
          <w:smallCaps w:val="false"/>
          <w:sz w:val="20"/>
          <w:u w:val="single"/>
        </w:rPr>
        <w:t>Credicorp Capital Asset Management S.A. Administradora General de Fondos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Company established in September 2003 in Santiago, its exclusive purpose is the administration of third-party resources, in accordance with Law No. 20,712 on Administration of Third-Party Funds and Individual Portfolios, without prejudice to being able to carry out other activities complementary to the business. that are authorized by the Financial Market Commission. Credicorp Capital Chile S.A owns a 99.94% stake.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u w:val="single"/>
        </w:rPr>
      </w:pPr>
      <w:r>
        <w:rPr>
          <w:rFonts w:ascii="Arial" w:hAnsi="Arial"/>
          <w:b w:val="false"/>
          <w:i w:val="false"/>
          <w:caps w:val="false"/>
          <w:smallCaps w:val="false"/>
          <w:sz w:val="20"/>
          <w:u w:val="single"/>
        </w:rPr>
        <w:t>Credicorp Capital Asesorías Financieras 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Public limited company established in November 2006, its purpose is to provide advisory services in financial, accounting, management, and administration matters; the preparation of economic studies and analysis; and the representation and/or advice of natural or legal persons in carrying out transactions or operations of a financial or commercial nature. Credicorp Capital Chile S.A owns a 99.90% stake.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u w:val="single"/>
        </w:rPr>
      </w:pPr>
      <w:r>
        <w:rPr>
          <w:rFonts w:ascii="Arial" w:hAnsi="Arial"/>
          <w:b w:val="false"/>
          <w:i w:val="false"/>
          <w:caps w:val="false"/>
          <w:smallCaps w:val="false"/>
          <w:sz w:val="20"/>
          <w:u w:val="single"/>
        </w:rPr>
        <w:t>Credicorp Capital S.A. Administradora de Inversiones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Company established in November 1987 in Santiago, its purpose is to carry out all types of investments in movable or immovable property, tangible and intangible, bonds, rights, quotas and participations in any type of companies, promissory notes, bills of exchange, certificates of deposit, negotiable documents and, in general, in all types of securities and commercial instruments. Credicorp Capital Chile S.A owns a 99.95% stake. </w:t>
      </w:r>
    </w:p>
    <w:p>
      <w:pPr>
        <w:pStyle w:val="TextBody"/>
        <w:bidi w:val="0"/>
        <w:spacing w:before="200" w:after="20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rFonts w:ascii="Arial" w:hAnsi="Arial"/>
          <w:b w:val="false"/>
          <w:i w:val="false"/>
          <w:caps w:val="false"/>
          <w:smallCaps w:val="false"/>
          <w:sz w:val="20"/>
          <w:u w:val="single"/>
        </w:rPr>
      </w:pPr>
      <w:r>
        <w:rPr>
          <w:rFonts w:ascii="Arial" w:hAnsi="Arial"/>
          <w:b w:val="false"/>
          <w:i w:val="false"/>
          <w:caps w:val="false"/>
          <w:smallCaps w:val="false"/>
          <w:sz w:val="20"/>
          <w:u w:val="single"/>
        </w:rPr>
        <w:t>Credicorp Capital UK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Company incorporated in England in January 2014, with the aim of attracting clients from the United Kingdom. Credicorp Capital Ltd. owns 100% of the stake. It is currently in the process of 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u w:val="single"/>
        </w:rPr>
      </w:pPr>
      <w:r>
        <w:rPr>
          <w:rFonts w:ascii="Arial" w:hAnsi="Arial"/>
          <w:b w:val="false"/>
          <w:i w:val="false"/>
          <w:caps w:val="false"/>
          <w:smallCaps w:val="false"/>
          <w:sz w:val="20"/>
          <w:u w:val="single"/>
        </w:rPr>
        <w:t>Credicorp Capital Holding Perú 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Company established in Peru in June 2015, with the purpose of being the Peruvian Investment Banking Holding. It directly owns 85.35% of Credicorp Capital Perú S.A.A. and Credicorp Capital Ltd. participates in 12.84%.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u w:val="single"/>
        </w:rPr>
      </w:pPr>
      <w:r>
        <w:rPr>
          <w:rFonts w:ascii="Arial" w:hAnsi="Arial"/>
          <w:b w:val="false"/>
          <w:i w:val="false"/>
          <w:caps w:val="false"/>
          <w:smallCaps w:val="false"/>
          <w:sz w:val="20"/>
          <w:u w:val="single"/>
        </w:rPr>
        <w:t>Credicorp Capital Perú S.A.A.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Credicorp Capital Peru S.A.A began its operations in May 2012 and is a subsidiary of Credicorp Capital Holding Peru S.A. and Credicorp Capital Ltd, which hold 85.07% and 12.795% of its shares respectively. Currently, Credicorp Capital Peru S.A.A. holds 99.99% of the shares of Credicorp Capital Sociedad Agente de Bolsa S.A., 99.99% of Credicorp Capital Sociedad Administradora de Fondos, 99.99% of Credicorp Capital Sociedad Titulizadora S.A., and 99.99% of Credicorp Capital Servicios Financieros S.A. In addition, Credicorp Capital Peru S.A.A. also holds 45% of the shares of Fiduciaria 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u w:val="single"/>
        </w:rPr>
      </w:pPr>
      <w:r>
        <w:rPr>
          <w:rFonts w:ascii="Arial" w:hAnsi="Arial"/>
          <w:b w:val="false"/>
          <w:i w:val="false"/>
          <w:caps w:val="false"/>
          <w:smallCaps w:val="false"/>
          <w:sz w:val="20"/>
          <w:u w:val="single"/>
        </w:rPr>
        <w:t>Credicorp Holding Colombia S.A.S.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Company incorporated in Colombia in 2012, Credicorp Capital Ltd. owns 84.75% and Grupo Crédito owns 14.26% of participation. Credicorp Holding Colombia S.A.S. It is also the owner of 92.74% of Credicorp Capital Colombia S.A. (in June 2020 it merged with Ultraserfinco S.A.); 94.93% of Credicorp Capital Fiduciaria S.A.; 100% of Credicorp Negocios Digitales S.A.S.; 100% of Credicorp Capital Servicios S.A.S., 94.90% of Credicorp Capital Corporación Financiera S.A. and 89.11% of Mibanco – Banco de la Microempresa de Colombia S.A. (formerly Banco Share S.A., which in October 2020 merged with Edyficar S.A.S).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u w:val="single"/>
        </w:rPr>
      </w:pPr>
      <w:r>
        <w:rPr>
          <w:rFonts w:ascii="Arial" w:hAnsi="Arial"/>
          <w:b w:val="false"/>
          <w:i w:val="false"/>
          <w:caps w:val="false"/>
          <w:smallCaps w:val="false"/>
          <w:sz w:val="20"/>
          <w:u w:val="single"/>
        </w:rPr>
        <w:t>Credicorp Capital USA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The company was acquired by the Group in November 2019, it is 100% subsidiary of Credicorp Capital Ltd. Also, Credicorp Capital USA Inc. holds 100% of Credicorp Capital Advisors LLC and Credicorp Capital LLC (formerly Ultralat Capital Market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u w:val="single"/>
        </w:rPr>
      </w:pPr>
      <w:r>
        <w:rPr>
          <w:rFonts w:ascii="Arial" w:hAnsi="Arial"/>
          <w:b w:val="false"/>
          <w:i w:val="false"/>
          <w:caps w:val="false"/>
          <w:smallCaps w:val="false"/>
          <w:sz w:val="20"/>
          <w:u w:val="single"/>
        </w:rPr>
        <w:t>Credicorp Capital Asset Management México 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CC Asset Management S.A. was established in March 2022 and has the purpose of promoting foreign financial services and products. It is wholly owned by Credicorp Capital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26"/>
        </w:rPr>
      </w:pPr>
      <w:r>
        <w:rPr>
          <w:rFonts w:ascii="Arial" w:hAnsi="Arial"/>
          <w:b/>
          <w:i w:val="false"/>
          <w:caps w:val="false"/>
          <w:smallCaps w:val="false"/>
          <w:sz w:val="26"/>
        </w:rPr>
        <w:t>Subsidiary Companies of Credicorp Capital Perú S.A.A.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u w:val="single"/>
        </w:rPr>
      </w:pPr>
      <w:r>
        <w:rPr>
          <w:rFonts w:ascii="Arial" w:hAnsi="Arial"/>
          <w:b w:val="false"/>
          <w:i w:val="false"/>
          <w:caps w:val="false"/>
          <w:smallCaps w:val="false"/>
          <w:sz w:val="20"/>
          <w:u w:val="single"/>
        </w:rPr>
        <w:t>Credicorp Capital Sociedad Agente de Bolsa 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This company was established in 1991 in Peru and its one of the main brokerage houses on the Lima Stock Exchange. It offers services to buy and sell securities and actively participates in placing financial instruments. Credicorp Capital Peru S.A.A holds 99.99% of the shares of Credicorp Capital Sociedad Agente de Bolsa 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u w:val="single"/>
        </w:rPr>
      </w:pPr>
      <w:r>
        <w:rPr>
          <w:rFonts w:ascii="Arial" w:hAnsi="Arial"/>
          <w:b w:val="false"/>
          <w:i w:val="false"/>
          <w:caps w:val="false"/>
          <w:smallCaps w:val="false"/>
          <w:sz w:val="20"/>
          <w:u w:val="single"/>
        </w:rPr>
        <w:t>Credicorp Capital S.A. Sociedad Administradora de Fondos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This company is a mutual fund manager and is one of the largest in the system. Credifondo, which was established in 1994, manages different mutual funds that channel clients’ resources to investment opportunities with varying levels of risk and anticipated returns. Credicorp Capital Peru S.A.A. owns 99.99% of its shares. </w:t>
      </w:r>
    </w:p>
    <w:p>
      <w:pPr>
        <w:pStyle w:val="TextBody"/>
        <w:bidi w:val="0"/>
        <w:spacing w:before="200" w:after="20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rFonts w:ascii="Arial" w:hAnsi="Arial"/>
          <w:b w:val="false"/>
          <w:i w:val="false"/>
          <w:caps w:val="false"/>
          <w:smallCaps w:val="false"/>
          <w:sz w:val="20"/>
          <w:u w:val="single"/>
        </w:rPr>
      </w:pPr>
      <w:r>
        <w:rPr>
          <w:rFonts w:ascii="Arial" w:hAnsi="Arial"/>
          <w:b w:val="false"/>
          <w:i w:val="false"/>
          <w:caps w:val="false"/>
          <w:smallCaps w:val="false"/>
          <w:sz w:val="20"/>
          <w:u w:val="single"/>
        </w:rPr>
        <w:t>Credicorp Capital Sociedad Titulizadora 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This is securitization company was established in 1998 and acts as a fiduciary in asset securitization processes. Credititulos acts as a vehicle to purchase assets, which are subsequently transformed into financial products, which are sold on the market. Credicorp Capital Peru S.A.A. owns 99.99% of its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u w:val="single"/>
        </w:rPr>
      </w:pPr>
      <w:r>
        <w:rPr>
          <w:rFonts w:ascii="Arial" w:hAnsi="Arial"/>
          <w:b w:val="false"/>
          <w:i w:val="false"/>
          <w:caps w:val="false"/>
          <w:smallCaps w:val="false"/>
          <w:sz w:val="20"/>
          <w:u w:val="single"/>
        </w:rPr>
        <w:t>Credicorp Capital Servicios Financieros 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company was chartered in Peru in 2012 with the purpose of providing advisory services at the corporate and financial levels. It is a subsidiary of Credicorp Capital Peru, which holds 99.99% of the total shares in this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sz w:val="26"/>
        </w:rPr>
      </w:pPr>
      <w:r>
        <w:rPr>
          <w:rFonts w:ascii="Arial" w:hAnsi="Arial"/>
          <w:b/>
          <w:i w:val="false"/>
          <w:caps w:val="false"/>
          <w:smallCaps w:val="false"/>
          <w:sz w:val="26"/>
        </w:rPr>
        <w:t>Subsidiary Companies of Credicorp Holding Colombia S.A.S.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u w:val="single"/>
        </w:rPr>
      </w:pPr>
      <w:r>
        <w:rPr>
          <w:rFonts w:ascii="Arial" w:hAnsi="Arial"/>
          <w:b w:val="false"/>
          <w:i w:val="false"/>
          <w:caps w:val="false"/>
          <w:smallCaps w:val="false"/>
          <w:sz w:val="20"/>
          <w:u w:val="single"/>
        </w:rPr>
        <w:t>Credicorp Capital Colombia 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This company was chartered in Colombia in 1987 to execute commissions contracts for the purchase and sale of securities. It also conducts transactions for its proprietary account to help stabilize market prices and provide liquidity. Credicorp Capital Colombia S.A. manages its clients’ securities to execute collections on capital and yields for subsequent reinvestment. This company also manages investment funds; provides advisory services in the capital markets; acts as a broker for securities in the National Registry of Securities; manages third-party portfolios and correspondence agreements; and acts as a broker in the foreign exchange market. Credicorp Holding Colombia S.A.S. holds 92.74%, Credicorp Capital Ltd. holds 10.10% and Credicorp Capital Fiduciaria S.A. holds 7.26%.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On June 27, 2020, the merger by absorption between Credicorp Capital Colombia S.A. and Ultraserfinco S.A. was carried out; the latter being extinguished.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u w:val="single"/>
        </w:rPr>
      </w:pPr>
      <w:r>
        <w:rPr>
          <w:rFonts w:ascii="Arial" w:hAnsi="Arial"/>
          <w:b w:val="false"/>
          <w:i w:val="false"/>
          <w:caps w:val="false"/>
          <w:smallCaps w:val="false"/>
          <w:sz w:val="20"/>
          <w:u w:val="single"/>
        </w:rPr>
        <w:t>Credicorp Capital Fiduciaria 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This company was chartered in Colombia on April 25, 2012, with the purpose of executing all or some of the transactions, actions or services relative to its businesses and fiduciary mandates.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Credicorp Holding Colombia S.A.S. holds 94.93% and Credicorp Capital Servicios S.A.S., 5.04%.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u w:val="single"/>
        </w:rPr>
      </w:pPr>
      <w:r>
        <w:rPr>
          <w:rFonts w:ascii="Arial" w:hAnsi="Arial"/>
          <w:b w:val="false"/>
          <w:i w:val="false"/>
          <w:caps w:val="false"/>
          <w:smallCaps w:val="false"/>
          <w:sz w:val="20"/>
          <w:u w:val="single"/>
        </w:rPr>
        <w:t>Mibanco – Banco de la Microempresa Colombia 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40"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This company was chartered on October 23, 1969 through Public Registry No. 8136. Its primary purpose is to engage in all the businesses and transactions permitted for banking establishments under Colombian law, particularly with regard to capturing resources to engage in active loan operations, notwithstanding the transactions and investments contemplated in the applicable regimen and within the conditions or limitations indicated for said effect. The bank’s purpose is to promote the development of the microfinance market in Colombia by providing loans to micro and small businesses. Credicorp Holding Colombia S.A.S. holds 89.11% of the total shares in this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40"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On October 30th, 2020, the merger by absorption between Banco Compartir S.A. and Edyficar S.A.S was carried out, which formed Mibanco - Banco de la Microempresa de Colombia 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u w:val="single"/>
        </w:rPr>
      </w:pPr>
      <w:r>
        <w:rPr>
          <w:rFonts w:ascii="Arial" w:hAnsi="Arial"/>
          <w:b w:val="false"/>
          <w:i w:val="false"/>
          <w:caps w:val="false"/>
          <w:smallCaps w:val="false"/>
          <w:sz w:val="20"/>
          <w:u w:val="single"/>
        </w:rPr>
        <w:t>Credicorp Capital Servicios S.A.S.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Company incorporated in December 2019 in Colombia; its purpose is to carry out commercial activities. Credicorp Holding Colombia S.A.S. owns 100% participation. </w:t>
      </w:r>
    </w:p>
    <w:p>
      <w:pPr>
        <w:pStyle w:val="TextBody"/>
        <w:bidi w:val="0"/>
        <w:spacing w:before="200" w:after="20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rFonts w:ascii="Arial" w:hAnsi="Arial"/>
          <w:b w:val="false"/>
          <w:i w:val="false"/>
          <w:caps w:val="false"/>
          <w:smallCaps w:val="false"/>
          <w:sz w:val="20"/>
          <w:u w:val="single"/>
        </w:rPr>
      </w:pPr>
      <w:r>
        <w:rPr>
          <w:rFonts w:ascii="Arial" w:hAnsi="Arial"/>
          <w:b w:val="false"/>
          <w:i w:val="false"/>
          <w:caps w:val="false"/>
          <w:smallCaps w:val="false"/>
          <w:sz w:val="20"/>
          <w:u w:val="single"/>
        </w:rPr>
        <w:t>Credicorp Negocios Digitales S.A.S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This company was chartered in March 2019 in Colombia to engage in information system development; computer consulting; and administration of information installations. Credicorp Holding Colombia S.A.S. holds 100% of the shares of this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u w:val="single"/>
        </w:rPr>
      </w:pPr>
      <w:r>
        <w:rPr>
          <w:rFonts w:ascii="Arial" w:hAnsi="Arial"/>
          <w:b w:val="false"/>
          <w:i w:val="false"/>
          <w:caps w:val="false"/>
          <w:smallCaps w:val="false"/>
          <w:sz w:val="20"/>
          <w:u w:val="single"/>
        </w:rPr>
        <w:t>Credicorp Capital Corporación Financiera 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This company was established in July 2022 with the purpose of providing financial services such as savings accounts, standardized and OTC derivatives, fixed income operations, and spot currency trading. It is expected to obtain authorization from the Colombian Superintendency of Finance in March 2023. Credicorp Holding Colombia S.A.S. owns 94.90% of the shares, and Credicorp Capital Servicios S.A.S. owns 5.10%.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sz w:val="26"/>
        </w:rPr>
      </w:pPr>
      <w:r>
        <w:rPr>
          <w:rFonts w:ascii="Arial" w:hAnsi="Arial"/>
          <w:b/>
          <w:i w:val="false"/>
          <w:caps w:val="false"/>
          <w:smallCaps w:val="false"/>
          <w:sz w:val="26"/>
        </w:rPr>
        <w:t>Subsidiary Companies of the Banco de Crédito del Peru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u w:val="single"/>
        </w:rPr>
      </w:pPr>
      <w:r>
        <w:rPr>
          <w:rFonts w:ascii="Arial" w:hAnsi="Arial"/>
          <w:b w:val="false"/>
          <w:i w:val="false"/>
          <w:caps w:val="false"/>
          <w:smallCaps w:val="false"/>
          <w:sz w:val="20"/>
          <w:u w:val="single"/>
        </w:rPr>
        <w:t>Mibanco 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40"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Mibanco S.A., is a limited liability company that was established in Peru on March 2nd, 1998. At the end of December 2021, BCP held 94.93% of this entity and Grupo Crédito, 4.99%.The corporate purpose of the bank is to engage in multiple banking services with a special emphasis on the micro and small business segments. The Bank’s operations are governed by the General Law of the Financial System and of Insurance and Organic System of the Superintendence of Banking, Insurance and AFP (herewith “Law of Banking, Insurance and AFP”) – Law N°26702. Mibanco S.A. is authorized by SBS to operate as a bank in accordance with the legal provisions in effect in Peru.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u w:val="single"/>
        </w:rPr>
      </w:pPr>
      <w:r>
        <w:rPr>
          <w:rFonts w:ascii="Arial" w:hAnsi="Arial"/>
          <w:b w:val="false"/>
          <w:i w:val="false"/>
          <w:caps w:val="false"/>
          <w:smallCaps w:val="false"/>
          <w:sz w:val="20"/>
          <w:u w:val="single"/>
        </w:rPr>
        <w:t>Solucion Empresa Administradora Hipotecaria 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This company specializes in offering mortgage loans. It was initially established as a financial company in 1979. After several modifications to the company’s structure, it became a mortgage loan company in May 2010. BCP owns 100% of its shares. </w:t>
      </w:r>
    </w:p>
    <w:p>
      <w:pPr>
        <w:pStyle w:val="TextBody"/>
        <w:bidi w:val="0"/>
        <w:spacing w:before="200" w:after="20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67</w:t>
      </w:r>
    </w:p>
    <w:p>
      <w:pPr>
        <w:pStyle w:val="HorizontalLine"/>
        <w:pBdr>
          <w:bottom w:val="single" w:sz="12" w:space="0" w:color="808080"/>
        </w:pBdr>
        <w:bidi w:val="0"/>
        <w:spacing w:before="200" w:after="200"/>
        <w:jc w:val="left"/>
        <w:rPr/>
      </w:pPr>
      <w:r>
        <w:rPr/>
      </w:r>
    </w:p>
    <w:tbl>
      <w:tblPr>
        <w:tblW w:w="4930" w:type="dxa"/>
        <w:jc w:val="left"/>
        <w:tblInd w:w="0" w:type="dxa"/>
        <w:tblLayout w:type="fixed"/>
        <w:tblCellMar>
          <w:top w:w="0" w:type="dxa"/>
          <w:left w:w="0" w:type="dxa"/>
          <w:bottom w:w="0" w:type="dxa"/>
          <w:right w:w="0" w:type="dxa"/>
        </w:tblCellMar>
      </w:tblPr>
      <w:tblGrid>
        <w:gridCol w:w="320"/>
        <w:gridCol w:w="4610"/>
      </w:tblGrid>
      <w:tr>
        <w:trPr/>
        <w:tc>
          <w:tcPr>
            <w:tcW w:w="320" w:type="dxa"/>
            <w:tcBorders/>
            <w:vAlign w:val="center"/>
          </w:tcPr>
          <w:p>
            <w:pPr>
              <w:pStyle w:val="TableContents"/>
              <w:bidi w:val="0"/>
              <w:spacing w:before="0" w:after="283"/>
              <w:jc w:val="left"/>
              <w:rPr>
                <w:rFonts w:ascii="Arial" w:hAnsi="Arial"/>
                <w:b/>
                <w:i w:val="false"/>
                <w:caps w:val="false"/>
                <w:smallCaps w:val="false"/>
                <w:sz w:val="28"/>
              </w:rPr>
            </w:pPr>
            <w:r>
              <w:rPr>
                <w:rFonts w:ascii="Arial" w:hAnsi="Arial"/>
                <w:b/>
                <w:i w:val="false"/>
                <w:caps w:val="false"/>
                <w:smallCaps w:val="false"/>
                <w:sz w:val="28"/>
              </w:rPr>
              <w:t>B.</w:t>
            </w:r>
          </w:p>
        </w:tc>
        <w:tc>
          <w:tcPr>
            <w:tcW w:w="4610" w:type="dxa"/>
            <w:tcBorders/>
            <w:vAlign w:val="center"/>
          </w:tcPr>
          <w:p>
            <w:pPr>
              <w:pStyle w:val="TableContents"/>
              <w:bidi w:val="0"/>
              <w:spacing w:before="0" w:after="283"/>
              <w:jc w:val="left"/>
              <w:rPr>
                <w:rFonts w:ascii="Arial" w:hAnsi="Arial"/>
                <w:b/>
                <w:i w:val="false"/>
                <w:caps w:val="false"/>
                <w:smallCaps w:val="false"/>
                <w:sz w:val="28"/>
              </w:rPr>
            </w:pPr>
            <w:r>
              <w:rPr>
                <w:rFonts w:ascii="Arial" w:hAnsi="Arial"/>
                <w:b/>
                <w:i w:val="false"/>
                <w:caps w:val="false"/>
                <w:smallCaps w:val="false"/>
                <w:sz w:val="28"/>
              </w:rPr>
              <w:t>Sanctions imposed by regulators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i w:val="false"/>
          <w:caps w:val="false"/>
          <w:smallCaps w:val="false"/>
          <w:sz w:val="20"/>
        </w:rPr>
        <w:t>Material Issues:</w:t>
      </w:r>
      <w:r>
        <w:rPr>
          <w:rFonts w:ascii="Arial" w:hAnsi="Arial"/>
          <w:b w:val="false"/>
          <w:i w:val="false"/>
          <w:caps w:val="false"/>
          <w:smallCaps w:val="false"/>
          <w:sz w:val="20"/>
        </w:rPr>
        <w:t xml:space="preserve"> Government, Ethics and Anti-Corruption</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i w:val="false"/>
          <w:caps w:val="false"/>
          <w:smallCaps w:val="false"/>
          <w:sz w:val="20"/>
        </w:rPr>
        <w:t xml:space="preserve">GRI </w:t>
      </w:r>
      <w:r>
        <w:rPr>
          <w:rFonts w:ascii="Arial" w:hAnsi="Arial"/>
          <w:b w:val="false"/>
          <w:i w:val="false"/>
          <w:caps w:val="false"/>
          <w:smallCaps w:val="false"/>
          <w:sz w:val="20"/>
        </w:rPr>
        <w:t>3-3, 2-27</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i w:val="false"/>
          <w:caps w:val="false"/>
          <w:smallCaps w:val="false"/>
          <w:sz w:val="20"/>
        </w:rPr>
        <w:t xml:space="preserve">SASB </w:t>
      </w:r>
      <w:r>
        <w:rPr>
          <w:rFonts w:ascii="Arial" w:hAnsi="Arial"/>
          <w:b w:val="false"/>
          <w:i w:val="false"/>
          <w:caps w:val="false"/>
          <w:smallCaps w:val="false"/>
          <w:sz w:val="20"/>
        </w:rPr>
        <w:t>FN-CB-510a.1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 xml:space="preserve">Pillar </w:t>
      </w:r>
      <w:r>
        <w:rPr>
          <w:rFonts w:ascii="Arial" w:hAnsi="Arial"/>
          <w:b w:val="false"/>
          <w:i w:val="false"/>
          <w:caps w:val="false"/>
          <w:smallCaps w:val="false"/>
          <w:sz w:val="2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Resolution SBS N°2755-2018, which approves the Regulations for Violations and Sanctions of the Superintendency of Banking, Insurance and AFP (herewith the “SBS Regulation for Violations and Sanctions”) sets forth that the Board must inform the General Shareholders’ Meeting of the sanctions imposed by the Superintendency of Banking, Insurance and AFP (SMBS) on supervised companies, their shareholders, directors, managers, and main officers for commission of serious or very serious violations.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this regard, we must inform you that in the month of January 2023, SBS declared unfounded the appeal filed by Banco de Crédito del Perú against the SBS decision of October 2022, that imposed on the Banco de Credit of Peru a fine of 25 UIT (S/115,000.00) for commiting the following serious infraction: “not evaluating the risks prior to the issuance of new products or services and/or important changes in the business environment , operational or computer” typified in numeral 48 of Section II of Annex 1 of the Regulation of Infractions and Sanctions of the SBS.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August 2023, SBS declared unfounded the appeal filed by Banco de Crédito del Perú against the SBS decision of June 2023, which imposed a fine of 75 UIT (S/ 371,250.00) on Banco de Crédito del Perú, for committing the the following serious infraction: “not complying with the current regulatory framework related to the application of advance payments and/or advance payments” typified in numeral 28 of Section II of Annex 2 of SBS Regulation for Violations and Sanctions; as well as a fine of 60 UIT (S/ 297,000.00) for committing the following serious infraction: “employing business practices that do not comply with the aspects indicated in the current regulatory framework for management of market behavior,” typified in numeral 41 of Section II of Annex 1 of SBS Regulation for Violations and Sanctions.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Additionally, in the month of September 2023, SBS imposed a fine of 25 UIT (S/123,750.00) on Prima AFP S.A. for the commission of the following serious violation: “exceeding the limits, and in the corresponding case, the maximum sub-limits for investment of pension funds set forth in the current regulatory framework” typified in numeral 72 of Section II of Annex 4 of SBS Regulation for Violations and Sanctions.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the month of September 2023, the National Authority for Personal Data Protection imposed a sanction of 9 UIT (S/44,550.00) on Pacifico Compañía de Seguros y Reaseguros S.A for commission of the following serious violation: “failure to comply with the obligation to maintain confidentiality stipulated in article 17 of Law Nº29733,” typified in letter g) of numeral 2 of the Regulation of the Law for Personal Data Protection approved by Supreme Decree N°003-2013-JUS; and applied a sanction of 7.13 UIT (S/35,293.50) for the following serious violation: “not addressing, impeding or creating obstacles to the exercise of the rights of owners of personal data in accordance with that stipulated in Title III of Law Nº29733 and its Regulation” typified in letter a) of numeral 2 of the Regulation of the Law for Personal Data Protection. </w:t>
      </w:r>
    </w:p>
    <w:p>
      <w:pPr>
        <w:pStyle w:val="TextBody"/>
        <w:bidi w:val="0"/>
        <w:spacing w:before="200" w:after="20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68</w:t>
      </w:r>
    </w:p>
    <w:p>
      <w:pPr>
        <w:pStyle w:val="HorizontalLine"/>
        <w:pBdr>
          <w:bottom w:val="single" w:sz="12" w:space="0" w:color="808080"/>
        </w:pBdr>
        <w:bidi w:val="0"/>
        <w:spacing w:before="200" w:after="200"/>
        <w:jc w:val="left"/>
        <w:rPr/>
      </w:pPr>
      <w:r>
        <w:rPr/>
      </w:r>
    </w:p>
    <w:tbl>
      <w:tblPr>
        <w:tblW w:w="2665" w:type="dxa"/>
        <w:jc w:val="left"/>
        <w:tblInd w:w="0" w:type="dxa"/>
        <w:tblLayout w:type="fixed"/>
        <w:tblCellMar>
          <w:top w:w="0" w:type="dxa"/>
          <w:left w:w="0" w:type="dxa"/>
          <w:bottom w:w="0" w:type="dxa"/>
          <w:right w:w="0" w:type="dxa"/>
        </w:tblCellMar>
      </w:tblPr>
      <w:tblGrid>
        <w:gridCol w:w="320"/>
        <w:gridCol w:w="2345"/>
      </w:tblGrid>
      <w:tr>
        <w:trPr/>
        <w:tc>
          <w:tcPr>
            <w:tcW w:w="320" w:type="dxa"/>
            <w:tcBorders/>
            <w:vAlign w:val="center"/>
          </w:tcPr>
          <w:p>
            <w:pPr>
              <w:pStyle w:val="TableContents"/>
              <w:bidi w:val="0"/>
              <w:spacing w:before="0" w:after="283"/>
              <w:jc w:val="left"/>
              <w:rPr>
                <w:rFonts w:ascii="Arial" w:hAnsi="Arial"/>
                <w:b/>
                <w:i w:val="false"/>
                <w:caps w:val="false"/>
                <w:smallCaps w:val="false"/>
                <w:sz w:val="28"/>
              </w:rPr>
            </w:pPr>
            <w:r>
              <w:rPr>
                <w:rFonts w:ascii="Arial" w:hAnsi="Arial"/>
                <w:b/>
                <w:i w:val="false"/>
                <w:caps w:val="false"/>
                <w:smallCaps w:val="false"/>
                <w:sz w:val="28"/>
              </w:rPr>
              <w:t>C.</w:t>
            </w:r>
          </w:p>
        </w:tc>
        <w:tc>
          <w:tcPr>
            <w:tcW w:w="2345" w:type="dxa"/>
            <w:tcBorders/>
            <w:vAlign w:val="center"/>
          </w:tcPr>
          <w:p>
            <w:pPr>
              <w:pStyle w:val="TableContents"/>
              <w:bidi w:val="0"/>
              <w:spacing w:before="0" w:after="283"/>
              <w:jc w:val="left"/>
              <w:rPr>
                <w:rFonts w:ascii="Arial" w:hAnsi="Arial"/>
                <w:b/>
                <w:i w:val="false"/>
                <w:caps w:val="false"/>
                <w:smallCaps w:val="false"/>
                <w:sz w:val="28"/>
              </w:rPr>
            </w:pPr>
            <w:r>
              <w:rPr>
                <w:rFonts w:ascii="Arial" w:hAnsi="Arial"/>
                <w:b/>
                <w:i w:val="false"/>
                <w:caps w:val="false"/>
                <w:smallCaps w:val="false"/>
                <w:sz w:val="28"/>
              </w:rPr>
              <w:t>Legal Processes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i w:val="false"/>
          <w:caps w:val="false"/>
          <w:smallCaps w:val="false"/>
          <w:sz w:val="20"/>
        </w:rPr>
        <w:t>Material issues:</w:t>
      </w:r>
      <w:r>
        <w:rPr>
          <w:rFonts w:ascii="Arial" w:hAnsi="Arial"/>
          <w:b w:val="false"/>
          <w:i w:val="false"/>
          <w:caps w:val="false"/>
          <w:smallCaps w:val="false"/>
          <w:sz w:val="20"/>
        </w:rPr>
        <w:t xml:space="preserve"> Government, Ethics and Anti-Corruption</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i w:val="false"/>
          <w:caps w:val="false"/>
          <w:smallCaps w:val="false"/>
          <w:sz w:val="20"/>
        </w:rPr>
        <w:t xml:space="preserve">GRI </w:t>
      </w:r>
      <w:r>
        <w:rPr>
          <w:rFonts w:ascii="Arial" w:hAnsi="Arial"/>
          <w:b w:val="false"/>
          <w:i w:val="false"/>
          <w:caps w:val="false"/>
          <w:smallCaps w:val="false"/>
          <w:sz w:val="20"/>
        </w:rPr>
        <w:t>2-27</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i w:val="false"/>
          <w:caps w:val="false"/>
          <w:smallCaps w:val="false"/>
          <w:sz w:val="20"/>
        </w:rPr>
        <w:t xml:space="preserve">SASB </w:t>
      </w:r>
      <w:r>
        <w:rPr>
          <w:rFonts w:ascii="Arial" w:hAnsi="Arial"/>
          <w:b w:val="false"/>
          <w:i w:val="false"/>
          <w:caps w:val="false"/>
          <w:smallCaps w:val="false"/>
          <w:sz w:val="20"/>
        </w:rPr>
        <w:t>FN-CB-510a.1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 xml:space="preserve">Pilar </w:t>
      </w:r>
      <w:r>
        <w:rPr>
          <w:rFonts w:ascii="Arial" w:hAnsi="Arial"/>
          <w:b w:val="false"/>
          <w:i w:val="false"/>
          <w:caps w:val="false"/>
          <w:smallCaps w:val="false"/>
          <w:sz w:val="2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Unless indicated in the last section of this paragraph, Credicorp Ltd. is not involved in judicial processes either as a plaintiff or defendant. Nevertheless, Credicorp Ltd. was the subject of an Administrative Sanctioning Procedure, which was initiated by the Superintendence of the Peruvian Securities Market (SMV) at the end of 2019 for failing to provide timely information to the market about the contributions made to political campaigns in 2011 and 2016 (in the latter case, contributions were made by three of the Group’s subsidiaries). Credicorp Ltd. was notified of the ruling of first instance that levied monetary sanctions; Credicorp appealed this ruling. Given that SMV failed to appeal within the timeframes required by law, Credicorp Ltd. has presented a legal recourse (a contentious-administrative action), which was admitted by the competent Court. The Administrative Sanctioning Procedure has ended, and the controversy must be reviewed and decided by the Court. Notwithstanding, Credicorp Ltd. paid the fine imposed by the administrative ruling of the first instance, in compliance with applicable rules. To date, the controversy remains unresolved, and the Court’s review and decision are pending.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Three of Credicorp’s subsidiaries, the Banco de Crédito del Perú, Mibanco and Grupo Pacifico were involved in one Administrative Sanctioning Procedure each. These procedures were initiated by the Superintendence of the Peruvian Securities Market (SMV) at the end of 2019 for the following: failure to timely inform the market of contributions made to the political campaign in 2016. These companies were notified about the rulings of first instance, which levied monetary sanctions. Said administrative rulings of first instance were appealed in a timely manner by each of the companies. Given that the appeals were not resolved by SMV within the timeframes contemplated by law, each of the three subsidiaries has filed a legal recourse (a contentious- administrative action); all three remedies were admitted by the Court. Given that the administrative sanctioning procedures have ended, controversies must be reviewed and decided by the Court. Notwithstanding, each of the three subsidiaries has paid the fine imposed by the administrative ruling in the first instance, in compliance with applicable rules. To date, the controversies have yet to be resolved and are pending review and decision by the Court.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Some of the Group’s subsidiaries are involved in judicial processes and Administrative Sanctioning Procedures. Among the most relevant judicial processes underway, we have the processes for (i) </w:t>
      </w:r>
      <w:r>
        <w:rPr>
          <w:rFonts w:ascii="Arial" w:hAnsi="Arial"/>
          <w:b w:val="false"/>
          <w:i/>
          <w:caps w:val="false"/>
          <w:smallCaps w:val="false"/>
          <w:sz w:val="20"/>
        </w:rPr>
        <w:t>Madoff Trustee Litigation</w:t>
      </w:r>
      <w:r>
        <w:rPr>
          <w:rFonts w:ascii="Arial" w:hAnsi="Arial"/>
          <w:b w:val="false"/>
          <w:i w:val="false"/>
          <w:caps w:val="false"/>
          <w:smallCaps w:val="false"/>
          <w:sz w:val="20"/>
        </w:rPr>
        <w:t xml:space="preserve"> and (ii) </w:t>
      </w:r>
      <w:r>
        <w:rPr>
          <w:rFonts w:ascii="Arial" w:hAnsi="Arial"/>
          <w:b w:val="false"/>
          <w:i/>
          <w:caps w:val="false"/>
          <w:smallCaps w:val="false"/>
          <w:sz w:val="20"/>
        </w:rPr>
        <w:t>Fairfield Litigation</w:t>
      </w:r>
      <w:r>
        <w:rPr>
          <w:rFonts w:ascii="Arial" w:hAnsi="Arial"/>
          <w:b w:val="false"/>
          <w:i w:val="false"/>
          <w:caps w:val="false"/>
          <w:smallCaps w:val="false"/>
          <w:sz w:val="20"/>
        </w:rPr>
        <w:t>, which involve ASB Bank Corp., subsidiary of Credicorp Ltd., as a defendant. For more details, see “Form 20-F 2020” (</w:t>
      </w:r>
      <w:r>
        <w:rPr>
          <w:rFonts w:ascii="Arial" w:hAnsi="Arial"/>
          <w:b w:val="false"/>
          <w:i w:val="false"/>
          <w:caps w:val="false"/>
          <w:smallCaps w:val="false"/>
          <w:color w:val="0462C1"/>
          <w:sz w:val="20"/>
        </w:rPr>
        <w:t>20-F page 268</w:t>
      </w:r>
      <w:r>
        <w:rPr>
          <w:rFonts w:ascii="Arial" w:hAnsi="Arial"/>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It should be noted that through a Material Fact dated January 30, 2024, Credicorp has informed the market that all pending litigation against ASB Bank Corp. before the Bankruptcy Court of the Southern District of the city of New York has been totally and definitively resolved. York, USA. These litigations were related to: (i) The lawsuit filed by Bernard L. Madoff Investment Securities LLC. (“BLMIS”) and the substantially consolidated estate of Bernard L. Madoff (the “Madoff Trustee”) (the “Madoff Claim” or “Madoff Trustee Litigation,” referenced at the beginning of this paragraph), and (ii) The lawsuit brought by Fairfield Sentry Limited. (“Fairfield Sentry”), and his representative, Kenneth Krys (the “Fairfield Liquidator”) (the “Fairfield Lawsuit” or “Fairfield Litigation,” mentioned at the beginning of this paragraph). In the context of said litigation, the Madoff Trustee had sought the recovery of approximately US$120.0 million as principal amount (plus certain fees, costs, interest and expenses) and the Fairfield Liquidator had sought the recovery of approximately US$115.2 million as principal amount (plus certain fees, costs, interest and expenses). On January 30, 2024, (i) the Madoff Trustee and ASB Bank Corp. entered into a settlement and release agreement (the “Madoff Agreement”), and (ii) the Fairfield Liquidator and ASB Bank Corp. simultaneously entered into a settlement and release agreement (the “Fairfield Agreement”), which, without admission of liability, resolves all disputes relating to the Madoff Lawsuit and the Fairfield Lawsuit between ASB Bank Corp., the Madoff Trustee, and the Fairfield Liquidator. Under the terms of the agreements, after the approval of the Madoff Settlement by the Bankruptcy Court, among other things, ASB Bank Corp. will pay the Madoff Trustee the amount of US$42,750,000.00 (for which ASB Bank Corp. and its affiliates are properly provisioned) and the Madoff Trustee and the Fairfield Liquidator will dismiss the Madoff Claim and the Fairfield Claim, as applicable, definitively and without cost to either party. A copy of the Madoff Agreement has been filed with the Bankruptcy Court and is pending approval by the Bankruptcy Court. </w:t>
      </w:r>
    </w:p>
    <w:p>
      <w:pPr>
        <w:pStyle w:val="TextBody"/>
        <w:bidi w:val="0"/>
        <w:spacing w:before="200" w:after="20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addition, Credicorp Ltd. notified the SMV in November 2021 that its Deputy CEO on that date (current CEO), Mr. Gianfranco Ferrari de las Casas, was understood to be under investigation, in the preparatory investigation carried out against Mr. Yehude Simon M. and other sixty-five (65) people, in the preparatory investigation, for alleged primary complicity in the crime against the public administration, aggravated collusion, incompatible negotiation, or improper use of position and criminal organization to the detriment of the Peruvian State , in relation to the financial advisory services provided by the Banco de Crédito del Perú to the Olmos Project. To date, Mr. Gianfranco Ferrari de las Casas continues to be included in the aforementioned preparatory investigation in relation to the Olmos Project. Mr. Ferrari de las Casas has presented, as procedural means of defense, respective exceptions of prescription and inadmissibility of action, with the purpose of being excluded from the criminal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Credicorp Ltd. has carefully reviewed the actions of the officers of the Banco de Credito del Peru with regard to the Proyecto Olmos and has found that the facts under investigation do not imply any liability for our company or its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Credicorp Ltd. bases this vision on the qualified opinion of external consultants specialized in the matter. Therefore, it is considered that the opening of the aforementioned preparatory investigation will not have any impact on the normal functioning of the company, nor will it affect the dedication and performance of its officials in their usual duties.</w:t>
      </w:r>
    </w:p>
    <w:p>
      <w:pPr>
        <w:pStyle w:val="TextBody"/>
        <w:bidi w:val="0"/>
        <w:spacing w:before="200" w:after="20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28"/>
        </w:rPr>
      </w:pPr>
      <w:r>
        <w:rPr>
          <w:rFonts w:ascii="Arial" w:hAnsi="Arial"/>
          <w:b/>
          <w:i w:val="false"/>
          <w:caps w:val="false"/>
          <w:smallCaps w:val="false"/>
          <w:sz w:val="28"/>
        </w:rPr>
        <w:t>D. Superintendent Resolution 119-2017-SMV/02</w:t>
      </w:r>
    </w:p>
    <w:p>
      <w:pPr>
        <w:pStyle w:val="TextBody"/>
        <w:bidi w:val="0"/>
        <w:spacing w:before="0" w:after="0"/>
        <w:ind w:left="0" w:right="0" w:hanging="0"/>
        <w:jc w:val="left"/>
        <w:rPr>
          <w:caps w:val="false"/>
          <w:smallCaps w:val="false"/>
        </w:rPr>
      </w:pPr>
      <w:r>
        <w:rPr>
          <w:caps w:val="false"/>
          <w:smallCaps w:val="false"/>
        </w:rPr>
        <w:t> </w:t>
      </w:r>
    </w:p>
    <w:tbl>
      <w:tblPr>
        <w:tblW w:w="7130" w:type="dxa"/>
        <w:jc w:val="left"/>
        <w:tblInd w:w="-10" w:type="dxa"/>
        <w:tblLayout w:type="fixed"/>
        <w:tblCellMar>
          <w:top w:w="400" w:type="dxa"/>
          <w:left w:w="800" w:type="dxa"/>
          <w:bottom w:w="400" w:type="dxa"/>
          <w:right w:w="800" w:type="dxa"/>
        </w:tblCellMar>
      </w:tblPr>
      <w:tblGrid>
        <w:gridCol w:w="7130"/>
      </w:tblGrid>
      <w:tr>
        <w:trPr/>
        <w:tc>
          <w:tcPr>
            <w:tcW w:w="71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REPORT ON THE SHAREHOLDER STRUCTURE BY INVESTOR TYPE (10190)</w:t>
            </w:r>
          </w:p>
        </w:tc>
      </w:tr>
    </w:tbl>
    <w:p>
      <w:pPr>
        <w:pStyle w:val="TextBody"/>
        <w:bidi w:val="0"/>
        <w:spacing w:before="0" w:after="0"/>
        <w:ind w:left="0" w:right="5528" w:hanging="0"/>
        <w:jc w:val="both"/>
        <w:rPr>
          <w:caps w:val="false"/>
          <w:smallCaps w:val="false"/>
        </w:rPr>
      </w:pPr>
      <w:r>
        <w:rPr>
          <w:caps w:val="false"/>
          <w:smallCaps w:val="false"/>
        </w:rPr>
        <w:t> </w:t>
      </w:r>
    </w:p>
    <w:p>
      <w:pPr>
        <w:pStyle w:val="TextBody"/>
        <w:bidi w:val="0"/>
        <w:spacing w:before="0" w:after="0"/>
        <w:ind w:left="0" w:right="5528" w:hanging="0"/>
        <w:jc w:val="both"/>
        <w:rPr>
          <w:rFonts w:ascii="Arial" w:hAnsi="Arial"/>
          <w:b/>
          <w:i w:val="false"/>
          <w:caps w:val="false"/>
          <w:smallCaps w:val="false"/>
          <w:sz w:val="22"/>
        </w:rPr>
      </w:pPr>
      <w:r>
        <w:rPr>
          <w:rFonts w:ascii="Arial" w:hAnsi="Arial"/>
          <w:b/>
          <w:i w:val="false"/>
          <w:caps w:val="false"/>
          <w:smallCaps w:val="false"/>
          <w:sz w:val="22"/>
        </w:rPr>
        <w:t>Company Name:</w:t>
      </w:r>
    </w:p>
    <w:p>
      <w:pPr>
        <w:pStyle w:val="TextBody"/>
        <w:bidi w:val="0"/>
        <w:spacing w:before="0" w:after="0"/>
        <w:ind w:left="0" w:right="5528" w:hanging="0"/>
        <w:jc w:val="both"/>
        <w:rPr>
          <w:caps w:val="false"/>
          <w:smallCaps w:val="false"/>
        </w:rPr>
      </w:pPr>
      <w:r>
        <w:rPr>
          <w:caps w:val="false"/>
          <w:smallCaps w:val="false"/>
        </w:rPr>
        <w:t> </w:t>
      </w:r>
    </w:p>
    <w:tbl>
      <w:tblPr>
        <w:tblW w:w="1453" w:type="dxa"/>
        <w:jc w:val="left"/>
        <w:tblInd w:w="0" w:type="dxa"/>
        <w:tblLayout w:type="fixed"/>
        <w:tblCellMar>
          <w:top w:w="0" w:type="dxa"/>
          <w:left w:w="0" w:type="dxa"/>
          <w:bottom w:w="0" w:type="dxa"/>
          <w:right w:w="0" w:type="dxa"/>
        </w:tblCellMar>
      </w:tblPr>
      <w:tblGrid>
        <w:gridCol w:w="38"/>
        <w:gridCol w:w="1415"/>
      </w:tblGrid>
      <w:tr>
        <w:trPr/>
        <w:tc>
          <w:tcPr>
            <w:tcW w:w="38" w:type="dxa"/>
            <w:tcBorders/>
            <w:vAlign w:val="center"/>
          </w:tcPr>
          <w:p>
            <w:pPr>
              <w:pStyle w:val="TableContents"/>
              <w:bidi w:val="0"/>
              <w:spacing w:before="0" w:after="283"/>
              <w:jc w:val="left"/>
              <w:rPr>
                <w:sz w:val="4"/>
                <w:szCs w:val="4"/>
              </w:rPr>
            </w:pPr>
            <w:r>
              <w:rPr>
                <w:sz w:val="4"/>
                <w:szCs w:val="4"/>
              </w:rPr>
            </w:r>
          </w:p>
        </w:tc>
        <w:tc>
          <w:tcPr>
            <w:tcW w:w="1415" w:type="dxa"/>
            <w:tcBorders>
              <w:top w:val="single" w:sz="8" w:space="0" w:color="000000"/>
              <w:left w:val="single" w:sz="8" w:space="0" w:color="000000"/>
              <w:bottom w:val="single" w:sz="8" w:space="0" w:color="000000"/>
              <w:right w:val="single" w:sz="8" w:space="0" w:color="000000"/>
            </w:tcBorders>
            <w:tcMar>
              <w:top w:w="160" w:type="dxa"/>
              <w:left w:w="200" w:type="dxa"/>
              <w:bottom w:w="160" w:type="dxa"/>
              <w:right w:w="160" w:type="dxa"/>
            </w:tcMar>
            <w:vAlign w:val="center"/>
          </w:tcPr>
          <w:p>
            <w:pPr>
              <w:pStyle w:val="TableContents"/>
              <w:bidi w:val="0"/>
              <w:spacing w:before="0" w:after="283"/>
              <w:jc w:val="left"/>
              <w:rPr>
                <w:rFonts w:ascii="Arial" w:hAnsi="Arial"/>
                <w:sz w:val="22"/>
              </w:rPr>
            </w:pPr>
            <w:r>
              <w:rPr>
                <w:rFonts w:ascii="Arial" w:hAnsi="Arial"/>
                <w:sz w:val="22"/>
              </w:rPr>
              <w:t>Credicorp Ltd.</w:t>
            </w:r>
          </w:p>
        </w:tc>
      </w:tr>
    </w:tbl>
    <w:p>
      <w:pPr>
        <w:pStyle w:val="TextBody"/>
        <w:bidi w:val="0"/>
        <w:spacing w:before="0" w:after="0"/>
        <w:ind w:left="0" w:right="0" w:firstLine="720"/>
        <w:jc w:val="left"/>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1265"/>
        <w:gridCol w:w="60"/>
        <w:gridCol w:w="515"/>
      </w:tblGrid>
      <w:tr>
        <w:trPr/>
        <w:tc>
          <w:tcPr>
            <w:tcW w:w="1265" w:type="dxa"/>
            <w:tcBorders/>
            <w:vAlign w:val="center"/>
          </w:tcPr>
          <w:p>
            <w:pPr>
              <w:pStyle w:val="TableContents"/>
              <w:bidi w:val="0"/>
              <w:spacing w:before="0" w:after="283"/>
              <w:jc w:val="left"/>
              <w:rPr>
                <w:rFonts w:ascii="Arial" w:hAnsi="Arial"/>
                <w:b/>
                <w:sz w:val="22"/>
              </w:rPr>
            </w:pPr>
            <w:r>
              <w:rPr>
                <w:rFonts w:ascii="Arial" w:hAnsi="Arial"/>
                <w:b/>
                <w:sz w:val="22"/>
              </w:rPr>
              <w:t>Fiscal Year:</w:t>
            </w:r>
          </w:p>
        </w:tc>
        <w:tc>
          <w:tcPr>
            <w:tcW w:w="60" w:type="dxa"/>
            <w:tcBorders/>
            <w:vAlign w:val="center"/>
          </w:tcPr>
          <w:p>
            <w:pPr>
              <w:pStyle w:val="TableContents"/>
              <w:bidi w:val="0"/>
              <w:spacing w:before="0" w:after="283"/>
              <w:jc w:val="left"/>
              <w:rPr/>
            </w:pPr>
            <w:r>
              <w:rPr/>
              <w:t> </w:t>
            </w:r>
          </w:p>
        </w:tc>
        <w:tc>
          <w:tcPr>
            <w:tcW w:w="515" w:type="dxa"/>
            <w:tcBorders>
              <w:top w:val="single" w:sz="8" w:space="0" w:color="000000"/>
              <w:left w:val="single" w:sz="8" w:space="0" w:color="000000"/>
              <w:bottom w:val="single" w:sz="8" w:space="0" w:color="000000"/>
              <w:right w:val="single" w:sz="8" w:space="0" w:color="000000"/>
            </w:tcBorders>
            <w:tcMar>
              <w:top w:w="80" w:type="dxa"/>
              <w:left w:w="120" w:type="dxa"/>
              <w:bottom w:w="80" w:type="dxa"/>
              <w:right w:w="28" w:type="dxa"/>
            </w:tcMar>
            <w:vAlign w:val="center"/>
          </w:tcPr>
          <w:p>
            <w:pPr>
              <w:pStyle w:val="TableContents"/>
              <w:bidi w:val="0"/>
              <w:spacing w:before="0" w:after="283"/>
              <w:jc w:val="left"/>
              <w:rPr>
                <w:rFonts w:ascii="Arial" w:hAnsi="Arial"/>
                <w:sz w:val="22"/>
              </w:rPr>
            </w:pPr>
            <w:r>
              <w:rPr>
                <w:rFonts w:ascii="Arial" w:hAnsi="Arial"/>
                <w:sz w:val="22"/>
              </w:rPr>
              <w:t>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u w:val="single"/>
        </w:rPr>
        <w:t>METODOLOGIA</w:t>
      </w:r>
      <w:r>
        <w:rPr>
          <w:rFonts w:ascii="Arial" w:hAnsi="Arial"/>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217" w:hanging="0"/>
        <w:jc w:val="left"/>
        <w:rPr>
          <w:rFonts w:ascii="Arial" w:hAnsi="Arial"/>
          <w:b w:val="false"/>
          <w:i w:val="false"/>
          <w:caps w:val="false"/>
          <w:smallCaps w:val="false"/>
          <w:sz w:val="20"/>
        </w:rPr>
      </w:pPr>
      <w:r>
        <w:rPr>
          <w:rFonts w:ascii="Arial" w:hAnsi="Arial"/>
          <w:b w:val="false"/>
          <w:i w:val="false"/>
          <w:caps w:val="false"/>
          <w:smallCaps w:val="false"/>
          <w:sz w:val="20"/>
        </w:rPr>
        <w:t>The information to be presented refers to the shares or representative values for participation in a Company that are listed on the S&amp;P/BVL Peru Select Index, in accordance with the information published on the web page of the Lima Stock Exchange at the end of the fiscal year reported.</w:t>
      </w:r>
    </w:p>
    <w:p>
      <w:pPr>
        <w:pStyle w:val="TextBody"/>
        <w:bidi w:val="0"/>
        <w:spacing w:before="0" w:after="0"/>
        <w:ind w:left="0" w:right="217" w:hanging="0"/>
        <w:jc w:val="left"/>
        <w:rPr>
          <w:caps w:val="false"/>
          <w:smallCaps w:val="false"/>
        </w:rPr>
      </w:pPr>
      <w:r>
        <w:rPr>
          <w:caps w:val="false"/>
          <w:smallCaps w:val="false"/>
        </w:rPr>
        <w:t> </w:t>
      </w:r>
    </w:p>
    <w:p>
      <w:pPr>
        <w:pStyle w:val="TextBody"/>
        <w:bidi w:val="0"/>
        <w:spacing w:before="0" w:after="0"/>
        <w:ind w:left="0" w:right="216" w:hanging="0"/>
        <w:jc w:val="left"/>
        <w:rPr>
          <w:rFonts w:ascii="Arial" w:hAnsi="Arial"/>
          <w:b w:val="false"/>
          <w:i w:val="false"/>
          <w:caps w:val="false"/>
          <w:smallCaps w:val="false"/>
          <w:sz w:val="20"/>
        </w:rPr>
      </w:pPr>
      <w:r>
        <w:rPr>
          <w:rFonts w:ascii="Arial" w:hAnsi="Arial"/>
          <w:b w:val="false"/>
          <w:i w:val="false"/>
          <w:caps w:val="false"/>
          <w:smallCaps w:val="false"/>
          <w:sz w:val="20"/>
        </w:rPr>
        <w:t>The Company must indicate, for each share or representative value of the same that is listed on the aforementioned index, the composition of the share structure by shareholder type.</w:t>
      </w:r>
    </w:p>
    <w:p>
      <w:pPr>
        <w:pStyle w:val="TextBody"/>
        <w:bidi w:val="0"/>
        <w:spacing w:before="0" w:after="0"/>
        <w:ind w:left="0" w:right="216"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595959"/>
          <w:sz w:val="28"/>
        </w:rPr>
      </w:pPr>
      <w:r>
        <w:rPr>
          <w:rFonts w:ascii="Arial" w:hAnsi="Arial"/>
          <w:b/>
          <w:i w:val="false"/>
          <w:caps w:val="false"/>
          <w:smallCaps w:val="false"/>
          <w:color w:val="595959"/>
          <w:sz w:val="28"/>
        </w:rPr>
        <w:t>Shareholder Structure by Investor Type:</w:t>
      </w:r>
    </w:p>
    <w:p>
      <w:pPr>
        <w:pStyle w:val="TextBody"/>
        <w:bidi w:val="0"/>
        <w:spacing w:before="0" w:after="0"/>
        <w:ind w:left="0" w:right="0" w:hanging="0"/>
        <w:jc w:val="left"/>
        <w:rPr>
          <w:caps w:val="false"/>
          <w:smallCaps w:val="false"/>
          <w:color w:val="595959"/>
        </w:rPr>
      </w:pPr>
      <w:r>
        <w:rPr>
          <w:caps w:val="false"/>
          <w:smallCaps w:val="false"/>
          <w:color w:val="595959"/>
        </w:rPr>
        <w:t> </w:t>
      </w:r>
    </w:p>
    <w:tbl>
      <w:tblPr>
        <w:tblW w:w="2095" w:type="dxa"/>
        <w:jc w:val="left"/>
        <w:tblInd w:w="0" w:type="dxa"/>
        <w:tblLayout w:type="fixed"/>
        <w:tblCellMar>
          <w:top w:w="0" w:type="dxa"/>
          <w:left w:w="0" w:type="dxa"/>
          <w:bottom w:w="0" w:type="dxa"/>
          <w:right w:w="0" w:type="dxa"/>
        </w:tblCellMar>
      </w:tblPr>
      <w:tblGrid>
        <w:gridCol w:w="635"/>
        <w:gridCol w:w="1460"/>
      </w:tblGrid>
      <w:tr>
        <w:trPr/>
        <w:tc>
          <w:tcPr>
            <w:tcW w:w="635" w:type="dxa"/>
            <w:tcBorders/>
            <w:vAlign w:val="center"/>
          </w:tcPr>
          <w:p>
            <w:pPr>
              <w:pStyle w:val="TableContents"/>
              <w:bidi w:val="0"/>
              <w:spacing w:before="0" w:after="283"/>
              <w:jc w:val="left"/>
              <w:rPr>
                <w:rFonts w:ascii="Arial" w:hAnsi="Arial"/>
                <w:b/>
                <w:sz w:val="20"/>
              </w:rPr>
            </w:pPr>
            <w:r>
              <w:rPr>
                <w:rFonts w:ascii="Arial" w:hAnsi="Arial"/>
                <w:b/>
                <w:sz w:val="20"/>
              </w:rPr>
              <w:t>Share:</w:t>
            </w:r>
          </w:p>
        </w:tc>
        <w:tc>
          <w:tcPr>
            <w:tcW w:w="1460" w:type="dxa"/>
            <w:tcBorders>
              <w:top w:val="single" w:sz="8" w:space="0" w:color="000000"/>
              <w:left w:val="single" w:sz="8" w:space="0" w:color="000000"/>
              <w:bottom w:val="single" w:sz="8" w:space="0" w:color="000000"/>
              <w:right w:val="single" w:sz="8" w:space="0" w:color="000000"/>
            </w:tcBorders>
            <w:tcMar>
              <w:top w:w="80" w:type="dxa"/>
              <w:left w:w="120" w:type="dxa"/>
              <w:bottom w:w="80" w:type="dxa"/>
              <w:right w:w="28" w:type="dxa"/>
            </w:tcMar>
            <w:vAlign w:val="center"/>
          </w:tcPr>
          <w:p>
            <w:pPr>
              <w:pStyle w:val="TableContents"/>
              <w:bidi w:val="0"/>
              <w:spacing w:before="0" w:after="283"/>
              <w:jc w:val="left"/>
              <w:rPr>
                <w:rFonts w:ascii="Arial" w:hAnsi="Arial"/>
                <w:sz w:val="20"/>
              </w:rPr>
            </w:pPr>
            <w:r>
              <w:rPr>
                <w:rFonts w:ascii="Arial" w:hAnsi="Arial"/>
                <w:sz w:val="20"/>
              </w:rPr>
              <w:t>BMG2519Y1084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00" w:type="dxa"/>
          <w:left w:w="108" w:type="dxa"/>
          <w:bottom w:w="100" w:type="dxa"/>
          <w:right w:w="108" w:type="dxa"/>
        </w:tblCellMar>
      </w:tblPr>
      <w:tblGrid>
        <w:gridCol w:w="8005"/>
        <w:gridCol w:w="878"/>
        <w:gridCol w:w="1322"/>
      </w:tblGrid>
      <w:tr>
        <w:trPr/>
        <w:tc>
          <w:tcPr>
            <w:tcW w:w="8005" w:type="dxa"/>
            <w:tcBorders>
              <w:top w:val="single" w:sz="8" w:space="0" w:color="000000"/>
              <w:left w:val="single" w:sz="8" w:space="0" w:color="000000"/>
              <w:bottom w:val="single" w:sz="8" w:space="0" w:color="000000"/>
              <w:right w:val="single" w:sz="8" w:space="0" w:color="000000"/>
            </w:tcBorders>
            <w:shd w:fill="BFBFBF" w:val="cle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Ownership by shareholder type of a share or representative value of participation that is listed on the S&amp;P Peru Selective Index (end of the fiscal year)</w:t>
            </w:r>
          </w:p>
        </w:tc>
        <w:tc>
          <w:tcPr>
            <w:tcW w:w="878" w:type="dxa"/>
            <w:tcBorders>
              <w:top w:val="single" w:sz="8" w:space="0" w:color="000000"/>
              <w:bottom w:val="single" w:sz="8" w:space="0" w:color="000000"/>
              <w:right w:val="single" w:sz="8" w:space="0" w:color="000000"/>
            </w:tcBorders>
            <w:shd w:fill="BFBFBF" w:val="clear"/>
            <w:tcMar>
              <w:left w:w="0" w:type="dxa"/>
            </w:tcMar>
            <w:vAlign w:val="center"/>
          </w:tcPr>
          <w:p>
            <w:pPr>
              <w:pStyle w:val="TableContents"/>
              <w:bidi w:val="0"/>
              <w:spacing w:before="0" w:after="283"/>
              <w:jc w:val="center"/>
              <w:rPr>
                <w:rFonts w:ascii="Arial" w:hAnsi="Arial"/>
                <w:b/>
                <w:i w:val="false"/>
                <w:caps w:val="false"/>
                <w:smallCaps w:val="false"/>
                <w:sz w:val="20"/>
              </w:rPr>
            </w:pPr>
            <w:r>
              <w:rPr>
                <w:rFonts w:ascii="Arial" w:hAnsi="Arial"/>
                <w:b/>
                <w:i w:val="false"/>
                <w:caps w:val="false"/>
                <w:smallCaps w:val="false"/>
                <w:sz w:val="20"/>
              </w:rPr>
              <w:t xml:space="preserve">Number of </w:t>
              <w:br/>
              <w:t>holders</w:t>
            </w:r>
          </w:p>
        </w:tc>
        <w:tc>
          <w:tcPr>
            <w:tcW w:w="1322" w:type="dxa"/>
            <w:tcBorders>
              <w:top w:val="single" w:sz="8" w:space="0" w:color="000000"/>
              <w:bottom w:val="single" w:sz="8" w:space="0" w:color="000000"/>
              <w:right w:val="single" w:sz="8" w:space="0" w:color="000000"/>
            </w:tcBorders>
            <w:shd w:fill="BFBFBF" w:val="clear"/>
            <w:tcMar>
              <w:left w:w="0" w:type="dxa"/>
            </w:tcMar>
            <w:vAlign w:val="center"/>
          </w:tcPr>
          <w:p>
            <w:pPr>
              <w:pStyle w:val="TableContents"/>
              <w:bidi w:val="0"/>
              <w:spacing w:lineRule="auto" w:line="240" w:before="0" w:after="283"/>
              <w:jc w:val="center"/>
              <w:rPr>
                <w:rFonts w:ascii="Arial" w:hAnsi="Arial"/>
                <w:b/>
                <w:i w:val="false"/>
                <w:caps w:val="false"/>
                <w:smallCaps w:val="false"/>
                <w:sz w:val="20"/>
              </w:rPr>
            </w:pPr>
            <w:r>
              <w:rPr>
                <w:rFonts w:ascii="Arial" w:hAnsi="Arial"/>
                <w:b/>
                <w:i w:val="false"/>
                <w:caps w:val="false"/>
                <w:smallCaps w:val="false"/>
                <w:sz w:val="20"/>
              </w:rPr>
              <w:t>% of</w:t>
              <w:br/>
              <w:t>participation (3)</w:t>
            </w:r>
          </w:p>
        </w:tc>
      </w:tr>
      <w:tr>
        <w:trPr/>
        <w:tc>
          <w:tcPr>
            <w:tcW w:w="8005"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uto" w:line="240" w:before="0" w:after="283"/>
              <w:jc w:val="left"/>
              <w:rPr>
                <w:rFonts w:ascii="Arial" w:hAnsi="Arial"/>
                <w:b w:val="false"/>
                <w:i w:val="false"/>
                <w:caps w:val="false"/>
                <w:smallCaps w:val="false"/>
                <w:sz w:val="20"/>
              </w:rPr>
            </w:pPr>
            <w:r>
              <w:rPr>
                <w:rFonts w:ascii="Arial" w:hAnsi="Arial"/>
                <w:b w:val="false"/>
                <w:i w:val="false"/>
                <w:caps w:val="false"/>
                <w:smallCaps w:val="false"/>
                <w:sz w:val="20"/>
              </w:rPr>
              <w:t>1. Members of the board and executive management, including relative (1).</w:t>
            </w:r>
          </w:p>
        </w:tc>
        <w:tc>
          <w:tcPr>
            <w:tcW w:w="8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21</w:t>
            </w:r>
          </w:p>
        </w:tc>
        <w:tc>
          <w:tcPr>
            <w:tcW w:w="13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Arial" w:hAnsi="Arial"/>
                <w:b w:val="false"/>
                <w:i w:val="false"/>
                <w:caps w:val="false"/>
                <w:smallCaps w:val="false"/>
                <w:sz w:val="20"/>
              </w:rPr>
            </w:pPr>
            <w:r>
              <w:rPr>
                <w:rFonts w:ascii="Arial" w:hAnsi="Arial"/>
                <w:b w:val="false"/>
                <w:i w:val="false"/>
                <w:caps w:val="false"/>
                <w:smallCaps w:val="false"/>
                <w:sz w:val="20"/>
              </w:rPr>
              <w:t>0.24%</w:t>
            </w:r>
          </w:p>
        </w:tc>
      </w:tr>
      <w:tr>
        <w:trPr/>
        <w:tc>
          <w:tcPr>
            <w:tcW w:w="80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2. Employees at the company, not included in number 1.</w:t>
            </w:r>
          </w:p>
        </w:tc>
        <w:tc>
          <w:tcPr>
            <w:tcW w:w="8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1,053</w:t>
            </w:r>
          </w:p>
        </w:tc>
        <w:tc>
          <w:tcPr>
            <w:tcW w:w="13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Arial" w:hAnsi="Arial"/>
                <w:b w:val="false"/>
                <w:i w:val="false"/>
                <w:caps w:val="false"/>
                <w:smallCaps w:val="false"/>
                <w:sz w:val="20"/>
              </w:rPr>
            </w:pPr>
            <w:r>
              <w:rPr>
                <w:rFonts w:ascii="Arial" w:hAnsi="Arial"/>
                <w:b w:val="false"/>
                <w:i w:val="false"/>
                <w:caps w:val="false"/>
                <w:smallCaps w:val="false"/>
                <w:sz w:val="20"/>
              </w:rPr>
              <w:t>0.42%</w:t>
            </w:r>
          </w:p>
        </w:tc>
      </w:tr>
      <w:tr>
        <w:trPr/>
        <w:tc>
          <w:tcPr>
            <w:tcW w:w="80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3. Natural person not included in numbers 1 and 2.</w:t>
            </w:r>
          </w:p>
        </w:tc>
        <w:tc>
          <w:tcPr>
            <w:tcW w:w="8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4,294</w:t>
            </w:r>
          </w:p>
        </w:tc>
        <w:tc>
          <w:tcPr>
            <w:tcW w:w="13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Arial" w:hAnsi="Arial"/>
                <w:b w:val="false"/>
                <w:i w:val="false"/>
                <w:caps w:val="false"/>
                <w:smallCaps w:val="false"/>
                <w:sz w:val="20"/>
              </w:rPr>
            </w:pPr>
            <w:r>
              <w:rPr>
                <w:rFonts w:ascii="Arial" w:hAnsi="Arial"/>
                <w:b w:val="false"/>
                <w:i w:val="false"/>
                <w:caps w:val="false"/>
                <w:smallCaps w:val="false"/>
                <w:sz w:val="20"/>
              </w:rPr>
              <w:t>2.98%</w:t>
            </w:r>
          </w:p>
        </w:tc>
      </w:tr>
      <w:tr>
        <w:trPr/>
        <w:tc>
          <w:tcPr>
            <w:tcW w:w="8005" w:type="dxa"/>
            <w:tcBorders>
              <w:left w:val="single" w:sz="8" w:space="0" w:color="000000"/>
              <w:bottom w:val="single" w:sz="8" w:space="0" w:color="000000"/>
              <w:right w:val="single" w:sz="8" w:space="0" w:color="000000"/>
            </w:tcBorders>
            <w:tcMar>
              <w:top w:w="0" w:type="dxa"/>
              <w:bottom w:w="16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4. Pension funds managed by Pension Fund Managers under the supervision of the Superintendence of Banking, Insurance and AFP.</w:t>
            </w:r>
          </w:p>
        </w:tc>
        <w:tc>
          <w:tcPr>
            <w:tcW w:w="878" w:type="dxa"/>
            <w:tcBorders>
              <w:bottom w:val="single" w:sz="8" w:space="0" w:color="000000"/>
              <w:right w:val="single" w:sz="8" w:space="0" w:color="000000"/>
            </w:tcBorders>
            <w:tcMar>
              <w:top w:w="0" w:type="dxa"/>
              <w:left w:w="0" w:type="dxa"/>
              <w:bottom w:w="16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0</w:t>
            </w:r>
          </w:p>
        </w:tc>
        <w:tc>
          <w:tcPr>
            <w:tcW w:w="1322" w:type="dxa"/>
            <w:tcBorders>
              <w:bottom w:val="single" w:sz="8" w:space="0" w:color="000000"/>
              <w:right w:val="single" w:sz="8" w:space="0" w:color="000000"/>
            </w:tcBorders>
            <w:tcMar>
              <w:top w:w="0" w:type="dxa"/>
              <w:left w:w="0" w:type="dxa"/>
              <w:bottom w:w="160" w:type="dxa"/>
            </w:tcMar>
            <w:vAlign w:val="center"/>
          </w:tcPr>
          <w:p>
            <w:pPr>
              <w:pStyle w:val="TableContents"/>
              <w:bidi w:val="0"/>
              <w:spacing w:before="0" w:after="283"/>
              <w:jc w:val="right"/>
              <w:rPr>
                <w:rFonts w:ascii="Arial" w:hAnsi="Arial"/>
                <w:b w:val="false"/>
                <w:i w:val="false"/>
                <w:caps w:val="false"/>
                <w:smallCaps w:val="false"/>
                <w:sz w:val="20"/>
              </w:rPr>
            </w:pPr>
            <w:r>
              <w:rPr>
                <w:rFonts w:ascii="Arial" w:hAnsi="Arial"/>
                <w:b w:val="false"/>
                <w:i w:val="false"/>
                <w:caps w:val="false"/>
                <w:smallCaps w:val="false"/>
                <w:sz w:val="20"/>
              </w:rPr>
              <w:t>0.00%</w:t>
            </w:r>
          </w:p>
        </w:tc>
      </w:tr>
      <w:tr>
        <w:trPr/>
        <w:tc>
          <w:tcPr>
            <w:tcW w:w="8005" w:type="dxa"/>
            <w:tcBorders>
              <w:left w:val="single" w:sz="8" w:space="0" w:color="000000"/>
              <w:bottom w:val="single" w:sz="8" w:space="0" w:color="000000"/>
              <w:right w:val="single" w:sz="8" w:space="0" w:color="000000"/>
            </w:tcBorders>
            <w:tcMar>
              <w:top w:w="0" w:type="dxa"/>
              <w:bottom w:w="16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5. Pension fund managed by the Oficina de Normalizacion Previsional (ONP).</w:t>
            </w:r>
          </w:p>
        </w:tc>
        <w:tc>
          <w:tcPr>
            <w:tcW w:w="878" w:type="dxa"/>
            <w:tcBorders>
              <w:bottom w:val="single" w:sz="8" w:space="0" w:color="000000"/>
              <w:right w:val="single" w:sz="8" w:space="0" w:color="000000"/>
            </w:tcBorders>
            <w:tcMar>
              <w:top w:w="0" w:type="dxa"/>
              <w:left w:w="0" w:type="dxa"/>
              <w:bottom w:w="16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0</w:t>
            </w:r>
          </w:p>
        </w:tc>
        <w:tc>
          <w:tcPr>
            <w:tcW w:w="1322" w:type="dxa"/>
            <w:tcBorders>
              <w:bottom w:val="single" w:sz="8" w:space="0" w:color="000000"/>
              <w:right w:val="single" w:sz="8" w:space="0" w:color="000000"/>
            </w:tcBorders>
            <w:tcMar>
              <w:top w:w="0" w:type="dxa"/>
              <w:left w:w="0" w:type="dxa"/>
              <w:bottom w:w="160" w:type="dxa"/>
            </w:tcMar>
            <w:vAlign w:val="center"/>
          </w:tcPr>
          <w:p>
            <w:pPr>
              <w:pStyle w:val="TableContents"/>
              <w:bidi w:val="0"/>
              <w:spacing w:before="0" w:after="283"/>
              <w:jc w:val="right"/>
              <w:rPr>
                <w:rFonts w:ascii="Arial" w:hAnsi="Arial"/>
                <w:b w:val="false"/>
                <w:i w:val="false"/>
                <w:caps w:val="false"/>
                <w:smallCaps w:val="false"/>
                <w:sz w:val="20"/>
              </w:rPr>
            </w:pPr>
            <w:r>
              <w:rPr>
                <w:rFonts w:ascii="Arial" w:hAnsi="Arial"/>
                <w:b w:val="false"/>
                <w:i w:val="false"/>
                <w:caps w:val="false"/>
                <w:smallCaps w:val="false"/>
                <w:sz w:val="20"/>
              </w:rPr>
              <w:t>0.00%</w:t>
            </w:r>
          </w:p>
        </w:tc>
      </w:tr>
      <w:tr>
        <w:trPr/>
        <w:tc>
          <w:tcPr>
            <w:tcW w:w="80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6. Entities of the Peruvian State with the exception of the assumption included number 5.</w:t>
            </w:r>
          </w:p>
        </w:tc>
        <w:tc>
          <w:tcPr>
            <w:tcW w:w="8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w:t>
            </w:r>
          </w:p>
        </w:tc>
        <w:tc>
          <w:tcPr>
            <w:tcW w:w="13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Arial" w:hAnsi="Arial"/>
                <w:b w:val="false"/>
                <w:i w:val="false"/>
                <w:caps w:val="false"/>
                <w:smallCaps w:val="false"/>
                <w:sz w:val="20"/>
              </w:rPr>
            </w:pPr>
            <w:r>
              <w:rPr>
                <w:rFonts w:ascii="Arial" w:hAnsi="Arial"/>
                <w:b w:val="false"/>
                <w:i w:val="false"/>
                <w:caps w:val="false"/>
                <w:smallCaps w:val="false"/>
                <w:sz w:val="20"/>
              </w:rPr>
              <w:t>0.14%</w:t>
            </w:r>
          </w:p>
        </w:tc>
      </w:tr>
      <w:tr>
        <w:trPr/>
        <w:tc>
          <w:tcPr>
            <w:tcW w:w="80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7. Banks, finance institution, municipal savings and loans, rural savings and loan and cooperatives for savings and loans, under the supervision of the Superintendence of Banking Insurance and AFP.</w:t>
            </w:r>
          </w:p>
        </w:tc>
        <w:tc>
          <w:tcPr>
            <w:tcW w:w="8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w:t>
            </w:r>
          </w:p>
        </w:tc>
        <w:tc>
          <w:tcPr>
            <w:tcW w:w="13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Arial" w:hAnsi="Arial"/>
                <w:b w:val="false"/>
                <w:i w:val="false"/>
                <w:caps w:val="false"/>
                <w:smallCaps w:val="false"/>
                <w:sz w:val="20"/>
              </w:rPr>
            </w:pPr>
            <w:r>
              <w:rPr>
                <w:rFonts w:ascii="Arial" w:hAnsi="Arial"/>
                <w:b w:val="false"/>
                <w:i w:val="false"/>
                <w:caps w:val="false"/>
                <w:smallCaps w:val="false"/>
                <w:sz w:val="20"/>
              </w:rPr>
              <w:t>0.00%</w:t>
            </w:r>
          </w:p>
        </w:tc>
      </w:tr>
      <w:tr>
        <w:trPr/>
        <w:tc>
          <w:tcPr>
            <w:tcW w:w="80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8. Co-Insurance companies under the supervision of the Superintendence of Banking, Insurance and AFP.</w:t>
            </w:r>
          </w:p>
        </w:tc>
        <w:tc>
          <w:tcPr>
            <w:tcW w:w="8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0</w:t>
            </w:r>
          </w:p>
        </w:tc>
        <w:tc>
          <w:tcPr>
            <w:tcW w:w="13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Arial" w:hAnsi="Arial"/>
                <w:b w:val="false"/>
                <w:i w:val="false"/>
                <w:caps w:val="false"/>
                <w:smallCaps w:val="false"/>
                <w:sz w:val="20"/>
              </w:rPr>
            </w:pPr>
            <w:r>
              <w:rPr>
                <w:rFonts w:ascii="Arial" w:hAnsi="Arial"/>
                <w:b w:val="false"/>
                <w:i w:val="false"/>
                <w:caps w:val="false"/>
                <w:smallCaps w:val="false"/>
                <w:sz w:val="20"/>
              </w:rPr>
              <w:t>0.00%</w:t>
            </w:r>
          </w:p>
        </w:tc>
      </w:tr>
      <w:tr>
        <w:trPr/>
        <w:tc>
          <w:tcPr>
            <w:tcW w:w="80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9. Brokerage firms, under the supervision of SMV.</w:t>
            </w:r>
          </w:p>
        </w:tc>
        <w:tc>
          <w:tcPr>
            <w:tcW w:w="8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4</w:t>
            </w:r>
          </w:p>
        </w:tc>
        <w:tc>
          <w:tcPr>
            <w:tcW w:w="13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Arial" w:hAnsi="Arial"/>
                <w:b w:val="false"/>
                <w:i w:val="false"/>
                <w:caps w:val="false"/>
                <w:smallCaps w:val="false"/>
                <w:sz w:val="20"/>
              </w:rPr>
            </w:pPr>
            <w:r>
              <w:rPr>
                <w:rFonts w:ascii="Arial" w:hAnsi="Arial"/>
                <w:b w:val="false"/>
                <w:i w:val="false"/>
                <w:caps w:val="false"/>
                <w:smallCaps w:val="false"/>
                <w:sz w:val="20"/>
              </w:rPr>
              <w:t>0.00%</w:t>
            </w:r>
          </w:p>
        </w:tc>
      </w:tr>
    </w:tbl>
    <w:p>
      <w:pPr>
        <w:pStyle w:val="TextBody"/>
        <w:bidi w:val="0"/>
        <w:jc w:val="left"/>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71</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0" w:type="dxa"/>
          <w:left w:w="108" w:type="dxa"/>
          <w:bottom w:w="100" w:type="dxa"/>
          <w:right w:w="108" w:type="dxa"/>
        </w:tblCellMar>
      </w:tblPr>
      <w:tblGrid>
        <w:gridCol w:w="7564"/>
        <w:gridCol w:w="1141"/>
        <w:gridCol w:w="1500"/>
      </w:tblGrid>
      <w:tr>
        <w:trPr/>
        <w:tc>
          <w:tcPr>
            <w:tcW w:w="7564"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10. Investment funds, mutual funds and trusts covered by the Law for the Securities Market and the Law for Investment Funds and Banking Trusts covered by the General Law for the Financial System.</w:t>
            </w:r>
          </w:p>
        </w:tc>
        <w:tc>
          <w:tcPr>
            <w:tcW w:w="1141" w:type="dxa"/>
            <w:tcBorders>
              <w:bottom w:val="single" w:sz="8" w:space="0" w:color="000000"/>
              <w:right w:val="single" w:sz="8" w:space="0" w:color="000000"/>
            </w:tcBorders>
            <w:tcMar>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21</w:t>
            </w:r>
          </w:p>
        </w:tc>
        <w:tc>
          <w:tcPr>
            <w:tcW w:w="1500" w:type="dxa"/>
            <w:tcBorders>
              <w:bottom w:val="single" w:sz="8" w:space="0" w:color="000000"/>
              <w:right w:val="single" w:sz="8" w:space="0" w:color="000000"/>
            </w:tcBorders>
            <w:tcMar>
              <w:left w:w="0" w:type="dxa"/>
            </w:tcMar>
            <w:vAlign w:val="center"/>
          </w:tcPr>
          <w:p>
            <w:pPr>
              <w:pStyle w:val="TableContents"/>
              <w:bidi w:val="0"/>
              <w:spacing w:before="0" w:after="283"/>
              <w:jc w:val="right"/>
              <w:rPr>
                <w:rFonts w:ascii="Arial" w:hAnsi="Arial"/>
                <w:b w:val="false"/>
                <w:i w:val="false"/>
                <w:caps w:val="false"/>
                <w:smallCaps w:val="false"/>
                <w:sz w:val="20"/>
              </w:rPr>
            </w:pPr>
            <w:r>
              <w:rPr>
                <w:rFonts w:ascii="Arial" w:hAnsi="Arial"/>
                <w:b w:val="false"/>
                <w:i w:val="false"/>
                <w:caps w:val="false"/>
                <w:smallCaps w:val="false"/>
                <w:sz w:val="20"/>
              </w:rPr>
              <w:t>0.63%</w:t>
            </w:r>
          </w:p>
        </w:tc>
      </w:tr>
      <w:tr>
        <w:trPr/>
        <w:tc>
          <w:tcPr>
            <w:tcW w:w="7564"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11. Autonomous equity and banking trust abroad to the extent that the same can be identified.</w:t>
            </w:r>
          </w:p>
        </w:tc>
        <w:tc>
          <w:tcPr>
            <w:tcW w:w="1141" w:type="dxa"/>
            <w:tcBorders>
              <w:bottom w:val="single" w:sz="8" w:space="0" w:color="000000"/>
              <w:right w:val="single" w:sz="8" w:space="0" w:color="000000"/>
            </w:tcBorders>
            <w:tcMar>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0</w:t>
            </w:r>
          </w:p>
        </w:tc>
        <w:tc>
          <w:tcPr>
            <w:tcW w:w="1500" w:type="dxa"/>
            <w:tcBorders>
              <w:bottom w:val="single" w:sz="8" w:space="0" w:color="000000"/>
              <w:right w:val="single" w:sz="8" w:space="0" w:color="000000"/>
            </w:tcBorders>
            <w:tcMar>
              <w:left w:w="0" w:type="dxa"/>
            </w:tcMar>
            <w:vAlign w:val="center"/>
          </w:tcPr>
          <w:p>
            <w:pPr>
              <w:pStyle w:val="TableContents"/>
              <w:bidi w:val="0"/>
              <w:spacing w:before="0" w:after="283"/>
              <w:jc w:val="right"/>
              <w:rPr>
                <w:rFonts w:ascii="Arial" w:hAnsi="Arial"/>
                <w:b w:val="false"/>
                <w:i w:val="false"/>
                <w:caps w:val="false"/>
                <w:smallCaps w:val="false"/>
                <w:sz w:val="20"/>
              </w:rPr>
            </w:pPr>
            <w:r>
              <w:rPr>
                <w:rFonts w:ascii="Arial" w:hAnsi="Arial"/>
                <w:b w:val="false"/>
                <w:i w:val="false"/>
                <w:caps w:val="false"/>
                <w:smallCaps w:val="false"/>
                <w:sz w:val="20"/>
              </w:rPr>
              <w:t>0.00%</w:t>
            </w:r>
          </w:p>
        </w:tc>
      </w:tr>
      <w:tr>
        <w:trPr/>
        <w:tc>
          <w:tcPr>
            <w:tcW w:w="7564"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12. Foreign depositaries that figure as shareholders in the framework of ADR or ADS programs.</w:t>
            </w:r>
          </w:p>
        </w:tc>
        <w:tc>
          <w:tcPr>
            <w:tcW w:w="1141" w:type="dxa"/>
            <w:tcBorders>
              <w:bottom w:val="single" w:sz="8" w:space="0" w:color="000000"/>
              <w:right w:val="single" w:sz="8" w:space="0" w:color="000000"/>
            </w:tcBorders>
            <w:tcMar>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0</w:t>
            </w:r>
          </w:p>
        </w:tc>
        <w:tc>
          <w:tcPr>
            <w:tcW w:w="1500" w:type="dxa"/>
            <w:tcBorders>
              <w:bottom w:val="single" w:sz="8" w:space="0" w:color="000000"/>
              <w:right w:val="single" w:sz="8" w:space="0" w:color="000000"/>
            </w:tcBorders>
            <w:tcMar>
              <w:left w:w="0" w:type="dxa"/>
            </w:tcMar>
            <w:vAlign w:val="center"/>
          </w:tcPr>
          <w:p>
            <w:pPr>
              <w:pStyle w:val="TableContents"/>
              <w:bidi w:val="0"/>
              <w:spacing w:before="0" w:after="283"/>
              <w:jc w:val="right"/>
              <w:rPr>
                <w:rFonts w:ascii="Arial" w:hAnsi="Arial"/>
                <w:b w:val="false"/>
                <w:i w:val="false"/>
                <w:caps w:val="false"/>
                <w:smallCaps w:val="false"/>
                <w:sz w:val="20"/>
              </w:rPr>
            </w:pPr>
            <w:r>
              <w:rPr>
                <w:rFonts w:ascii="Arial" w:hAnsi="Arial"/>
                <w:b w:val="false"/>
                <w:i w:val="false"/>
                <w:caps w:val="false"/>
                <w:smallCaps w:val="false"/>
                <w:sz w:val="20"/>
              </w:rPr>
              <w:t>0.00%</w:t>
            </w:r>
          </w:p>
        </w:tc>
      </w:tr>
      <w:tr>
        <w:trPr/>
        <w:tc>
          <w:tcPr>
            <w:tcW w:w="7564"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13. Foreign depositaries that figure as shareholders not included in number 12.</w:t>
            </w:r>
          </w:p>
        </w:tc>
        <w:tc>
          <w:tcPr>
            <w:tcW w:w="1141" w:type="dxa"/>
            <w:tcBorders>
              <w:bottom w:val="single" w:sz="8" w:space="0" w:color="000000"/>
              <w:right w:val="single" w:sz="8" w:space="0" w:color="000000"/>
            </w:tcBorders>
            <w:tcMar>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w:t>
            </w:r>
          </w:p>
        </w:tc>
        <w:tc>
          <w:tcPr>
            <w:tcW w:w="1500" w:type="dxa"/>
            <w:tcBorders>
              <w:bottom w:val="single" w:sz="8" w:space="0" w:color="000000"/>
              <w:right w:val="single" w:sz="8" w:space="0" w:color="000000"/>
            </w:tcBorders>
            <w:tcMar>
              <w:left w:w="0" w:type="dxa"/>
            </w:tcMar>
            <w:vAlign w:val="center"/>
          </w:tcPr>
          <w:p>
            <w:pPr>
              <w:pStyle w:val="TableContents"/>
              <w:bidi w:val="0"/>
              <w:spacing w:before="0" w:after="283"/>
              <w:jc w:val="right"/>
              <w:rPr>
                <w:rFonts w:ascii="Arial" w:hAnsi="Arial"/>
                <w:b w:val="false"/>
                <w:i w:val="false"/>
                <w:caps w:val="false"/>
                <w:smallCaps w:val="false"/>
                <w:sz w:val="20"/>
              </w:rPr>
            </w:pPr>
            <w:r>
              <w:rPr>
                <w:rFonts w:ascii="Arial" w:hAnsi="Arial"/>
                <w:b w:val="false"/>
                <w:i w:val="false"/>
                <w:caps w:val="false"/>
                <w:smallCaps w:val="false"/>
                <w:sz w:val="20"/>
              </w:rPr>
              <w:t>89.69%</w:t>
            </w:r>
          </w:p>
        </w:tc>
      </w:tr>
      <w:tr>
        <w:trPr/>
        <w:tc>
          <w:tcPr>
            <w:tcW w:w="7564"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14. Foreign custodians that figure as shareholders.</w:t>
            </w:r>
          </w:p>
        </w:tc>
        <w:tc>
          <w:tcPr>
            <w:tcW w:w="1141" w:type="dxa"/>
            <w:tcBorders>
              <w:bottom w:val="single" w:sz="8" w:space="0" w:color="000000"/>
              <w:right w:val="single" w:sz="8" w:space="0" w:color="000000"/>
            </w:tcBorders>
            <w:tcMar>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0</w:t>
            </w:r>
          </w:p>
        </w:tc>
        <w:tc>
          <w:tcPr>
            <w:tcW w:w="1500" w:type="dxa"/>
            <w:tcBorders>
              <w:bottom w:val="single" w:sz="8" w:space="0" w:color="000000"/>
              <w:right w:val="single" w:sz="8" w:space="0" w:color="000000"/>
            </w:tcBorders>
            <w:tcMar>
              <w:left w:w="0" w:type="dxa"/>
            </w:tcMar>
            <w:vAlign w:val="center"/>
          </w:tcPr>
          <w:p>
            <w:pPr>
              <w:pStyle w:val="TableContents"/>
              <w:bidi w:val="0"/>
              <w:spacing w:before="0" w:after="283"/>
              <w:jc w:val="right"/>
              <w:rPr>
                <w:rFonts w:ascii="Arial" w:hAnsi="Arial"/>
                <w:b w:val="false"/>
                <w:i w:val="false"/>
                <w:caps w:val="false"/>
                <w:smallCaps w:val="false"/>
                <w:sz w:val="20"/>
              </w:rPr>
            </w:pPr>
            <w:r>
              <w:rPr>
                <w:rFonts w:ascii="Arial" w:hAnsi="Arial"/>
                <w:b w:val="false"/>
                <w:i w:val="false"/>
                <w:caps w:val="false"/>
                <w:smallCaps w:val="false"/>
                <w:sz w:val="20"/>
              </w:rPr>
              <w:t>0.00%</w:t>
            </w:r>
          </w:p>
        </w:tc>
      </w:tr>
      <w:tr>
        <w:trPr/>
        <w:tc>
          <w:tcPr>
            <w:tcW w:w="7564" w:type="dxa"/>
            <w:tcBorders>
              <w:left w:val="single" w:sz="8" w:space="0" w:color="000000"/>
              <w:bottom w:val="single" w:sz="8" w:space="0" w:color="000000"/>
              <w:right w:val="single" w:sz="8" w:space="0" w:color="000000"/>
            </w:tcBorders>
            <w:vAlign w:val="center"/>
          </w:tcPr>
          <w:p>
            <w:pPr>
              <w:pStyle w:val="TableContents"/>
              <w:bidi w:val="0"/>
              <w:spacing w:lineRule="auto" w:line="240" w:before="0" w:after="283"/>
              <w:jc w:val="left"/>
              <w:rPr>
                <w:rFonts w:ascii="Arial" w:hAnsi="Arial"/>
                <w:b w:val="false"/>
                <w:i w:val="false"/>
                <w:caps w:val="false"/>
                <w:smallCaps w:val="false"/>
                <w:sz w:val="20"/>
              </w:rPr>
            </w:pPr>
            <w:r>
              <w:rPr>
                <w:rFonts w:ascii="Arial" w:hAnsi="Arial"/>
                <w:b w:val="false"/>
                <w:i w:val="false"/>
                <w:caps w:val="false"/>
                <w:smallCaps w:val="false"/>
                <w:sz w:val="20"/>
              </w:rPr>
              <w:t>15. Entities not included in the descriptions in the previous numeral (2).</w:t>
            </w:r>
          </w:p>
        </w:tc>
        <w:tc>
          <w:tcPr>
            <w:tcW w:w="1141" w:type="dxa"/>
            <w:tcBorders>
              <w:bottom w:val="single" w:sz="8" w:space="0" w:color="000000"/>
              <w:right w:val="single" w:sz="8" w:space="0" w:color="000000"/>
            </w:tcBorders>
            <w:tcMar>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114</w:t>
            </w:r>
          </w:p>
        </w:tc>
        <w:tc>
          <w:tcPr>
            <w:tcW w:w="1500" w:type="dxa"/>
            <w:tcBorders>
              <w:bottom w:val="single" w:sz="8" w:space="0" w:color="000000"/>
              <w:right w:val="single" w:sz="8" w:space="0" w:color="000000"/>
            </w:tcBorders>
            <w:tcMar>
              <w:left w:w="0" w:type="dxa"/>
            </w:tcMar>
            <w:vAlign w:val="center"/>
          </w:tcPr>
          <w:p>
            <w:pPr>
              <w:pStyle w:val="TableContents"/>
              <w:bidi w:val="0"/>
              <w:spacing w:before="0" w:after="283"/>
              <w:jc w:val="right"/>
              <w:rPr>
                <w:rFonts w:ascii="Arial" w:hAnsi="Arial"/>
                <w:b w:val="false"/>
                <w:i w:val="false"/>
                <w:caps w:val="false"/>
                <w:smallCaps w:val="false"/>
                <w:sz w:val="20"/>
              </w:rPr>
            </w:pPr>
            <w:r>
              <w:rPr>
                <w:rFonts w:ascii="Arial" w:hAnsi="Arial"/>
                <w:b w:val="false"/>
                <w:i w:val="false"/>
                <w:caps w:val="false"/>
                <w:smallCaps w:val="false"/>
                <w:sz w:val="20"/>
              </w:rPr>
              <w:t>5.90%</w:t>
            </w:r>
          </w:p>
        </w:tc>
      </w:tr>
      <w:tr>
        <w:trPr/>
        <w:tc>
          <w:tcPr>
            <w:tcW w:w="7564"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16. Shares on the S&amp;P/BVL Peru Select Index or representative value of these shares in the company’s portfolio.</w:t>
            </w:r>
          </w:p>
        </w:tc>
        <w:tc>
          <w:tcPr>
            <w:tcW w:w="1141" w:type="dxa"/>
            <w:tcBorders>
              <w:bottom w:val="single" w:sz="8" w:space="0" w:color="000000"/>
              <w:right w:val="single" w:sz="8" w:space="0" w:color="000000"/>
            </w:tcBorders>
            <w:tcMar>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2</w:t>
            </w:r>
          </w:p>
        </w:tc>
        <w:tc>
          <w:tcPr>
            <w:tcW w:w="1500" w:type="dxa"/>
            <w:tcBorders>
              <w:bottom w:val="single" w:sz="8" w:space="0" w:color="000000"/>
              <w:right w:val="single" w:sz="8" w:space="0" w:color="000000"/>
            </w:tcBorders>
            <w:tcMar>
              <w:left w:w="0" w:type="dxa"/>
            </w:tcMar>
            <w:vAlign w:val="center"/>
          </w:tcPr>
          <w:p>
            <w:pPr>
              <w:pStyle w:val="TableContents"/>
              <w:bidi w:val="0"/>
              <w:spacing w:before="0" w:after="283"/>
              <w:jc w:val="right"/>
              <w:rPr>
                <w:rFonts w:ascii="Arial" w:hAnsi="Arial"/>
                <w:b w:val="false"/>
                <w:i w:val="false"/>
                <w:caps w:val="false"/>
                <w:smallCaps w:val="false"/>
                <w:sz w:val="20"/>
              </w:rPr>
            </w:pPr>
            <w:r>
              <w:rPr>
                <w:rFonts w:ascii="Arial" w:hAnsi="Arial"/>
                <w:b w:val="false"/>
                <w:i w:val="false"/>
                <w:caps w:val="false"/>
                <w:smallCaps w:val="false"/>
                <w:sz w:val="20"/>
              </w:rPr>
              <w:t>0.00%</w:t>
            </w:r>
          </w:p>
        </w:tc>
      </w:tr>
      <w:tr>
        <w:trPr/>
        <w:tc>
          <w:tcPr>
            <w:tcW w:w="7564" w:type="dxa"/>
            <w:tcBorders>
              <w:left w:val="single" w:sz="8" w:space="0" w:color="000000"/>
              <w:bottom w:val="single" w:sz="8" w:space="0" w:color="000000"/>
              <w:right w:val="single" w:sz="8" w:space="0" w:color="000000"/>
            </w:tcBorders>
            <w:shd w:fill="BFBFBF" w:val="clear"/>
            <w:vAlign w:val="center"/>
          </w:tcPr>
          <w:p>
            <w:pPr>
              <w:pStyle w:val="TableContents"/>
              <w:bidi w:val="0"/>
              <w:spacing w:before="0" w:after="283"/>
              <w:jc w:val="center"/>
              <w:rPr>
                <w:rFonts w:ascii="Arial" w:hAnsi="Arial"/>
                <w:b/>
                <w:i w:val="false"/>
                <w:caps w:val="false"/>
                <w:smallCaps w:val="false"/>
                <w:sz w:val="20"/>
              </w:rPr>
            </w:pPr>
            <w:r>
              <w:rPr>
                <w:rFonts w:ascii="Arial" w:hAnsi="Arial"/>
                <w:b/>
                <w:i w:val="false"/>
                <w:caps w:val="false"/>
                <w:smallCaps w:val="false"/>
                <w:sz w:val="20"/>
              </w:rPr>
              <w:t>TOTAL</w:t>
            </w:r>
          </w:p>
        </w:tc>
        <w:tc>
          <w:tcPr>
            <w:tcW w:w="1141" w:type="dxa"/>
            <w:tcBorders>
              <w:bottom w:val="single" w:sz="8" w:space="0" w:color="000000"/>
              <w:right w:val="single" w:sz="8" w:space="0" w:color="000000"/>
            </w:tcBorders>
            <w:shd w:fill="BFBFBF" w:val="clear"/>
            <w:tcMar>
              <w:left w:w="0" w:type="dxa"/>
            </w:tcMar>
            <w:vAlign w:val="center"/>
          </w:tcPr>
          <w:p>
            <w:pPr>
              <w:pStyle w:val="TableContents"/>
              <w:bidi w:val="0"/>
              <w:spacing w:before="0" w:after="283"/>
              <w:jc w:val="center"/>
              <w:rPr>
                <w:rFonts w:ascii="Arial" w:hAnsi="Arial"/>
                <w:b/>
                <w:i w:val="false"/>
                <w:caps w:val="false"/>
                <w:smallCaps w:val="false"/>
                <w:sz w:val="20"/>
              </w:rPr>
            </w:pPr>
            <w:r>
              <w:rPr>
                <w:rFonts w:ascii="Arial" w:hAnsi="Arial"/>
                <w:b/>
                <w:i w:val="false"/>
                <w:caps w:val="false"/>
                <w:smallCaps w:val="false"/>
                <w:sz w:val="20"/>
              </w:rPr>
              <w:t>5,512</w:t>
            </w:r>
          </w:p>
        </w:tc>
        <w:tc>
          <w:tcPr>
            <w:tcW w:w="1500" w:type="dxa"/>
            <w:tcBorders>
              <w:bottom w:val="single" w:sz="8" w:space="0" w:color="000000"/>
              <w:right w:val="single" w:sz="8" w:space="0" w:color="000000"/>
            </w:tcBorders>
            <w:shd w:fill="BFBFBF" w:val="clear"/>
            <w:tcMar>
              <w:left w:w="0" w:type="dxa"/>
            </w:tcMar>
            <w:vAlign w:val="center"/>
          </w:tcPr>
          <w:p>
            <w:pPr>
              <w:pStyle w:val="TableContents"/>
              <w:bidi w:val="0"/>
              <w:spacing w:before="0" w:after="283"/>
              <w:jc w:val="right"/>
              <w:rPr>
                <w:rFonts w:ascii="Arial" w:hAnsi="Arial"/>
                <w:b/>
                <w:i w:val="false"/>
                <w:caps w:val="false"/>
                <w:smallCaps w:val="false"/>
                <w:sz w:val="20"/>
              </w:rPr>
            </w:pPr>
            <w:r>
              <w:rPr>
                <w:rFonts w:ascii="Arial" w:hAnsi="Arial"/>
                <w:b/>
                <w:i w:val="false"/>
                <w:caps w:val="false"/>
                <w:smallCaps w:val="false"/>
                <w:sz w:val="20"/>
              </w:rPr>
              <w:t>100.00%</w:t>
            </w:r>
          </w:p>
        </w:tc>
      </w:tr>
      <w:tr>
        <w:trPr/>
        <w:tc>
          <w:tcPr>
            <w:tcW w:w="7564" w:type="dxa"/>
            <w:tcBorders/>
            <w:tcMar>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1141" w:type="dxa"/>
            <w:tcBorders/>
            <w:tcMar>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1500" w:type="dxa"/>
            <w:tcBorders/>
            <w:tcMar>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64" w:type="dxa"/>
            <w:tcBorders/>
            <w:tcMar>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1141" w:type="dxa"/>
            <w:tcBorders/>
            <w:tcMar>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1500" w:type="dxa"/>
            <w:tcBorders/>
            <w:tcMar>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64" w:type="dxa"/>
            <w:tcBorders>
              <w:top w:val="single" w:sz="8" w:space="0" w:color="000000"/>
              <w:left w:val="single" w:sz="8" w:space="0" w:color="000000"/>
              <w:bottom w:val="single" w:sz="8" w:space="0" w:color="000000"/>
              <w:right w:val="single" w:sz="8" w:space="0" w:color="000000"/>
            </w:tcBorders>
            <w:shd w:fill="BFBFBF" w:val="clear"/>
            <w:tcMar>
              <w:top w:w="100"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Ownership by shareholders or representative value that is listed on the S&amp;P/BVL Peru Select Index according to residency (at the end of the fiscal year).</w:t>
            </w:r>
          </w:p>
        </w:tc>
        <w:tc>
          <w:tcPr>
            <w:tcW w:w="1141" w:type="dxa"/>
            <w:tcBorders>
              <w:top w:val="single" w:sz="8" w:space="0" w:color="000000"/>
              <w:bottom w:val="single" w:sz="8" w:space="0" w:color="000000"/>
              <w:right w:val="single" w:sz="8" w:space="0" w:color="000000"/>
            </w:tcBorders>
            <w:shd w:fill="BFBFBF" w:val="clear"/>
            <w:tcMar>
              <w:top w:w="100" w:type="dxa"/>
              <w:left w:w="0" w:type="dxa"/>
            </w:tcMar>
            <w:vAlign w:val="center"/>
          </w:tcPr>
          <w:p>
            <w:pPr>
              <w:pStyle w:val="TableContents"/>
              <w:bidi w:val="0"/>
              <w:spacing w:before="0" w:after="283"/>
              <w:jc w:val="center"/>
              <w:rPr>
                <w:rFonts w:ascii="Arial" w:hAnsi="Arial"/>
                <w:b/>
                <w:i w:val="false"/>
                <w:caps w:val="false"/>
                <w:smallCaps w:val="false"/>
                <w:sz w:val="20"/>
              </w:rPr>
            </w:pPr>
            <w:r>
              <w:rPr>
                <w:rFonts w:ascii="Arial" w:hAnsi="Arial"/>
                <w:b/>
                <w:i w:val="false"/>
                <w:caps w:val="false"/>
                <w:smallCaps w:val="false"/>
                <w:sz w:val="20"/>
              </w:rPr>
              <w:t>Number of holders</w:t>
            </w:r>
          </w:p>
        </w:tc>
        <w:tc>
          <w:tcPr>
            <w:tcW w:w="1500" w:type="dxa"/>
            <w:tcBorders>
              <w:top w:val="single" w:sz="8" w:space="0" w:color="000000"/>
              <w:bottom w:val="single" w:sz="8" w:space="0" w:color="000000"/>
              <w:right w:val="single" w:sz="8" w:space="0" w:color="000000"/>
            </w:tcBorders>
            <w:shd w:fill="BFBFBF" w:val="clear"/>
            <w:tcMar>
              <w:top w:w="100" w:type="dxa"/>
              <w:left w:w="0" w:type="dxa"/>
            </w:tcMar>
            <w:vAlign w:val="center"/>
          </w:tcPr>
          <w:p>
            <w:pPr>
              <w:pStyle w:val="TableContents"/>
              <w:bidi w:val="0"/>
              <w:spacing w:lineRule="auto" w:line="240" w:before="0" w:after="283"/>
              <w:jc w:val="center"/>
              <w:rPr>
                <w:rFonts w:ascii="Arial" w:hAnsi="Arial"/>
                <w:b/>
                <w:i w:val="false"/>
                <w:caps w:val="false"/>
                <w:smallCaps w:val="false"/>
                <w:sz w:val="20"/>
              </w:rPr>
            </w:pPr>
            <w:r>
              <w:rPr>
                <w:rFonts w:ascii="Arial" w:hAnsi="Arial"/>
                <w:b/>
                <w:i w:val="false"/>
                <w:caps w:val="false"/>
                <w:smallCaps w:val="false"/>
                <w:sz w:val="20"/>
              </w:rPr>
              <w:t>% of participation (3)</w:t>
            </w:r>
          </w:p>
        </w:tc>
      </w:tr>
      <w:tr>
        <w:trPr/>
        <w:tc>
          <w:tcPr>
            <w:tcW w:w="7564"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Domiciled</w:t>
            </w:r>
          </w:p>
        </w:tc>
        <w:tc>
          <w:tcPr>
            <w:tcW w:w="1141" w:type="dxa"/>
            <w:tcBorders>
              <w:bottom w:val="single" w:sz="8" w:space="0" w:color="000000"/>
              <w:right w:val="single" w:sz="8" w:space="0" w:color="000000"/>
            </w:tcBorders>
            <w:tcMar>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5,314</w:t>
            </w:r>
          </w:p>
        </w:tc>
        <w:tc>
          <w:tcPr>
            <w:tcW w:w="1500" w:type="dxa"/>
            <w:tcBorders>
              <w:bottom w:val="single" w:sz="8" w:space="0" w:color="000000"/>
              <w:right w:val="single" w:sz="8" w:space="0" w:color="000000"/>
            </w:tcBorders>
            <w:tcMar>
              <w:left w:w="0" w:type="dxa"/>
            </w:tcMar>
            <w:vAlign w:val="center"/>
          </w:tcPr>
          <w:p>
            <w:pPr>
              <w:pStyle w:val="TableContents"/>
              <w:bidi w:val="0"/>
              <w:spacing w:before="0" w:after="283"/>
              <w:jc w:val="right"/>
              <w:rPr>
                <w:rFonts w:ascii="Arial" w:hAnsi="Arial"/>
                <w:b w:val="false"/>
                <w:i w:val="false"/>
                <w:caps w:val="false"/>
                <w:smallCaps w:val="false"/>
                <w:sz w:val="20"/>
              </w:rPr>
            </w:pPr>
            <w:r>
              <w:rPr>
                <w:rFonts w:ascii="Arial" w:hAnsi="Arial"/>
                <w:b w:val="false"/>
                <w:i w:val="false"/>
                <w:caps w:val="false"/>
                <w:smallCaps w:val="false"/>
                <w:sz w:val="20"/>
              </w:rPr>
              <w:t>5.29%</w:t>
            </w:r>
          </w:p>
        </w:tc>
      </w:tr>
      <w:tr>
        <w:trPr/>
        <w:tc>
          <w:tcPr>
            <w:tcW w:w="7564"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Not Domiciled</w:t>
            </w:r>
          </w:p>
        </w:tc>
        <w:tc>
          <w:tcPr>
            <w:tcW w:w="1141" w:type="dxa"/>
            <w:tcBorders>
              <w:bottom w:val="single" w:sz="8" w:space="0" w:color="000000"/>
              <w:right w:val="single" w:sz="8" w:space="0" w:color="000000"/>
            </w:tcBorders>
            <w:tcMar>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198</w:t>
            </w:r>
          </w:p>
        </w:tc>
        <w:tc>
          <w:tcPr>
            <w:tcW w:w="1500" w:type="dxa"/>
            <w:tcBorders>
              <w:bottom w:val="single" w:sz="8" w:space="0" w:color="000000"/>
              <w:right w:val="single" w:sz="8" w:space="0" w:color="000000"/>
            </w:tcBorders>
            <w:tcMar>
              <w:left w:w="0" w:type="dxa"/>
            </w:tcMar>
            <w:vAlign w:val="center"/>
          </w:tcPr>
          <w:p>
            <w:pPr>
              <w:pStyle w:val="TableContents"/>
              <w:bidi w:val="0"/>
              <w:spacing w:before="0" w:after="283"/>
              <w:jc w:val="right"/>
              <w:rPr>
                <w:rFonts w:ascii="Arial" w:hAnsi="Arial"/>
                <w:b w:val="false"/>
                <w:i w:val="false"/>
                <w:caps w:val="false"/>
                <w:smallCaps w:val="false"/>
                <w:sz w:val="20"/>
              </w:rPr>
            </w:pPr>
            <w:r>
              <w:rPr>
                <w:rFonts w:ascii="Arial" w:hAnsi="Arial"/>
                <w:b w:val="false"/>
                <w:i w:val="false"/>
                <w:caps w:val="false"/>
                <w:smallCaps w:val="false"/>
                <w:sz w:val="20"/>
              </w:rPr>
              <w:t>94.71%</w:t>
            </w:r>
          </w:p>
        </w:tc>
      </w:tr>
      <w:tr>
        <w:trPr/>
        <w:tc>
          <w:tcPr>
            <w:tcW w:w="7564" w:type="dxa"/>
            <w:tcBorders>
              <w:left w:val="single" w:sz="8" w:space="0" w:color="000000"/>
              <w:bottom w:val="single" w:sz="8" w:space="0" w:color="000000"/>
              <w:right w:val="single" w:sz="8" w:space="0" w:color="000000"/>
            </w:tcBorders>
            <w:shd w:fill="BFBFBF" w:val="clear"/>
            <w:vAlign w:val="center"/>
          </w:tcPr>
          <w:p>
            <w:pPr>
              <w:pStyle w:val="TableContents"/>
              <w:bidi w:val="0"/>
              <w:spacing w:before="0" w:after="283"/>
              <w:jc w:val="center"/>
              <w:rPr>
                <w:rFonts w:ascii="Arial" w:hAnsi="Arial"/>
                <w:b/>
                <w:i w:val="false"/>
                <w:caps w:val="false"/>
                <w:smallCaps w:val="false"/>
                <w:sz w:val="20"/>
              </w:rPr>
            </w:pPr>
            <w:r>
              <w:rPr>
                <w:rFonts w:ascii="Arial" w:hAnsi="Arial"/>
                <w:b/>
                <w:i w:val="false"/>
                <w:caps w:val="false"/>
                <w:smallCaps w:val="false"/>
                <w:sz w:val="20"/>
              </w:rPr>
              <w:t>TOTAL</w:t>
            </w:r>
          </w:p>
        </w:tc>
        <w:tc>
          <w:tcPr>
            <w:tcW w:w="1141" w:type="dxa"/>
            <w:tcBorders>
              <w:bottom w:val="single" w:sz="8" w:space="0" w:color="000000"/>
              <w:right w:val="single" w:sz="8" w:space="0" w:color="000000"/>
            </w:tcBorders>
            <w:shd w:fill="BFBFBF" w:val="clear"/>
            <w:tcMar>
              <w:left w:w="0" w:type="dxa"/>
            </w:tcMar>
            <w:vAlign w:val="center"/>
          </w:tcPr>
          <w:p>
            <w:pPr>
              <w:pStyle w:val="TableContents"/>
              <w:bidi w:val="0"/>
              <w:spacing w:before="0" w:after="283"/>
              <w:jc w:val="center"/>
              <w:rPr>
                <w:rFonts w:ascii="Arial" w:hAnsi="Arial"/>
                <w:b/>
                <w:i w:val="false"/>
                <w:caps w:val="false"/>
                <w:smallCaps w:val="false"/>
                <w:sz w:val="20"/>
              </w:rPr>
            </w:pPr>
            <w:r>
              <w:rPr>
                <w:rFonts w:ascii="Arial" w:hAnsi="Arial"/>
                <w:b/>
                <w:i w:val="false"/>
                <w:caps w:val="false"/>
                <w:smallCaps w:val="false"/>
                <w:sz w:val="20"/>
              </w:rPr>
              <w:t>5,512</w:t>
            </w:r>
          </w:p>
        </w:tc>
        <w:tc>
          <w:tcPr>
            <w:tcW w:w="1500" w:type="dxa"/>
            <w:tcBorders>
              <w:bottom w:val="single" w:sz="8" w:space="0" w:color="000000"/>
              <w:right w:val="single" w:sz="8" w:space="0" w:color="000000"/>
            </w:tcBorders>
            <w:shd w:fill="BFBFBF" w:val="clear"/>
            <w:tcMar>
              <w:left w:w="0" w:type="dxa"/>
            </w:tcMar>
            <w:vAlign w:val="center"/>
          </w:tcPr>
          <w:p>
            <w:pPr>
              <w:pStyle w:val="TableContents"/>
              <w:bidi w:val="0"/>
              <w:spacing w:before="0" w:after="283"/>
              <w:jc w:val="right"/>
              <w:rPr>
                <w:rFonts w:ascii="Arial" w:hAnsi="Arial"/>
                <w:b/>
                <w:i w:val="false"/>
                <w:caps w:val="false"/>
                <w:smallCaps w:val="false"/>
                <w:sz w:val="20"/>
              </w:rPr>
            </w:pPr>
            <w:r>
              <w:rPr>
                <w:rFonts w:ascii="Arial" w:hAnsi="Arial"/>
                <w:b/>
                <w:i w:val="false"/>
                <w:caps w:val="false"/>
                <w:smallCaps w:val="false"/>
                <w:sz w:val="20"/>
              </w:rPr>
              <w:t>100.00%</w:t>
            </w:r>
          </w:p>
        </w:tc>
      </w:tr>
    </w:tbl>
    <w:p>
      <w:pPr>
        <w:pStyle w:val="TextBody"/>
        <w:bidi w:val="0"/>
        <w:spacing w:before="0" w:after="0"/>
        <w:ind w:left="0" w:right="0" w:firstLine="142"/>
        <w:jc w:val="left"/>
        <w:rPr>
          <w:caps w:val="false"/>
          <w:smallCaps w:val="false"/>
        </w:rPr>
      </w:pPr>
      <w:r>
        <w:rPr>
          <w:caps w:val="false"/>
          <w:smallCaps w:val="false"/>
        </w:rPr>
        <w:t> </w:t>
      </w:r>
    </w:p>
    <w:p>
      <w:pPr>
        <w:pStyle w:val="TextBody"/>
        <w:bidi w:val="0"/>
        <w:spacing w:before="0" w:after="0"/>
        <w:ind w:left="0" w:right="0" w:firstLine="142"/>
        <w:jc w:val="left"/>
        <w:rPr>
          <w:rFonts w:ascii="Arial" w:hAnsi="Arial"/>
          <w:b w:val="false"/>
          <w:i w:val="false"/>
          <w:caps w:val="false"/>
          <w:smallCaps w:val="false"/>
          <w:sz w:val="16"/>
        </w:rPr>
      </w:pPr>
      <w:r>
        <w:rPr>
          <w:rFonts w:ascii="Arial" w:hAnsi="Arial"/>
          <w:b w:val="false"/>
          <w:i w:val="false"/>
          <w:caps w:val="false"/>
          <w:smallCaps w:val="false"/>
          <w:sz w:val="16"/>
        </w:rPr>
        <w:t>(1)       Term “Relatives” in accordance with the Rules for Indirect Property, Association and Economic Groups.</w:t>
      </w:r>
    </w:p>
    <w:p>
      <w:pPr>
        <w:pStyle w:val="TextBody"/>
        <w:bidi w:val="0"/>
        <w:spacing w:before="0" w:after="0"/>
        <w:ind w:left="0" w:right="0" w:firstLine="142"/>
        <w:jc w:val="left"/>
        <w:rPr>
          <w:rFonts w:ascii="Arial" w:hAnsi="Arial"/>
          <w:b w:val="false"/>
          <w:i w:val="false"/>
          <w:caps w:val="false"/>
          <w:smallCaps w:val="false"/>
          <w:sz w:val="16"/>
        </w:rPr>
      </w:pPr>
      <w:r>
        <w:rPr>
          <w:rFonts w:ascii="Arial" w:hAnsi="Arial"/>
          <w:b w:val="false"/>
          <w:i w:val="false"/>
          <w:caps w:val="false"/>
          <w:smallCaps w:val="false"/>
          <w:sz w:val="16"/>
        </w:rPr>
        <w:t>(2)       Term “Entities” according to the Rules for Indirect Property, Association and Economic Groups.</w:t>
      </w:r>
    </w:p>
    <w:p>
      <w:pPr>
        <w:pStyle w:val="TextBody"/>
        <w:bidi w:val="0"/>
        <w:spacing w:before="0" w:after="0"/>
        <w:ind w:left="0" w:right="0" w:firstLine="142"/>
        <w:jc w:val="left"/>
        <w:rPr>
          <w:rFonts w:ascii="Arial" w:hAnsi="Arial"/>
          <w:b w:val="false"/>
          <w:i w:val="false"/>
          <w:caps w:val="false"/>
          <w:smallCaps w:val="false"/>
          <w:sz w:val="16"/>
        </w:rPr>
      </w:pPr>
      <w:r>
        <w:rPr>
          <w:rFonts w:ascii="Arial" w:hAnsi="Arial"/>
          <w:b w:val="false"/>
          <w:i w:val="false"/>
          <w:caps w:val="false"/>
          <w:smallCaps w:val="false"/>
          <w:sz w:val="16"/>
        </w:rPr>
        <w:t>(3)       Two Decimals.</w:t>
      </w:r>
    </w:p>
    <w:p>
      <w:pPr>
        <w:pStyle w:val="TextBody"/>
        <w:bidi w:val="0"/>
        <w:spacing w:before="0" w:after="0"/>
        <w:ind w:left="0" w:right="0" w:firstLine="142"/>
        <w:jc w:val="left"/>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E. 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1" w:right="0" w:hanging="0"/>
        <w:jc w:val="left"/>
        <w:rPr>
          <w:caps w:val="false"/>
          <w:smallCaps w:val="false"/>
          <w:color w:val="231F20"/>
        </w:rPr>
      </w:pPr>
      <w:r>
        <w:rPr>
          <w:caps w:val="false"/>
          <w:smallCaps w:val="false"/>
          <w:color w:val="231F20"/>
        </w:rPr>
        <w:t> </w:t>
      </w:r>
      <w:r>
        <mc:AlternateContent>
          <mc:Choice Requires="wps">
            <w:drawing>
              <wp:anchor behindDoc="0" distT="0" distB="0" distL="0" distR="0" simplePos="0" locked="0" layoutInCell="1" allowOverlap="1" relativeHeight="252">
                <wp:simplePos x="0" y="0"/>
                <wp:positionH relativeFrom="column">
                  <wp:align>left</wp:align>
                </wp:positionH>
                <wp:positionV relativeFrom="line">
                  <wp:posOffset>635</wp:posOffset>
                </wp:positionV>
                <wp:extent cx="3110230" cy="7506970"/>
                <wp:effectExtent l="0" t="0" r="0" b="0"/>
                <wp:wrapSquare wrapText="right"/>
                <wp:docPr id="42" name="Frame8"/>
                <a:graphic xmlns:a="http://schemas.openxmlformats.org/drawingml/2006/main">
                  <a:graphicData uri="http://schemas.microsoft.com/office/word/2010/wordprocessingShape">
                    <wps:wsp>
                      <wps:cNvSpPr txBox="1"/>
                      <wps:spPr>
                        <a:xfrm>
                          <a:off x="0" y="0"/>
                          <a:ext cx="3110230" cy="7506970"/>
                        </a:xfrm>
                        <a:prstGeom prst="rect"/>
                        <a:solidFill>
                          <a:srgbClr val="FFFFFF"/>
                        </a:solidFill>
                      </wps:spPr>
                      <wps:txbx>
                        <w:txbxContent>
                          <w:p>
                            <w:pPr>
                              <w:pStyle w:val="TextBody"/>
                              <w:bidi w:val="0"/>
                              <w:spacing w:before="0" w:after="0"/>
                              <w:ind w:left="0" w:right="0" w:hanging="0"/>
                              <w:jc w:val="both"/>
                              <w:rPr>
                                <w:rFonts w:ascii="Arial" w:hAnsi="Arial"/>
                                <w:b/>
                                <w:i w:val="false"/>
                                <w:caps w:val="false"/>
                                <w:smallCaps w:val="false"/>
                                <w:sz w:val="20"/>
                              </w:rPr>
                            </w:pPr>
                            <w:r>
                              <w:rPr>
                                <w:rFonts w:ascii="Arial" w:hAnsi="Arial"/>
                                <w:b/>
                                <w:i w:val="false"/>
                                <w:caps w:val="false"/>
                                <w:smallCaps w:val="false"/>
                                <w:sz w:val="20"/>
                              </w:rPr>
                              <w:t>Banco de Crédito BCP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1" w:right="1342" w:firstLine="142"/>
                              <w:jc w:val="left"/>
                              <w:rPr>
                                <w:rFonts w:ascii="Arial" w:hAnsi="Arial"/>
                                <w:b w:val="false"/>
                                <w:i w:val="false"/>
                                <w:caps w:val="false"/>
                                <w:smallCaps w:val="false"/>
                                <w:color w:val="E93CAC"/>
                                <w:sz w:val="20"/>
                              </w:rPr>
                            </w:pPr>
                            <w:r>
                              <w:rPr>
                                <w:rFonts w:ascii="Arial" w:hAnsi="Arial"/>
                                <w:b/>
                                <w:i w:val="false"/>
                                <w:caps w:val="false"/>
                                <w:smallCaps w:val="false"/>
                                <w:color w:val="E93CAC"/>
                                <w:sz w:val="20"/>
                              </w:rPr>
                              <w:t xml:space="preserve">Headquarters Lima, Perú </w:t>
                            </w:r>
                            <w:r>
                              <w:rPr>
                                <w:rFonts w:ascii="Arial" w:hAnsi="Arial"/>
                                <w:b w:val="false"/>
                                <w:i w:val="false"/>
                                <w:caps w:val="false"/>
                                <w:smallCaps w:val="false"/>
                                <w:color w:val="E93CAC"/>
                                <w:sz w:val="20"/>
                              </w:rPr>
                              <w:t> </w:t>
                            </w:r>
                          </w:p>
                          <w:p>
                            <w:pPr>
                              <w:pStyle w:val="TextBody"/>
                              <w:bidi w:val="0"/>
                              <w:spacing w:before="0" w:after="0"/>
                              <w:ind w:left="253" w:right="0" w:hanging="0"/>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Calle Centenario 156, La Molina - Lima 12,</w:t>
                              <w:br/>
                              <w:t>Perú</w:t>
                              <w:br/>
                              <w:t>Phone +51 1 313-2000</w:t>
                            </w:r>
                          </w:p>
                          <w:p>
                            <w:pPr>
                              <w:pStyle w:val="TextBody"/>
                              <w:bidi w:val="0"/>
                              <w:spacing w:before="0" w:after="0"/>
                              <w:ind w:left="253" w:right="0" w:hanging="0"/>
                              <w:jc w:val="left"/>
                              <w:rPr>
                                <w:caps w:val="false"/>
                                <w:smallCaps w:val="false"/>
                                <w:color w:val="231F20"/>
                              </w:rPr>
                            </w:pPr>
                            <w:r>
                              <w:rPr>
                                <w:caps w:val="false"/>
                                <w:smallCaps w:val="false"/>
                                <w:color w:val="231F20"/>
                              </w:rPr>
                              <w:t> </w:t>
                            </w:r>
                          </w:p>
                          <w:p>
                            <w:pPr>
                              <w:pStyle w:val="TextBody"/>
                              <w:bidi w:val="0"/>
                              <w:spacing w:before="0" w:after="0"/>
                              <w:ind w:left="111" w:right="1342" w:firstLine="142"/>
                              <w:jc w:val="left"/>
                              <w:rPr>
                                <w:rFonts w:ascii="Arial" w:hAnsi="Arial"/>
                                <w:b w:val="false"/>
                                <w:i w:val="false"/>
                                <w:caps w:val="false"/>
                                <w:smallCaps w:val="false"/>
                                <w:color w:val="E93CAC"/>
                                <w:sz w:val="20"/>
                              </w:rPr>
                            </w:pPr>
                            <w:r>
                              <w:rPr>
                                <w:rFonts w:ascii="Arial" w:hAnsi="Arial"/>
                                <w:b/>
                                <w:i w:val="false"/>
                                <w:caps w:val="false"/>
                                <w:smallCaps w:val="false"/>
                                <w:color w:val="E93CAC"/>
                                <w:sz w:val="20"/>
                              </w:rPr>
                              <w:t>Miami, United States of America</w:t>
                            </w:r>
                            <w:r>
                              <w:rPr>
                                <w:rFonts w:ascii="Arial" w:hAnsi="Arial"/>
                                <w:b w:val="false"/>
                                <w:i w:val="false"/>
                                <w:caps w:val="false"/>
                                <w:smallCaps w:val="false"/>
                                <w:color w:val="E93CAC"/>
                                <w:sz w:val="20"/>
                              </w:rPr>
                              <w:t> </w:t>
                            </w:r>
                          </w:p>
                          <w:p>
                            <w:pPr>
                              <w:pStyle w:val="TextBody"/>
                              <w:bidi w:val="0"/>
                              <w:spacing w:before="0" w:after="0"/>
                              <w:ind w:left="253" w:right="1342" w:hanging="0"/>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121 Alhambra Plaza, Suite 1200</w:t>
                              <w:br/>
                              <w:t>Coral Gables, Florida 33134</w:t>
                            </w:r>
                          </w:p>
                          <w:p>
                            <w:pPr>
                              <w:pStyle w:val="TextBody"/>
                              <w:bidi w:val="0"/>
                              <w:spacing w:before="0" w:after="0"/>
                              <w:ind w:left="253" w:right="1342" w:hanging="0"/>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Estados Unidos de América</w:t>
                              <w:br/>
                              <w:t>Phone +1 305 448-0971</w:t>
                            </w:r>
                          </w:p>
                          <w:p>
                            <w:pPr>
                              <w:pStyle w:val="TextBody"/>
                              <w:bidi w:val="0"/>
                              <w:spacing w:before="0" w:after="0"/>
                              <w:ind w:left="253" w:right="1342" w:hanging="0"/>
                              <w:jc w:val="left"/>
                              <w:rPr>
                                <w:caps w:val="false"/>
                                <w:smallCaps w:val="false"/>
                                <w:color w:val="231F20"/>
                              </w:rPr>
                            </w:pPr>
                            <w:r>
                              <w:rPr>
                                <w:caps w:val="false"/>
                                <w:smallCaps w:val="false"/>
                                <w:color w:val="231F20"/>
                              </w:rPr>
                              <w:t> </w:t>
                            </w:r>
                          </w:p>
                          <w:p>
                            <w:pPr>
                              <w:pStyle w:val="TextBody"/>
                              <w:bidi w:val="0"/>
                              <w:spacing w:before="0" w:after="0"/>
                              <w:ind w:left="111" w:right="0" w:firstLine="142"/>
                              <w:jc w:val="left"/>
                              <w:rPr>
                                <w:rFonts w:ascii="Arial" w:hAnsi="Arial"/>
                                <w:b w:val="false"/>
                                <w:i w:val="false"/>
                                <w:caps w:val="false"/>
                                <w:smallCaps w:val="false"/>
                                <w:color w:val="E93CAC"/>
                                <w:sz w:val="20"/>
                              </w:rPr>
                            </w:pPr>
                            <w:r>
                              <w:rPr>
                                <w:rFonts w:ascii="Arial" w:hAnsi="Arial"/>
                                <w:b/>
                                <w:i w:val="false"/>
                                <w:caps w:val="false"/>
                                <w:smallCaps w:val="false"/>
                                <w:color w:val="E93CAC"/>
                                <w:sz w:val="20"/>
                              </w:rPr>
                              <w:t>Panama, Panama Republic</w:t>
                            </w:r>
                            <w:r>
                              <w:rPr>
                                <w:rFonts w:ascii="Arial" w:hAnsi="Arial"/>
                                <w:b w:val="false"/>
                                <w:i w:val="false"/>
                                <w:caps w:val="false"/>
                                <w:smallCaps w:val="false"/>
                                <w:color w:val="E93CAC"/>
                                <w:sz w:val="20"/>
                              </w:rPr>
                              <w:t> </w:t>
                            </w:r>
                          </w:p>
                          <w:p>
                            <w:pPr>
                              <w:pStyle w:val="TextBody"/>
                              <w:bidi w:val="0"/>
                              <w:spacing w:before="0" w:after="0"/>
                              <w:ind w:left="111" w:right="0" w:firstLine="142"/>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Calle 50 y Elvira Méndez </w:t>
                            </w:r>
                          </w:p>
                          <w:p>
                            <w:pPr>
                              <w:pStyle w:val="TextBody"/>
                              <w:bidi w:val="0"/>
                              <w:spacing w:before="0" w:after="0"/>
                              <w:ind w:left="253" w:right="0" w:hanging="0"/>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 xml:space="preserve">Edificio Tower Financial Center, piso 13 </w:t>
                              <w:br/>
                              <w:t xml:space="preserve">Corregimiento de Bella Vista, Ciudad de Panamá, </w:t>
                              <w:br/>
                              <w:t>Panama Republic</w:t>
                            </w:r>
                          </w:p>
                          <w:p>
                            <w:pPr>
                              <w:pStyle w:val="TextBody"/>
                              <w:bidi w:val="0"/>
                              <w:spacing w:before="0" w:after="0"/>
                              <w:ind w:left="111" w:right="0" w:firstLine="142"/>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Phone +507 2 215-7311</w:t>
                            </w:r>
                          </w:p>
                          <w:p>
                            <w:pPr>
                              <w:pStyle w:val="TextBody"/>
                              <w:bidi w:val="0"/>
                              <w:spacing w:before="0" w:after="0"/>
                              <w:ind w:left="111" w:right="0" w:firstLine="142"/>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Postal Box 0819-01233</w:t>
                            </w:r>
                          </w:p>
                          <w:p>
                            <w:pPr>
                              <w:pStyle w:val="TextBody"/>
                              <w:bidi w:val="0"/>
                              <w:spacing w:before="0" w:after="0"/>
                              <w:ind w:left="111" w:right="0" w:firstLine="142"/>
                              <w:jc w:val="left"/>
                              <w:rPr>
                                <w:caps w:val="false"/>
                                <w:smallCaps w:val="false"/>
                                <w:color w:val="231F20"/>
                              </w:rPr>
                            </w:pPr>
                            <w:r>
                              <w:rPr>
                                <w:caps w:val="false"/>
                                <w:smallCaps w:val="false"/>
                                <w:color w:val="231F20"/>
                              </w:rPr>
                              <w:t> </w:t>
                            </w:r>
                          </w:p>
                          <w:p>
                            <w:pPr>
                              <w:pStyle w:val="TextBody"/>
                              <w:bidi w:val="0"/>
                              <w:spacing w:before="0" w:after="0"/>
                              <w:ind w:left="0" w:right="0" w:hanging="0"/>
                              <w:jc w:val="both"/>
                              <w:rPr>
                                <w:rFonts w:ascii="Arial" w:hAnsi="Arial"/>
                                <w:b/>
                                <w:i w:val="false"/>
                                <w:caps w:val="false"/>
                                <w:smallCaps w:val="false"/>
                                <w:sz w:val="20"/>
                              </w:rPr>
                            </w:pPr>
                            <w:r>
                              <w:rPr>
                                <w:rFonts w:ascii="Arial" w:hAnsi="Arial"/>
                                <w:b/>
                                <w:i w:val="false"/>
                                <w:caps w:val="false"/>
                                <w:smallCaps w:val="false"/>
                                <w:sz w:val="20"/>
                              </w:rPr>
                              <w:t>Mibanco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1" w:right="0" w:firstLine="142"/>
                              <w:jc w:val="left"/>
                              <w:rPr>
                                <w:rFonts w:ascii="Arial" w:hAnsi="Arial"/>
                                <w:b w:val="false"/>
                                <w:i w:val="false"/>
                                <w:caps w:val="false"/>
                                <w:smallCaps w:val="false"/>
                                <w:color w:val="E93CAC"/>
                                <w:sz w:val="20"/>
                              </w:rPr>
                            </w:pPr>
                            <w:r>
                              <w:rPr>
                                <w:rFonts w:ascii="Arial" w:hAnsi="Arial"/>
                                <w:b/>
                                <w:i w:val="false"/>
                                <w:caps w:val="false"/>
                                <w:smallCaps w:val="false"/>
                                <w:color w:val="E93CAC"/>
                                <w:sz w:val="20"/>
                              </w:rPr>
                              <w:t>Headquarters, Lima</w:t>
                            </w:r>
                            <w:r>
                              <w:rPr>
                                <w:rFonts w:ascii="Arial" w:hAnsi="Arial"/>
                                <w:b w:val="false"/>
                                <w:i w:val="false"/>
                                <w:caps w:val="false"/>
                                <w:smallCaps w:val="false"/>
                                <w:color w:val="E93CAC"/>
                                <w:sz w:val="20"/>
                              </w:rPr>
                              <w:t> </w:t>
                            </w:r>
                          </w:p>
                          <w:p>
                            <w:pPr>
                              <w:pStyle w:val="TextBody"/>
                              <w:bidi w:val="0"/>
                              <w:spacing w:before="0" w:after="0"/>
                              <w:ind w:left="253" w:right="329" w:hanging="0"/>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 xml:space="preserve">Av. República de Panamá 4575, Surquillo Lima, </w:t>
                              <w:br/>
                              <w:t>Perú</w:t>
                            </w:r>
                          </w:p>
                          <w:p>
                            <w:pPr>
                              <w:pStyle w:val="TextBody"/>
                              <w:bidi w:val="0"/>
                              <w:spacing w:before="0" w:after="0"/>
                              <w:ind w:left="111" w:right="0" w:firstLine="142"/>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Phone +51 1 319-9999</w:t>
                            </w:r>
                          </w:p>
                          <w:p>
                            <w:pPr>
                              <w:pStyle w:val="TextBody"/>
                              <w:bidi w:val="0"/>
                              <w:spacing w:before="0" w:after="0"/>
                              <w:ind w:left="111" w:right="0" w:firstLine="142"/>
                              <w:jc w:val="left"/>
                              <w:rPr>
                                <w:caps w:val="false"/>
                                <w:smallCaps w:val="false"/>
                                <w:color w:val="231F20"/>
                              </w:rPr>
                            </w:pPr>
                            <w:r>
                              <w:rPr>
                                <w:caps w:val="false"/>
                                <w:smallCaps w:val="false"/>
                                <w:color w:val="231F20"/>
                              </w:rPr>
                              <w:t> </w:t>
                            </w:r>
                          </w:p>
                          <w:p>
                            <w:pPr>
                              <w:pStyle w:val="TextBody"/>
                              <w:bidi w:val="0"/>
                              <w:spacing w:before="0" w:after="0"/>
                              <w:ind w:left="0" w:right="0" w:hanging="0"/>
                              <w:jc w:val="both"/>
                              <w:rPr>
                                <w:rFonts w:ascii="Arial" w:hAnsi="Arial"/>
                                <w:b/>
                                <w:i w:val="false"/>
                                <w:caps w:val="false"/>
                                <w:smallCaps w:val="false"/>
                                <w:sz w:val="20"/>
                              </w:rPr>
                            </w:pPr>
                            <w:r>
                              <w:rPr>
                                <w:rFonts w:ascii="Arial" w:hAnsi="Arial"/>
                                <w:b/>
                                <w:i w:val="false"/>
                                <w:caps w:val="false"/>
                                <w:smallCaps w:val="false"/>
                                <w:sz w:val="20"/>
                              </w:rPr>
                              <w:t>BCP Bolivia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1" w:right="0" w:firstLine="142"/>
                              <w:jc w:val="left"/>
                              <w:rPr>
                                <w:rFonts w:ascii="Arial" w:hAnsi="Arial"/>
                                <w:b w:val="false"/>
                                <w:i w:val="false"/>
                                <w:caps w:val="false"/>
                                <w:smallCaps w:val="false"/>
                                <w:color w:val="E93CAC"/>
                                <w:sz w:val="20"/>
                              </w:rPr>
                            </w:pPr>
                            <w:r>
                              <w:rPr>
                                <w:rFonts w:ascii="Arial" w:hAnsi="Arial"/>
                                <w:b/>
                                <w:i w:val="false"/>
                                <w:caps w:val="false"/>
                                <w:smallCaps w:val="false"/>
                                <w:color w:val="E93CAC"/>
                                <w:sz w:val="20"/>
                              </w:rPr>
                              <w:t>Headquarters, La Paz</w:t>
                            </w:r>
                            <w:r>
                              <w:rPr>
                                <w:rFonts w:ascii="Arial" w:hAnsi="Arial"/>
                                <w:b w:val="false"/>
                                <w:i w:val="false"/>
                                <w:caps w:val="false"/>
                                <w:smallCaps w:val="false"/>
                                <w:color w:val="E93CAC"/>
                                <w:sz w:val="20"/>
                              </w:rPr>
                              <w:t> </w:t>
                            </w:r>
                          </w:p>
                          <w:p>
                            <w:pPr>
                              <w:pStyle w:val="TextBody"/>
                              <w:bidi w:val="0"/>
                              <w:spacing w:before="0" w:after="0"/>
                              <w:ind w:left="253" w:right="576" w:hanging="0"/>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 xml:space="preserve">Calle Colón esquina Mercado No. 1308 La </w:t>
                              <w:br/>
                              <w:t>Paz, Bolivia</w:t>
                            </w:r>
                          </w:p>
                          <w:p>
                            <w:pPr>
                              <w:pStyle w:val="TextBody"/>
                              <w:bidi w:val="0"/>
                              <w:spacing w:before="0" w:after="0"/>
                              <w:ind w:left="111" w:right="0" w:firstLine="142"/>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Phone + 591 2 217-5000</w:t>
                            </w:r>
                          </w:p>
                          <w:p>
                            <w:pPr>
                              <w:pStyle w:val="TextBody"/>
                              <w:bidi w:val="0"/>
                              <w:spacing w:before="0" w:after="0"/>
                              <w:ind w:left="111" w:right="0" w:firstLine="142"/>
                              <w:jc w:val="left"/>
                              <w:rPr>
                                <w:caps w:val="false"/>
                                <w:smallCaps w:val="false"/>
                                <w:color w:val="231F20"/>
                              </w:rPr>
                            </w:pPr>
                            <w:r>
                              <w:rPr>
                                <w:caps w:val="false"/>
                                <w:smallCaps w:val="false"/>
                                <w:color w:val="231F20"/>
                              </w:rPr>
                              <w:t> </w:t>
                            </w:r>
                          </w:p>
                          <w:p>
                            <w:pPr>
                              <w:pStyle w:val="TextBody"/>
                              <w:bidi w:val="0"/>
                              <w:spacing w:before="0" w:after="0"/>
                              <w:ind w:left="0" w:right="0" w:hanging="0"/>
                              <w:jc w:val="both"/>
                              <w:rPr>
                                <w:rFonts w:ascii="Arial" w:hAnsi="Arial"/>
                                <w:b/>
                                <w:i w:val="false"/>
                                <w:caps w:val="false"/>
                                <w:smallCaps w:val="false"/>
                                <w:sz w:val="20"/>
                              </w:rPr>
                            </w:pPr>
                            <w:r>
                              <w:rPr>
                                <w:rFonts w:ascii="Arial" w:hAnsi="Arial"/>
                                <w:b/>
                                <w:i w:val="false"/>
                                <w:caps w:val="false"/>
                                <w:smallCaps w:val="false"/>
                                <w:sz w:val="20"/>
                              </w:rPr>
                              <w:t>ASB Bank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2" w:right="0" w:hanging="0"/>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Calle 50, Tower Financial Center Floor 6</w:t>
                            </w:r>
                          </w:p>
                          <w:p>
                            <w:pPr>
                              <w:pStyle w:val="TextBody"/>
                              <w:bidi w:val="0"/>
                              <w:spacing w:before="0" w:after="0"/>
                              <w:ind w:left="142" w:right="0" w:hanging="0"/>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City of Panama</w:t>
                              <w:br/>
                              <w:t>Panama</w:t>
                            </w:r>
                          </w:p>
                          <w:p>
                            <w:pPr>
                              <w:pStyle w:val="TextBody"/>
                              <w:bidi w:val="0"/>
                              <w:spacing w:before="0" w:after="0"/>
                              <w:ind w:left="142" w:right="0" w:hanging="0"/>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Phone +507 340-5000</w:t>
                            </w:r>
                          </w:p>
                          <w:p>
                            <w:pPr>
                              <w:pStyle w:val="TextBody"/>
                              <w:bidi w:val="0"/>
                              <w:spacing w:before="0" w:after="0"/>
                              <w:ind w:left="142"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both"/>
                              <w:rPr>
                                <w:rFonts w:ascii="Arial" w:hAnsi="Arial"/>
                                <w:b/>
                                <w:i w:val="false"/>
                                <w:caps w:val="false"/>
                                <w:smallCaps w:val="false"/>
                                <w:sz w:val="20"/>
                              </w:rPr>
                            </w:pPr>
                            <w:r>
                              <w:rPr>
                                <w:rFonts w:ascii="Arial" w:hAnsi="Arial"/>
                                <w:b/>
                                <w:i w:val="false"/>
                                <w:caps w:val="false"/>
                                <w:smallCaps w:val="false"/>
                                <w:sz w:val="20"/>
                              </w:rPr>
                              <w:t>Grupo Pacífico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1" w:right="1284" w:hanging="0"/>
                              <w:jc w:val="left"/>
                              <w:rPr>
                                <w:rFonts w:ascii="Arial" w:hAnsi="Arial"/>
                                <w:b/>
                                <w:i w:val="false"/>
                                <w:caps w:val="false"/>
                                <w:smallCaps w:val="false"/>
                                <w:color w:val="E93CAC"/>
                                <w:sz w:val="20"/>
                              </w:rPr>
                            </w:pPr>
                            <w:r>
                              <w:rPr>
                                <w:rFonts w:ascii="Arial" w:hAnsi="Arial"/>
                                <w:b/>
                                <w:i w:val="false"/>
                                <w:caps w:val="false"/>
                                <w:smallCaps w:val="false"/>
                                <w:color w:val="E93CAC"/>
                                <w:sz w:val="20"/>
                              </w:rPr>
                              <w:t>Headquarters, Lima</w:t>
                            </w:r>
                          </w:p>
                          <w:p>
                            <w:pPr>
                              <w:pStyle w:val="TextBody"/>
                              <w:bidi w:val="0"/>
                              <w:spacing w:before="0" w:after="0"/>
                              <w:ind w:left="111" w:right="1284" w:hanging="0"/>
                              <w:jc w:val="left"/>
                              <w:rPr>
                                <w:caps w:val="false"/>
                                <w:smallCaps w:val="false"/>
                                <w:color w:val="E93CAC"/>
                              </w:rPr>
                            </w:pPr>
                            <w:r>
                              <w:rPr>
                                <w:caps w:val="false"/>
                                <w:smallCaps w:val="false"/>
                                <w:color w:val="E93CAC"/>
                              </w:rPr>
                              <w:t> </w:t>
                            </w:r>
                          </w:p>
                          <w:p>
                            <w:pPr>
                              <w:pStyle w:val="TextBody"/>
                              <w:bidi w:val="0"/>
                              <w:spacing w:before="0" w:after="0"/>
                              <w:ind w:left="113" w:right="2350" w:hanging="0"/>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Juan de Arona 830, San</w:t>
                            </w:r>
                          </w:p>
                          <w:p>
                            <w:pPr>
                              <w:pStyle w:val="TextBody"/>
                              <w:bidi w:val="0"/>
                              <w:spacing w:before="0" w:after="0"/>
                              <w:ind w:left="113" w:right="2350" w:hanging="0"/>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Isidro Lima 27, Perú</w:t>
                            </w:r>
                          </w:p>
                          <w:p>
                            <w:pPr>
                              <w:pStyle w:val="TextBody"/>
                              <w:bidi w:val="0"/>
                              <w:spacing w:before="0" w:after="0"/>
                              <w:ind w:left="113" w:right="0" w:hanging="0"/>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Teléfono +51 1 518-4000</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9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both"/>
                        <w:rPr>
                          <w:rFonts w:ascii="Arial" w:hAnsi="Arial"/>
                          <w:b/>
                          <w:i w:val="false"/>
                          <w:caps w:val="false"/>
                          <w:smallCaps w:val="false"/>
                          <w:sz w:val="20"/>
                        </w:rPr>
                      </w:pPr>
                      <w:r>
                        <w:rPr>
                          <w:rFonts w:ascii="Arial" w:hAnsi="Arial"/>
                          <w:b/>
                          <w:i w:val="false"/>
                          <w:caps w:val="false"/>
                          <w:smallCaps w:val="false"/>
                          <w:sz w:val="20"/>
                        </w:rPr>
                        <w:t>Banco de Crédito BCP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1" w:right="1342" w:firstLine="142"/>
                        <w:jc w:val="left"/>
                        <w:rPr>
                          <w:rFonts w:ascii="Arial" w:hAnsi="Arial"/>
                          <w:b w:val="false"/>
                          <w:i w:val="false"/>
                          <w:caps w:val="false"/>
                          <w:smallCaps w:val="false"/>
                          <w:color w:val="E93CAC"/>
                          <w:sz w:val="20"/>
                        </w:rPr>
                      </w:pPr>
                      <w:r>
                        <w:rPr>
                          <w:rFonts w:ascii="Arial" w:hAnsi="Arial"/>
                          <w:b/>
                          <w:i w:val="false"/>
                          <w:caps w:val="false"/>
                          <w:smallCaps w:val="false"/>
                          <w:color w:val="E93CAC"/>
                          <w:sz w:val="20"/>
                        </w:rPr>
                        <w:t xml:space="preserve">Headquarters Lima, Perú </w:t>
                      </w:r>
                      <w:r>
                        <w:rPr>
                          <w:rFonts w:ascii="Arial" w:hAnsi="Arial"/>
                          <w:b w:val="false"/>
                          <w:i w:val="false"/>
                          <w:caps w:val="false"/>
                          <w:smallCaps w:val="false"/>
                          <w:color w:val="E93CAC"/>
                          <w:sz w:val="20"/>
                        </w:rPr>
                        <w:t> </w:t>
                      </w:r>
                    </w:p>
                    <w:p>
                      <w:pPr>
                        <w:pStyle w:val="TextBody"/>
                        <w:bidi w:val="0"/>
                        <w:spacing w:before="0" w:after="0"/>
                        <w:ind w:left="253" w:right="0" w:hanging="0"/>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Calle Centenario 156, La Molina - Lima 12,</w:t>
                        <w:br/>
                        <w:t>Perú</w:t>
                        <w:br/>
                        <w:t>Phone +51 1 313-2000</w:t>
                      </w:r>
                    </w:p>
                    <w:p>
                      <w:pPr>
                        <w:pStyle w:val="TextBody"/>
                        <w:bidi w:val="0"/>
                        <w:spacing w:before="0" w:after="0"/>
                        <w:ind w:left="253" w:right="0" w:hanging="0"/>
                        <w:jc w:val="left"/>
                        <w:rPr>
                          <w:caps w:val="false"/>
                          <w:smallCaps w:val="false"/>
                          <w:color w:val="231F20"/>
                        </w:rPr>
                      </w:pPr>
                      <w:r>
                        <w:rPr>
                          <w:caps w:val="false"/>
                          <w:smallCaps w:val="false"/>
                          <w:color w:val="231F20"/>
                        </w:rPr>
                        <w:t> </w:t>
                      </w:r>
                    </w:p>
                    <w:p>
                      <w:pPr>
                        <w:pStyle w:val="TextBody"/>
                        <w:bidi w:val="0"/>
                        <w:spacing w:before="0" w:after="0"/>
                        <w:ind w:left="111" w:right="1342" w:firstLine="142"/>
                        <w:jc w:val="left"/>
                        <w:rPr>
                          <w:rFonts w:ascii="Arial" w:hAnsi="Arial"/>
                          <w:b w:val="false"/>
                          <w:i w:val="false"/>
                          <w:caps w:val="false"/>
                          <w:smallCaps w:val="false"/>
                          <w:color w:val="E93CAC"/>
                          <w:sz w:val="20"/>
                        </w:rPr>
                      </w:pPr>
                      <w:r>
                        <w:rPr>
                          <w:rFonts w:ascii="Arial" w:hAnsi="Arial"/>
                          <w:b/>
                          <w:i w:val="false"/>
                          <w:caps w:val="false"/>
                          <w:smallCaps w:val="false"/>
                          <w:color w:val="E93CAC"/>
                          <w:sz w:val="20"/>
                        </w:rPr>
                        <w:t>Miami, United States of America</w:t>
                      </w:r>
                      <w:r>
                        <w:rPr>
                          <w:rFonts w:ascii="Arial" w:hAnsi="Arial"/>
                          <w:b w:val="false"/>
                          <w:i w:val="false"/>
                          <w:caps w:val="false"/>
                          <w:smallCaps w:val="false"/>
                          <w:color w:val="E93CAC"/>
                          <w:sz w:val="20"/>
                        </w:rPr>
                        <w:t> </w:t>
                      </w:r>
                    </w:p>
                    <w:p>
                      <w:pPr>
                        <w:pStyle w:val="TextBody"/>
                        <w:bidi w:val="0"/>
                        <w:spacing w:before="0" w:after="0"/>
                        <w:ind w:left="253" w:right="1342" w:hanging="0"/>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121 Alhambra Plaza, Suite 1200</w:t>
                        <w:br/>
                        <w:t>Coral Gables, Florida 33134</w:t>
                      </w:r>
                    </w:p>
                    <w:p>
                      <w:pPr>
                        <w:pStyle w:val="TextBody"/>
                        <w:bidi w:val="0"/>
                        <w:spacing w:before="0" w:after="0"/>
                        <w:ind w:left="253" w:right="1342" w:hanging="0"/>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Estados Unidos de América</w:t>
                        <w:br/>
                        <w:t>Phone +1 305 448-0971</w:t>
                      </w:r>
                    </w:p>
                    <w:p>
                      <w:pPr>
                        <w:pStyle w:val="TextBody"/>
                        <w:bidi w:val="0"/>
                        <w:spacing w:before="0" w:after="0"/>
                        <w:ind w:left="253" w:right="1342" w:hanging="0"/>
                        <w:jc w:val="left"/>
                        <w:rPr>
                          <w:caps w:val="false"/>
                          <w:smallCaps w:val="false"/>
                          <w:color w:val="231F20"/>
                        </w:rPr>
                      </w:pPr>
                      <w:r>
                        <w:rPr>
                          <w:caps w:val="false"/>
                          <w:smallCaps w:val="false"/>
                          <w:color w:val="231F20"/>
                        </w:rPr>
                        <w:t> </w:t>
                      </w:r>
                    </w:p>
                    <w:p>
                      <w:pPr>
                        <w:pStyle w:val="TextBody"/>
                        <w:bidi w:val="0"/>
                        <w:spacing w:before="0" w:after="0"/>
                        <w:ind w:left="111" w:right="0" w:firstLine="142"/>
                        <w:jc w:val="left"/>
                        <w:rPr>
                          <w:rFonts w:ascii="Arial" w:hAnsi="Arial"/>
                          <w:b w:val="false"/>
                          <w:i w:val="false"/>
                          <w:caps w:val="false"/>
                          <w:smallCaps w:val="false"/>
                          <w:color w:val="E93CAC"/>
                          <w:sz w:val="20"/>
                        </w:rPr>
                      </w:pPr>
                      <w:r>
                        <w:rPr>
                          <w:rFonts w:ascii="Arial" w:hAnsi="Arial"/>
                          <w:b/>
                          <w:i w:val="false"/>
                          <w:caps w:val="false"/>
                          <w:smallCaps w:val="false"/>
                          <w:color w:val="E93CAC"/>
                          <w:sz w:val="20"/>
                        </w:rPr>
                        <w:t>Panama, Panama Republic</w:t>
                      </w:r>
                      <w:r>
                        <w:rPr>
                          <w:rFonts w:ascii="Arial" w:hAnsi="Arial"/>
                          <w:b w:val="false"/>
                          <w:i w:val="false"/>
                          <w:caps w:val="false"/>
                          <w:smallCaps w:val="false"/>
                          <w:color w:val="E93CAC"/>
                          <w:sz w:val="20"/>
                        </w:rPr>
                        <w:t> </w:t>
                      </w:r>
                    </w:p>
                    <w:p>
                      <w:pPr>
                        <w:pStyle w:val="TextBody"/>
                        <w:bidi w:val="0"/>
                        <w:spacing w:before="0" w:after="0"/>
                        <w:ind w:left="111" w:right="0" w:firstLine="142"/>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Calle 50 y Elvira Méndez </w:t>
                      </w:r>
                    </w:p>
                    <w:p>
                      <w:pPr>
                        <w:pStyle w:val="TextBody"/>
                        <w:bidi w:val="0"/>
                        <w:spacing w:before="0" w:after="0"/>
                        <w:ind w:left="253" w:right="0" w:hanging="0"/>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 xml:space="preserve">Edificio Tower Financial Center, piso 13 </w:t>
                        <w:br/>
                        <w:t xml:space="preserve">Corregimiento de Bella Vista, Ciudad de Panamá, </w:t>
                        <w:br/>
                        <w:t>Panama Republic</w:t>
                      </w:r>
                    </w:p>
                    <w:p>
                      <w:pPr>
                        <w:pStyle w:val="TextBody"/>
                        <w:bidi w:val="0"/>
                        <w:spacing w:before="0" w:after="0"/>
                        <w:ind w:left="111" w:right="0" w:firstLine="142"/>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Phone +507 2 215-7311</w:t>
                      </w:r>
                    </w:p>
                    <w:p>
                      <w:pPr>
                        <w:pStyle w:val="TextBody"/>
                        <w:bidi w:val="0"/>
                        <w:spacing w:before="0" w:after="0"/>
                        <w:ind w:left="111" w:right="0" w:firstLine="142"/>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Postal Box 0819-01233</w:t>
                      </w:r>
                    </w:p>
                    <w:p>
                      <w:pPr>
                        <w:pStyle w:val="TextBody"/>
                        <w:bidi w:val="0"/>
                        <w:spacing w:before="0" w:after="0"/>
                        <w:ind w:left="111" w:right="0" w:firstLine="142"/>
                        <w:jc w:val="left"/>
                        <w:rPr>
                          <w:caps w:val="false"/>
                          <w:smallCaps w:val="false"/>
                          <w:color w:val="231F20"/>
                        </w:rPr>
                      </w:pPr>
                      <w:r>
                        <w:rPr>
                          <w:caps w:val="false"/>
                          <w:smallCaps w:val="false"/>
                          <w:color w:val="231F20"/>
                        </w:rPr>
                        <w:t> </w:t>
                      </w:r>
                    </w:p>
                    <w:p>
                      <w:pPr>
                        <w:pStyle w:val="TextBody"/>
                        <w:bidi w:val="0"/>
                        <w:spacing w:before="0" w:after="0"/>
                        <w:ind w:left="0" w:right="0" w:hanging="0"/>
                        <w:jc w:val="both"/>
                        <w:rPr>
                          <w:rFonts w:ascii="Arial" w:hAnsi="Arial"/>
                          <w:b/>
                          <w:i w:val="false"/>
                          <w:caps w:val="false"/>
                          <w:smallCaps w:val="false"/>
                          <w:sz w:val="20"/>
                        </w:rPr>
                      </w:pPr>
                      <w:r>
                        <w:rPr>
                          <w:rFonts w:ascii="Arial" w:hAnsi="Arial"/>
                          <w:b/>
                          <w:i w:val="false"/>
                          <w:caps w:val="false"/>
                          <w:smallCaps w:val="false"/>
                          <w:sz w:val="20"/>
                        </w:rPr>
                        <w:t>Mibanco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1" w:right="0" w:firstLine="142"/>
                        <w:jc w:val="left"/>
                        <w:rPr>
                          <w:rFonts w:ascii="Arial" w:hAnsi="Arial"/>
                          <w:b w:val="false"/>
                          <w:i w:val="false"/>
                          <w:caps w:val="false"/>
                          <w:smallCaps w:val="false"/>
                          <w:color w:val="E93CAC"/>
                          <w:sz w:val="20"/>
                        </w:rPr>
                      </w:pPr>
                      <w:r>
                        <w:rPr>
                          <w:rFonts w:ascii="Arial" w:hAnsi="Arial"/>
                          <w:b/>
                          <w:i w:val="false"/>
                          <w:caps w:val="false"/>
                          <w:smallCaps w:val="false"/>
                          <w:color w:val="E93CAC"/>
                          <w:sz w:val="20"/>
                        </w:rPr>
                        <w:t>Headquarters, Lima</w:t>
                      </w:r>
                      <w:r>
                        <w:rPr>
                          <w:rFonts w:ascii="Arial" w:hAnsi="Arial"/>
                          <w:b w:val="false"/>
                          <w:i w:val="false"/>
                          <w:caps w:val="false"/>
                          <w:smallCaps w:val="false"/>
                          <w:color w:val="E93CAC"/>
                          <w:sz w:val="20"/>
                        </w:rPr>
                        <w:t> </w:t>
                      </w:r>
                    </w:p>
                    <w:p>
                      <w:pPr>
                        <w:pStyle w:val="TextBody"/>
                        <w:bidi w:val="0"/>
                        <w:spacing w:before="0" w:after="0"/>
                        <w:ind w:left="253" w:right="329" w:hanging="0"/>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 xml:space="preserve">Av. República de Panamá 4575, Surquillo Lima, </w:t>
                        <w:br/>
                        <w:t>Perú</w:t>
                      </w:r>
                    </w:p>
                    <w:p>
                      <w:pPr>
                        <w:pStyle w:val="TextBody"/>
                        <w:bidi w:val="0"/>
                        <w:spacing w:before="0" w:after="0"/>
                        <w:ind w:left="111" w:right="0" w:firstLine="142"/>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Phone +51 1 319-9999</w:t>
                      </w:r>
                    </w:p>
                    <w:p>
                      <w:pPr>
                        <w:pStyle w:val="TextBody"/>
                        <w:bidi w:val="0"/>
                        <w:spacing w:before="0" w:after="0"/>
                        <w:ind w:left="111" w:right="0" w:firstLine="142"/>
                        <w:jc w:val="left"/>
                        <w:rPr>
                          <w:caps w:val="false"/>
                          <w:smallCaps w:val="false"/>
                          <w:color w:val="231F20"/>
                        </w:rPr>
                      </w:pPr>
                      <w:r>
                        <w:rPr>
                          <w:caps w:val="false"/>
                          <w:smallCaps w:val="false"/>
                          <w:color w:val="231F20"/>
                        </w:rPr>
                        <w:t> </w:t>
                      </w:r>
                    </w:p>
                    <w:p>
                      <w:pPr>
                        <w:pStyle w:val="TextBody"/>
                        <w:bidi w:val="0"/>
                        <w:spacing w:before="0" w:after="0"/>
                        <w:ind w:left="0" w:right="0" w:hanging="0"/>
                        <w:jc w:val="both"/>
                        <w:rPr>
                          <w:rFonts w:ascii="Arial" w:hAnsi="Arial"/>
                          <w:b/>
                          <w:i w:val="false"/>
                          <w:caps w:val="false"/>
                          <w:smallCaps w:val="false"/>
                          <w:sz w:val="20"/>
                        </w:rPr>
                      </w:pPr>
                      <w:r>
                        <w:rPr>
                          <w:rFonts w:ascii="Arial" w:hAnsi="Arial"/>
                          <w:b/>
                          <w:i w:val="false"/>
                          <w:caps w:val="false"/>
                          <w:smallCaps w:val="false"/>
                          <w:sz w:val="20"/>
                        </w:rPr>
                        <w:t>BCP Bolivia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1" w:right="0" w:firstLine="142"/>
                        <w:jc w:val="left"/>
                        <w:rPr>
                          <w:rFonts w:ascii="Arial" w:hAnsi="Arial"/>
                          <w:b w:val="false"/>
                          <w:i w:val="false"/>
                          <w:caps w:val="false"/>
                          <w:smallCaps w:val="false"/>
                          <w:color w:val="E93CAC"/>
                          <w:sz w:val="20"/>
                        </w:rPr>
                      </w:pPr>
                      <w:r>
                        <w:rPr>
                          <w:rFonts w:ascii="Arial" w:hAnsi="Arial"/>
                          <w:b/>
                          <w:i w:val="false"/>
                          <w:caps w:val="false"/>
                          <w:smallCaps w:val="false"/>
                          <w:color w:val="E93CAC"/>
                          <w:sz w:val="20"/>
                        </w:rPr>
                        <w:t>Headquarters, La Paz</w:t>
                      </w:r>
                      <w:r>
                        <w:rPr>
                          <w:rFonts w:ascii="Arial" w:hAnsi="Arial"/>
                          <w:b w:val="false"/>
                          <w:i w:val="false"/>
                          <w:caps w:val="false"/>
                          <w:smallCaps w:val="false"/>
                          <w:color w:val="E93CAC"/>
                          <w:sz w:val="20"/>
                        </w:rPr>
                        <w:t> </w:t>
                      </w:r>
                    </w:p>
                    <w:p>
                      <w:pPr>
                        <w:pStyle w:val="TextBody"/>
                        <w:bidi w:val="0"/>
                        <w:spacing w:before="0" w:after="0"/>
                        <w:ind w:left="253" w:right="576" w:hanging="0"/>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 xml:space="preserve">Calle Colón esquina Mercado No. 1308 La </w:t>
                        <w:br/>
                        <w:t>Paz, Bolivia</w:t>
                      </w:r>
                    </w:p>
                    <w:p>
                      <w:pPr>
                        <w:pStyle w:val="TextBody"/>
                        <w:bidi w:val="0"/>
                        <w:spacing w:before="0" w:after="0"/>
                        <w:ind w:left="111" w:right="0" w:firstLine="142"/>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Phone + 591 2 217-5000</w:t>
                      </w:r>
                    </w:p>
                    <w:p>
                      <w:pPr>
                        <w:pStyle w:val="TextBody"/>
                        <w:bidi w:val="0"/>
                        <w:spacing w:before="0" w:after="0"/>
                        <w:ind w:left="111" w:right="0" w:firstLine="142"/>
                        <w:jc w:val="left"/>
                        <w:rPr>
                          <w:caps w:val="false"/>
                          <w:smallCaps w:val="false"/>
                          <w:color w:val="231F20"/>
                        </w:rPr>
                      </w:pPr>
                      <w:r>
                        <w:rPr>
                          <w:caps w:val="false"/>
                          <w:smallCaps w:val="false"/>
                          <w:color w:val="231F20"/>
                        </w:rPr>
                        <w:t> </w:t>
                      </w:r>
                    </w:p>
                    <w:p>
                      <w:pPr>
                        <w:pStyle w:val="TextBody"/>
                        <w:bidi w:val="0"/>
                        <w:spacing w:before="0" w:after="0"/>
                        <w:ind w:left="0" w:right="0" w:hanging="0"/>
                        <w:jc w:val="both"/>
                        <w:rPr>
                          <w:rFonts w:ascii="Arial" w:hAnsi="Arial"/>
                          <w:b/>
                          <w:i w:val="false"/>
                          <w:caps w:val="false"/>
                          <w:smallCaps w:val="false"/>
                          <w:sz w:val="20"/>
                        </w:rPr>
                      </w:pPr>
                      <w:r>
                        <w:rPr>
                          <w:rFonts w:ascii="Arial" w:hAnsi="Arial"/>
                          <w:b/>
                          <w:i w:val="false"/>
                          <w:caps w:val="false"/>
                          <w:smallCaps w:val="false"/>
                          <w:sz w:val="20"/>
                        </w:rPr>
                        <w:t>ASB Bank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2" w:right="0" w:hanging="0"/>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Calle 50, Tower Financial Center Floor 6</w:t>
                      </w:r>
                    </w:p>
                    <w:p>
                      <w:pPr>
                        <w:pStyle w:val="TextBody"/>
                        <w:bidi w:val="0"/>
                        <w:spacing w:before="0" w:after="0"/>
                        <w:ind w:left="142" w:right="0" w:hanging="0"/>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City of Panama</w:t>
                        <w:br/>
                        <w:t>Panama</w:t>
                      </w:r>
                    </w:p>
                    <w:p>
                      <w:pPr>
                        <w:pStyle w:val="TextBody"/>
                        <w:bidi w:val="0"/>
                        <w:spacing w:before="0" w:after="0"/>
                        <w:ind w:left="142" w:right="0" w:hanging="0"/>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Phone +507 340-5000</w:t>
                      </w:r>
                    </w:p>
                    <w:p>
                      <w:pPr>
                        <w:pStyle w:val="TextBody"/>
                        <w:bidi w:val="0"/>
                        <w:spacing w:before="0" w:after="0"/>
                        <w:ind w:left="142"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both"/>
                        <w:rPr>
                          <w:rFonts w:ascii="Arial" w:hAnsi="Arial"/>
                          <w:b/>
                          <w:i w:val="false"/>
                          <w:caps w:val="false"/>
                          <w:smallCaps w:val="false"/>
                          <w:sz w:val="20"/>
                        </w:rPr>
                      </w:pPr>
                      <w:r>
                        <w:rPr>
                          <w:rFonts w:ascii="Arial" w:hAnsi="Arial"/>
                          <w:b/>
                          <w:i w:val="false"/>
                          <w:caps w:val="false"/>
                          <w:smallCaps w:val="false"/>
                          <w:sz w:val="20"/>
                        </w:rPr>
                        <w:t>Grupo Pacífico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1" w:right="1284" w:hanging="0"/>
                        <w:jc w:val="left"/>
                        <w:rPr>
                          <w:rFonts w:ascii="Arial" w:hAnsi="Arial"/>
                          <w:b/>
                          <w:i w:val="false"/>
                          <w:caps w:val="false"/>
                          <w:smallCaps w:val="false"/>
                          <w:color w:val="E93CAC"/>
                          <w:sz w:val="20"/>
                        </w:rPr>
                      </w:pPr>
                      <w:r>
                        <w:rPr>
                          <w:rFonts w:ascii="Arial" w:hAnsi="Arial"/>
                          <w:b/>
                          <w:i w:val="false"/>
                          <w:caps w:val="false"/>
                          <w:smallCaps w:val="false"/>
                          <w:color w:val="E93CAC"/>
                          <w:sz w:val="20"/>
                        </w:rPr>
                        <w:t>Headquarters, Lima</w:t>
                      </w:r>
                    </w:p>
                    <w:p>
                      <w:pPr>
                        <w:pStyle w:val="TextBody"/>
                        <w:bidi w:val="0"/>
                        <w:spacing w:before="0" w:after="0"/>
                        <w:ind w:left="111" w:right="1284" w:hanging="0"/>
                        <w:jc w:val="left"/>
                        <w:rPr>
                          <w:caps w:val="false"/>
                          <w:smallCaps w:val="false"/>
                          <w:color w:val="E93CAC"/>
                        </w:rPr>
                      </w:pPr>
                      <w:r>
                        <w:rPr>
                          <w:caps w:val="false"/>
                          <w:smallCaps w:val="false"/>
                          <w:color w:val="E93CAC"/>
                        </w:rPr>
                        <w:t> </w:t>
                      </w:r>
                    </w:p>
                    <w:p>
                      <w:pPr>
                        <w:pStyle w:val="TextBody"/>
                        <w:bidi w:val="0"/>
                        <w:spacing w:before="0" w:after="0"/>
                        <w:ind w:left="113" w:right="2350" w:hanging="0"/>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Juan de Arona 830, San</w:t>
                      </w:r>
                    </w:p>
                    <w:p>
                      <w:pPr>
                        <w:pStyle w:val="TextBody"/>
                        <w:bidi w:val="0"/>
                        <w:spacing w:before="0" w:after="0"/>
                        <w:ind w:left="113" w:right="2350" w:hanging="0"/>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Isidro Lima 27, Perú</w:t>
                      </w:r>
                    </w:p>
                    <w:p>
                      <w:pPr>
                        <w:pStyle w:val="TextBody"/>
                        <w:bidi w:val="0"/>
                        <w:spacing w:before="0" w:after="0"/>
                        <w:ind w:left="113" w:right="0" w:hanging="0"/>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Teléfono +51 1 518-4000</w:t>
                      </w:r>
                    </w:p>
                  </w:txbxContent>
                </v:textbox>
                <w10:wrap type="square" side="right"/>
              </v:rect>
            </w:pict>
          </mc:Fallback>
        </mc:AlternateContent>
      </w:r>
      <w:r>
        <mc:AlternateContent>
          <mc:Choice Requires="wps">
            <w:drawing>
              <wp:anchor behindDoc="0" distT="0" distB="0" distL="0" distR="0" simplePos="0" locked="0" layoutInCell="1" allowOverlap="1" relativeHeight="253">
                <wp:simplePos x="0" y="0"/>
                <wp:positionH relativeFrom="column">
                  <wp:align>right</wp:align>
                </wp:positionH>
                <wp:positionV relativeFrom="line">
                  <wp:posOffset>635</wp:posOffset>
                </wp:positionV>
                <wp:extent cx="3110230" cy="4751070"/>
                <wp:effectExtent l="0" t="0" r="0" b="0"/>
                <wp:wrapSquare wrapText="left"/>
                <wp:docPr id="43" name="Frame9"/>
                <a:graphic xmlns:a="http://schemas.openxmlformats.org/drawingml/2006/main">
                  <a:graphicData uri="http://schemas.microsoft.com/office/word/2010/wordprocessingShape">
                    <wps:wsp>
                      <wps:cNvSpPr txBox="1"/>
                      <wps:spPr>
                        <a:xfrm>
                          <a:off x="0" y="0"/>
                          <a:ext cx="3110230" cy="4751070"/>
                        </a:xfrm>
                        <a:prstGeom prst="rect"/>
                        <a:solidFill>
                          <a:srgbClr val="FFFFFF"/>
                        </a:solidFill>
                      </wps:spPr>
                      <wps:txbx>
                        <w:txbxContent>
                          <w:p>
                            <w:pPr>
                              <w:pStyle w:val="TextBody"/>
                              <w:bidi w:val="0"/>
                              <w:spacing w:before="0" w:after="0"/>
                              <w:ind w:left="0" w:right="0" w:hanging="0"/>
                              <w:jc w:val="both"/>
                              <w:rPr>
                                <w:rFonts w:ascii="Arial" w:hAnsi="Arial"/>
                                <w:b/>
                                <w:i w:val="false"/>
                                <w:caps w:val="false"/>
                                <w:smallCaps w:val="false"/>
                                <w:sz w:val="20"/>
                              </w:rPr>
                            </w:pPr>
                            <w:r>
                              <w:rPr>
                                <w:rFonts w:ascii="Arial" w:hAnsi="Arial"/>
                                <w:b/>
                                <w:i w:val="false"/>
                                <w:caps w:val="false"/>
                                <w:smallCaps w:val="false"/>
                                <w:sz w:val="20"/>
                              </w:rPr>
                              <w:t>Credicorp Capital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3" w:right="84" w:hanging="0"/>
                              <w:jc w:val="left"/>
                              <w:rPr>
                                <w:rFonts w:ascii="Arial" w:hAnsi="Arial"/>
                                <w:b w:val="false"/>
                                <w:i w:val="false"/>
                                <w:caps w:val="false"/>
                                <w:smallCaps w:val="false"/>
                                <w:sz w:val="20"/>
                              </w:rPr>
                            </w:pPr>
                            <w:r>
                              <w:rPr>
                                <w:rFonts w:ascii="Arial" w:hAnsi="Arial"/>
                                <w:b/>
                                <w:i w:val="false"/>
                                <w:caps w:val="false"/>
                                <w:smallCaps w:val="false"/>
                                <w:color w:val="E93CAC"/>
                                <w:sz w:val="20"/>
                              </w:rPr>
                              <w:t>Lima, Perú</w:t>
                            </w:r>
                            <w:r>
                              <w:rPr>
                                <w:rFonts w:ascii="Arial" w:hAnsi="Arial"/>
                                <w:b w:val="false"/>
                                <w:i w:val="false"/>
                                <w:caps w:val="false"/>
                                <w:smallCaps w:val="false"/>
                                <w:sz w:val="20"/>
                              </w:rPr>
                              <w:br/>
                            </w:r>
                            <w:r>
                              <w:rPr>
                                <w:rFonts w:ascii="Arial" w:hAnsi="Arial"/>
                                <w:b w:val="false"/>
                                <w:i w:val="false"/>
                                <w:caps w:val="false"/>
                                <w:smallCaps w:val="false"/>
                                <w:color w:val="231F20"/>
                                <w:sz w:val="20"/>
                              </w:rPr>
                              <w:t>Av. El De​rby 055, Torre 3, piso 7, Santiago de Surco,</w:t>
                            </w:r>
                          </w:p>
                          <w:p>
                            <w:pPr>
                              <w:pStyle w:val="TextBody"/>
                              <w:bidi w:val="0"/>
                              <w:spacing w:before="0" w:after="0"/>
                              <w:ind w:left="113" w:right="84" w:hanging="0"/>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Lima </w:t>
                            </w:r>
                          </w:p>
                          <w:p>
                            <w:pPr>
                              <w:pStyle w:val="TextBody"/>
                              <w:bidi w:val="0"/>
                              <w:spacing w:before="0" w:after="0"/>
                              <w:ind w:left="113" w:right="1814" w:hanging="0"/>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Phone +51 1 416-3333</w:t>
                            </w:r>
                          </w:p>
                          <w:p>
                            <w:pPr>
                              <w:pStyle w:val="TextBody"/>
                              <w:bidi w:val="0"/>
                              <w:spacing w:before="0" w:after="0"/>
                              <w:ind w:left="113" w:right="1814" w:hanging="0"/>
                              <w:jc w:val="left"/>
                              <w:rPr>
                                <w:caps w:val="false"/>
                                <w:smallCaps w:val="false"/>
                                <w:color w:val="231F20"/>
                              </w:rPr>
                            </w:pPr>
                            <w:r>
                              <w:rPr>
                                <w:caps w:val="false"/>
                                <w:smallCaps w:val="false"/>
                                <w:color w:val="231F20"/>
                              </w:rPr>
                              <w:t> </w:t>
                            </w:r>
                          </w:p>
                          <w:p>
                            <w:pPr>
                              <w:pStyle w:val="TextBody"/>
                              <w:bidi w:val="0"/>
                              <w:spacing w:before="0" w:after="0"/>
                              <w:ind w:left="113" w:right="1814" w:hanging="0"/>
                              <w:jc w:val="left"/>
                              <w:rPr>
                                <w:rFonts w:ascii="Arial" w:hAnsi="Arial"/>
                                <w:b w:val="false"/>
                                <w:i w:val="false"/>
                                <w:caps w:val="false"/>
                                <w:smallCaps w:val="false"/>
                                <w:color w:val="E93CAC"/>
                                <w:sz w:val="20"/>
                              </w:rPr>
                            </w:pPr>
                            <w:r>
                              <w:rPr>
                                <w:rFonts w:ascii="Arial" w:hAnsi="Arial"/>
                                <w:b/>
                                <w:i w:val="false"/>
                                <w:caps w:val="false"/>
                                <w:smallCaps w:val="false"/>
                                <w:color w:val="E93CAC"/>
                                <w:sz w:val="20"/>
                              </w:rPr>
                              <w:t>Santiago, Chile</w:t>
                            </w:r>
                            <w:r>
                              <w:rPr>
                                <w:rFonts w:ascii="Arial" w:hAnsi="Arial"/>
                                <w:b w:val="false"/>
                                <w:i w:val="false"/>
                                <w:caps w:val="false"/>
                                <w:smallCaps w:val="false"/>
                                <w:color w:val="E93CAC"/>
                                <w:sz w:val="20"/>
                              </w:rPr>
                              <w:t> </w:t>
                            </w:r>
                          </w:p>
                          <w:p>
                            <w:pPr>
                              <w:pStyle w:val="TextBody"/>
                              <w:bidi w:val="0"/>
                              <w:spacing w:before="0" w:after="0"/>
                              <w:ind w:left="113" w:right="454" w:hanging="0"/>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Av. Apo​q​uindo 3721, Piso 9, Las Condes,</w:t>
                            </w:r>
                          </w:p>
                          <w:p>
                            <w:pPr>
                              <w:pStyle w:val="TextBody"/>
                              <w:bidi w:val="0"/>
                              <w:spacing w:before="0" w:after="0"/>
                              <w:ind w:left="113" w:right="454" w:hanging="0"/>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Santiago de Chile</w:t>
                            </w:r>
                          </w:p>
                          <w:p>
                            <w:pPr>
                              <w:pStyle w:val="TextBody"/>
                              <w:bidi w:val="0"/>
                              <w:spacing w:before="0" w:after="0"/>
                              <w:ind w:left="113" w:right="454" w:hanging="0"/>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Teléfono +56 2 245-01600</w:t>
                            </w:r>
                          </w:p>
                          <w:p>
                            <w:pPr>
                              <w:pStyle w:val="TextBody"/>
                              <w:bidi w:val="0"/>
                              <w:spacing w:before="0" w:after="0"/>
                              <w:ind w:left="113" w:right="454" w:hanging="0"/>
                              <w:jc w:val="left"/>
                              <w:rPr>
                                <w:caps w:val="false"/>
                                <w:smallCaps w:val="false"/>
                                <w:color w:val="231F20"/>
                              </w:rPr>
                            </w:pPr>
                            <w:r>
                              <w:rPr>
                                <w:caps w:val="false"/>
                                <w:smallCaps w:val="false"/>
                                <w:color w:val="231F20"/>
                              </w:rPr>
                              <w:t> </w:t>
                            </w:r>
                          </w:p>
                          <w:p>
                            <w:pPr>
                              <w:pStyle w:val="TextBody"/>
                              <w:bidi w:val="0"/>
                              <w:spacing w:before="0" w:after="0"/>
                              <w:ind w:left="113" w:right="1814" w:hanging="0"/>
                              <w:jc w:val="left"/>
                              <w:rPr>
                                <w:rFonts w:ascii="Arial" w:hAnsi="Arial"/>
                                <w:b w:val="false"/>
                                <w:i w:val="false"/>
                                <w:caps w:val="false"/>
                                <w:smallCaps w:val="false"/>
                                <w:color w:val="E93CAC"/>
                                <w:sz w:val="20"/>
                              </w:rPr>
                            </w:pPr>
                            <w:r>
                              <w:rPr>
                                <w:rFonts w:ascii="Arial" w:hAnsi="Arial"/>
                                <w:b/>
                                <w:i w:val="false"/>
                                <w:caps w:val="false"/>
                                <w:smallCaps w:val="false"/>
                                <w:color w:val="E93CAC"/>
                                <w:sz w:val="20"/>
                              </w:rPr>
                              <w:t>Bogotá, Colombia</w:t>
                            </w:r>
                            <w:r>
                              <w:rPr>
                                <w:rFonts w:ascii="Arial" w:hAnsi="Arial"/>
                                <w:b w:val="false"/>
                                <w:i w:val="false"/>
                                <w:caps w:val="false"/>
                                <w:smallCaps w:val="false"/>
                                <w:color w:val="E93CAC"/>
                                <w:sz w:val="20"/>
                              </w:rPr>
                              <w:t> </w:t>
                            </w:r>
                          </w:p>
                          <w:p>
                            <w:pPr>
                              <w:pStyle w:val="TextBody"/>
                              <w:bidi w:val="0"/>
                              <w:spacing w:before="0" w:after="0"/>
                              <w:ind w:left="113" w:right="454" w:hanging="0"/>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Calle 34 N° 6-65, Bogotá</w:t>
                            </w:r>
                          </w:p>
                          <w:p>
                            <w:pPr>
                              <w:pStyle w:val="TextBody"/>
                              <w:bidi w:val="0"/>
                              <w:spacing w:before="0" w:after="0"/>
                              <w:ind w:left="113" w:right="454" w:hanging="0"/>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Teléfono +01 800​ 126 660</w:t>
                            </w:r>
                          </w:p>
                          <w:p>
                            <w:pPr>
                              <w:pStyle w:val="TextBody"/>
                              <w:bidi w:val="0"/>
                              <w:spacing w:before="0" w:after="0"/>
                              <w:ind w:left="113" w:right="454" w:hanging="0"/>
                              <w:jc w:val="left"/>
                              <w:rPr>
                                <w:caps w:val="false"/>
                                <w:smallCaps w:val="false"/>
                                <w:color w:val="231F20"/>
                              </w:rPr>
                            </w:pPr>
                            <w:r>
                              <w:rPr>
                                <w:caps w:val="false"/>
                                <w:smallCaps w:val="false"/>
                                <w:color w:val="231F20"/>
                              </w:rPr>
                              <w:t> </w:t>
                            </w:r>
                          </w:p>
                          <w:p>
                            <w:pPr>
                              <w:pStyle w:val="TextBody"/>
                              <w:bidi w:val="0"/>
                              <w:spacing w:before="0" w:after="0"/>
                              <w:ind w:left="0" w:right="0" w:hanging="0"/>
                              <w:jc w:val="both"/>
                              <w:rPr>
                                <w:rFonts w:ascii="Arial" w:hAnsi="Arial"/>
                                <w:b/>
                                <w:i w:val="false"/>
                                <w:caps w:val="false"/>
                                <w:smallCaps w:val="false"/>
                                <w:sz w:val="20"/>
                              </w:rPr>
                            </w:pPr>
                            <w:r>
                              <w:rPr>
                                <w:rFonts w:ascii="Arial" w:hAnsi="Arial"/>
                                <w:b/>
                                <w:i w:val="false"/>
                                <w:caps w:val="false"/>
                                <w:smallCaps w:val="false"/>
                                <w:sz w:val="20"/>
                              </w:rPr>
                              <w:t>Prima AFP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1" w:right="0" w:hanging="0"/>
                              <w:jc w:val="left"/>
                              <w:rPr>
                                <w:rFonts w:ascii="Arial" w:hAnsi="Arial"/>
                                <w:b w:val="false"/>
                                <w:i w:val="false"/>
                                <w:caps w:val="false"/>
                                <w:smallCaps w:val="false"/>
                                <w:color w:val="E93CAC"/>
                                <w:sz w:val="20"/>
                              </w:rPr>
                            </w:pPr>
                            <w:r>
                              <w:rPr>
                                <w:rFonts w:ascii="Arial" w:hAnsi="Arial"/>
                                <w:b/>
                                <w:i w:val="false"/>
                                <w:caps w:val="false"/>
                                <w:smallCaps w:val="false"/>
                                <w:color w:val="E93CAC"/>
                                <w:sz w:val="20"/>
                              </w:rPr>
                              <w:t>Sede Central, Lima</w:t>
                            </w:r>
                            <w:r>
                              <w:rPr>
                                <w:rFonts w:ascii="Arial" w:hAnsi="Arial"/>
                                <w:b w:val="false"/>
                                <w:i w:val="false"/>
                                <w:caps w:val="false"/>
                                <w:smallCaps w:val="false"/>
                                <w:color w:val="E93CAC"/>
                                <w:sz w:val="20"/>
                              </w:rPr>
                              <w:t> </w:t>
                            </w:r>
                          </w:p>
                          <w:p>
                            <w:pPr>
                              <w:pStyle w:val="TextBody"/>
                              <w:bidi w:val="0"/>
                              <w:spacing w:before="0" w:after="0"/>
                              <w:ind w:left="111" w:right="2097" w:hanging="0"/>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Calle Chinchón 980, San</w:t>
                            </w:r>
                          </w:p>
                          <w:p>
                            <w:pPr>
                              <w:pStyle w:val="TextBody"/>
                              <w:bidi w:val="0"/>
                              <w:spacing w:before="0" w:after="0"/>
                              <w:ind w:left="111" w:right="2097" w:hanging="0"/>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Isidro Lima 27, Perú</w:t>
                            </w:r>
                          </w:p>
                          <w:p>
                            <w:pPr>
                              <w:pStyle w:val="TextBody"/>
                              <w:bidi w:val="0"/>
                              <w:spacing w:before="0" w:after="0"/>
                              <w:ind w:left="111" w:right="0" w:hanging="0"/>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Teléfono +51 1 615-7272</w:t>
                            </w:r>
                          </w:p>
                          <w:p>
                            <w:pPr>
                              <w:pStyle w:val="TextBody"/>
                              <w:bidi w:val="0"/>
                              <w:spacing w:before="0" w:after="0"/>
                              <w:ind w:left="111" w:right="0" w:hanging="0"/>
                              <w:jc w:val="left"/>
                              <w:rPr>
                                <w:caps w:val="false"/>
                                <w:smallCaps w:val="false"/>
                                <w:color w:val="231F20"/>
                              </w:rPr>
                            </w:pPr>
                            <w:r>
                              <w:rPr>
                                <w:caps w:val="false"/>
                                <w:smallCaps w:val="false"/>
                                <w:color w:val="231F20"/>
                              </w:rPr>
                              <w:t> </w:t>
                            </w:r>
                          </w:p>
                          <w:p>
                            <w:pPr>
                              <w:pStyle w:val="TextBody"/>
                              <w:bidi w:val="0"/>
                              <w:spacing w:before="60" w:after="60"/>
                              <w:ind w:left="111" w:right="0" w:hanging="0"/>
                              <w:jc w:val="left"/>
                              <w:rPr>
                                <w:bdr w:val="single" w:sz="8" w:space="1" w:color="000000"/>
                              </w:rPr>
                            </w:pPr>
                            <w:r>
                              <w:rPr>
                                <w:bdr w:val="single" w:sz="8" w:space="1" w:color="000000"/>
                              </w:rPr>
                              <w:t> </w:t>
                            </w:r>
                          </w:p>
                          <w:p>
                            <w:pPr>
                              <w:pStyle w:val="TextBody"/>
                              <w:bidi w:val="0"/>
                              <w:spacing w:before="0" w:after="0"/>
                              <w:ind w:left="111"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both"/>
                              <w:rPr>
                                <w:rFonts w:ascii="Arial" w:hAnsi="Arial"/>
                                <w:b/>
                                <w:i w:val="false"/>
                                <w:caps w:val="false"/>
                                <w:smallCaps w:val="false"/>
                                <w:sz w:val="20"/>
                              </w:rPr>
                            </w:pPr>
                            <w:r>
                              <w:rPr>
                                <w:rFonts w:ascii="Arial" w:hAnsi="Arial"/>
                                <w:b/>
                                <w:i w:val="false"/>
                                <w:caps w:val="false"/>
                                <w:smallCaps w:val="false"/>
                                <w:sz w:val="20"/>
                              </w:rPr>
                              <w:t>Investor Relations Credicorp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1" w:right="0" w:hanging="0"/>
                              <w:jc w:val="left"/>
                              <w:rPr>
                                <w:rFonts w:ascii="Arial" w:hAnsi="Arial"/>
                                <w:b/>
                                <w:i w:val="false"/>
                                <w:caps w:val="false"/>
                                <w:smallCaps w:val="false"/>
                                <w:color w:val="E93CAC"/>
                                <w:sz w:val="20"/>
                              </w:rPr>
                            </w:pPr>
                            <w:r>
                              <w:rPr>
                                <w:rFonts w:ascii="Arial" w:hAnsi="Arial"/>
                                <w:b/>
                                <w:i w:val="false"/>
                                <w:caps w:val="false"/>
                                <w:smallCaps w:val="false"/>
                                <w:color w:val="E93CAC"/>
                                <w:sz w:val="20"/>
                              </w:rPr>
                              <w:t>Lima, Perú</w:t>
                            </w:r>
                          </w:p>
                          <w:p>
                            <w:pPr>
                              <w:pStyle w:val="TextBody"/>
                              <w:bidi w:val="0"/>
                              <w:spacing w:before="0" w:after="0"/>
                              <w:ind w:left="111" w:right="0" w:hanging="0"/>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investorrelations@credicorpperu.com</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74.1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both"/>
                        <w:rPr>
                          <w:rFonts w:ascii="Arial" w:hAnsi="Arial"/>
                          <w:b/>
                          <w:i w:val="false"/>
                          <w:caps w:val="false"/>
                          <w:smallCaps w:val="false"/>
                          <w:sz w:val="20"/>
                        </w:rPr>
                      </w:pPr>
                      <w:r>
                        <w:rPr>
                          <w:rFonts w:ascii="Arial" w:hAnsi="Arial"/>
                          <w:b/>
                          <w:i w:val="false"/>
                          <w:caps w:val="false"/>
                          <w:smallCaps w:val="false"/>
                          <w:sz w:val="20"/>
                        </w:rPr>
                        <w:t>Credicorp Capital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3" w:right="84" w:hanging="0"/>
                        <w:jc w:val="left"/>
                        <w:rPr>
                          <w:rFonts w:ascii="Arial" w:hAnsi="Arial"/>
                          <w:b w:val="false"/>
                          <w:i w:val="false"/>
                          <w:caps w:val="false"/>
                          <w:smallCaps w:val="false"/>
                          <w:sz w:val="20"/>
                        </w:rPr>
                      </w:pPr>
                      <w:r>
                        <w:rPr>
                          <w:rFonts w:ascii="Arial" w:hAnsi="Arial"/>
                          <w:b/>
                          <w:i w:val="false"/>
                          <w:caps w:val="false"/>
                          <w:smallCaps w:val="false"/>
                          <w:color w:val="E93CAC"/>
                          <w:sz w:val="20"/>
                        </w:rPr>
                        <w:t>Lima, Perú</w:t>
                      </w:r>
                      <w:r>
                        <w:rPr>
                          <w:rFonts w:ascii="Arial" w:hAnsi="Arial"/>
                          <w:b w:val="false"/>
                          <w:i w:val="false"/>
                          <w:caps w:val="false"/>
                          <w:smallCaps w:val="false"/>
                          <w:sz w:val="20"/>
                        </w:rPr>
                        <w:br/>
                      </w:r>
                      <w:r>
                        <w:rPr>
                          <w:rFonts w:ascii="Arial" w:hAnsi="Arial"/>
                          <w:b w:val="false"/>
                          <w:i w:val="false"/>
                          <w:caps w:val="false"/>
                          <w:smallCaps w:val="false"/>
                          <w:color w:val="231F20"/>
                          <w:sz w:val="20"/>
                        </w:rPr>
                        <w:t>Av. El De​rby 055, Torre 3, piso 7, Santiago de Surco,</w:t>
                      </w:r>
                    </w:p>
                    <w:p>
                      <w:pPr>
                        <w:pStyle w:val="TextBody"/>
                        <w:bidi w:val="0"/>
                        <w:spacing w:before="0" w:after="0"/>
                        <w:ind w:left="113" w:right="84" w:hanging="0"/>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Lima </w:t>
                      </w:r>
                    </w:p>
                    <w:p>
                      <w:pPr>
                        <w:pStyle w:val="TextBody"/>
                        <w:bidi w:val="0"/>
                        <w:spacing w:before="0" w:after="0"/>
                        <w:ind w:left="113" w:right="1814" w:hanging="0"/>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Phone +51 1 416-3333</w:t>
                      </w:r>
                    </w:p>
                    <w:p>
                      <w:pPr>
                        <w:pStyle w:val="TextBody"/>
                        <w:bidi w:val="0"/>
                        <w:spacing w:before="0" w:after="0"/>
                        <w:ind w:left="113" w:right="1814" w:hanging="0"/>
                        <w:jc w:val="left"/>
                        <w:rPr>
                          <w:caps w:val="false"/>
                          <w:smallCaps w:val="false"/>
                          <w:color w:val="231F20"/>
                        </w:rPr>
                      </w:pPr>
                      <w:r>
                        <w:rPr>
                          <w:caps w:val="false"/>
                          <w:smallCaps w:val="false"/>
                          <w:color w:val="231F20"/>
                        </w:rPr>
                        <w:t> </w:t>
                      </w:r>
                    </w:p>
                    <w:p>
                      <w:pPr>
                        <w:pStyle w:val="TextBody"/>
                        <w:bidi w:val="0"/>
                        <w:spacing w:before="0" w:after="0"/>
                        <w:ind w:left="113" w:right="1814" w:hanging="0"/>
                        <w:jc w:val="left"/>
                        <w:rPr>
                          <w:rFonts w:ascii="Arial" w:hAnsi="Arial"/>
                          <w:b w:val="false"/>
                          <w:i w:val="false"/>
                          <w:caps w:val="false"/>
                          <w:smallCaps w:val="false"/>
                          <w:color w:val="E93CAC"/>
                          <w:sz w:val="20"/>
                        </w:rPr>
                      </w:pPr>
                      <w:r>
                        <w:rPr>
                          <w:rFonts w:ascii="Arial" w:hAnsi="Arial"/>
                          <w:b/>
                          <w:i w:val="false"/>
                          <w:caps w:val="false"/>
                          <w:smallCaps w:val="false"/>
                          <w:color w:val="E93CAC"/>
                          <w:sz w:val="20"/>
                        </w:rPr>
                        <w:t>Santiago, Chile</w:t>
                      </w:r>
                      <w:r>
                        <w:rPr>
                          <w:rFonts w:ascii="Arial" w:hAnsi="Arial"/>
                          <w:b w:val="false"/>
                          <w:i w:val="false"/>
                          <w:caps w:val="false"/>
                          <w:smallCaps w:val="false"/>
                          <w:color w:val="E93CAC"/>
                          <w:sz w:val="20"/>
                        </w:rPr>
                        <w:t> </w:t>
                      </w:r>
                    </w:p>
                    <w:p>
                      <w:pPr>
                        <w:pStyle w:val="TextBody"/>
                        <w:bidi w:val="0"/>
                        <w:spacing w:before="0" w:after="0"/>
                        <w:ind w:left="113" w:right="454" w:hanging="0"/>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Av. Apo​q​uindo 3721, Piso 9, Las Condes,</w:t>
                      </w:r>
                    </w:p>
                    <w:p>
                      <w:pPr>
                        <w:pStyle w:val="TextBody"/>
                        <w:bidi w:val="0"/>
                        <w:spacing w:before="0" w:after="0"/>
                        <w:ind w:left="113" w:right="454" w:hanging="0"/>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Santiago de Chile</w:t>
                      </w:r>
                    </w:p>
                    <w:p>
                      <w:pPr>
                        <w:pStyle w:val="TextBody"/>
                        <w:bidi w:val="0"/>
                        <w:spacing w:before="0" w:after="0"/>
                        <w:ind w:left="113" w:right="454" w:hanging="0"/>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Teléfono +56 2 245-01600</w:t>
                      </w:r>
                    </w:p>
                    <w:p>
                      <w:pPr>
                        <w:pStyle w:val="TextBody"/>
                        <w:bidi w:val="0"/>
                        <w:spacing w:before="0" w:after="0"/>
                        <w:ind w:left="113" w:right="454" w:hanging="0"/>
                        <w:jc w:val="left"/>
                        <w:rPr>
                          <w:caps w:val="false"/>
                          <w:smallCaps w:val="false"/>
                          <w:color w:val="231F20"/>
                        </w:rPr>
                      </w:pPr>
                      <w:r>
                        <w:rPr>
                          <w:caps w:val="false"/>
                          <w:smallCaps w:val="false"/>
                          <w:color w:val="231F20"/>
                        </w:rPr>
                        <w:t> </w:t>
                      </w:r>
                    </w:p>
                    <w:p>
                      <w:pPr>
                        <w:pStyle w:val="TextBody"/>
                        <w:bidi w:val="0"/>
                        <w:spacing w:before="0" w:after="0"/>
                        <w:ind w:left="113" w:right="1814" w:hanging="0"/>
                        <w:jc w:val="left"/>
                        <w:rPr>
                          <w:rFonts w:ascii="Arial" w:hAnsi="Arial"/>
                          <w:b w:val="false"/>
                          <w:i w:val="false"/>
                          <w:caps w:val="false"/>
                          <w:smallCaps w:val="false"/>
                          <w:color w:val="E93CAC"/>
                          <w:sz w:val="20"/>
                        </w:rPr>
                      </w:pPr>
                      <w:r>
                        <w:rPr>
                          <w:rFonts w:ascii="Arial" w:hAnsi="Arial"/>
                          <w:b/>
                          <w:i w:val="false"/>
                          <w:caps w:val="false"/>
                          <w:smallCaps w:val="false"/>
                          <w:color w:val="E93CAC"/>
                          <w:sz w:val="20"/>
                        </w:rPr>
                        <w:t>Bogotá, Colombia</w:t>
                      </w:r>
                      <w:r>
                        <w:rPr>
                          <w:rFonts w:ascii="Arial" w:hAnsi="Arial"/>
                          <w:b w:val="false"/>
                          <w:i w:val="false"/>
                          <w:caps w:val="false"/>
                          <w:smallCaps w:val="false"/>
                          <w:color w:val="E93CAC"/>
                          <w:sz w:val="20"/>
                        </w:rPr>
                        <w:t> </w:t>
                      </w:r>
                    </w:p>
                    <w:p>
                      <w:pPr>
                        <w:pStyle w:val="TextBody"/>
                        <w:bidi w:val="0"/>
                        <w:spacing w:before="0" w:after="0"/>
                        <w:ind w:left="113" w:right="454" w:hanging="0"/>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Calle 34 N° 6-65, Bogotá</w:t>
                      </w:r>
                    </w:p>
                    <w:p>
                      <w:pPr>
                        <w:pStyle w:val="TextBody"/>
                        <w:bidi w:val="0"/>
                        <w:spacing w:before="0" w:after="0"/>
                        <w:ind w:left="113" w:right="454" w:hanging="0"/>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Teléfono +01 800​ 126 660</w:t>
                      </w:r>
                    </w:p>
                    <w:p>
                      <w:pPr>
                        <w:pStyle w:val="TextBody"/>
                        <w:bidi w:val="0"/>
                        <w:spacing w:before="0" w:after="0"/>
                        <w:ind w:left="113" w:right="454" w:hanging="0"/>
                        <w:jc w:val="left"/>
                        <w:rPr>
                          <w:caps w:val="false"/>
                          <w:smallCaps w:val="false"/>
                          <w:color w:val="231F20"/>
                        </w:rPr>
                      </w:pPr>
                      <w:r>
                        <w:rPr>
                          <w:caps w:val="false"/>
                          <w:smallCaps w:val="false"/>
                          <w:color w:val="231F20"/>
                        </w:rPr>
                        <w:t> </w:t>
                      </w:r>
                    </w:p>
                    <w:p>
                      <w:pPr>
                        <w:pStyle w:val="TextBody"/>
                        <w:bidi w:val="0"/>
                        <w:spacing w:before="0" w:after="0"/>
                        <w:ind w:left="0" w:right="0" w:hanging="0"/>
                        <w:jc w:val="both"/>
                        <w:rPr>
                          <w:rFonts w:ascii="Arial" w:hAnsi="Arial"/>
                          <w:b/>
                          <w:i w:val="false"/>
                          <w:caps w:val="false"/>
                          <w:smallCaps w:val="false"/>
                          <w:sz w:val="20"/>
                        </w:rPr>
                      </w:pPr>
                      <w:r>
                        <w:rPr>
                          <w:rFonts w:ascii="Arial" w:hAnsi="Arial"/>
                          <w:b/>
                          <w:i w:val="false"/>
                          <w:caps w:val="false"/>
                          <w:smallCaps w:val="false"/>
                          <w:sz w:val="20"/>
                        </w:rPr>
                        <w:t>Prima AFP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1" w:right="0" w:hanging="0"/>
                        <w:jc w:val="left"/>
                        <w:rPr>
                          <w:rFonts w:ascii="Arial" w:hAnsi="Arial"/>
                          <w:b w:val="false"/>
                          <w:i w:val="false"/>
                          <w:caps w:val="false"/>
                          <w:smallCaps w:val="false"/>
                          <w:color w:val="E93CAC"/>
                          <w:sz w:val="20"/>
                        </w:rPr>
                      </w:pPr>
                      <w:r>
                        <w:rPr>
                          <w:rFonts w:ascii="Arial" w:hAnsi="Arial"/>
                          <w:b/>
                          <w:i w:val="false"/>
                          <w:caps w:val="false"/>
                          <w:smallCaps w:val="false"/>
                          <w:color w:val="E93CAC"/>
                          <w:sz w:val="20"/>
                        </w:rPr>
                        <w:t>Sede Central, Lima</w:t>
                      </w:r>
                      <w:r>
                        <w:rPr>
                          <w:rFonts w:ascii="Arial" w:hAnsi="Arial"/>
                          <w:b w:val="false"/>
                          <w:i w:val="false"/>
                          <w:caps w:val="false"/>
                          <w:smallCaps w:val="false"/>
                          <w:color w:val="E93CAC"/>
                          <w:sz w:val="20"/>
                        </w:rPr>
                        <w:t> </w:t>
                      </w:r>
                    </w:p>
                    <w:p>
                      <w:pPr>
                        <w:pStyle w:val="TextBody"/>
                        <w:bidi w:val="0"/>
                        <w:spacing w:before="0" w:after="0"/>
                        <w:ind w:left="111" w:right="2097" w:hanging="0"/>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Calle Chinchón 980, San</w:t>
                      </w:r>
                    </w:p>
                    <w:p>
                      <w:pPr>
                        <w:pStyle w:val="TextBody"/>
                        <w:bidi w:val="0"/>
                        <w:spacing w:before="0" w:after="0"/>
                        <w:ind w:left="111" w:right="2097" w:hanging="0"/>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Isidro Lima 27, Perú</w:t>
                      </w:r>
                    </w:p>
                    <w:p>
                      <w:pPr>
                        <w:pStyle w:val="TextBody"/>
                        <w:bidi w:val="0"/>
                        <w:spacing w:before="0" w:after="0"/>
                        <w:ind w:left="111" w:right="0" w:hanging="0"/>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Teléfono +51 1 615-7272</w:t>
                      </w:r>
                    </w:p>
                    <w:p>
                      <w:pPr>
                        <w:pStyle w:val="TextBody"/>
                        <w:bidi w:val="0"/>
                        <w:spacing w:before="0" w:after="0"/>
                        <w:ind w:left="111" w:right="0" w:hanging="0"/>
                        <w:jc w:val="left"/>
                        <w:rPr>
                          <w:caps w:val="false"/>
                          <w:smallCaps w:val="false"/>
                          <w:color w:val="231F20"/>
                        </w:rPr>
                      </w:pPr>
                      <w:r>
                        <w:rPr>
                          <w:caps w:val="false"/>
                          <w:smallCaps w:val="false"/>
                          <w:color w:val="231F20"/>
                        </w:rPr>
                        <w:t> </w:t>
                      </w:r>
                    </w:p>
                    <w:p>
                      <w:pPr>
                        <w:pStyle w:val="TextBody"/>
                        <w:bidi w:val="0"/>
                        <w:spacing w:before="60" w:after="60"/>
                        <w:ind w:left="111" w:right="0" w:hanging="0"/>
                        <w:jc w:val="left"/>
                        <w:rPr>
                          <w:bdr w:val="single" w:sz="8" w:space="1" w:color="000000"/>
                        </w:rPr>
                      </w:pPr>
                      <w:r>
                        <w:rPr>
                          <w:bdr w:val="single" w:sz="8" w:space="1" w:color="000000"/>
                        </w:rPr>
                        <w:t> </w:t>
                      </w:r>
                    </w:p>
                    <w:p>
                      <w:pPr>
                        <w:pStyle w:val="TextBody"/>
                        <w:bidi w:val="0"/>
                        <w:spacing w:before="0" w:after="0"/>
                        <w:ind w:left="111"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both"/>
                        <w:rPr>
                          <w:rFonts w:ascii="Arial" w:hAnsi="Arial"/>
                          <w:b/>
                          <w:i w:val="false"/>
                          <w:caps w:val="false"/>
                          <w:smallCaps w:val="false"/>
                          <w:sz w:val="20"/>
                        </w:rPr>
                      </w:pPr>
                      <w:r>
                        <w:rPr>
                          <w:rFonts w:ascii="Arial" w:hAnsi="Arial"/>
                          <w:b/>
                          <w:i w:val="false"/>
                          <w:caps w:val="false"/>
                          <w:smallCaps w:val="false"/>
                          <w:sz w:val="20"/>
                        </w:rPr>
                        <w:t>Investor Relations Credicorp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1" w:right="0" w:hanging="0"/>
                        <w:jc w:val="left"/>
                        <w:rPr>
                          <w:rFonts w:ascii="Arial" w:hAnsi="Arial"/>
                          <w:b/>
                          <w:i w:val="false"/>
                          <w:caps w:val="false"/>
                          <w:smallCaps w:val="false"/>
                          <w:color w:val="E93CAC"/>
                          <w:sz w:val="20"/>
                        </w:rPr>
                      </w:pPr>
                      <w:r>
                        <w:rPr>
                          <w:rFonts w:ascii="Arial" w:hAnsi="Arial"/>
                          <w:b/>
                          <w:i w:val="false"/>
                          <w:caps w:val="false"/>
                          <w:smallCaps w:val="false"/>
                          <w:color w:val="E93CAC"/>
                          <w:sz w:val="20"/>
                        </w:rPr>
                        <w:t>Lima, Perú</w:t>
                      </w:r>
                    </w:p>
                    <w:p>
                      <w:pPr>
                        <w:pStyle w:val="TextBody"/>
                        <w:bidi w:val="0"/>
                        <w:spacing w:before="0" w:after="0"/>
                        <w:ind w:left="111" w:right="0" w:hanging="0"/>
                        <w:jc w:val="left"/>
                        <w:rPr>
                          <w:rFonts w:ascii="Arial" w:hAnsi="Arial"/>
                          <w:b w:val="false"/>
                          <w:i w:val="false"/>
                          <w:caps w:val="false"/>
                          <w:smallCaps w:val="false"/>
                          <w:color w:val="231F20"/>
                          <w:sz w:val="20"/>
                        </w:rPr>
                      </w:pPr>
                      <w:r>
                        <w:rPr>
                          <w:rFonts w:ascii="Arial" w:hAnsi="Arial"/>
                          <w:b w:val="false"/>
                          <w:i w:val="false"/>
                          <w:caps w:val="false"/>
                          <w:smallCaps w:val="false"/>
                          <w:color w:val="231F20"/>
                          <w:sz w:val="20"/>
                        </w:rPr>
                        <w:t>investorrelations@credicorpperu.com</w:t>
                      </w:r>
                    </w:p>
                  </w:txbxContent>
                </v:textbox>
                <w10:wrap type="square" side="left"/>
              </v:rect>
            </w:pict>
          </mc:Fallback>
        </mc:AlternateContent>
      </w:r>
    </w:p>
    <w:p>
      <w:pPr>
        <w:pStyle w:val="HorizontalLine"/>
        <w:pBdr>
          <w:bottom w:val="single" w:sz="12" w:space="0" w:color="808080"/>
        </w:pBdr>
        <w:bidi w:val="0"/>
        <w:spacing w:before="200" w:after="200"/>
        <w:jc w:val="left"/>
        <w:rPr/>
      </w:pPr>
      <w:r>
        <w:rPr/>
      </w:r>
    </w:p>
    <w:p>
      <w:pPr>
        <w:pStyle w:val="TextBody"/>
        <w:bidi w:val="0"/>
        <w:spacing w:before="0" w:after="0"/>
        <w:ind w:left="111" w:right="0" w:hanging="0"/>
        <w:jc w:val="left"/>
        <w:rPr>
          <w:caps w:val="false"/>
          <w:smallCaps w:val="false"/>
          <w:color w:val="231F20"/>
        </w:rPr>
      </w:pPr>
      <w:r>
        <w:rPr>
          <w:caps w:val="false"/>
          <w:smallCaps w:val="false"/>
          <w:color w:val="231F20"/>
        </w:rPr>
        <w:t> </w:t>
      </w:r>
    </w:p>
    <w:p>
      <w:pPr>
        <w:pStyle w:val="TextBody"/>
        <w:bidi w:val="0"/>
        <w:spacing w:before="0" w:after="0"/>
        <w:ind w:left="357" w:right="0" w:hanging="357"/>
        <w:jc w:val="left"/>
        <w:rPr>
          <w:rFonts w:ascii="Arial" w:hAnsi="Arial"/>
          <w:b/>
          <w:i w:val="false"/>
          <w:caps w:val="false"/>
          <w:smallCaps w:val="false"/>
          <w:sz w:val="28"/>
        </w:rPr>
      </w:pPr>
      <w:r>
        <w:rPr>
          <w:rFonts w:ascii="Arial" w:hAnsi="Arial"/>
          <w:b/>
          <w:i w:val="false"/>
          <w:caps w:val="false"/>
          <w:smallCaps w:val="false"/>
          <w:sz w:val="28"/>
        </w:rPr>
        <w:t>F. Complementary information</w:t>
      </w:r>
    </w:p>
    <w:p>
      <w:pPr>
        <w:pStyle w:val="TextBody"/>
        <w:bidi w:val="0"/>
        <w:spacing w:before="0" w:after="0"/>
        <w:ind w:left="357" w:right="0" w:hanging="357"/>
        <w:jc w:val="left"/>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sz w:val="20"/>
        </w:rPr>
      </w:pPr>
      <w:r>
        <w:rPr>
          <w:rFonts w:ascii="Arial" w:hAnsi="Arial"/>
          <w:b/>
          <w:i w:val="false"/>
          <w:caps w:val="false"/>
          <w:smallCaps w:val="false"/>
          <w:sz w:val="20"/>
        </w:rPr>
        <w:t>Information Related to the Stock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Credicorp’s common actions are negotiated in New York’s stock market and in BVL. The following chart shows, for the indicated periods, the maximum and minimum sell prices of the common actions in the BVL. Common actions are quoted in American dollars in the NYSE and in the BVL.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sz w:val="20"/>
        </w:rPr>
      </w:pPr>
      <w:r>
        <w:rPr>
          <w:rFonts w:ascii="Arial" w:hAnsi="Arial"/>
          <w:b/>
          <w:i w:val="false"/>
          <w:caps w:val="false"/>
          <w:smallCaps w:val="false"/>
          <w:sz w:val="20"/>
        </w:rPr>
        <w:t>Quotes 2023</w:t>
      </w:r>
    </w:p>
    <w:p>
      <w:pPr>
        <w:pStyle w:val="TextBody"/>
        <w:bidi w:val="0"/>
        <w:spacing w:before="0" w:after="0"/>
        <w:ind w:left="40" w:right="0" w:hanging="0"/>
        <w:jc w:val="left"/>
        <w:rPr>
          <w:rFonts w:ascii="Arial" w:hAnsi="Arial"/>
          <w:b/>
          <w:i w:val="false"/>
          <w:caps w:val="false"/>
          <w:smallCaps w:val="false"/>
          <w:sz w:val="20"/>
        </w:rPr>
      </w:pPr>
      <w:r>
        <w:rPr>
          <w:rFonts w:ascii="Arial" w:hAnsi="Arial"/>
          <w:b/>
          <w:i w:val="false"/>
          <w:caps w:val="false"/>
          <w:smallCaps w:val="false"/>
          <w:sz w:val="20"/>
        </w:rPr>
        <w:t>CREDICORP LTD.</w:t>
      </w:r>
    </w:p>
    <w:p>
      <w:pPr>
        <w:pStyle w:val="TextBody"/>
        <w:bidi w:val="0"/>
        <w:spacing w:before="0" w:after="0"/>
        <w:ind w:left="40" w:right="0" w:hanging="0"/>
        <w:jc w:val="left"/>
        <w:rPr>
          <w:caps w:val="false"/>
          <w:smallCaps w:val="false"/>
        </w:rPr>
      </w:pPr>
      <w:r>
        <w:rPr>
          <w:caps w:val="false"/>
          <w:smallCaps w:val="false"/>
        </w:rPr>
        <w:t> </w:t>
      </w:r>
    </w:p>
    <w:p>
      <w:pPr>
        <w:pStyle w:val="TextBody"/>
        <w:bidi w:val="0"/>
        <w:spacing w:before="0" w:after="0"/>
        <w:ind w:left="40" w:right="0" w:hanging="0"/>
        <w:jc w:val="left"/>
        <w:rPr>
          <w:rFonts w:ascii="Arial" w:hAnsi="Arial"/>
          <w:b/>
          <w:i w:val="false"/>
          <w:caps w:val="false"/>
          <w:smallCaps w:val="false"/>
          <w:sz w:val="20"/>
        </w:rPr>
      </w:pPr>
      <w:r>
        <w:rPr>
          <w:rFonts w:ascii="Arial" w:hAnsi="Arial"/>
          <w:b/>
          <w:i w:val="false"/>
          <w:caps w:val="false"/>
          <w:smallCaps w:val="false"/>
          <w:sz w:val="20"/>
        </w:rPr>
        <w:t>Equity</w:t>
      </w:r>
    </w:p>
    <w:p>
      <w:pPr>
        <w:pStyle w:val="TextBody"/>
        <w:bidi w:val="0"/>
        <w:spacing w:before="0" w:after="0"/>
        <w:ind w:left="40" w:right="0" w:hanging="0"/>
        <w:jc w:val="left"/>
        <w:rPr>
          <w:caps w:val="false"/>
          <w:smallCaps w:val="false"/>
        </w:rPr>
      </w:pPr>
      <w:r>
        <w:rPr>
          <w:caps w:val="false"/>
          <w:smallCaps w:val="false"/>
        </w:rPr>
        <w:t> </w:t>
      </w:r>
    </w:p>
    <w:tbl>
      <w:tblPr>
        <w:tblW w:w="7630" w:type="dxa"/>
        <w:jc w:val="left"/>
        <w:tblInd w:w="-10" w:type="dxa"/>
        <w:tblLayout w:type="fixed"/>
        <w:tblCellMar>
          <w:top w:w="28" w:type="dxa"/>
          <w:left w:w="60" w:type="dxa"/>
          <w:bottom w:w="0" w:type="dxa"/>
          <w:right w:w="0" w:type="dxa"/>
        </w:tblCellMar>
      </w:tblPr>
      <w:tblGrid>
        <w:gridCol w:w="1460"/>
        <w:gridCol w:w="995"/>
        <w:gridCol w:w="1085"/>
        <w:gridCol w:w="815"/>
        <w:gridCol w:w="740"/>
        <w:gridCol w:w="605"/>
        <w:gridCol w:w="605"/>
        <w:gridCol w:w="1325"/>
      </w:tblGrid>
      <w:tr>
        <w:trPr/>
        <w:tc>
          <w:tcPr>
            <w:tcW w:w="1460" w:type="dxa"/>
            <w:tcBorders>
              <w:top w:val="single" w:sz="8" w:space="0" w:color="000000"/>
              <w:left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995" w:type="dxa"/>
            <w:tcBorders>
              <w:top w:val="single" w:sz="8" w:space="0" w:color="000000"/>
            </w:tcBorders>
            <w:tcMar>
              <w:left w:w="0"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top w:val="single" w:sz="8" w:space="0" w:color="000000"/>
              <w:left w:val="single" w:sz="8" w:space="0" w:color="000000"/>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815" w:type="dxa"/>
            <w:tcBorders>
              <w:top w:val="single" w:sz="8" w:space="0" w:color="000000"/>
            </w:tcBorders>
            <w:tcMar>
              <w:left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gridSpan w:val="2"/>
            <w:tcBorders>
              <w:top w:val="single" w:sz="8" w:space="0" w:color="000000"/>
            </w:tcBorders>
            <w:tcMar>
              <w:left w:w="0" w:type="dxa"/>
            </w:tcMar>
            <w:vAlign w:val="center"/>
          </w:tcPr>
          <w:p>
            <w:pPr>
              <w:pStyle w:val="TableContents"/>
              <w:bidi w:val="0"/>
              <w:spacing w:before="0" w:after="283"/>
              <w:jc w:val="center"/>
              <w:rPr>
                <w:rFonts w:ascii="Arial" w:hAnsi="Arial"/>
                <w:b/>
                <w:i w:val="false"/>
                <w:caps w:val="false"/>
                <w:smallCaps w:val="false"/>
                <w:sz w:val="20"/>
              </w:rPr>
            </w:pPr>
            <w:r>
              <w:rPr>
                <w:rFonts w:ascii="Arial" w:hAnsi="Arial"/>
                <w:b/>
                <w:i w:val="false"/>
                <w:caps w:val="false"/>
                <w:smallCaps w:val="false"/>
                <w:sz w:val="20"/>
              </w:rPr>
              <w:t>QUOTES 2023</w:t>
            </w:r>
          </w:p>
        </w:tc>
        <w:tc>
          <w:tcPr>
            <w:tcW w:w="605" w:type="dxa"/>
            <w:tcBorders>
              <w:top w:val="single" w:sz="8" w:space="0" w:color="000000"/>
            </w:tcBorders>
            <w:tcMar>
              <w:left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op w:val="single" w:sz="8" w:space="0" w:color="000000"/>
              <w:left w:val="single" w:sz="8" w:space="0" w:color="000000"/>
              <w:right w:val="single" w:sz="8" w:space="0" w:color="000000"/>
            </w:tcBorders>
            <w:tcMar>
              <w:left w:w="28"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60" w:type="dxa"/>
            <w:tcBorders>
              <w:left w:val="single" w:sz="8" w:space="0" w:color="000000"/>
            </w:tcBorders>
            <w:tcMar>
              <w:top w:w="0"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ISIN CODE</w:t>
            </w:r>
          </w:p>
        </w:tc>
        <w:tc>
          <w:tcPr>
            <w:tcW w:w="995" w:type="dxa"/>
            <w:tcBorders/>
            <w:tcMar>
              <w:top w:w="0" w:type="dxa"/>
              <w:left w:w="0"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Mnemonic</w:t>
            </w:r>
          </w:p>
        </w:tc>
        <w:tc>
          <w:tcPr>
            <w:tcW w:w="1085" w:type="dxa"/>
            <w:tcBorders>
              <w:left w:val="single" w:sz="8" w:space="0" w:color="000000"/>
              <w:right w:val="single" w:sz="8" w:space="0" w:color="000000"/>
            </w:tcBorders>
            <w:tcMar>
              <w:top w:w="0" w:type="dxa"/>
              <w:right w:w="28"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Year-Month</w:t>
            </w:r>
          </w:p>
        </w:tc>
        <w:tc>
          <w:tcPr>
            <w:tcW w:w="815" w:type="dxa"/>
            <w:tcBorders/>
            <w:tcMar>
              <w:top w:w="0" w:type="dxa"/>
              <w:left w:w="0" w:type="dxa"/>
            </w:tcMar>
            <w:vAlign w:val="center"/>
          </w:tcPr>
          <w:p>
            <w:pPr>
              <w:pStyle w:val="TableContents"/>
              <w:bidi w:val="0"/>
              <w:spacing w:before="0" w:after="283"/>
              <w:jc w:val="center"/>
              <w:rPr>
                <w:rFonts w:ascii="Arial" w:hAnsi="Arial"/>
                <w:b/>
                <w:i w:val="false"/>
                <w:caps w:val="false"/>
                <w:smallCaps w:val="false"/>
                <w:sz w:val="20"/>
              </w:rPr>
            </w:pPr>
            <w:r>
              <w:rPr>
                <w:rFonts w:ascii="Arial" w:hAnsi="Arial"/>
                <w:b/>
                <w:i w:val="false"/>
                <w:caps w:val="false"/>
                <w:smallCaps w:val="false"/>
                <w:sz w:val="20"/>
              </w:rPr>
              <w:t>Opening</w:t>
            </w:r>
          </w:p>
        </w:tc>
        <w:tc>
          <w:tcPr>
            <w:tcW w:w="740" w:type="dxa"/>
            <w:tcBorders/>
            <w:tcMar>
              <w:top w:w="0" w:type="dxa"/>
              <w:left w:w="0" w:type="dxa"/>
            </w:tcMar>
            <w:vAlign w:val="center"/>
          </w:tcPr>
          <w:p>
            <w:pPr>
              <w:pStyle w:val="TableContents"/>
              <w:bidi w:val="0"/>
              <w:spacing w:before="0" w:after="283"/>
              <w:jc w:val="center"/>
              <w:rPr>
                <w:rFonts w:ascii="Arial" w:hAnsi="Arial"/>
                <w:b/>
                <w:i w:val="false"/>
                <w:caps w:val="false"/>
                <w:smallCaps w:val="false"/>
                <w:sz w:val="20"/>
              </w:rPr>
            </w:pPr>
            <w:r>
              <w:rPr>
                <w:rFonts w:ascii="Arial" w:hAnsi="Arial"/>
                <w:b/>
                <w:i w:val="false"/>
                <w:caps w:val="false"/>
                <w:smallCaps w:val="false"/>
                <w:sz w:val="20"/>
              </w:rPr>
              <w:t>Closing</w:t>
            </w:r>
          </w:p>
        </w:tc>
        <w:tc>
          <w:tcPr>
            <w:tcW w:w="605" w:type="dxa"/>
            <w:tcBorders/>
            <w:tcMar>
              <w:top w:w="0" w:type="dxa"/>
              <w:left w:w="0" w:type="dxa"/>
            </w:tcMar>
            <w:vAlign w:val="center"/>
          </w:tcPr>
          <w:p>
            <w:pPr>
              <w:pStyle w:val="TableContents"/>
              <w:bidi w:val="0"/>
              <w:spacing w:before="0" w:after="283"/>
              <w:jc w:val="center"/>
              <w:rPr>
                <w:rFonts w:ascii="Arial" w:hAnsi="Arial"/>
                <w:b/>
                <w:i w:val="false"/>
                <w:caps w:val="false"/>
                <w:smallCaps w:val="false"/>
                <w:sz w:val="20"/>
              </w:rPr>
            </w:pPr>
            <w:r>
              <w:rPr>
                <w:rFonts w:ascii="Arial" w:hAnsi="Arial"/>
                <w:b/>
                <w:i w:val="false"/>
                <w:caps w:val="false"/>
                <w:smallCaps w:val="false"/>
                <w:sz w:val="20"/>
              </w:rPr>
              <w:t>Max</w:t>
            </w:r>
          </w:p>
        </w:tc>
        <w:tc>
          <w:tcPr>
            <w:tcW w:w="605" w:type="dxa"/>
            <w:tcBorders/>
            <w:tcMar>
              <w:top w:w="0" w:type="dxa"/>
              <w:left w:w="0" w:type="dxa"/>
            </w:tcMar>
            <w:vAlign w:val="center"/>
          </w:tcPr>
          <w:p>
            <w:pPr>
              <w:pStyle w:val="TableContents"/>
              <w:bidi w:val="0"/>
              <w:spacing w:before="0" w:after="283"/>
              <w:jc w:val="center"/>
              <w:rPr>
                <w:rFonts w:ascii="Arial" w:hAnsi="Arial"/>
                <w:b/>
                <w:i w:val="false"/>
                <w:caps w:val="false"/>
                <w:smallCaps w:val="false"/>
                <w:sz w:val="20"/>
              </w:rPr>
            </w:pPr>
            <w:r>
              <w:rPr>
                <w:rFonts w:ascii="Arial" w:hAnsi="Arial"/>
                <w:b/>
                <w:i w:val="false"/>
                <w:caps w:val="false"/>
                <w:smallCaps w:val="false"/>
                <w:sz w:val="20"/>
              </w:rPr>
              <w:t>Min</w:t>
            </w:r>
          </w:p>
        </w:tc>
        <w:tc>
          <w:tcPr>
            <w:tcW w:w="1325" w:type="dxa"/>
            <w:tcBorders>
              <w:left w:val="single" w:sz="8" w:space="0" w:color="000000"/>
              <w:right w:val="single" w:sz="8" w:space="0" w:color="000000"/>
            </w:tcBorders>
            <w:tcMar>
              <w:top w:w="0" w:type="dxa"/>
              <w:left w:w="28" w:type="dxa"/>
              <w:right w:w="28" w:type="dxa"/>
            </w:tcMar>
            <w:vAlign w:val="center"/>
          </w:tcPr>
          <w:p>
            <w:pPr>
              <w:pStyle w:val="TableContents"/>
              <w:bidi w:val="0"/>
              <w:spacing w:before="0" w:after="283"/>
              <w:jc w:val="center"/>
              <w:rPr>
                <w:rFonts w:ascii="Arial" w:hAnsi="Arial"/>
                <w:b/>
                <w:i w:val="false"/>
                <w:caps w:val="false"/>
                <w:smallCaps w:val="false"/>
                <w:sz w:val="20"/>
              </w:rPr>
            </w:pPr>
            <w:r>
              <w:rPr>
                <w:rFonts w:ascii="Arial" w:hAnsi="Arial"/>
                <w:b/>
                <w:i w:val="false"/>
                <w:caps w:val="false"/>
                <w:smallCaps w:val="false"/>
                <w:sz w:val="20"/>
              </w:rPr>
              <w:t>Average Price</w:t>
            </w:r>
          </w:p>
        </w:tc>
      </w:tr>
      <w:tr>
        <w:trPr/>
        <w:tc>
          <w:tcPr>
            <w:tcW w:w="1460"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995" w:type="dxa"/>
            <w:tcBorders>
              <w:bottom w:val="single" w:sz="8" w:space="0" w:color="000000"/>
            </w:tcBorders>
            <w:tcMar>
              <w:top w:w="0" w:type="dxa"/>
              <w:left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left w:val="single" w:sz="8" w:space="0" w:color="000000"/>
              <w:bottom w:val="single" w:sz="8" w:space="0" w:color="000000"/>
              <w:right w:val="single" w:sz="8" w:space="0" w:color="000000"/>
            </w:tcBorders>
            <w:tcMar>
              <w:top w:w="0" w:type="dxa"/>
              <w:bottom w:w="28"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815"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Arial" w:hAnsi="Arial"/>
                <w:b/>
                <w:i w:val="false"/>
                <w:caps w:val="false"/>
                <w:smallCaps w:val="false"/>
                <w:sz w:val="20"/>
              </w:rPr>
            </w:pPr>
            <w:r>
              <w:rPr>
                <w:rFonts w:ascii="Arial" w:hAnsi="Arial"/>
                <w:b/>
                <w:i w:val="false"/>
                <w:caps w:val="false"/>
                <w:smallCaps w:val="false"/>
                <w:sz w:val="20"/>
              </w:rPr>
              <w:t>$</w:t>
            </w:r>
          </w:p>
        </w:tc>
        <w:tc>
          <w:tcPr>
            <w:tcW w:w="740"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Arial" w:hAnsi="Arial"/>
                <w:b/>
                <w:i w:val="false"/>
                <w:caps w:val="false"/>
                <w:smallCaps w:val="false"/>
                <w:sz w:val="20"/>
              </w:rPr>
            </w:pPr>
            <w:r>
              <w:rPr>
                <w:rFonts w:ascii="Arial" w:hAnsi="Arial"/>
                <w:b/>
                <w:i w:val="false"/>
                <w:caps w:val="false"/>
                <w:smallCaps w:val="false"/>
                <w:sz w:val="20"/>
              </w:rPr>
              <w:t>$</w:t>
            </w:r>
          </w:p>
        </w:tc>
        <w:tc>
          <w:tcPr>
            <w:tcW w:w="605"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Arial" w:hAnsi="Arial"/>
                <w:b/>
                <w:i w:val="false"/>
                <w:caps w:val="false"/>
                <w:smallCaps w:val="false"/>
                <w:sz w:val="20"/>
              </w:rPr>
            </w:pPr>
            <w:r>
              <w:rPr>
                <w:rFonts w:ascii="Arial" w:hAnsi="Arial"/>
                <w:b/>
                <w:i w:val="false"/>
                <w:caps w:val="false"/>
                <w:smallCaps w:val="false"/>
                <w:sz w:val="20"/>
              </w:rPr>
              <w:t>$</w:t>
            </w:r>
          </w:p>
        </w:tc>
        <w:tc>
          <w:tcPr>
            <w:tcW w:w="605"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Arial" w:hAnsi="Arial"/>
                <w:b/>
                <w:i w:val="false"/>
                <w:caps w:val="false"/>
                <w:smallCaps w:val="false"/>
                <w:sz w:val="20"/>
              </w:rPr>
            </w:pPr>
            <w:r>
              <w:rPr>
                <w:rFonts w:ascii="Arial" w:hAnsi="Arial"/>
                <w:b/>
                <w:i w:val="false"/>
                <w:caps w:val="false"/>
                <w:smallCaps w:val="false"/>
                <w:sz w:val="20"/>
              </w:rPr>
              <w:t>$</w:t>
            </w:r>
          </w:p>
        </w:tc>
        <w:tc>
          <w:tcPr>
            <w:tcW w:w="1325" w:type="dxa"/>
            <w:tcBorders>
              <w:left w:val="single" w:sz="8" w:space="0" w:color="000000"/>
              <w:bottom w:val="single" w:sz="8" w:space="0" w:color="000000"/>
              <w:right w:val="single" w:sz="8" w:space="0" w:color="000000"/>
            </w:tcBorders>
            <w:tcMar>
              <w:top w:w="0" w:type="dxa"/>
              <w:left w:w="28" w:type="dxa"/>
              <w:bottom w:w="28" w:type="dxa"/>
              <w:right w:w="28" w:type="dxa"/>
            </w:tcMar>
            <w:vAlign w:val="center"/>
          </w:tcPr>
          <w:p>
            <w:pPr>
              <w:pStyle w:val="TableContents"/>
              <w:bidi w:val="0"/>
              <w:spacing w:before="0" w:after="283"/>
              <w:jc w:val="center"/>
              <w:rPr>
                <w:rFonts w:ascii="Arial" w:hAnsi="Arial"/>
                <w:b/>
                <w:i w:val="false"/>
                <w:caps w:val="false"/>
                <w:smallCaps w:val="false"/>
                <w:sz w:val="20"/>
              </w:rPr>
            </w:pPr>
            <w:r>
              <w:rPr>
                <w:rFonts w:ascii="Arial" w:hAnsi="Arial"/>
                <w:b/>
                <w:i w:val="false"/>
                <w:caps w:val="false"/>
                <w:smallCaps w:val="false"/>
                <w:sz w:val="20"/>
              </w:rPr>
              <w:t>$</w:t>
            </w:r>
          </w:p>
        </w:tc>
      </w:tr>
      <w:tr>
        <w:trPr/>
        <w:tc>
          <w:tcPr>
            <w:tcW w:w="1460" w:type="dxa"/>
            <w:tcBorders>
              <w:left w:val="single" w:sz="8" w:space="0" w:color="000000"/>
            </w:tcBorders>
            <w:tcMar>
              <w:top w:w="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BMG2519Y1084</w:t>
            </w:r>
          </w:p>
        </w:tc>
        <w:tc>
          <w:tcPr>
            <w:tcW w:w="995" w:type="dxa"/>
            <w:tcBorders/>
            <w:tcMar>
              <w:top w:w="0" w:type="dxa"/>
              <w:left w:w="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BAP</w:t>
            </w:r>
          </w:p>
        </w:tc>
        <w:tc>
          <w:tcPr>
            <w:tcW w:w="1085" w:type="dxa"/>
            <w:tcBorders>
              <w:left w:val="single" w:sz="8" w:space="0" w:color="000000"/>
              <w:right w:val="single" w:sz="8" w:space="0" w:color="000000"/>
            </w:tcBorders>
            <w:tcMar>
              <w:top w:w="0" w:type="dxa"/>
              <w:right w:w="28"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2023-01</w:t>
            </w:r>
          </w:p>
        </w:tc>
        <w:tc>
          <w:tcPr>
            <w:tcW w:w="815" w:type="dxa"/>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136.72</w:t>
            </w:r>
          </w:p>
        </w:tc>
        <w:tc>
          <w:tcPr>
            <w:tcW w:w="740" w:type="dxa"/>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133.55</w:t>
            </w:r>
          </w:p>
        </w:tc>
        <w:tc>
          <w:tcPr>
            <w:tcW w:w="605" w:type="dxa"/>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149.19</w:t>
            </w:r>
          </w:p>
        </w:tc>
        <w:tc>
          <w:tcPr>
            <w:tcW w:w="605" w:type="dxa"/>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132.00</w:t>
            </w:r>
          </w:p>
        </w:tc>
        <w:tc>
          <w:tcPr>
            <w:tcW w:w="1325" w:type="dxa"/>
            <w:tcBorders>
              <w:left w:val="single" w:sz="8" w:space="0" w:color="000000"/>
              <w:right w:val="single" w:sz="8" w:space="0" w:color="000000"/>
            </w:tcBorders>
            <w:tcMar>
              <w:top w:w="0" w:type="dxa"/>
              <w:left w:w="28" w:type="dxa"/>
              <w:right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143.33</w:t>
            </w:r>
          </w:p>
        </w:tc>
      </w:tr>
      <w:tr>
        <w:trPr/>
        <w:tc>
          <w:tcPr>
            <w:tcW w:w="1460" w:type="dxa"/>
            <w:tcBorders>
              <w:left w:val="single" w:sz="8" w:space="0" w:color="000000"/>
            </w:tcBorders>
            <w:tcMar>
              <w:top w:w="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BMG2519Y1084</w:t>
            </w:r>
          </w:p>
        </w:tc>
        <w:tc>
          <w:tcPr>
            <w:tcW w:w="995" w:type="dxa"/>
            <w:tcBorders/>
            <w:tcMar>
              <w:top w:w="0" w:type="dxa"/>
              <w:left w:w="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BAP</w:t>
            </w:r>
          </w:p>
        </w:tc>
        <w:tc>
          <w:tcPr>
            <w:tcW w:w="1085" w:type="dxa"/>
            <w:tcBorders>
              <w:left w:val="single" w:sz="8" w:space="0" w:color="000000"/>
              <w:right w:val="single" w:sz="8" w:space="0" w:color="000000"/>
            </w:tcBorders>
            <w:tcMar>
              <w:top w:w="0" w:type="dxa"/>
              <w:right w:w="28"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2023-02</w:t>
            </w:r>
          </w:p>
        </w:tc>
        <w:tc>
          <w:tcPr>
            <w:tcW w:w="815" w:type="dxa"/>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133.00</w:t>
            </w:r>
          </w:p>
        </w:tc>
        <w:tc>
          <w:tcPr>
            <w:tcW w:w="740" w:type="dxa"/>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127.10</w:t>
            </w:r>
          </w:p>
        </w:tc>
        <w:tc>
          <w:tcPr>
            <w:tcW w:w="605" w:type="dxa"/>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138.41</w:t>
            </w:r>
          </w:p>
        </w:tc>
        <w:tc>
          <w:tcPr>
            <w:tcW w:w="605" w:type="dxa"/>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125.22</w:t>
            </w:r>
          </w:p>
        </w:tc>
        <w:tc>
          <w:tcPr>
            <w:tcW w:w="1325" w:type="dxa"/>
            <w:tcBorders>
              <w:left w:val="single" w:sz="8" w:space="0" w:color="000000"/>
              <w:right w:val="single" w:sz="8" w:space="0" w:color="000000"/>
            </w:tcBorders>
            <w:tcMar>
              <w:top w:w="0" w:type="dxa"/>
              <w:left w:w="28" w:type="dxa"/>
              <w:right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129.15</w:t>
            </w:r>
          </w:p>
        </w:tc>
      </w:tr>
      <w:tr>
        <w:trPr/>
        <w:tc>
          <w:tcPr>
            <w:tcW w:w="1460" w:type="dxa"/>
            <w:tcBorders>
              <w:left w:val="single" w:sz="8" w:space="0" w:color="000000"/>
            </w:tcBorders>
            <w:tcMar>
              <w:top w:w="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BMG2519Y1084</w:t>
            </w:r>
          </w:p>
        </w:tc>
        <w:tc>
          <w:tcPr>
            <w:tcW w:w="995" w:type="dxa"/>
            <w:tcBorders/>
            <w:tcMar>
              <w:top w:w="0" w:type="dxa"/>
              <w:left w:w="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BAP</w:t>
            </w:r>
          </w:p>
        </w:tc>
        <w:tc>
          <w:tcPr>
            <w:tcW w:w="1085" w:type="dxa"/>
            <w:tcBorders>
              <w:left w:val="single" w:sz="8" w:space="0" w:color="000000"/>
              <w:right w:val="single" w:sz="8" w:space="0" w:color="000000"/>
            </w:tcBorders>
            <w:tcMar>
              <w:top w:w="0" w:type="dxa"/>
              <w:right w:w="28"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2023-03</w:t>
            </w:r>
          </w:p>
        </w:tc>
        <w:tc>
          <w:tcPr>
            <w:tcW w:w="815" w:type="dxa"/>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129.10</w:t>
            </w:r>
          </w:p>
        </w:tc>
        <w:tc>
          <w:tcPr>
            <w:tcW w:w="740" w:type="dxa"/>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132.40</w:t>
            </w:r>
          </w:p>
        </w:tc>
        <w:tc>
          <w:tcPr>
            <w:tcW w:w="605" w:type="dxa"/>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135.28</w:t>
            </w:r>
          </w:p>
        </w:tc>
        <w:tc>
          <w:tcPr>
            <w:tcW w:w="605" w:type="dxa"/>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121.17</w:t>
            </w:r>
          </w:p>
        </w:tc>
        <w:tc>
          <w:tcPr>
            <w:tcW w:w="1325" w:type="dxa"/>
            <w:tcBorders>
              <w:left w:val="single" w:sz="8" w:space="0" w:color="000000"/>
              <w:right w:val="single" w:sz="8" w:space="0" w:color="000000"/>
            </w:tcBorders>
            <w:tcMar>
              <w:top w:w="0" w:type="dxa"/>
              <w:left w:w="28" w:type="dxa"/>
              <w:right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124.83</w:t>
            </w:r>
          </w:p>
        </w:tc>
      </w:tr>
      <w:tr>
        <w:trPr/>
        <w:tc>
          <w:tcPr>
            <w:tcW w:w="1460" w:type="dxa"/>
            <w:tcBorders>
              <w:left w:val="single" w:sz="8" w:space="0" w:color="000000"/>
            </w:tcBorders>
            <w:tcMar>
              <w:top w:w="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BMG2519Y1084</w:t>
            </w:r>
          </w:p>
        </w:tc>
        <w:tc>
          <w:tcPr>
            <w:tcW w:w="995" w:type="dxa"/>
            <w:tcBorders/>
            <w:tcMar>
              <w:top w:w="0" w:type="dxa"/>
              <w:left w:w="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BAP</w:t>
            </w:r>
          </w:p>
        </w:tc>
        <w:tc>
          <w:tcPr>
            <w:tcW w:w="1085" w:type="dxa"/>
            <w:tcBorders>
              <w:left w:val="single" w:sz="8" w:space="0" w:color="000000"/>
              <w:right w:val="single" w:sz="8" w:space="0" w:color="000000"/>
            </w:tcBorders>
            <w:tcMar>
              <w:top w:w="0" w:type="dxa"/>
              <w:right w:w="28"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2023-04</w:t>
            </w:r>
          </w:p>
        </w:tc>
        <w:tc>
          <w:tcPr>
            <w:tcW w:w="815" w:type="dxa"/>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132.84</w:t>
            </w:r>
          </w:p>
        </w:tc>
        <w:tc>
          <w:tcPr>
            <w:tcW w:w="740" w:type="dxa"/>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135.00</w:t>
            </w:r>
          </w:p>
        </w:tc>
        <w:tc>
          <w:tcPr>
            <w:tcW w:w="605" w:type="dxa"/>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135.00</w:t>
            </w:r>
          </w:p>
        </w:tc>
        <w:tc>
          <w:tcPr>
            <w:tcW w:w="605" w:type="dxa"/>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128.40</w:t>
            </w:r>
          </w:p>
        </w:tc>
        <w:tc>
          <w:tcPr>
            <w:tcW w:w="1325" w:type="dxa"/>
            <w:tcBorders>
              <w:left w:val="single" w:sz="8" w:space="0" w:color="000000"/>
              <w:right w:val="single" w:sz="8" w:space="0" w:color="000000"/>
            </w:tcBorders>
            <w:tcMar>
              <w:top w:w="0" w:type="dxa"/>
              <w:left w:w="28" w:type="dxa"/>
              <w:right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130.45</w:t>
            </w:r>
          </w:p>
        </w:tc>
      </w:tr>
      <w:tr>
        <w:trPr/>
        <w:tc>
          <w:tcPr>
            <w:tcW w:w="1460" w:type="dxa"/>
            <w:tcBorders>
              <w:left w:val="single" w:sz="8" w:space="0" w:color="000000"/>
            </w:tcBorders>
            <w:tcMar>
              <w:top w:w="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BMG2519Y1084</w:t>
            </w:r>
          </w:p>
        </w:tc>
        <w:tc>
          <w:tcPr>
            <w:tcW w:w="995" w:type="dxa"/>
            <w:tcBorders/>
            <w:tcMar>
              <w:top w:w="0" w:type="dxa"/>
              <w:left w:w="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BAP</w:t>
            </w:r>
          </w:p>
        </w:tc>
        <w:tc>
          <w:tcPr>
            <w:tcW w:w="1085" w:type="dxa"/>
            <w:tcBorders>
              <w:left w:val="single" w:sz="8" w:space="0" w:color="000000"/>
              <w:right w:val="single" w:sz="8" w:space="0" w:color="000000"/>
            </w:tcBorders>
            <w:tcMar>
              <w:top w:w="0" w:type="dxa"/>
              <w:right w:w="28"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2023-05</w:t>
            </w:r>
          </w:p>
        </w:tc>
        <w:tc>
          <w:tcPr>
            <w:tcW w:w="815" w:type="dxa"/>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135.00</w:t>
            </w:r>
          </w:p>
        </w:tc>
        <w:tc>
          <w:tcPr>
            <w:tcW w:w="740" w:type="dxa"/>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128.88</w:t>
            </w:r>
          </w:p>
        </w:tc>
        <w:tc>
          <w:tcPr>
            <w:tcW w:w="605" w:type="dxa"/>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148.00</w:t>
            </w:r>
          </w:p>
        </w:tc>
        <w:tc>
          <w:tcPr>
            <w:tcW w:w="605" w:type="dxa"/>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127.00</w:t>
            </w:r>
          </w:p>
        </w:tc>
        <w:tc>
          <w:tcPr>
            <w:tcW w:w="1325" w:type="dxa"/>
            <w:tcBorders>
              <w:left w:val="single" w:sz="8" w:space="0" w:color="000000"/>
              <w:right w:val="single" w:sz="8" w:space="0" w:color="000000"/>
            </w:tcBorders>
            <w:tcMar>
              <w:top w:w="0" w:type="dxa"/>
              <w:left w:w="28" w:type="dxa"/>
              <w:right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139.07</w:t>
            </w:r>
          </w:p>
        </w:tc>
      </w:tr>
      <w:tr>
        <w:trPr/>
        <w:tc>
          <w:tcPr>
            <w:tcW w:w="1460" w:type="dxa"/>
            <w:tcBorders>
              <w:left w:val="single" w:sz="8" w:space="0" w:color="000000"/>
            </w:tcBorders>
            <w:tcMar>
              <w:top w:w="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BMG2519Y1084</w:t>
            </w:r>
          </w:p>
        </w:tc>
        <w:tc>
          <w:tcPr>
            <w:tcW w:w="995" w:type="dxa"/>
            <w:tcBorders/>
            <w:tcMar>
              <w:top w:w="0" w:type="dxa"/>
              <w:left w:w="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BAP</w:t>
            </w:r>
          </w:p>
        </w:tc>
        <w:tc>
          <w:tcPr>
            <w:tcW w:w="1085" w:type="dxa"/>
            <w:tcBorders>
              <w:left w:val="single" w:sz="8" w:space="0" w:color="000000"/>
              <w:right w:val="single" w:sz="8" w:space="0" w:color="000000"/>
            </w:tcBorders>
            <w:tcMar>
              <w:top w:w="0" w:type="dxa"/>
              <w:right w:w="28"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2023-06</w:t>
            </w:r>
          </w:p>
        </w:tc>
        <w:tc>
          <w:tcPr>
            <w:tcW w:w="815" w:type="dxa"/>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130.80</w:t>
            </w:r>
          </w:p>
        </w:tc>
        <w:tc>
          <w:tcPr>
            <w:tcW w:w="740" w:type="dxa"/>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147.85</w:t>
            </w:r>
          </w:p>
        </w:tc>
        <w:tc>
          <w:tcPr>
            <w:tcW w:w="605" w:type="dxa"/>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149.30</w:t>
            </w:r>
          </w:p>
        </w:tc>
        <w:tc>
          <w:tcPr>
            <w:tcW w:w="605" w:type="dxa"/>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130.80</w:t>
            </w:r>
          </w:p>
        </w:tc>
        <w:tc>
          <w:tcPr>
            <w:tcW w:w="1325" w:type="dxa"/>
            <w:tcBorders>
              <w:left w:val="single" w:sz="8" w:space="0" w:color="000000"/>
              <w:right w:val="single" w:sz="8" w:space="0" w:color="000000"/>
            </w:tcBorders>
            <w:tcMar>
              <w:top w:w="0" w:type="dxa"/>
              <w:left w:w="28" w:type="dxa"/>
              <w:right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144.43</w:t>
            </w:r>
          </w:p>
        </w:tc>
      </w:tr>
      <w:tr>
        <w:trPr/>
        <w:tc>
          <w:tcPr>
            <w:tcW w:w="1460" w:type="dxa"/>
            <w:tcBorders>
              <w:left w:val="single" w:sz="8" w:space="0" w:color="000000"/>
            </w:tcBorders>
            <w:tcMar>
              <w:top w:w="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BMG2519Y1084</w:t>
            </w:r>
          </w:p>
        </w:tc>
        <w:tc>
          <w:tcPr>
            <w:tcW w:w="995" w:type="dxa"/>
            <w:tcBorders/>
            <w:tcMar>
              <w:top w:w="0" w:type="dxa"/>
              <w:left w:w="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BAP</w:t>
            </w:r>
          </w:p>
        </w:tc>
        <w:tc>
          <w:tcPr>
            <w:tcW w:w="1085" w:type="dxa"/>
            <w:tcBorders>
              <w:left w:val="single" w:sz="8" w:space="0" w:color="000000"/>
              <w:right w:val="single" w:sz="8" w:space="0" w:color="000000"/>
            </w:tcBorders>
            <w:tcMar>
              <w:top w:w="0" w:type="dxa"/>
              <w:right w:w="28"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2023-07</w:t>
            </w:r>
          </w:p>
        </w:tc>
        <w:tc>
          <w:tcPr>
            <w:tcW w:w="815" w:type="dxa"/>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147.50</w:t>
            </w:r>
          </w:p>
        </w:tc>
        <w:tc>
          <w:tcPr>
            <w:tcW w:w="740" w:type="dxa"/>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156.70</w:t>
            </w:r>
          </w:p>
        </w:tc>
        <w:tc>
          <w:tcPr>
            <w:tcW w:w="605" w:type="dxa"/>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158.00</w:t>
            </w:r>
          </w:p>
        </w:tc>
        <w:tc>
          <w:tcPr>
            <w:tcW w:w="605" w:type="dxa"/>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147.50</w:t>
            </w:r>
          </w:p>
        </w:tc>
        <w:tc>
          <w:tcPr>
            <w:tcW w:w="1325" w:type="dxa"/>
            <w:tcBorders>
              <w:left w:val="single" w:sz="8" w:space="0" w:color="000000"/>
              <w:right w:val="single" w:sz="8" w:space="0" w:color="000000"/>
            </w:tcBorders>
            <w:tcMar>
              <w:top w:w="0" w:type="dxa"/>
              <w:left w:w="28" w:type="dxa"/>
              <w:right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152.12</w:t>
            </w:r>
          </w:p>
        </w:tc>
      </w:tr>
      <w:tr>
        <w:trPr/>
        <w:tc>
          <w:tcPr>
            <w:tcW w:w="1460" w:type="dxa"/>
            <w:tcBorders>
              <w:left w:val="single" w:sz="8" w:space="0" w:color="000000"/>
            </w:tcBorders>
            <w:tcMar>
              <w:top w:w="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BMG2519Y1084</w:t>
            </w:r>
          </w:p>
        </w:tc>
        <w:tc>
          <w:tcPr>
            <w:tcW w:w="995" w:type="dxa"/>
            <w:tcBorders/>
            <w:tcMar>
              <w:top w:w="0" w:type="dxa"/>
              <w:left w:w="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BAP</w:t>
            </w:r>
          </w:p>
        </w:tc>
        <w:tc>
          <w:tcPr>
            <w:tcW w:w="1085" w:type="dxa"/>
            <w:tcBorders>
              <w:left w:val="single" w:sz="8" w:space="0" w:color="000000"/>
              <w:right w:val="single" w:sz="8" w:space="0" w:color="000000"/>
            </w:tcBorders>
            <w:tcMar>
              <w:top w:w="0" w:type="dxa"/>
              <w:right w:w="28"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2023-08</w:t>
            </w:r>
          </w:p>
        </w:tc>
        <w:tc>
          <w:tcPr>
            <w:tcW w:w="815" w:type="dxa"/>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157.61</w:t>
            </w:r>
          </w:p>
        </w:tc>
        <w:tc>
          <w:tcPr>
            <w:tcW w:w="740" w:type="dxa"/>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141.40</w:t>
            </w:r>
          </w:p>
        </w:tc>
        <w:tc>
          <w:tcPr>
            <w:tcW w:w="605" w:type="dxa"/>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160.00</w:t>
            </w:r>
          </w:p>
        </w:tc>
        <w:tc>
          <w:tcPr>
            <w:tcW w:w="605" w:type="dxa"/>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137.60</w:t>
            </w:r>
          </w:p>
        </w:tc>
        <w:tc>
          <w:tcPr>
            <w:tcW w:w="1325" w:type="dxa"/>
            <w:tcBorders>
              <w:left w:val="single" w:sz="8" w:space="0" w:color="000000"/>
              <w:right w:val="single" w:sz="8" w:space="0" w:color="000000"/>
            </w:tcBorders>
            <w:tcMar>
              <w:top w:w="0" w:type="dxa"/>
              <w:left w:w="28" w:type="dxa"/>
              <w:right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146.78</w:t>
            </w:r>
          </w:p>
        </w:tc>
      </w:tr>
      <w:tr>
        <w:trPr/>
        <w:tc>
          <w:tcPr>
            <w:tcW w:w="1460" w:type="dxa"/>
            <w:tcBorders>
              <w:left w:val="single" w:sz="8" w:space="0" w:color="000000"/>
            </w:tcBorders>
            <w:tcMar>
              <w:top w:w="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BMG2519Y1084</w:t>
            </w:r>
          </w:p>
        </w:tc>
        <w:tc>
          <w:tcPr>
            <w:tcW w:w="995" w:type="dxa"/>
            <w:tcBorders/>
            <w:tcMar>
              <w:top w:w="0" w:type="dxa"/>
              <w:left w:w="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BAP</w:t>
            </w:r>
          </w:p>
        </w:tc>
        <w:tc>
          <w:tcPr>
            <w:tcW w:w="1085" w:type="dxa"/>
            <w:tcBorders>
              <w:left w:val="single" w:sz="8" w:space="0" w:color="000000"/>
              <w:right w:val="single" w:sz="8" w:space="0" w:color="000000"/>
            </w:tcBorders>
            <w:tcMar>
              <w:top w:w="0" w:type="dxa"/>
              <w:right w:w="28"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2023-09</w:t>
            </w:r>
          </w:p>
        </w:tc>
        <w:tc>
          <w:tcPr>
            <w:tcW w:w="815" w:type="dxa"/>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142.00</w:t>
            </w:r>
          </w:p>
        </w:tc>
        <w:tc>
          <w:tcPr>
            <w:tcW w:w="740" w:type="dxa"/>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128.00</w:t>
            </w:r>
          </w:p>
        </w:tc>
        <w:tc>
          <w:tcPr>
            <w:tcW w:w="605" w:type="dxa"/>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142.98</w:t>
            </w:r>
          </w:p>
        </w:tc>
        <w:tc>
          <w:tcPr>
            <w:tcW w:w="605" w:type="dxa"/>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128.00</w:t>
            </w:r>
          </w:p>
        </w:tc>
        <w:tc>
          <w:tcPr>
            <w:tcW w:w="1325" w:type="dxa"/>
            <w:tcBorders>
              <w:left w:val="single" w:sz="8" w:space="0" w:color="000000"/>
              <w:right w:val="single" w:sz="8" w:space="0" w:color="000000"/>
            </w:tcBorders>
            <w:tcMar>
              <w:top w:w="0" w:type="dxa"/>
              <w:left w:w="28" w:type="dxa"/>
              <w:right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133.93</w:t>
            </w:r>
          </w:p>
        </w:tc>
      </w:tr>
      <w:tr>
        <w:trPr/>
        <w:tc>
          <w:tcPr>
            <w:tcW w:w="1460" w:type="dxa"/>
            <w:tcBorders>
              <w:left w:val="single" w:sz="8" w:space="0" w:color="000000"/>
            </w:tcBorders>
            <w:tcMar>
              <w:top w:w="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BMG2519Y1084</w:t>
            </w:r>
          </w:p>
        </w:tc>
        <w:tc>
          <w:tcPr>
            <w:tcW w:w="995" w:type="dxa"/>
            <w:tcBorders/>
            <w:tcMar>
              <w:top w:w="0" w:type="dxa"/>
              <w:left w:w="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BAP</w:t>
            </w:r>
          </w:p>
        </w:tc>
        <w:tc>
          <w:tcPr>
            <w:tcW w:w="1085" w:type="dxa"/>
            <w:tcBorders>
              <w:left w:val="single" w:sz="8" w:space="0" w:color="000000"/>
              <w:right w:val="single" w:sz="8" w:space="0" w:color="000000"/>
            </w:tcBorders>
            <w:tcMar>
              <w:top w:w="0" w:type="dxa"/>
              <w:right w:w="28"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2023-10</w:t>
            </w:r>
          </w:p>
        </w:tc>
        <w:tc>
          <w:tcPr>
            <w:tcW w:w="815" w:type="dxa"/>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128.20</w:t>
            </w:r>
          </w:p>
        </w:tc>
        <w:tc>
          <w:tcPr>
            <w:tcW w:w="740" w:type="dxa"/>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124.70</w:t>
            </w:r>
          </w:p>
        </w:tc>
        <w:tc>
          <w:tcPr>
            <w:tcW w:w="605" w:type="dxa"/>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134.00</w:t>
            </w:r>
          </w:p>
        </w:tc>
        <w:tc>
          <w:tcPr>
            <w:tcW w:w="605" w:type="dxa"/>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122.80</w:t>
            </w:r>
          </w:p>
        </w:tc>
        <w:tc>
          <w:tcPr>
            <w:tcW w:w="1325" w:type="dxa"/>
            <w:tcBorders>
              <w:left w:val="single" w:sz="8" w:space="0" w:color="000000"/>
              <w:right w:val="single" w:sz="8" w:space="0" w:color="000000"/>
            </w:tcBorders>
            <w:tcMar>
              <w:top w:w="0" w:type="dxa"/>
              <w:left w:w="28" w:type="dxa"/>
              <w:right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125.32</w:t>
            </w:r>
          </w:p>
        </w:tc>
      </w:tr>
      <w:tr>
        <w:trPr/>
        <w:tc>
          <w:tcPr>
            <w:tcW w:w="1460" w:type="dxa"/>
            <w:tcBorders>
              <w:left w:val="single" w:sz="8" w:space="0" w:color="000000"/>
            </w:tcBorders>
            <w:tcMar>
              <w:top w:w="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BMG2519Y1084</w:t>
            </w:r>
          </w:p>
        </w:tc>
        <w:tc>
          <w:tcPr>
            <w:tcW w:w="995" w:type="dxa"/>
            <w:tcBorders/>
            <w:tcMar>
              <w:top w:w="0" w:type="dxa"/>
              <w:left w:w="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BAP</w:t>
            </w:r>
          </w:p>
        </w:tc>
        <w:tc>
          <w:tcPr>
            <w:tcW w:w="1085" w:type="dxa"/>
            <w:tcBorders>
              <w:left w:val="single" w:sz="8" w:space="0" w:color="000000"/>
              <w:right w:val="single" w:sz="8" w:space="0" w:color="000000"/>
            </w:tcBorders>
            <w:tcMar>
              <w:top w:w="0" w:type="dxa"/>
              <w:right w:w="28"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2023-11</w:t>
            </w:r>
          </w:p>
        </w:tc>
        <w:tc>
          <w:tcPr>
            <w:tcW w:w="815" w:type="dxa"/>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127.30</w:t>
            </w:r>
          </w:p>
        </w:tc>
        <w:tc>
          <w:tcPr>
            <w:tcW w:w="740" w:type="dxa"/>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124.50</w:t>
            </w:r>
          </w:p>
        </w:tc>
        <w:tc>
          <w:tcPr>
            <w:tcW w:w="605" w:type="dxa"/>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131.50</w:t>
            </w:r>
          </w:p>
        </w:tc>
        <w:tc>
          <w:tcPr>
            <w:tcW w:w="605" w:type="dxa"/>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116.90</w:t>
            </w:r>
          </w:p>
        </w:tc>
        <w:tc>
          <w:tcPr>
            <w:tcW w:w="1325" w:type="dxa"/>
            <w:tcBorders>
              <w:left w:val="single" w:sz="8" w:space="0" w:color="000000"/>
              <w:right w:val="single" w:sz="8" w:space="0" w:color="000000"/>
            </w:tcBorders>
            <w:tcMar>
              <w:top w:w="0" w:type="dxa"/>
              <w:left w:w="28" w:type="dxa"/>
              <w:right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123.57</w:t>
            </w:r>
          </w:p>
        </w:tc>
      </w:tr>
      <w:tr>
        <w:trPr/>
        <w:tc>
          <w:tcPr>
            <w:tcW w:w="1460" w:type="dxa"/>
            <w:tcBorders>
              <w:left w:val="single" w:sz="8" w:space="0" w:color="000000"/>
              <w:bottom w:val="single" w:sz="8" w:space="0" w:color="000000"/>
            </w:tcBorders>
            <w:tcMar>
              <w:top w:w="0" w:type="dxa"/>
              <w:bottom w:w="12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BMG2519Y1084</w:t>
            </w:r>
          </w:p>
        </w:tc>
        <w:tc>
          <w:tcPr>
            <w:tcW w:w="995" w:type="dxa"/>
            <w:tcBorders>
              <w:bottom w:val="single" w:sz="8" w:space="0" w:color="000000"/>
            </w:tcBorders>
            <w:tcMar>
              <w:top w:w="0" w:type="dxa"/>
              <w:left w:w="0" w:type="dxa"/>
              <w:bottom w:w="12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BAP</w:t>
            </w:r>
          </w:p>
        </w:tc>
        <w:tc>
          <w:tcPr>
            <w:tcW w:w="1085" w:type="dxa"/>
            <w:tcBorders>
              <w:left w:val="single" w:sz="8" w:space="0" w:color="000000"/>
              <w:bottom w:val="single" w:sz="8" w:space="0" w:color="000000"/>
              <w:right w:val="single" w:sz="8" w:space="0" w:color="000000"/>
            </w:tcBorders>
            <w:tcMar>
              <w:top w:w="0" w:type="dxa"/>
              <w:bottom w:w="120" w:type="dxa"/>
              <w:right w:w="28"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2023-12</w:t>
            </w:r>
          </w:p>
        </w:tc>
        <w:tc>
          <w:tcPr>
            <w:tcW w:w="815" w:type="dxa"/>
            <w:tcBorders>
              <w:bottom w:val="single" w:sz="8" w:space="0" w:color="000000"/>
            </w:tcBorders>
            <w:tcMar>
              <w:top w:w="0" w:type="dxa"/>
              <w:left w:w="0" w:type="dxa"/>
              <w:bottom w:w="12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125.90</w:t>
            </w:r>
          </w:p>
        </w:tc>
        <w:tc>
          <w:tcPr>
            <w:tcW w:w="740" w:type="dxa"/>
            <w:tcBorders>
              <w:bottom w:val="single" w:sz="8" w:space="0" w:color="000000"/>
            </w:tcBorders>
            <w:tcMar>
              <w:top w:w="0" w:type="dxa"/>
              <w:left w:w="0" w:type="dxa"/>
              <w:bottom w:w="12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149.50</w:t>
            </w:r>
          </w:p>
        </w:tc>
        <w:tc>
          <w:tcPr>
            <w:tcW w:w="605" w:type="dxa"/>
            <w:tcBorders>
              <w:bottom w:val="single" w:sz="8" w:space="0" w:color="000000"/>
            </w:tcBorders>
            <w:tcMar>
              <w:top w:w="0" w:type="dxa"/>
              <w:left w:w="0" w:type="dxa"/>
              <w:bottom w:w="12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154.80</w:t>
            </w:r>
          </w:p>
        </w:tc>
        <w:tc>
          <w:tcPr>
            <w:tcW w:w="605" w:type="dxa"/>
            <w:tcBorders>
              <w:bottom w:val="single" w:sz="8" w:space="0" w:color="000000"/>
            </w:tcBorders>
            <w:tcMar>
              <w:top w:w="0" w:type="dxa"/>
              <w:left w:w="0" w:type="dxa"/>
              <w:bottom w:w="12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123.70</w:t>
            </w:r>
          </w:p>
        </w:tc>
        <w:tc>
          <w:tcPr>
            <w:tcW w:w="1325" w:type="dxa"/>
            <w:tcBorders>
              <w:left w:val="single" w:sz="8" w:space="0" w:color="000000"/>
              <w:bottom w:val="single" w:sz="8" w:space="0" w:color="000000"/>
              <w:right w:val="single" w:sz="8" w:space="0" w:color="000000"/>
            </w:tcBorders>
            <w:tcMar>
              <w:top w:w="0" w:type="dxa"/>
              <w:left w:w="28" w:type="dxa"/>
              <w:bottom w:w="120" w:type="dxa"/>
              <w:right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147.40</w:t>
            </w:r>
          </w:p>
        </w:tc>
      </w:tr>
    </w:tbl>
    <w:p>
      <w:pPr>
        <w:pStyle w:val="TextBody"/>
        <w:bidi w:val="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284" w:right="0" w:hanging="0"/>
        <w:jc w:val="center"/>
        <w:rPr>
          <w:caps w:val="false"/>
          <w:smallCaps w:val="false"/>
        </w:rPr>
      </w:pPr>
      <w:r>
        <w:rPr>
          <w:caps w:val="false"/>
          <w:smallCaps w:val="false"/>
        </w:rPr>
        <w:t> </w:t>
      </w:r>
    </w:p>
    <w:p>
      <w:pPr>
        <w:pStyle w:val="TextBody"/>
        <w:bidi w:val="0"/>
        <w:spacing w:before="0" w:after="0"/>
        <w:ind w:left="284" w:right="0" w:hanging="0"/>
        <w:jc w:val="center"/>
        <w:rPr>
          <w:rFonts w:ascii="Arial" w:hAnsi="Arial"/>
          <w:b/>
          <w:i w:val="false"/>
          <w:caps w:val="false"/>
          <w:smallCaps w:val="false"/>
          <w:sz w:val="48"/>
        </w:rPr>
      </w:pPr>
      <w:r>
        <w:rPr>
          <w:rFonts w:ascii="Arial" w:hAnsi="Arial"/>
          <w:b/>
          <w:i w:val="false"/>
          <w:caps w:val="false"/>
          <w:smallCaps w:val="false"/>
          <w:sz w:val="48"/>
        </w:rPr>
        <w:t>Sustainability Report</w:t>
      </w:r>
    </w:p>
    <w:p>
      <w:pPr>
        <w:pStyle w:val="TextBody"/>
        <w:bidi w:val="0"/>
        <w:spacing w:before="0" w:after="0"/>
        <w:ind w:left="284" w:right="0" w:hanging="0"/>
        <w:jc w:val="center"/>
        <w:rPr>
          <w:caps w:val="false"/>
          <w:smallCaps w:val="false"/>
        </w:rPr>
      </w:pPr>
      <w:r>
        <w:rPr>
          <w:caps w:val="false"/>
          <w:smallCaps w:val="false"/>
        </w:rPr>
        <w:t> </w:t>
      </w:r>
    </w:p>
    <w:p>
      <w:pPr>
        <w:pStyle w:val="TextBody"/>
        <w:bidi w:val="0"/>
        <w:spacing w:before="0" w:after="0"/>
        <w:ind w:left="284" w:right="0" w:hanging="0"/>
        <w:jc w:val="center"/>
        <w:rPr>
          <w:caps w:val="false"/>
          <w:smallCaps w:val="false"/>
        </w:rPr>
      </w:pPr>
      <w:r>
        <w:rPr>
          <w:caps w:val="false"/>
          <w:smallCaps w:val="false"/>
        </w:rPr>
        <w:drawing>
          <wp:inline distT="0" distB="0" distL="0" distR="0">
            <wp:extent cx="2514600" cy="323850"/>
            <wp:effectExtent l="0" t="0" r="0" b="0"/>
            <wp:docPr id="4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3" descr=""/>
                    <pic:cNvPicPr>
                      <a:picLocks noChangeAspect="1" noChangeArrowheads="1"/>
                    </pic:cNvPicPr>
                  </pic:nvPicPr>
                  <pic:blipFill>
                    <a:blip r:embed="rId36"/>
                    <a:stretch>
                      <a:fillRect/>
                    </a:stretch>
                  </pic:blipFill>
                  <pic:spPr bwMode="auto">
                    <a:xfrm>
                      <a:off x="0" y="0"/>
                      <a:ext cx="2514600" cy="323850"/>
                    </a:xfrm>
                    <a:prstGeom prst="rect">
                      <a:avLst/>
                    </a:prstGeom>
                  </pic:spPr>
                </pic:pic>
              </a:graphicData>
            </a:graphic>
          </wp:inline>
        </w:drawing>
      </w:r>
      <w:r>
        <w:rPr>
          <w:caps w:val="false"/>
          <w:smallCaps w:val="false"/>
        </w:rPr>
        <w:t> </w:t>
      </w:r>
    </w:p>
    <w:p>
      <w:pPr>
        <w:pStyle w:val="TextBody"/>
        <w:bidi w:val="0"/>
        <w:spacing w:before="0" w:after="0"/>
        <w:ind w:left="284" w:right="0" w:hanging="0"/>
        <w:jc w:val="center"/>
        <w:rPr>
          <w:caps w:val="false"/>
          <w:smallCaps w:val="false"/>
        </w:rPr>
      </w:pPr>
      <w:r>
        <w:rPr>
          <w:caps w:val="false"/>
          <w:smallCaps w:val="false"/>
        </w:rPr>
        <w:t> </w:t>
      </w:r>
    </w:p>
    <w:p>
      <w:pPr>
        <w:pStyle w:val="TextBody"/>
        <w:bidi w:val="0"/>
        <w:spacing w:before="0" w:after="0"/>
        <w:ind w:left="284" w:right="0" w:hanging="0"/>
        <w:jc w:val="center"/>
        <w:rPr>
          <w:rFonts w:ascii="Arial" w:hAnsi="Arial"/>
          <w:b/>
          <w:i w:val="false"/>
          <w:caps w:val="false"/>
          <w:smallCaps w:val="false"/>
          <w:sz w:val="48"/>
        </w:rPr>
      </w:pPr>
      <w:r>
        <w:rPr>
          <w:rFonts w:ascii="Arial" w:hAnsi="Arial"/>
          <w:b/>
          <w:i w:val="false"/>
          <w:caps w:val="false"/>
          <w:smallCaps w:val="false"/>
          <w:sz w:val="48"/>
        </w:rPr>
        <w:t>2023</w:t>
      </w:r>
    </w:p>
    <w:p>
      <w:pPr>
        <w:pStyle w:val="TextBody"/>
        <w:bidi w:val="0"/>
        <w:spacing w:before="0" w:after="0"/>
        <w:ind w:left="0" w:right="0" w:hanging="0"/>
        <w:jc w:val="both"/>
        <w:rPr>
          <w:caps w:val="false"/>
          <w:smallCaps w:val="false"/>
          <w:color w:val="FFFFFF"/>
        </w:rPr>
      </w:pPr>
      <w:r>
        <w:rPr>
          <w:caps w:val="false"/>
          <w:smallCaps w:val="false"/>
          <w:color w:val="FFFFFF"/>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color w:val="2F5496"/>
        </w:rPr>
      </w:pPr>
      <w:r>
        <w:rPr>
          <w:caps w:val="false"/>
          <w:smallCaps w:val="false"/>
          <w:color w:val="2F5496"/>
        </w:rPr>
        <w:t> </w:t>
      </w:r>
    </w:p>
    <w:p>
      <w:pPr>
        <w:pStyle w:val="TextBody"/>
        <w:bidi w:val="0"/>
        <w:spacing w:before="0" w:after="0"/>
        <w:ind w:left="0" w:right="0" w:hanging="0"/>
        <w:jc w:val="left"/>
        <w:rPr>
          <w:rFonts w:ascii="Arial" w:hAnsi="Arial"/>
          <w:b/>
          <w:i w:val="false"/>
          <w:caps w:val="false"/>
          <w:smallCaps w:val="false"/>
          <w:color w:val="2F5496"/>
          <w:sz w:val="28"/>
        </w:rPr>
      </w:pPr>
      <w:r>
        <w:rPr>
          <w:rFonts w:ascii="Arial" w:hAnsi="Arial"/>
          <w:b/>
          <w:i w:val="false"/>
          <w:caps w:val="false"/>
          <w:smallCaps w:val="false"/>
          <w:color w:val="2F5496"/>
          <w:sz w:val="28"/>
        </w:rPr>
        <w:t>1.1. CONTENTS</w:t>
      </w:r>
    </w:p>
    <w:p>
      <w:pPr>
        <w:pStyle w:val="TextBody"/>
        <w:bidi w:val="0"/>
        <w:spacing w:before="0" w:after="0"/>
        <w:ind w:left="0" w:right="0" w:hanging="0"/>
        <w:jc w:val="left"/>
        <w:rPr>
          <w:caps w:val="false"/>
          <w:smallCaps w:val="false"/>
          <w:color w:val="FFFFFF"/>
        </w:rPr>
      </w:pPr>
      <w:r>
        <w:rPr>
          <w:caps w:val="false"/>
          <w:smallCaps w:val="false"/>
          <w:color w:val="FFFFFF"/>
        </w:rPr>
        <w:t> </w:t>
      </w:r>
    </w:p>
    <w:tbl>
      <w:tblPr>
        <w:tblW w:w="9220" w:type="dxa"/>
        <w:jc w:val="left"/>
        <w:tblInd w:w="0" w:type="dxa"/>
        <w:tblLayout w:type="fixed"/>
        <w:tblCellMar>
          <w:top w:w="0" w:type="dxa"/>
          <w:left w:w="0" w:type="dxa"/>
          <w:bottom w:w="0" w:type="dxa"/>
          <w:right w:w="0" w:type="dxa"/>
        </w:tblCellMar>
      </w:tblPr>
      <w:tblGrid>
        <w:gridCol w:w="8915"/>
        <w:gridCol w:w="305"/>
      </w:tblGrid>
      <w:tr>
        <w:trPr/>
        <w:tc>
          <w:tcPr>
            <w:tcW w:w="8915" w:type="dxa"/>
            <w:tcBorders/>
            <w:vAlign w:val="center"/>
          </w:tcPr>
          <w:p>
            <w:pPr>
              <w:pStyle w:val="TableContents"/>
              <w:bidi w:val="0"/>
              <w:spacing w:before="0" w:after="283"/>
              <w:jc w:val="left"/>
              <w:rPr>
                <w:rFonts w:ascii="Arial" w:hAnsi="Arial"/>
                <w:b/>
                <w:i/>
                <w:caps w:val="false"/>
                <w:smallCaps w:val="false"/>
                <w:sz w:val="24"/>
              </w:rPr>
            </w:pPr>
            <w:r>
              <w:rPr>
                <w:rFonts w:ascii="Arial" w:hAnsi="Arial"/>
                <w:b/>
                <w:i/>
                <w:caps w:val="false"/>
                <w:smallCaps w:val="false"/>
                <w:sz w:val="24"/>
              </w:rPr>
              <w:t>1. GENERAL</w:t>
            </w:r>
          </w:p>
        </w:tc>
        <w:tc>
          <w:tcPr>
            <w:tcW w:w="305" w:type="dxa"/>
            <w:tcBorders/>
            <w:vAlign w:val="center"/>
          </w:tcPr>
          <w:p>
            <w:pPr>
              <w:pStyle w:val="TableContents"/>
              <w:bidi w:val="0"/>
              <w:spacing w:before="0" w:after="283"/>
              <w:jc w:val="right"/>
              <w:rPr>
                <w:rFonts w:ascii="Arial" w:hAnsi="Arial"/>
                <w:b/>
                <w:i/>
                <w:caps w:val="false"/>
                <w:smallCaps w:val="false"/>
                <w:sz w:val="24"/>
              </w:rPr>
            </w:pPr>
            <w:r>
              <w:rPr>
                <w:rFonts w:ascii="Arial" w:hAnsi="Arial"/>
                <w:b/>
                <w:i/>
                <w:caps w:val="false"/>
                <w:smallCaps w:val="false"/>
                <w:sz w:val="24"/>
              </w:rPr>
              <w:t>1</w:t>
            </w:r>
          </w:p>
        </w:tc>
      </w:tr>
      <w:tr>
        <w:trPr/>
        <w:tc>
          <w:tcPr>
            <w:tcW w:w="8915" w:type="dxa"/>
            <w:tcBorders/>
            <w:vAlign w:val="center"/>
          </w:tcPr>
          <w:p>
            <w:pPr>
              <w:pStyle w:val="TableContents"/>
              <w:bidi w:val="0"/>
              <w:spacing w:before="0" w:after="283"/>
              <w:jc w:val="left"/>
              <w:rPr>
                <w:rFonts w:ascii="Arial" w:hAnsi="Arial"/>
                <w:b/>
                <w:i w:val="false"/>
                <w:caps w:val="false"/>
                <w:smallCaps w:val="false"/>
                <w:sz w:val="24"/>
              </w:rPr>
            </w:pPr>
            <w:r>
              <w:rPr>
                <w:rFonts w:ascii="Arial" w:hAnsi="Arial"/>
                <w:b/>
                <w:i w:val="false"/>
                <w:caps w:val="false"/>
                <w:smallCaps w:val="false"/>
                <w:sz w:val="24"/>
              </w:rPr>
              <w:t>1.2. LETTER FROM THE PRESIDENT OF THE SUSTAINABILITY COMMITTEE</w:t>
            </w:r>
          </w:p>
        </w:tc>
        <w:tc>
          <w:tcPr>
            <w:tcW w:w="305" w:type="dxa"/>
            <w:tcBorders/>
            <w:vAlign w:val="center"/>
          </w:tcPr>
          <w:p>
            <w:pPr>
              <w:pStyle w:val="TableContents"/>
              <w:bidi w:val="0"/>
              <w:spacing w:before="0" w:after="283"/>
              <w:jc w:val="right"/>
              <w:rPr>
                <w:rFonts w:ascii="Arial" w:hAnsi="Arial"/>
                <w:b/>
                <w:i w:val="false"/>
                <w:caps w:val="false"/>
                <w:smallCaps w:val="false"/>
                <w:sz w:val="24"/>
              </w:rPr>
            </w:pPr>
            <w:r>
              <w:rPr>
                <w:rFonts w:ascii="Arial" w:hAnsi="Arial"/>
                <w:b/>
                <w:i w:val="false"/>
                <w:caps w:val="false"/>
                <w:smallCaps w:val="false"/>
                <w:sz w:val="24"/>
              </w:rPr>
              <w:t>3</w:t>
            </w:r>
          </w:p>
        </w:tc>
      </w:tr>
      <w:tr>
        <w:trPr/>
        <w:tc>
          <w:tcPr>
            <w:tcW w:w="8915" w:type="dxa"/>
            <w:tcBorders/>
            <w:vAlign w:val="center"/>
          </w:tcPr>
          <w:p>
            <w:pPr>
              <w:pStyle w:val="TableContents"/>
              <w:bidi w:val="0"/>
              <w:spacing w:before="0" w:after="283"/>
              <w:jc w:val="left"/>
              <w:rPr>
                <w:rFonts w:ascii="Arial" w:hAnsi="Arial"/>
                <w:b/>
                <w:i w:val="false"/>
                <w:caps w:val="false"/>
                <w:smallCaps w:val="false"/>
                <w:sz w:val="24"/>
              </w:rPr>
            </w:pPr>
            <w:r>
              <w:rPr>
                <w:rFonts w:ascii="Arial" w:hAnsi="Arial"/>
                <w:b/>
                <w:i w:val="false"/>
                <w:caps w:val="false"/>
                <w:smallCaps w:val="false"/>
                <w:sz w:val="24"/>
              </w:rPr>
              <w:t>1.3. EXECUTIVE SUMMARY</w:t>
            </w:r>
          </w:p>
        </w:tc>
        <w:tc>
          <w:tcPr>
            <w:tcW w:w="305" w:type="dxa"/>
            <w:tcBorders/>
            <w:vAlign w:val="center"/>
          </w:tcPr>
          <w:p>
            <w:pPr>
              <w:pStyle w:val="TableContents"/>
              <w:bidi w:val="0"/>
              <w:spacing w:before="0" w:after="283"/>
              <w:jc w:val="right"/>
              <w:rPr>
                <w:rFonts w:ascii="Arial" w:hAnsi="Arial"/>
                <w:b/>
                <w:i w:val="false"/>
                <w:caps w:val="false"/>
                <w:smallCaps w:val="false"/>
                <w:sz w:val="24"/>
              </w:rPr>
            </w:pPr>
            <w:r>
              <w:rPr>
                <w:rFonts w:ascii="Arial" w:hAnsi="Arial"/>
                <w:b/>
                <w:i w:val="false"/>
                <w:caps w:val="false"/>
                <w:smallCaps w:val="false"/>
                <w:sz w:val="24"/>
              </w:rPr>
              <w:t>5</w:t>
            </w:r>
          </w:p>
        </w:tc>
      </w:tr>
      <w:tr>
        <w:trPr/>
        <w:tc>
          <w:tcPr>
            <w:tcW w:w="8915" w:type="dxa"/>
            <w:tcBorders/>
            <w:vAlign w:val="center"/>
          </w:tcPr>
          <w:p>
            <w:pPr>
              <w:pStyle w:val="TableContents"/>
              <w:bidi w:val="0"/>
              <w:spacing w:before="0" w:after="283"/>
              <w:jc w:val="left"/>
              <w:rPr>
                <w:rFonts w:ascii="Arial" w:hAnsi="Arial"/>
                <w:b/>
                <w:i w:val="false"/>
                <w:caps w:val="false"/>
                <w:smallCaps w:val="false"/>
                <w:sz w:val="24"/>
              </w:rPr>
            </w:pPr>
            <w:r>
              <w:rPr>
                <w:rFonts w:ascii="Arial" w:hAnsi="Arial"/>
                <w:b/>
                <w:i w:val="false"/>
                <w:caps w:val="false"/>
                <w:smallCaps w:val="false"/>
                <w:sz w:val="24"/>
              </w:rPr>
              <w:t>1.4. 2023 ACHIEVEMENTS</w:t>
            </w:r>
          </w:p>
        </w:tc>
        <w:tc>
          <w:tcPr>
            <w:tcW w:w="305" w:type="dxa"/>
            <w:tcBorders/>
            <w:vAlign w:val="center"/>
          </w:tcPr>
          <w:p>
            <w:pPr>
              <w:pStyle w:val="TableContents"/>
              <w:bidi w:val="0"/>
              <w:spacing w:before="0" w:after="283"/>
              <w:jc w:val="right"/>
              <w:rPr>
                <w:rFonts w:ascii="Arial" w:hAnsi="Arial"/>
                <w:b/>
                <w:i w:val="false"/>
                <w:caps w:val="false"/>
                <w:smallCaps w:val="false"/>
                <w:sz w:val="24"/>
              </w:rPr>
            </w:pPr>
            <w:r>
              <w:rPr>
                <w:rFonts w:ascii="Arial" w:hAnsi="Arial"/>
                <w:b/>
                <w:i w:val="false"/>
                <w:caps w:val="false"/>
                <w:smallCaps w:val="false"/>
                <w:sz w:val="24"/>
              </w:rPr>
              <w:t>6</w:t>
            </w:r>
          </w:p>
        </w:tc>
      </w:tr>
      <w:tr>
        <w:trPr/>
        <w:tc>
          <w:tcPr>
            <w:tcW w:w="8915" w:type="dxa"/>
            <w:tcBorders/>
            <w:vAlign w:val="center"/>
          </w:tcPr>
          <w:p>
            <w:pPr>
              <w:pStyle w:val="TableContents"/>
              <w:bidi w:val="0"/>
              <w:spacing w:before="0" w:after="283"/>
              <w:jc w:val="left"/>
              <w:rPr>
                <w:rFonts w:ascii="Arial" w:hAnsi="Arial"/>
                <w:b/>
                <w:i w:val="false"/>
                <w:caps w:val="false"/>
                <w:smallCaps w:val="false"/>
                <w:sz w:val="24"/>
              </w:rPr>
            </w:pPr>
            <w:r>
              <w:rPr>
                <w:rFonts w:ascii="Arial" w:hAnsi="Arial"/>
                <w:b/>
                <w:i w:val="false"/>
                <w:caps w:val="false"/>
                <w:smallCaps w:val="false"/>
                <w:sz w:val="24"/>
              </w:rPr>
              <w:t>1.6. PRIORITIZED MATERIAL TOPICS AND THE SDGs</w:t>
            </w:r>
          </w:p>
        </w:tc>
        <w:tc>
          <w:tcPr>
            <w:tcW w:w="305" w:type="dxa"/>
            <w:tcBorders/>
            <w:vAlign w:val="center"/>
          </w:tcPr>
          <w:p>
            <w:pPr>
              <w:pStyle w:val="TableContents"/>
              <w:bidi w:val="0"/>
              <w:spacing w:before="0" w:after="283"/>
              <w:jc w:val="right"/>
              <w:rPr>
                <w:rFonts w:ascii="Arial" w:hAnsi="Arial"/>
                <w:b/>
                <w:i w:val="false"/>
                <w:caps w:val="false"/>
                <w:smallCaps w:val="false"/>
                <w:sz w:val="24"/>
              </w:rPr>
            </w:pPr>
            <w:r>
              <w:rPr>
                <w:rFonts w:ascii="Arial" w:hAnsi="Arial"/>
                <w:b/>
                <w:i w:val="false"/>
                <w:caps w:val="false"/>
                <w:smallCaps w:val="false"/>
                <w:sz w:val="24"/>
              </w:rPr>
              <w:t>10</w:t>
            </w:r>
          </w:p>
        </w:tc>
      </w:tr>
      <w:tr>
        <w:trPr/>
        <w:tc>
          <w:tcPr>
            <w:tcW w:w="8915" w:type="dxa"/>
            <w:tcBorders/>
            <w:vAlign w:val="center"/>
          </w:tcPr>
          <w:p>
            <w:pPr>
              <w:pStyle w:val="TableContents"/>
              <w:bidi w:val="0"/>
              <w:spacing w:before="0" w:after="283"/>
              <w:jc w:val="left"/>
              <w:rPr>
                <w:rFonts w:ascii="Arial" w:hAnsi="Arial"/>
                <w:b/>
                <w:i w:val="false"/>
                <w:caps w:val="false"/>
                <w:smallCaps w:val="false"/>
                <w:sz w:val="24"/>
              </w:rPr>
            </w:pPr>
            <w:r>
              <w:rPr>
                <w:rFonts w:ascii="Arial" w:hAnsi="Arial"/>
                <w:b/>
                <w:i w:val="false"/>
                <w:caps w:val="false"/>
                <w:smallCaps w:val="false"/>
                <w:sz w:val="24"/>
              </w:rPr>
              <w:t>1.7. THE KEY ENABLERS OF SUSTAINABILITY INTEGRATION</w:t>
            </w:r>
          </w:p>
        </w:tc>
        <w:tc>
          <w:tcPr>
            <w:tcW w:w="305" w:type="dxa"/>
            <w:tcBorders/>
            <w:vAlign w:val="center"/>
          </w:tcPr>
          <w:p>
            <w:pPr>
              <w:pStyle w:val="TableContents"/>
              <w:bidi w:val="0"/>
              <w:spacing w:before="0" w:after="283"/>
              <w:jc w:val="right"/>
              <w:rPr>
                <w:rFonts w:ascii="Arial" w:hAnsi="Arial"/>
                <w:b/>
                <w:i w:val="false"/>
                <w:caps w:val="false"/>
                <w:smallCaps w:val="false"/>
                <w:sz w:val="24"/>
              </w:rPr>
            </w:pPr>
            <w:r>
              <w:rPr>
                <w:rFonts w:ascii="Arial" w:hAnsi="Arial"/>
                <w:b/>
                <w:i w:val="false"/>
                <w:caps w:val="false"/>
                <w:smallCaps w:val="false"/>
                <w:sz w:val="24"/>
              </w:rPr>
              <w:t>12</w:t>
            </w:r>
          </w:p>
        </w:tc>
      </w:tr>
      <w:tr>
        <w:trPr/>
        <w:tc>
          <w:tcPr>
            <w:tcW w:w="8915" w:type="dxa"/>
            <w:tcBorders/>
            <w:vAlign w:val="center"/>
          </w:tcPr>
          <w:p>
            <w:pPr>
              <w:pStyle w:val="TableContents"/>
              <w:bidi w:val="0"/>
              <w:spacing w:before="0" w:after="283"/>
              <w:jc w:val="left"/>
              <w:rPr>
                <w:rFonts w:ascii="Arial" w:hAnsi="Arial"/>
                <w:b/>
                <w:i/>
                <w:caps w:val="false"/>
                <w:smallCaps w:val="false"/>
                <w:sz w:val="24"/>
              </w:rPr>
            </w:pPr>
            <w:r>
              <w:rPr>
                <w:rFonts w:ascii="Arial" w:hAnsi="Arial"/>
                <w:b/>
                <w:i/>
                <w:caps w:val="false"/>
                <w:smallCaps w:val="false"/>
                <w:sz w:val="24"/>
              </w:rPr>
              <w:t>2. SOCIAL MANAGEMENT</w:t>
            </w:r>
          </w:p>
        </w:tc>
        <w:tc>
          <w:tcPr>
            <w:tcW w:w="305" w:type="dxa"/>
            <w:tcBorders/>
            <w:vAlign w:val="center"/>
          </w:tcPr>
          <w:p>
            <w:pPr>
              <w:pStyle w:val="TableContents"/>
              <w:bidi w:val="0"/>
              <w:spacing w:before="0" w:after="283"/>
              <w:jc w:val="right"/>
              <w:rPr>
                <w:rFonts w:ascii="Arial" w:hAnsi="Arial"/>
                <w:b/>
                <w:i/>
                <w:caps w:val="false"/>
                <w:smallCaps w:val="false"/>
                <w:sz w:val="24"/>
              </w:rPr>
            </w:pPr>
            <w:r>
              <w:rPr>
                <w:rFonts w:ascii="Arial" w:hAnsi="Arial"/>
                <w:b/>
                <w:i/>
                <w:caps w:val="false"/>
                <w:smallCaps w:val="false"/>
                <w:sz w:val="24"/>
              </w:rPr>
              <w:t>15</w:t>
            </w:r>
          </w:p>
        </w:tc>
      </w:tr>
      <w:tr>
        <w:trPr/>
        <w:tc>
          <w:tcPr>
            <w:tcW w:w="8915" w:type="dxa"/>
            <w:tcBorders/>
            <w:vAlign w:val="center"/>
          </w:tcPr>
          <w:p>
            <w:pPr>
              <w:pStyle w:val="TableContents"/>
              <w:bidi w:val="0"/>
              <w:spacing w:before="0" w:after="283"/>
              <w:jc w:val="left"/>
              <w:rPr>
                <w:rFonts w:ascii="Arial" w:hAnsi="Arial"/>
                <w:b/>
                <w:i w:val="false"/>
                <w:caps w:val="false"/>
                <w:smallCaps w:val="false"/>
                <w:sz w:val="24"/>
              </w:rPr>
            </w:pPr>
            <w:r>
              <w:rPr>
                <w:rFonts w:ascii="Arial" w:hAnsi="Arial"/>
                <w:b/>
                <w:i w:val="false"/>
                <w:caps w:val="false"/>
                <w:smallCaps w:val="false"/>
                <w:sz w:val="24"/>
              </w:rPr>
              <w:t>2.1. THE SOCIAL IMPACT OF OUR BUSINESS</w:t>
            </w:r>
          </w:p>
        </w:tc>
        <w:tc>
          <w:tcPr>
            <w:tcW w:w="305" w:type="dxa"/>
            <w:tcBorders/>
            <w:vAlign w:val="center"/>
          </w:tcPr>
          <w:p>
            <w:pPr>
              <w:pStyle w:val="TableContents"/>
              <w:bidi w:val="0"/>
              <w:spacing w:before="0" w:after="283"/>
              <w:jc w:val="right"/>
              <w:rPr>
                <w:rFonts w:ascii="Arial" w:hAnsi="Arial"/>
                <w:b/>
                <w:i w:val="false"/>
                <w:caps w:val="false"/>
                <w:smallCaps w:val="false"/>
                <w:sz w:val="24"/>
              </w:rPr>
            </w:pPr>
            <w:r>
              <w:rPr>
                <w:rFonts w:ascii="Arial" w:hAnsi="Arial"/>
                <w:b/>
                <w:i w:val="false"/>
                <w:caps w:val="false"/>
                <w:smallCaps w:val="false"/>
                <w:sz w:val="24"/>
              </w:rPr>
              <w:t>16</w:t>
            </w:r>
          </w:p>
        </w:tc>
      </w:tr>
      <w:tr>
        <w:trPr/>
        <w:tc>
          <w:tcPr>
            <w:tcW w:w="8915" w:type="dxa"/>
            <w:tcBorders/>
            <w:vAlign w:val="center"/>
          </w:tcPr>
          <w:p>
            <w:pPr>
              <w:pStyle w:val="TableContents"/>
              <w:bidi w:val="0"/>
              <w:spacing w:before="0" w:after="283"/>
              <w:jc w:val="left"/>
              <w:rPr>
                <w:rFonts w:ascii="Arial" w:hAnsi="Arial"/>
                <w:b/>
                <w:i w:val="false"/>
                <w:caps w:val="false"/>
                <w:smallCaps w:val="false"/>
                <w:sz w:val="24"/>
              </w:rPr>
            </w:pPr>
            <w:r>
              <w:rPr>
                <w:rFonts w:ascii="Arial" w:hAnsi="Arial"/>
                <w:b/>
                <w:i w:val="false"/>
                <w:caps w:val="false"/>
                <w:smallCaps w:val="false"/>
                <w:sz w:val="24"/>
              </w:rPr>
              <w:t>2.2. THE SOCIAL IMPACT OF OUR OPERATIONS: EMPLOYEE MANAGEMENT</w:t>
            </w:r>
          </w:p>
        </w:tc>
        <w:tc>
          <w:tcPr>
            <w:tcW w:w="305" w:type="dxa"/>
            <w:tcBorders/>
            <w:vAlign w:val="center"/>
          </w:tcPr>
          <w:p>
            <w:pPr>
              <w:pStyle w:val="TableContents"/>
              <w:bidi w:val="0"/>
              <w:spacing w:before="0" w:after="283"/>
              <w:jc w:val="right"/>
              <w:rPr>
                <w:rFonts w:ascii="Arial" w:hAnsi="Arial"/>
                <w:b/>
                <w:i w:val="false"/>
                <w:caps w:val="false"/>
                <w:smallCaps w:val="false"/>
                <w:sz w:val="24"/>
              </w:rPr>
            </w:pPr>
            <w:r>
              <w:rPr>
                <w:rFonts w:ascii="Arial" w:hAnsi="Arial"/>
                <w:b/>
                <w:i w:val="false"/>
                <w:caps w:val="false"/>
                <w:smallCaps w:val="false"/>
                <w:sz w:val="24"/>
              </w:rPr>
              <w:t>26</w:t>
            </w:r>
          </w:p>
        </w:tc>
      </w:tr>
      <w:tr>
        <w:trPr/>
        <w:tc>
          <w:tcPr>
            <w:tcW w:w="8915" w:type="dxa"/>
            <w:tcBorders/>
            <w:vAlign w:val="center"/>
          </w:tcPr>
          <w:p>
            <w:pPr>
              <w:pStyle w:val="TableContents"/>
              <w:bidi w:val="0"/>
              <w:spacing w:before="0" w:after="283"/>
              <w:jc w:val="left"/>
              <w:rPr>
                <w:rFonts w:ascii="Arial" w:hAnsi="Arial"/>
                <w:b/>
                <w:i w:val="false"/>
                <w:caps w:val="false"/>
                <w:smallCaps w:val="false"/>
                <w:sz w:val="24"/>
              </w:rPr>
            </w:pPr>
            <w:r>
              <w:rPr>
                <w:rFonts w:ascii="Arial" w:hAnsi="Arial"/>
                <w:b/>
                <w:i w:val="false"/>
                <w:caps w:val="false"/>
                <w:smallCaps w:val="false"/>
                <w:sz w:val="24"/>
              </w:rPr>
              <w:t>2.3. SUSTAINABLE SUPPLIER MANAGEMENT</w:t>
            </w:r>
          </w:p>
        </w:tc>
        <w:tc>
          <w:tcPr>
            <w:tcW w:w="305" w:type="dxa"/>
            <w:tcBorders/>
            <w:vAlign w:val="center"/>
          </w:tcPr>
          <w:p>
            <w:pPr>
              <w:pStyle w:val="TableContents"/>
              <w:bidi w:val="0"/>
              <w:spacing w:before="0" w:after="283"/>
              <w:jc w:val="right"/>
              <w:rPr>
                <w:rFonts w:ascii="Arial" w:hAnsi="Arial"/>
                <w:b/>
                <w:i w:val="false"/>
                <w:caps w:val="false"/>
                <w:smallCaps w:val="false"/>
                <w:sz w:val="24"/>
              </w:rPr>
            </w:pPr>
            <w:r>
              <w:rPr>
                <w:rFonts w:ascii="Arial" w:hAnsi="Arial"/>
                <w:b/>
                <w:i w:val="false"/>
                <w:caps w:val="false"/>
                <w:smallCaps w:val="false"/>
                <w:sz w:val="24"/>
              </w:rPr>
              <w:t>36</w:t>
            </w:r>
          </w:p>
        </w:tc>
      </w:tr>
      <w:tr>
        <w:trPr/>
        <w:tc>
          <w:tcPr>
            <w:tcW w:w="8915" w:type="dxa"/>
            <w:tcBorders/>
            <w:vAlign w:val="center"/>
          </w:tcPr>
          <w:p>
            <w:pPr>
              <w:pStyle w:val="TableContents"/>
              <w:bidi w:val="0"/>
              <w:spacing w:before="0" w:after="283"/>
              <w:jc w:val="left"/>
              <w:rPr>
                <w:rFonts w:ascii="Arial" w:hAnsi="Arial"/>
                <w:b/>
                <w:i w:val="false"/>
                <w:caps w:val="false"/>
                <w:smallCaps w:val="false"/>
                <w:sz w:val="24"/>
              </w:rPr>
            </w:pPr>
            <w:r>
              <w:rPr>
                <w:rFonts w:ascii="Arial" w:hAnsi="Arial"/>
                <w:b/>
                <w:i w:val="false"/>
                <w:caps w:val="false"/>
                <w:smallCaps w:val="false"/>
                <w:sz w:val="24"/>
              </w:rPr>
              <w:t>2.4. THE SOCIAL IMPACT IN OUR COMMUNITIES</w:t>
            </w:r>
          </w:p>
        </w:tc>
        <w:tc>
          <w:tcPr>
            <w:tcW w:w="305" w:type="dxa"/>
            <w:tcBorders/>
            <w:vAlign w:val="center"/>
          </w:tcPr>
          <w:p>
            <w:pPr>
              <w:pStyle w:val="TableContents"/>
              <w:bidi w:val="0"/>
              <w:spacing w:before="0" w:after="283"/>
              <w:jc w:val="right"/>
              <w:rPr>
                <w:rFonts w:ascii="Arial" w:hAnsi="Arial"/>
                <w:b/>
                <w:i w:val="false"/>
                <w:caps w:val="false"/>
                <w:smallCaps w:val="false"/>
                <w:sz w:val="24"/>
              </w:rPr>
            </w:pPr>
            <w:r>
              <w:rPr>
                <w:rFonts w:ascii="Arial" w:hAnsi="Arial"/>
                <w:b/>
                <w:i w:val="false"/>
                <w:caps w:val="false"/>
                <w:smallCaps w:val="false"/>
                <w:sz w:val="24"/>
              </w:rPr>
              <w:t>37</w:t>
            </w:r>
          </w:p>
        </w:tc>
      </w:tr>
      <w:tr>
        <w:trPr/>
        <w:tc>
          <w:tcPr>
            <w:tcW w:w="8915" w:type="dxa"/>
            <w:tcBorders/>
            <w:vAlign w:val="center"/>
          </w:tcPr>
          <w:p>
            <w:pPr>
              <w:pStyle w:val="TableContents"/>
              <w:bidi w:val="0"/>
              <w:spacing w:before="0" w:after="283"/>
              <w:jc w:val="left"/>
              <w:rPr>
                <w:rFonts w:ascii="Arial" w:hAnsi="Arial"/>
                <w:b/>
                <w:i/>
                <w:caps w:val="false"/>
                <w:smallCaps w:val="false"/>
                <w:sz w:val="24"/>
              </w:rPr>
            </w:pPr>
            <w:r>
              <w:rPr>
                <w:rFonts w:ascii="Arial" w:hAnsi="Arial"/>
                <w:b/>
                <w:i/>
                <w:caps w:val="false"/>
                <w:smallCaps w:val="false"/>
                <w:sz w:val="24"/>
              </w:rPr>
              <w:t>3. ENVIRONMENTAL MANAGEMENT</w:t>
            </w:r>
          </w:p>
        </w:tc>
        <w:tc>
          <w:tcPr>
            <w:tcW w:w="305" w:type="dxa"/>
            <w:tcBorders/>
            <w:vAlign w:val="center"/>
          </w:tcPr>
          <w:p>
            <w:pPr>
              <w:pStyle w:val="TableContents"/>
              <w:bidi w:val="0"/>
              <w:spacing w:before="0" w:after="283"/>
              <w:jc w:val="right"/>
              <w:rPr>
                <w:rFonts w:ascii="Arial" w:hAnsi="Arial"/>
                <w:b/>
                <w:i/>
                <w:caps w:val="false"/>
                <w:smallCaps w:val="false"/>
                <w:sz w:val="24"/>
              </w:rPr>
            </w:pPr>
            <w:r>
              <w:rPr>
                <w:rFonts w:ascii="Arial" w:hAnsi="Arial"/>
                <w:b/>
                <w:i/>
                <w:caps w:val="false"/>
                <w:smallCaps w:val="false"/>
                <w:sz w:val="24"/>
              </w:rPr>
              <w:t>38</w:t>
            </w:r>
          </w:p>
        </w:tc>
      </w:tr>
      <w:tr>
        <w:trPr/>
        <w:tc>
          <w:tcPr>
            <w:tcW w:w="8915" w:type="dxa"/>
            <w:tcBorders/>
            <w:vAlign w:val="center"/>
          </w:tcPr>
          <w:p>
            <w:pPr>
              <w:pStyle w:val="TableContents"/>
              <w:bidi w:val="0"/>
              <w:spacing w:before="0" w:after="283"/>
              <w:jc w:val="left"/>
              <w:rPr>
                <w:rFonts w:ascii="Arial" w:hAnsi="Arial"/>
                <w:b/>
                <w:i w:val="false"/>
                <w:caps w:val="false"/>
                <w:smallCaps w:val="false"/>
                <w:sz w:val="24"/>
              </w:rPr>
            </w:pPr>
            <w:r>
              <w:rPr>
                <w:rFonts w:ascii="Arial" w:hAnsi="Arial"/>
                <w:b/>
                <w:i w:val="false"/>
                <w:caps w:val="false"/>
                <w:smallCaps w:val="false"/>
                <w:sz w:val="24"/>
              </w:rPr>
              <w:t>3.1. THE ENVIRONMENTAL STRATEGY</w:t>
            </w:r>
          </w:p>
        </w:tc>
        <w:tc>
          <w:tcPr>
            <w:tcW w:w="305" w:type="dxa"/>
            <w:tcBorders/>
            <w:vAlign w:val="center"/>
          </w:tcPr>
          <w:p>
            <w:pPr>
              <w:pStyle w:val="TableContents"/>
              <w:bidi w:val="0"/>
              <w:spacing w:before="0" w:after="283"/>
              <w:jc w:val="right"/>
              <w:rPr>
                <w:rFonts w:ascii="Arial" w:hAnsi="Arial"/>
                <w:b/>
                <w:i w:val="false"/>
                <w:caps w:val="false"/>
                <w:smallCaps w:val="false"/>
                <w:sz w:val="24"/>
              </w:rPr>
            </w:pPr>
            <w:r>
              <w:rPr>
                <w:rFonts w:ascii="Arial" w:hAnsi="Arial"/>
                <w:b/>
                <w:i w:val="false"/>
                <w:caps w:val="false"/>
                <w:smallCaps w:val="false"/>
                <w:sz w:val="24"/>
              </w:rPr>
              <w:t>39</w:t>
            </w:r>
          </w:p>
        </w:tc>
      </w:tr>
      <w:tr>
        <w:trPr/>
        <w:tc>
          <w:tcPr>
            <w:tcW w:w="8915" w:type="dxa"/>
            <w:tcBorders/>
            <w:vAlign w:val="center"/>
          </w:tcPr>
          <w:p>
            <w:pPr>
              <w:pStyle w:val="TableContents"/>
              <w:bidi w:val="0"/>
              <w:spacing w:before="0" w:after="283"/>
              <w:jc w:val="left"/>
              <w:rPr>
                <w:rFonts w:ascii="Arial" w:hAnsi="Arial"/>
                <w:b/>
                <w:i w:val="false"/>
                <w:caps w:val="false"/>
                <w:smallCaps w:val="false"/>
                <w:sz w:val="24"/>
              </w:rPr>
            </w:pPr>
            <w:r>
              <w:rPr>
                <w:rFonts w:ascii="Arial" w:hAnsi="Arial"/>
                <w:b/>
                <w:i w:val="false"/>
                <w:caps w:val="false"/>
                <w:smallCaps w:val="false"/>
                <w:sz w:val="24"/>
              </w:rPr>
              <w:t>3.2. SUSTAINABLE FINANCE</w:t>
            </w:r>
          </w:p>
        </w:tc>
        <w:tc>
          <w:tcPr>
            <w:tcW w:w="305" w:type="dxa"/>
            <w:tcBorders/>
            <w:vAlign w:val="center"/>
          </w:tcPr>
          <w:p>
            <w:pPr>
              <w:pStyle w:val="TableContents"/>
              <w:bidi w:val="0"/>
              <w:spacing w:before="0" w:after="283"/>
              <w:jc w:val="right"/>
              <w:rPr>
                <w:rFonts w:ascii="Arial" w:hAnsi="Arial"/>
                <w:b/>
                <w:i w:val="false"/>
                <w:caps w:val="false"/>
                <w:smallCaps w:val="false"/>
                <w:sz w:val="24"/>
              </w:rPr>
            </w:pPr>
            <w:r>
              <w:rPr>
                <w:rFonts w:ascii="Arial" w:hAnsi="Arial"/>
                <w:b/>
                <w:i w:val="false"/>
                <w:caps w:val="false"/>
                <w:smallCaps w:val="false"/>
                <w:sz w:val="24"/>
              </w:rPr>
              <w:t>41</w:t>
            </w:r>
          </w:p>
        </w:tc>
      </w:tr>
      <w:tr>
        <w:trPr/>
        <w:tc>
          <w:tcPr>
            <w:tcW w:w="8915" w:type="dxa"/>
            <w:tcBorders/>
            <w:vAlign w:val="center"/>
          </w:tcPr>
          <w:p>
            <w:pPr>
              <w:pStyle w:val="TableContents"/>
              <w:bidi w:val="0"/>
              <w:spacing w:before="0" w:after="283"/>
              <w:jc w:val="left"/>
              <w:rPr>
                <w:rFonts w:ascii="Arial" w:hAnsi="Arial"/>
                <w:b/>
                <w:i w:val="false"/>
                <w:caps w:val="false"/>
                <w:smallCaps w:val="false"/>
                <w:sz w:val="24"/>
              </w:rPr>
            </w:pPr>
            <w:r>
              <w:rPr>
                <w:rFonts w:ascii="Arial" w:hAnsi="Arial"/>
                <w:b/>
                <w:i w:val="false"/>
                <w:caps w:val="false"/>
                <w:smallCaps w:val="false"/>
                <w:sz w:val="24"/>
              </w:rPr>
              <w:t>3.3. RESPONSIBLE AND SUSTAINABLE INVESTMENT</w:t>
            </w:r>
          </w:p>
        </w:tc>
        <w:tc>
          <w:tcPr>
            <w:tcW w:w="305" w:type="dxa"/>
            <w:tcBorders/>
            <w:vAlign w:val="center"/>
          </w:tcPr>
          <w:p>
            <w:pPr>
              <w:pStyle w:val="TableContents"/>
              <w:bidi w:val="0"/>
              <w:spacing w:before="0" w:after="283"/>
              <w:jc w:val="right"/>
              <w:rPr>
                <w:rFonts w:ascii="Arial" w:hAnsi="Arial"/>
                <w:b/>
                <w:i w:val="false"/>
                <w:caps w:val="false"/>
                <w:smallCaps w:val="false"/>
                <w:sz w:val="24"/>
              </w:rPr>
            </w:pPr>
            <w:r>
              <w:rPr>
                <w:rFonts w:ascii="Arial" w:hAnsi="Arial"/>
                <w:b/>
                <w:i w:val="false"/>
                <w:caps w:val="false"/>
                <w:smallCaps w:val="false"/>
                <w:sz w:val="24"/>
              </w:rPr>
              <w:t>41</w:t>
            </w:r>
          </w:p>
        </w:tc>
      </w:tr>
      <w:tr>
        <w:trPr/>
        <w:tc>
          <w:tcPr>
            <w:tcW w:w="8915" w:type="dxa"/>
            <w:tcBorders/>
            <w:vAlign w:val="center"/>
          </w:tcPr>
          <w:p>
            <w:pPr>
              <w:pStyle w:val="TableContents"/>
              <w:bidi w:val="0"/>
              <w:spacing w:before="0" w:after="283"/>
              <w:jc w:val="left"/>
              <w:rPr>
                <w:rFonts w:ascii="Arial" w:hAnsi="Arial"/>
                <w:b/>
                <w:i w:val="false"/>
                <w:caps w:val="false"/>
                <w:smallCaps w:val="false"/>
                <w:sz w:val="24"/>
              </w:rPr>
            </w:pPr>
            <w:r>
              <w:rPr>
                <w:rFonts w:ascii="Arial" w:hAnsi="Arial"/>
                <w:b/>
                <w:i w:val="false"/>
                <w:caps w:val="false"/>
                <w:smallCaps w:val="false"/>
                <w:sz w:val="24"/>
              </w:rPr>
              <w:t>3.4. ESG RISK MANAGEMENT</w:t>
            </w:r>
          </w:p>
        </w:tc>
        <w:tc>
          <w:tcPr>
            <w:tcW w:w="305" w:type="dxa"/>
            <w:tcBorders/>
            <w:vAlign w:val="center"/>
          </w:tcPr>
          <w:p>
            <w:pPr>
              <w:pStyle w:val="TableContents"/>
              <w:bidi w:val="0"/>
              <w:spacing w:before="0" w:after="283"/>
              <w:jc w:val="right"/>
              <w:rPr>
                <w:rFonts w:ascii="Arial" w:hAnsi="Arial"/>
                <w:b/>
                <w:i w:val="false"/>
                <w:caps w:val="false"/>
                <w:smallCaps w:val="false"/>
                <w:sz w:val="24"/>
              </w:rPr>
            </w:pPr>
            <w:r>
              <w:rPr>
                <w:rFonts w:ascii="Arial" w:hAnsi="Arial"/>
                <w:b/>
                <w:i w:val="false"/>
                <w:caps w:val="false"/>
                <w:smallCaps w:val="false"/>
                <w:sz w:val="24"/>
              </w:rPr>
              <w:t>42</w:t>
            </w:r>
          </w:p>
        </w:tc>
      </w:tr>
      <w:tr>
        <w:trPr/>
        <w:tc>
          <w:tcPr>
            <w:tcW w:w="8915" w:type="dxa"/>
            <w:tcBorders/>
            <w:vAlign w:val="center"/>
          </w:tcPr>
          <w:p>
            <w:pPr>
              <w:pStyle w:val="TableContents"/>
              <w:bidi w:val="0"/>
              <w:spacing w:before="0" w:after="283"/>
              <w:jc w:val="left"/>
              <w:rPr>
                <w:rFonts w:ascii="Arial" w:hAnsi="Arial"/>
                <w:b/>
                <w:i w:val="false"/>
                <w:caps w:val="false"/>
                <w:smallCaps w:val="false"/>
                <w:sz w:val="24"/>
              </w:rPr>
            </w:pPr>
            <w:r>
              <w:rPr>
                <w:rFonts w:ascii="Arial" w:hAnsi="Arial"/>
                <w:b/>
                <w:i w:val="false"/>
                <w:caps w:val="false"/>
                <w:smallCaps w:val="false"/>
                <w:sz w:val="24"/>
              </w:rPr>
              <w:t>3.5. SOCIAL IMPACT OF CLIMATE RISKS</w:t>
            </w:r>
          </w:p>
        </w:tc>
        <w:tc>
          <w:tcPr>
            <w:tcW w:w="305" w:type="dxa"/>
            <w:tcBorders/>
            <w:vAlign w:val="center"/>
          </w:tcPr>
          <w:p>
            <w:pPr>
              <w:pStyle w:val="TableContents"/>
              <w:bidi w:val="0"/>
              <w:spacing w:before="0" w:after="283"/>
              <w:jc w:val="right"/>
              <w:rPr>
                <w:rFonts w:ascii="Arial" w:hAnsi="Arial"/>
                <w:b/>
                <w:i w:val="false"/>
                <w:caps w:val="false"/>
                <w:smallCaps w:val="false"/>
                <w:sz w:val="24"/>
              </w:rPr>
            </w:pPr>
            <w:r>
              <w:rPr>
                <w:rFonts w:ascii="Arial" w:hAnsi="Arial"/>
                <w:b/>
                <w:i w:val="false"/>
                <w:caps w:val="false"/>
                <w:smallCaps w:val="false"/>
                <w:sz w:val="24"/>
              </w:rPr>
              <w:t>44</w:t>
            </w:r>
          </w:p>
        </w:tc>
      </w:tr>
      <w:tr>
        <w:trPr/>
        <w:tc>
          <w:tcPr>
            <w:tcW w:w="8915" w:type="dxa"/>
            <w:tcBorders/>
            <w:vAlign w:val="center"/>
          </w:tcPr>
          <w:p>
            <w:pPr>
              <w:pStyle w:val="TableContents"/>
              <w:bidi w:val="0"/>
              <w:spacing w:before="0" w:after="283"/>
              <w:jc w:val="left"/>
              <w:rPr>
                <w:rFonts w:ascii="Arial" w:hAnsi="Arial"/>
                <w:b/>
                <w:i w:val="false"/>
                <w:caps w:val="false"/>
                <w:smallCaps w:val="false"/>
                <w:sz w:val="24"/>
              </w:rPr>
            </w:pPr>
            <w:r>
              <w:rPr>
                <w:rFonts w:ascii="Arial" w:hAnsi="Arial"/>
                <w:b/>
                <w:i w:val="false"/>
                <w:caps w:val="false"/>
                <w:smallCaps w:val="false"/>
                <w:sz w:val="24"/>
              </w:rPr>
              <w:t>3.6. OUR DIRECT ENVIRONMENTAL IMPACT</w:t>
            </w:r>
          </w:p>
        </w:tc>
        <w:tc>
          <w:tcPr>
            <w:tcW w:w="305" w:type="dxa"/>
            <w:tcBorders/>
            <w:vAlign w:val="center"/>
          </w:tcPr>
          <w:p>
            <w:pPr>
              <w:pStyle w:val="TableContents"/>
              <w:bidi w:val="0"/>
              <w:spacing w:before="0" w:after="283"/>
              <w:jc w:val="right"/>
              <w:rPr>
                <w:rFonts w:ascii="Arial" w:hAnsi="Arial"/>
                <w:b/>
                <w:i w:val="false"/>
                <w:caps w:val="false"/>
                <w:smallCaps w:val="false"/>
                <w:sz w:val="24"/>
              </w:rPr>
            </w:pPr>
            <w:r>
              <w:rPr>
                <w:rFonts w:ascii="Arial" w:hAnsi="Arial"/>
                <w:b/>
                <w:i w:val="false"/>
                <w:caps w:val="false"/>
                <w:smallCaps w:val="false"/>
                <w:sz w:val="24"/>
              </w:rPr>
              <w:t>45</w:t>
            </w:r>
          </w:p>
        </w:tc>
      </w:tr>
      <w:tr>
        <w:trPr/>
        <w:tc>
          <w:tcPr>
            <w:tcW w:w="8915" w:type="dxa"/>
            <w:tcBorders/>
            <w:vAlign w:val="center"/>
          </w:tcPr>
          <w:p>
            <w:pPr>
              <w:pStyle w:val="TableContents"/>
              <w:bidi w:val="0"/>
              <w:spacing w:before="0" w:after="283"/>
              <w:jc w:val="left"/>
              <w:rPr>
                <w:rFonts w:ascii="Arial" w:hAnsi="Arial"/>
                <w:b/>
                <w:i/>
                <w:caps w:val="false"/>
                <w:smallCaps w:val="false"/>
                <w:sz w:val="24"/>
              </w:rPr>
            </w:pPr>
            <w:r>
              <w:rPr>
                <w:rFonts w:ascii="Arial" w:hAnsi="Arial"/>
                <w:b/>
                <w:i/>
                <w:caps w:val="false"/>
                <w:smallCaps w:val="false"/>
                <w:sz w:val="24"/>
              </w:rPr>
              <w:t>4. CORPORATE GOVERNANCE</w:t>
            </w:r>
          </w:p>
        </w:tc>
        <w:tc>
          <w:tcPr>
            <w:tcW w:w="305" w:type="dxa"/>
            <w:tcBorders/>
            <w:vAlign w:val="center"/>
          </w:tcPr>
          <w:p>
            <w:pPr>
              <w:pStyle w:val="TableContents"/>
              <w:bidi w:val="0"/>
              <w:spacing w:before="0" w:after="283"/>
              <w:jc w:val="right"/>
              <w:rPr>
                <w:rFonts w:ascii="Arial" w:hAnsi="Arial"/>
                <w:b/>
                <w:i/>
                <w:caps w:val="false"/>
                <w:smallCaps w:val="false"/>
                <w:sz w:val="24"/>
              </w:rPr>
            </w:pPr>
            <w:r>
              <w:rPr>
                <w:rFonts w:ascii="Arial" w:hAnsi="Arial"/>
                <w:b/>
                <w:i/>
                <w:caps w:val="false"/>
                <w:smallCaps w:val="false"/>
                <w:sz w:val="24"/>
              </w:rPr>
              <w:t>47</w:t>
            </w:r>
          </w:p>
        </w:tc>
      </w:tr>
      <w:tr>
        <w:trPr/>
        <w:tc>
          <w:tcPr>
            <w:tcW w:w="8915" w:type="dxa"/>
            <w:tcBorders/>
            <w:vAlign w:val="center"/>
          </w:tcPr>
          <w:p>
            <w:pPr>
              <w:pStyle w:val="TableContents"/>
              <w:bidi w:val="0"/>
              <w:spacing w:before="0" w:after="283"/>
              <w:jc w:val="left"/>
              <w:rPr>
                <w:rFonts w:ascii="Arial" w:hAnsi="Arial"/>
                <w:b/>
                <w:i w:val="false"/>
                <w:caps w:val="false"/>
                <w:smallCaps w:val="false"/>
                <w:sz w:val="24"/>
              </w:rPr>
            </w:pPr>
            <w:r>
              <w:rPr>
                <w:rFonts w:ascii="Arial" w:hAnsi="Arial"/>
                <w:b/>
                <w:i w:val="false"/>
                <w:caps w:val="false"/>
                <w:smallCaps w:val="false"/>
                <w:sz w:val="24"/>
              </w:rPr>
              <w:t>4.1. OUR CORPORATE GOVERNANCE</w:t>
            </w:r>
          </w:p>
        </w:tc>
        <w:tc>
          <w:tcPr>
            <w:tcW w:w="305" w:type="dxa"/>
            <w:tcBorders/>
            <w:vAlign w:val="center"/>
          </w:tcPr>
          <w:p>
            <w:pPr>
              <w:pStyle w:val="TableContents"/>
              <w:bidi w:val="0"/>
              <w:spacing w:before="0" w:after="283"/>
              <w:jc w:val="right"/>
              <w:rPr>
                <w:rFonts w:ascii="Arial" w:hAnsi="Arial"/>
                <w:b/>
                <w:i w:val="false"/>
                <w:caps w:val="false"/>
                <w:smallCaps w:val="false"/>
                <w:sz w:val="24"/>
              </w:rPr>
            </w:pPr>
            <w:r>
              <w:rPr>
                <w:rFonts w:ascii="Arial" w:hAnsi="Arial"/>
                <w:b/>
                <w:i w:val="false"/>
                <w:caps w:val="false"/>
                <w:smallCaps w:val="false"/>
                <w:sz w:val="24"/>
              </w:rPr>
              <w:t>48</w:t>
            </w:r>
          </w:p>
        </w:tc>
      </w:tr>
      <w:tr>
        <w:trPr/>
        <w:tc>
          <w:tcPr>
            <w:tcW w:w="8915" w:type="dxa"/>
            <w:tcBorders/>
            <w:vAlign w:val="center"/>
          </w:tcPr>
          <w:p>
            <w:pPr>
              <w:pStyle w:val="TableContents"/>
              <w:bidi w:val="0"/>
              <w:spacing w:before="0" w:after="283"/>
              <w:jc w:val="left"/>
              <w:rPr>
                <w:rFonts w:ascii="Arial" w:hAnsi="Arial"/>
                <w:b/>
                <w:i w:val="false"/>
                <w:caps w:val="false"/>
                <w:smallCaps w:val="false"/>
                <w:sz w:val="24"/>
              </w:rPr>
            </w:pPr>
            <w:r>
              <w:rPr>
                <w:rFonts w:ascii="Arial" w:hAnsi="Arial"/>
                <w:b/>
                <w:i w:val="false"/>
                <w:caps w:val="false"/>
                <w:smallCaps w:val="false"/>
                <w:sz w:val="24"/>
              </w:rPr>
              <w:t>4.2. THE COMPENSATION MODEL FOR THE BOARD AND EXECUTIVE TEAM</w:t>
            </w:r>
          </w:p>
        </w:tc>
        <w:tc>
          <w:tcPr>
            <w:tcW w:w="305" w:type="dxa"/>
            <w:tcBorders/>
            <w:vAlign w:val="center"/>
          </w:tcPr>
          <w:p>
            <w:pPr>
              <w:pStyle w:val="TableContents"/>
              <w:bidi w:val="0"/>
              <w:spacing w:before="0" w:after="283"/>
              <w:jc w:val="right"/>
              <w:rPr>
                <w:rFonts w:ascii="Arial" w:hAnsi="Arial"/>
                <w:b/>
                <w:i w:val="false"/>
                <w:caps w:val="false"/>
                <w:smallCaps w:val="false"/>
                <w:sz w:val="24"/>
              </w:rPr>
            </w:pPr>
            <w:r>
              <w:rPr>
                <w:rFonts w:ascii="Arial" w:hAnsi="Arial"/>
                <w:b/>
                <w:i w:val="false"/>
                <w:caps w:val="false"/>
                <w:smallCaps w:val="false"/>
                <w:sz w:val="24"/>
              </w:rPr>
              <w:t>51</w:t>
            </w:r>
          </w:p>
        </w:tc>
      </w:tr>
      <w:tr>
        <w:trPr/>
        <w:tc>
          <w:tcPr>
            <w:tcW w:w="8915" w:type="dxa"/>
            <w:tcBorders/>
            <w:vAlign w:val="center"/>
          </w:tcPr>
          <w:p>
            <w:pPr>
              <w:pStyle w:val="TableContents"/>
              <w:bidi w:val="0"/>
              <w:spacing w:before="0" w:after="283"/>
              <w:jc w:val="left"/>
              <w:rPr>
                <w:rFonts w:ascii="Arial" w:hAnsi="Arial"/>
                <w:b/>
                <w:i w:val="false"/>
                <w:caps w:val="false"/>
                <w:smallCaps w:val="false"/>
                <w:sz w:val="24"/>
              </w:rPr>
            </w:pPr>
            <w:r>
              <w:rPr>
                <w:rFonts w:ascii="Arial" w:hAnsi="Arial"/>
                <w:b/>
                <w:i w:val="false"/>
                <w:caps w:val="false"/>
                <w:smallCaps w:val="false"/>
                <w:sz w:val="24"/>
              </w:rPr>
              <w:t>4.3. SUSTAINABILITY GOVERNANCE</w:t>
            </w:r>
          </w:p>
        </w:tc>
        <w:tc>
          <w:tcPr>
            <w:tcW w:w="305" w:type="dxa"/>
            <w:tcBorders/>
            <w:vAlign w:val="center"/>
          </w:tcPr>
          <w:p>
            <w:pPr>
              <w:pStyle w:val="TableContents"/>
              <w:bidi w:val="0"/>
              <w:spacing w:before="0" w:after="283"/>
              <w:jc w:val="right"/>
              <w:rPr>
                <w:rFonts w:ascii="Arial" w:hAnsi="Arial"/>
                <w:b/>
                <w:i w:val="false"/>
                <w:caps w:val="false"/>
                <w:smallCaps w:val="false"/>
                <w:sz w:val="24"/>
              </w:rPr>
            </w:pPr>
            <w:r>
              <w:rPr>
                <w:rFonts w:ascii="Arial" w:hAnsi="Arial"/>
                <w:b/>
                <w:i w:val="false"/>
                <w:caps w:val="false"/>
                <w:smallCaps w:val="false"/>
                <w:sz w:val="24"/>
              </w:rPr>
              <w:t>53</w:t>
            </w:r>
          </w:p>
        </w:tc>
      </w:tr>
      <w:tr>
        <w:trPr/>
        <w:tc>
          <w:tcPr>
            <w:tcW w:w="8915" w:type="dxa"/>
            <w:tcBorders/>
            <w:vAlign w:val="center"/>
          </w:tcPr>
          <w:p>
            <w:pPr>
              <w:pStyle w:val="TableContents"/>
              <w:bidi w:val="0"/>
              <w:spacing w:before="0" w:after="283"/>
              <w:jc w:val="left"/>
              <w:rPr>
                <w:rFonts w:ascii="Arial" w:hAnsi="Arial"/>
                <w:b/>
                <w:i w:val="false"/>
                <w:caps w:val="false"/>
                <w:smallCaps w:val="false"/>
                <w:sz w:val="24"/>
              </w:rPr>
            </w:pPr>
            <w:r>
              <w:rPr>
                <w:rFonts w:ascii="Arial" w:hAnsi="Arial"/>
                <w:b/>
                <w:i w:val="false"/>
                <w:caps w:val="false"/>
                <w:smallCaps w:val="false"/>
                <w:sz w:val="24"/>
              </w:rPr>
              <w:t>4.4. ETHICS, COMPLIANCE, AND HUMAN RIGHTS</w:t>
            </w:r>
          </w:p>
        </w:tc>
        <w:tc>
          <w:tcPr>
            <w:tcW w:w="305" w:type="dxa"/>
            <w:tcBorders/>
            <w:vAlign w:val="center"/>
          </w:tcPr>
          <w:p>
            <w:pPr>
              <w:pStyle w:val="TableContents"/>
              <w:bidi w:val="0"/>
              <w:spacing w:before="0" w:after="283"/>
              <w:jc w:val="right"/>
              <w:rPr>
                <w:rFonts w:ascii="Arial" w:hAnsi="Arial"/>
                <w:b/>
                <w:i w:val="false"/>
                <w:caps w:val="false"/>
                <w:smallCaps w:val="false"/>
                <w:sz w:val="24"/>
              </w:rPr>
            </w:pPr>
            <w:r>
              <w:rPr>
                <w:rFonts w:ascii="Arial" w:hAnsi="Arial"/>
                <w:b/>
                <w:i w:val="false"/>
                <w:caps w:val="false"/>
                <w:smallCaps w:val="false"/>
                <w:sz w:val="24"/>
              </w:rPr>
              <w:t>54</w:t>
            </w:r>
          </w:p>
        </w:tc>
      </w:tr>
    </w:tbl>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200" w:after="20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left"/>
        <w:rPr>
          <w:rFonts w:ascii="Arial" w:hAnsi="Arial"/>
          <w:b/>
          <w:i w:val="false"/>
          <w:caps w:val="false"/>
          <w:smallCaps w:val="false"/>
          <w:color w:val="FE5000"/>
          <w:sz w:val="30"/>
        </w:rPr>
      </w:pPr>
      <w:r>
        <w:rPr>
          <w:rFonts w:ascii="Arial" w:hAnsi="Arial"/>
          <w:b/>
          <w:i w:val="false"/>
          <w:caps w:val="false"/>
          <w:smallCaps w:val="false"/>
          <w:color w:val="FE5000"/>
          <w:sz w:val="30"/>
        </w:rPr>
        <w:t>1.2. LETTER FROM THE PRESIDENT OF THE SUSTAINABILITY COMMITTEE</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GRI 2-22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0E101A"/>
          <w:sz w:val="20"/>
        </w:rPr>
      </w:pPr>
      <w:r>
        <w:rPr>
          <w:rFonts w:ascii="Arial" w:hAnsi="Arial"/>
          <w:b/>
          <w:i w:val="false"/>
          <w:caps w:val="false"/>
          <w:smallCaps w:val="false"/>
          <w:color w:val="0E101A"/>
          <w:sz w:val="20"/>
        </w:rPr>
        <w:t>Dear shareholders, clients, employees, and members of the communities we serve</w:t>
      </w:r>
    </w:p>
    <w:p>
      <w:pPr>
        <w:pStyle w:val="TextBody"/>
        <w:bidi w:val="0"/>
        <w:spacing w:before="0" w:after="0"/>
        <w:ind w:left="0" w:right="0" w:hanging="0"/>
        <w:jc w:val="left"/>
        <w:rPr>
          <w:caps w:val="false"/>
          <w:smallCaps w:val="false"/>
          <w:color w:val="0E101A"/>
        </w:rPr>
      </w:pPr>
      <w:r>
        <w:rPr>
          <w:caps w:val="false"/>
          <w:smallCaps w:val="false"/>
          <w:color w:val="0E101A"/>
        </w:rPr>
        <w:t> </w:t>
      </w:r>
    </w:p>
    <w:p>
      <w:pPr>
        <w:pStyle w:val="TextBody"/>
        <w:bidi w:val="0"/>
        <w:spacing w:before="0" w:after="0"/>
        <w:ind w:left="0" w:right="0" w:hanging="0"/>
        <w:jc w:val="both"/>
        <w:rPr>
          <w:rFonts w:ascii="Arial" w:hAnsi="Arial"/>
          <w:b w:val="false"/>
          <w:i w:val="false"/>
          <w:caps w:val="false"/>
          <w:smallCaps w:val="false"/>
          <w:color w:val="0E101A"/>
          <w:sz w:val="20"/>
        </w:rPr>
      </w:pPr>
      <w:r>
        <w:rPr>
          <w:rFonts w:ascii="Arial" w:hAnsi="Arial"/>
          <w:b w:val="false"/>
          <w:i w:val="false"/>
          <w:caps w:val="false"/>
          <w:smallCaps w:val="false"/>
          <w:color w:val="0E101A"/>
          <w:sz w:val="20"/>
        </w:rPr>
        <w:t>As President of Credicorp’s Board of Directors Sustainability Committee, I am proud to present our 2023 Sustainability Report. In this document, we explain the Group’s progress and achievements in sustainability during the year, consistent with the purpose and vision we set out in our Sustainability Strategy 2020-2025. This report has been prepared by following the GRI guidelines and the SASB standards.</w:t>
      </w:r>
    </w:p>
    <w:p>
      <w:pPr>
        <w:pStyle w:val="TextBody"/>
        <w:bidi w:val="0"/>
        <w:spacing w:before="0" w:after="0"/>
        <w:ind w:left="0" w:right="0" w:hanging="0"/>
        <w:jc w:val="both"/>
        <w:rPr>
          <w:caps w:val="false"/>
          <w:smallCaps w:val="false"/>
          <w:color w:val="0E101A"/>
        </w:rPr>
      </w:pPr>
      <w:r>
        <w:rPr>
          <w:caps w:val="false"/>
          <w:smallCaps w:val="false"/>
          <w:color w:val="0E101A"/>
        </w:rPr>
        <w:t> </w:t>
      </w:r>
    </w:p>
    <w:p>
      <w:pPr>
        <w:pStyle w:val="TextBody"/>
        <w:bidi w:val="0"/>
        <w:spacing w:before="0" w:after="0"/>
        <w:ind w:left="0" w:right="0" w:hanging="0"/>
        <w:jc w:val="both"/>
        <w:rPr>
          <w:rFonts w:ascii="Arial" w:hAnsi="Arial"/>
          <w:b w:val="false"/>
          <w:i w:val="false"/>
          <w:caps w:val="false"/>
          <w:smallCaps w:val="false"/>
          <w:color w:val="0E101A"/>
          <w:sz w:val="20"/>
        </w:rPr>
      </w:pPr>
      <w:r>
        <w:rPr>
          <w:rFonts w:ascii="Arial" w:hAnsi="Arial"/>
          <w:b w:val="false"/>
          <w:i w:val="false"/>
          <w:caps w:val="false"/>
          <w:smallCaps w:val="false"/>
          <w:color w:val="0E101A"/>
          <w:sz w:val="20"/>
        </w:rPr>
        <w:t xml:space="preserve">While less politically uncertain than the previous year, 2023 was still an economically challenging time for the entire region. </w:t>
      </w:r>
      <w:r>
        <w:rPr>
          <w:rFonts w:ascii="Arial" w:hAnsi="Arial"/>
          <w:b/>
          <w:i w:val="false"/>
          <w:caps w:val="false"/>
          <w:smallCaps w:val="false"/>
          <w:color w:val="0E101A"/>
          <w:sz w:val="20"/>
        </w:rPr>
        <w:t>Our deep commitment to people’s well-being and the region’s progress</w:t>
      </w:r>
      <w:r>
        <w:rPr>
          <w:rFonts w:ascii="Arial" w:hAnsi="Arial"/>
          <w:b w:val="false"/>
          <w:i w:val="false"/>
          <w:caps w:val="false"/>
          <w:smallCaps w:val="false"/>
          <w:color w:val="0E101A"/>
          <w:sz w:val="20"/>
        </w:rPr>
        <w:t>, coupled with our financial strength and digital capabilities, has allowed us to cope with this demanding context while also generating positive impacts through our businesses and operations on society and the environment. All this, without a doubt, has been thanks to the efforts of our thousands of employees and our leaders.</w:t>
      </w:r>
    </w:p>
    <w:p>
      <w:pPr>
        <w:pStyle w:val="TextBody"/>
        <w:bidi w:val="0"/>
        <w:spacing w:before="0" w:after="0"/>
        <w:ind w:left="0" w:right="0" w:hanging="0"/>
        <w:jc w:val="both"/>
        <w:rPr>
          <w:caps w:val="false"/>
          <w:smallCaps w:val="false"/>
          <w:color w:val="0E101A"/>
        </w:rPr>
      </w:pPr>
      <w:r>
        <w:rPr>
          <w:caps w:val="false"/>
          <w:smallCaps w:val="false"/>
          <w:color w:val="0E101A"/>
        </w:rPr>
        <w:t> </w:t>
      </w:r>
    </w:p>
    <w:p>
      <w:pPr>
        <w:pStyle w:val="TextBody"/>
        <w:bidi w:val="0"/>
        <w:spacing w:before="0" w:after="0"/>
        <w:ind w:left="0" w:right="0" w:hanging="0"/>
        <w:jc w:val="both"/>
        <w:rPr>
          <w:rFonts w:ascii="Arial" w:hAnsi="Arial"/>
          <w:b w:val="false"/>
          <w:i w:val="false"/>
          <w:caps w:val="false"/>
          <w:smallCaps w:val="false"/>
          <w:color w:val="0E101A"/>
          <w:sz w:val="20"/>
        </w:rPr>
      </w:pPr>
      <w:r>
        <w:rPr>
          <w:rFonts w:ascii="Arial" w:hAnsi="Arial"/>
          <w:b w:val="false"/>
          <w:i w:val="false"/>
          <w:caps w:val="false"/>
          <w:smallCaps w:val="false"/>
          <w:color w:val="0E101A"/>
          <w:sz w:val="20"/>
        </w:rPr>
        <w:t xml:space="preserve">Our </w:t>
      </w:r>
      <w:r>
        <w:rPr>
          <w:rFonts w:ascii="Arial" w:hAnsi="Arial"/>
          <w:b/>
          <w:i w:val="false"/>
          <w:caps w:val="false"/>
          <w:smallCaps w:val="false"/>
          <w:color w:val="0E101A"/>
          <w:sz w:val="20"/>
        </w:rPr>
        <w:t>sustainability strategy</w:t>
      </w:r>
      <w:r>
        <w:rPr>
          <w:rFonts w:ascii="Arial" w:hAnsi="Arial"/>
          <w:b w:val="false"/>
          <w:i w:val="false"/>
          <w:caps w:val="false"/>
          <w:smallCaps w:val="false"/>
          <w:color w:val="0E101A"/>
          <w:sz w:val="20"/>
        </w:rPr>
        <w:t xml:space="preserve"> draws from our purpose of contributing to improving lives by driving the changes our countries need. It is from this purpose that our vision springs of being a sustainable financial services leader in Latin America that is future-oriented and focused on creating superior value for our employees, clients, shareholders, and the countries we operate in. With great responsibility, we have taken up our role as a change agent in society, promoting the sustainable development agenda through our core businesses and forming partnerships that strengthen our impact. The progress made over the past three years is proof of this work.</w:t>
      </w:r>
    </w:p>
    <w:p>
      <w:pPr>
        <w:pStyle w:val="TextBody"/>
        <w:bidi w:val="0"/>
        <w:spacing w:before="0" w:after="0"/>
        <w:ind w:left="0" w:right="0" w:hanging="0"/>
        <w:jc w:val="both"/>
        <w:rPr>
          <w:caps w:val="false"/>
          <w:smallCaps w:val="false"/>
          <w:color w:val="0E101A"/>
        </w:rPr>
      </w:pPr>
      <w:r>
        <w:rPr>
          <w:caps w:val="false"/>
          <w:smallCaps w:val="false"/>
          <w:color w:val="0E101A"/>
        </w:rPr>
        <w:t> </w:t>
      </w:r>
    </w:p>
    <w:p>
      <w:pPr>
        <w:pStyle w:val="TextBody"/>
        <w:bidi w:val="0"/>
        <w:spacing w:lineRule="auto" w:line="240" w:before="0" w:after="0"/>
        <w:ind w:left="0" w:right="0" w:hanging="0"/>
        <w:jc w:val="both"/>
        <w:rPr>
          <w:rFonts w:ascii="Arial" w:hAnsi="Arial"/>
          <w:b w:val="false"/>
          <w:i w:val="false"/>
          <w:caps w:val="false"/>
          <w:smallCaps w:val="false"/>
          <w:sz w:val="20"/>
        </w:rPr>
      </w:pPr>
      <w:r>
        <w:rPr>
          <w:rFonts w:ascii="Arial" w:hAnsi="Arial"/>
          <w:b/>
          <w:i w:val="false"/>
          <w:caps w:val="false"/>
          <w:smallCaps w:val="false"/>
          <w:color w:val="0E101A"/>
          <w:sz w:val="20"/>
        </w:rPr>
        <w:t>Financial inclusion</w:t>
      </w:r>
      <w:r>
        <w:rPr>
          <w:rFonts w:ascii="Arial" w:hAnsi="Arial"/>
          <w:b w:val="false"/>
          <w:i w:val="false"/>
          <w:caps w:val="false"/>
          <w:smallCaps w:val="false"/>
          <w:color w:val="0E101A"/>
          <w:sz w:val="20"/>
        </w:rPr>
        <w:t xml:space="preserve"> lies at the heart of our </w:t>
      </w:r>
      <w:r>
        <w:rPr>
          <w:rFonts w:ascii="Arial" w:hAnsi="Arial"/>
          <w:b/>
          <w:i w:val="false"/>
          <w:caps w:val="false"/>
          <w:smallCaps w:val="false"/>
          <w:color w:val="0E101A"/>
          <w:sz w:val="20"/>
        </w:rPr>
        <w:t>social strategy</w:t>
      </w:r>
      <w:r>
        <w:rPr>
          <w:rFonts w:ascii="Arial" w:hAnsi="Arial"/>
          <w:b w:val="false"/>
          <w:i w:val="false"/>
          <w:caps w:val="false"/>
          <w:smallCaps w:val="false"/>
          <w:color w:val="0E101A"/>
          <w:sz w:val="20"/>
        </w:rPr>
        <w:t>. Yape has proven to be an exceptional tool to promote financial inclusion, providing access to financial services for the first time to more than 1.7 million</w:t>
      </w:r>
      <w:r>
        <w:rPr>
          <w:rFonts w:ascii="Arial" w:hAnsi="Arial"/>
          <w:b w:val="false"/>
          <w:i w:val="false"/>
          <w:caps w:val="false"/>
          <w:smallCaps w:val="false"/>
          <w:sz w:val="20"/>
        </w:rPr>
        <w:t xml:space="preserve">1 </w:t>
      </w:r>
      <w:r>
        <w:rPr>
          <w:rFonts w:ascii="Arial" w:hAnsi="Arial"/>
          <w:b w:val="false"/>
          <w:i w:val="false"/>
          <w:caps w:val="false"/>
          <w:smallCaps w:val="false"/>
          <w:color w:val="0E101A"/>
          <w:sz w:val="20"/>
        </w:rPr>
        <w:t>people in Peru, in turn generating usage frequency and more transactions. Today, Yape also operates in Bolivia, where it has over 1 million users. We are proud to announce that BCP also financially included 2.4 million2 people through savings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color w:val="0E101A"/>
          <w:sz w:val="20"/>
        </w:rPr>
      </w:pPr>
      <w:r>
        <w:rPr>
          <w:rFonts w:ascii="Arial" w:hAnsi="Arial"/>
          <w:b w:val="false"/>
          <w:i w:val="false"/>
          <w:caps w:val="false"/>
          <w:smallCaps w:val="false"/>
          <w:color w:val="0E101A"/>
          <w:sz w:val="20"/>
        </w:rPr>
        <w:t xml:space="preserve">For its part, Mibanco banked more than 63,000 individuals and individuals with a business through micro-loans, 55.9% of whom are women. Women’s financial inclusion is vital to progressing equity efforts in Peru, so we have strengthened our value proposition for them by creating </w:t>
      </w:r>
      <w:r>
        <w:rPr>
          <w:rFonts w:ascii="Arial" w:hAnsi="Arial"/>
          <w:b w:val="false"/>
          <w:i/>
          <w:caps w:val="false"/>
          <w:smallCaps w:val="false"/>
          <w:color w:val="0E101A"/>
          <w:sz w:val="20"/>
        </w:rPr>
        <w:t>Mundo Mujer</w:t>
      </w:r>
      <w:r>
        <w:rPr>
          <w:rFonts w:ascii="Arial" w:hAnsi="Arial"/>
          <w:b w:val="false"/>
          <w:i w:val="false"/>
          <w:caps w:val="false"/>
          <w:smallCaps w:val="false"/>
          <w:color w:val="0E101A"/>
          <w:sz w:val="20"/>
        </w:rPr>
        <w:t xml:space="preserve">; now, we focus not just on providing access to credit but also on delivering financial education, savings products, and other services. We also continue to work toward opening up access to insurance by creating </w:t>
      </w:r>
      <w:r>
        <w:rPr>
          <w:rFonts w:ascii="Arial" w:hAnsi="Arial"/>
          <w:b w:val="false"/>
          <w:i/>
          <w:caps w:val="false"/>
          <w:smallCaps w:val="false"/>
          <w:color w:val="0E101A"/>
          <w:sz w:val="20"/>
        </w:rPr>
        <w:t>Seguros para todos</w:t>
      </w:r>
      <w:r>
        <w:rPr>
          <w:rFonts w:ascii="Arial" w:hAnsi="Arial"/>
          <w:b w:val="false"/>
          <w:i w:val="false"/>
          <w:caps w:val="false"/>
          <w:smallCaps w:val="false"/>
          <w:color w:val="0E101A"/>
          <w:sz w:val="20"/>
        </w:rPr>
        <w:t>, our insurance-for-all strategy that protects more than 2.3 million people with our inclusive, low-cost, and more accessible products.</w:t>
      </w:r>
    </w:p>
    <w:p>
      <w:pPr>
        <w:pStyle w:val="TextBody"/>
        <w:bidi w:val="0"/>
        <w:spacing w:before="0" w:after="0"/>
        <w:ind w:left="0" w:right="0" w:hanging="0"/>
        <w:jc w:val="both"/>
        <w:rPr>
          <w:caps w:val="false"/>
          <w:smallCaps w:val="false"/>
          <w:color w:val="0E101A"/>
        </w:rPr>
      </w:pPr>
      <w:r>
        <w:rPr>
          <w:caps w:val="false"/>
          <w:smallCaps w:val="false"/>
          <w:color w:val="0E101A"/>
        </w:rPr>
        <w:t> </w:t>
      </w:r>
    </w:p>
    <w:p>
      <w:pPr>
        <w:pStyle w:val="TextBody"/>
        <w:bidi w:val="0"/>
        <w:spacing w:before="0" w:after="0"/>
        <w:ind w:left="0" w:right="0" w:hanging="0"/>
        <w:jc w:val="both"/>
        <w:rPr>
          <w:rFonts w:ascii="Arial" w:hAnsi="Arial"/>
          <w:b w:val="false"/>
          <w:i w:val="false"/>
          <w:caps w:val="false"/>
          <w:smallCaps w:val="false"/>
          <w:color w:val="0E101A"/>
          <w:sz w:val="20"/>
        </w:rPr>
      </w:pPr>
      <w:r>
        <w:rPr>
          <w:rFonts w:ascii="Arial" w:hAnsi="Arial"/>
          <w:b w:val="false"/>
          <w:i w:val="false"/>
          <w:caps w:val="false"/>
          <w:smallCaps w:val="false"/>
          <w:color w:val="0E101A"/>
          <w:sz w:val="20"/>
        </w:rPr>
        <w:t xml:space="preserve">This year also saw the rollout of our </w:t>
      </w:r>
      <w:r>
        <w:rPr>
          <w:rFonts w:ascii="Arial" w:hAnsi="Arial"/>
          <w:b/>
          <w:i w:val="false"/>
          <w:caps w:val="false"/>
          <w:smallCaps w:val="false"/>
          <w:color w:val="0E101A"/>
          <w:sz w:val="20"/>
        </w:rPr>
        <w:t>Corporate Environmental Strategy</w:t>
      </w:r>
      <w:r>
        <w:rPr>
          <w:rFonts w:ascii="Arial" w:hAnsi="Arial"/>
          <w:b w:val="false"/>
          <w:i w:val="false"/>
          <w:caps w:val="false"/>
          <w:smallCaps w:val="false"/>
          <w:color w:val="0E101A"/>
          <w:sz w:val="20"/>
        </w:rPr>
        <w:t>, a significant milestone in consolidating our sustainability strategy that allowed us to make substantial progress on this front. In 2023, through BCP, we reached more than US$585 million in green-labeled loans. We also made significant progress in measuring the carbon footprint of our credit and investment portfolios, generating more information and knowledge for the responsible management of our portfolios. This year, we also released our first TCFD (Task Force onClimate-Related Financial Disclosures) report, in which we announced these and other environmental management achievements.</w:t>
      </w:r>
    </w:p>
    <w:p>
      <w:pPr>
        <w:pStyle w:val="TextBody"/>
        <w:bidi w:val="0"/>
        <w:spacing w:before="0" w:after="0"/>
        <w:ind w:left="0" w:right="0" w:hanging="0"/>
        <w:jc w:val="both"/>
        <w:rPr>
          <w:caps w:val="false"/>
          <w:smallCaps w:val="false"/>
          <w:color w:val="0E101A"/>
        </w:rPr>
      </w:pPr>
      <w:r>
        <w:rPr>
          <w:caps w:val="false"/>
          <w:smallCaps w:val="false"/>
          <w:color w:val="0E101A"/>
        </w:rPr>
        <w:t> </w:t>
      </w:r>
    </w:p>
    <w:p>
      <w:pPr>
        <w:pStyle w:val="TextBody"/>
        <w:bidi w:val="0"/>
        <w:spacing w:before="0" w:after="60"/>
        <w:jc w:val="left"/>
        <w:rPr>
          <w:caps w:val="false"/>
          <w:smallCaps w:val="false"/>
          <w:bdr w:val="single" w:sz="8" w:space="1" w:color="000000"/>
        </w:rPr>
      </w:pPr>
      <w:r>
        <w:rPr>
          <w:caps w:val="false"/>
          <w:smallCaps w:val="false"/>
          <w:bdr w:val="single" w:sz="8" w:space="1" w:color="000000"/>
        </w:rPr>
        <w:t> </w:t>
      </w:r>
    </w:p>
    <w:p>
      <w:pPr>
        <w:pStyle w:val="TextBody"/>
        <w:bidi w:val="0"/>
        <w:spacing w:lineRule="auto" w:line="240" w:before="0" w:after="0"/>
        <w:ind w:left="0" w:right="0" w:hanging="0"/>
        <w:jc w:val="both"/>
        <w:rPr>
          <w:rFonts w:ascii="Arial" w:hAnsi="Arial"/>
          <w:b w:val="false"/>
          <w:i w:val="false"/>
          <w:caps w:val="false"/>
          <w:smallCaps w:val="false"/>
          <w:color w:val="0E101A"/>
          <w:sz w:val="16"/>
        </w:rPr>
      </w:pPr>
      <w:r>
        <w:rPr>
          <w:rFonts w:ascii="Arial" w:hAnsi="Arial"/>
          <w:b w:val="false"/>
          <w:i w:val="false"/>
          <w:caps w:val="false"/>
          <w:smallCaps w:val="false"/>
          <w:color w:val="0E101A"/>
          <w:sz w:val="16"/>
        </w:rPr>
        <w:t>1, 2 Cumulative total from 2020 al 2023. It includes people who made at least three average monthly transactions in the last three months.</w:t>
      </w:r>
    </w:p>
    <w:p>
      <w:pPr>
        <w:pStyle w:val="TextBody"/>
        <w:bidi w:val="0"/>
        <w:spacing w:before="0" w:after="0"/>
        <w:ind w:left="0" w:right="0" w:hanging="0"/>
        <w:jc w:val="both"/>
        <w:rPr>
          <w:caps w:val="false"/>
          <w:smallCaps w:val="false"/>
          <w:color w:val="0E101A"/>
        </w:rPr>
      </w:pPr>
      <w:r>
        <w:rPr>
          <w:caps w:val="false"/>
          <w:smallCaps w:val="false"/>
          <w:color w:val="0E101A"/>
        </w:rPr>
        <w:t> </w:t>
      </w:r>
    </w:p>
    <w:p>
      <w:pPr>
        <w:pStyle w:val="TextBody"/>
        <w:bidi w:val="0"/>
        <w:spacing w:before="200" w:after="20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color w:val="0E101A"/>
        </w:rPr>
      </w:pPr>
      <w:r>
        <w:rPr>
          <w:caps w:val="false"/>
          <w:smallCaps w:val="false"/>
          <w:color w:val="0E101A"/>
        </w:rPr>
        <w:t> </w:t>
      </w:r>
    </w:p>
    <w:p>
      <w:pPr>
        <w:pStyle w:val="TextBody"/>
        <w:bidi w:val="0"/>
        <w:spacing w:before="0" w:after="0"/>
        <w:ind w:left="0" w:right="0" w:hanging="0"/>
        <w:jc w:val="both"/>
        <w:rPr>
          <w:rFonts w:ascii="Arial" w:hAnsi="Arial"/>
          <w:b w:val="false"/>
          <w:i w:val="false"/>
          <w:caps w:val="false"/>
          <w:smallCaps w:val="false"/>
          <w:color w:val="0E101A"/>
          <w:sz w:val="20"/>
        </w:rPr>
      </w:pPr>
      <w:r>
        <w:rPr>
          <w:rFonts w:ascii="Arial" w:hAnsi="Arial"/>
          <w:b w:val="false"/>
          <w:i w:val="false"/>
          <w:caps w:val="false"/>
          <w:smallCaps w:val="false"/>
          <w:color w:val="0E101A"/>
          <w:sz w:val="20"/>
        </w:rPr>
        <w:t>It is also clear that the environmental and social fronts are closely linked. In 2023, Peru suffered the effects of Cyclone Yaku and the threat of the El Nino phenomenon, leaving thousands of people in the affected areas vulnerable and affecting the normal functioning of the economy. BCP, Pacífico Seguros, and Mibanco joined forces for a campaign (</w:t>
      </w:r>
      <w:r>
        <w:rPr>
          <w:rFonts w:ascii="Arial" w:hAnsi="Arial"/>
          <w:b w:val="false"/>
          <w:i/>
          <w:caps w:val="false"/>
          <w:smallCaps w:val="false"/>
          <w:color w:val="0E101A"/>
          <w:sz w:val="20"/>
        </w:rPr>
        <w:t>Con la camiseta bien puesta</w:t>
      </w:r>
      <w:r>
        <w:rPr>
          <w:rFonts w:ascii="Arial" w:hAnsi="Arial"/>
          <w:b w:val="false"/>
          <w:i w:val="false"/>
          <w:caps w:val="false"/>
          <w:smallCaps w:val="false"/>
          <w:color w:val="0E101A"/>
          <w:sz w:val="20"/>
        </w:rPr>
        <w:t>) that has delivered over 800 awareness and prevention training programs at community fairs in the affected regions and reached more than 6,000 people to date. Our companies also rolled various measures—from education and prevention efforts to financing solutions and benefits for affected clients—supporting people to more easily find their way through this challenging situation.</w:t>
      </w:r>
    </w:p>
    <w:p>
      <w:pPr>
        <w:pStyle w:val="TextBody"/>
        <w:bidi w:val="0"/>
        <w:spacing w:before="0" w:after="0"/>
        <w:ind w:left="0" w:right="0" w:hanging="0"/>
        <w:jc w:val="both"/>
        <w:rPr>
          <w:caps w:val="false"/>
          <w:smallCaps w:val="false"/>
          <w:color w:val="0E101A"/>
        </w:rPr>
      </w:pPr>
      <w:r>
        <w:rPr>
          <w:caps w:val="false"/>
          <w:smallCaps w:val="false"/>
          <w:color w:val="0E101A"/>
        </w:rPr>
        <w:t> </w:t>
      </w:r>
    </w:p>
    <w:p>
      <w:pPr>
        <w:pStyle w:val="TextBody"/>
        <w:bidi w:val="0"/>
        <w:spacing w:before="0" w:after="0"/>
        <w:ind w:left="0" w:right="0" w:hanging="0"/>
        <w:jc w:val="both"/>
        <w:rPr>
          <w:rFonts w:ascii="Arial" w:hAnsi="Arial"/>
          <w:b w:val="false"/>
          <w:i w:val="false"/>
          <w:caps w:val="false"/>
          <w:smallCaps w:val="false"/>
          <w:color w:val="0E101A"/>
          <w:sz w:val="20"/>
        </w:rPr>
      </w:pPr>
      <w:r>
        <w:rPr>
          <w:rFonts w:ascii="Arial" w:hAnsi="Arial"/>
          <w:b w:val="false"/>
          <w:i w:val="false"/>
          <w:caps w:val="false"/>
          <w:smallCaps w:val="false"/>
          <w:color w:val="0E101A"/>
          <w:sz w:val="20"/>
        </w:rPr>
        <w:t xml:space="preserve">On the </w:t>
      </w:r>
      <w:r>
        <w:rPr>
          <w:rFonts w:ascii="Arial" w:hAnsi="Arial"/>
          <w:b/>
          <w:i w:val="false"/>
          <w:caps w:val="false"/>
          <w:smallCaps w:val="false"/>
          <w:color w:val="0E101A"/>
          <w:sz w:val="20"/>
        </w:rPr>
        <w:t>governance</w:t>
      </w:r>
      <w:r>
        <w:rPr>
          <w:rFonts w:ascii="Arial" w:hAnsi="Arial"/>
          <w:b w:val="false"/>
          <w:i w:val="false"/>
          <w:caps w:val="false"/>
          <w:smallCaps w:val="false"/>
          <w:color w:val="0E101A"/>
          <w:sz w:val="20"/>
        </w:rPr>
        <w:t xml:space="preserve"> front, through a new nomination, we continued strengthening the competencies and widening the diversity of our board. Always striving for continuous improvement, we undertook an external evaluation of our board and its committees. Our progress to date has resulted in a positive perception of our structures, composition, and functioning, aligned with good practices in the market. The recommendations of this analysis will enable us to strengthen our governance further.</w:t>
      </w:r>
    </w:p>
    <w:p>
      <w:pPr>
        <w:pStyle w:val="TextBody"/>
        <w:bidi w:val="0"/>
        <w:spacing w:before="0" w:after="0"/>
        <w:ind w:left="0" w:right="0" w:hanging="0"/>
        <w:jc w:val="both"/>
        <w:rPr>
          <w:caps w:val="false"/>
          <w:smallCaps w:val="false"/>
          <w:color w:val="0E101A"/>
        </w:rPr>
      </w:pPr>
      <w:r>
        <w:rPr>
          <w:caps w:val="false"/>
          <w:smallCaps w:val="false"/>
          <w:color w:val="0E101A"/>
        </w:rPr>
        <w:t> </w:t>
      </w:r>
    </w:p>
    <w:p>
      <w:pPr>
        <w:pStyle w:val="TextBody"/>
        <w:bidi w:val="0"/>
        <w:spacing w:before="0" w:after="0"/>
        <w:ind w:left="0" w:right="0" w:hanging="0"/>
        <w:jc w:val="both"/>
        <w:rPr>
          <w:rFonts w:ascii="Arial" w:hAnsi="Arial"/>
          <w:b w:val="false"/>
          <w:i w:val="false"/>
          <w:caps w:val="false"/>
          <w:smallCaps w:val="false"/>
          <w:color w:val="0E101A"/>
          <w:sz w:val="20"/>
        </w:rPr>
      </w:pPr>
      <w:r>
        <w:rPr>
          <w:rFonts w:ascii="Arial" w:hAnsi="Arial"/>
          <w:b w:val="false"/>
          <w:i w:val="false"/>
          <w:caps w:val="false"/>
          <w:smallCaps w:val="false"/>
          <w:color w:val="0E101A"/>
          <w:sz w:val="20"/>
        </w:rPr>
        <w:t xml:space="preserve">In 2024, we will focus on expanding our </w:t>
      </w:r>
      <w:r>
        <w:rPr>
          <w:rFonts w:ascii="Arial" w:hAnsi="Arial"/>
          <w:b/>
          <w:i w:val="false"/>
          <w:caps w:val="false"/>
          <w:smallCaps w:val="false"/>
          <w:color w:val="0E101A"/>
          <w:sz w:val="20"/>
        </w:rPr>
        <w:t>positive impact on the ecosystem</w:t>
      </w:r>
      <w:r>
        <w:rPr>
          <w:rFonts w:ascii="Arial" w:hAnsi="Arial"/>
          <w:b w:val="false"/>
          <w:i w:val="false"/>
          <w:caps w:val="false"/>
          <w:smallCaps w:val="false"/>
          <w:color w:val="0E101A"/>
          <w:sz w:val="20"/>
        </w:rPr>
        <w:t xml:space="preserve"> by strengthening our offering of sustainable products and solutions, influencing the adoption of sustainable practices through relationships and partnerships with other actors, and enhancing our capacities on the environmental and climate change fronts. This approach is made possible by the effort and commitment of our leaders and employees, who are our most important asset.</w:t>
      </w:r>
    </w:p>
    <w:p>
      <w:pPr>
        <w:pStyle w:val="TextBody"/>
        <w:bidi w:val="0"/>
        <w:spacing w:before="0" w:after="0"/>
        <w:ind w:left="0" w:right="0" w:hanging="0"/>
        <w:jc w:val="both"/>
        <w:rPr>
          <w:caps w:val="false"/>
          <w:smallCaps w:val="false"/>
          <w:color w:val="0E101A"/>
        </w:rPr>
      </w:pPr>
      <w:r>
        <w:rPr>
          <w:caps w:val="false"/>
          <w:smallCaps w:val="false"/>
          <w:color w:val="0E101A"/>
        </w:rPr>
        <w:t> </w:t>
      </w:r>
    </w:p>
    <w:p>
      <w:pPr>
        <w:pStyle w:val="TextBody"/>
        <w:bidi w:val="0"/>
        <w:spacing w:before="0" w:after="0"/>
        <w:ind w:left="0" w:right="0" w:hanging="0"/>
        <w:jc w:val="both"/>
        <w:rPr>
          <w:rFonts w:ascii="Arial" w:hAnsi="Arial"/>
          <w:b w:val="false"/>
          <w:i w:val="false"/>
          <w:caps w:val="false"/>
          <w:smallCaps w:val="false"/>
          <w:color w:val="0E101A"/>
          <w:sz w:val="20"/>
        </w:rPr>
      </w:pPr>
      <w:r>
        <w:rPr>
          <w:rFonts w:ascii="Arial" w:hAnsi="Arial"/>
          <w:b w:val="false"/>
          <w:i w:val="false"/>
          <w:caps w:val="false"/>
          <w:smallCaps w:val="false"/>
          <w:color w:val="0E101A"/>
          <w:sz w:val="20"/>
        </w:rPr>
        <w:t xml:space="preserve">In this context of volatility and uncertainty, exacerbated by the economic crisis and conflicts around the world, we believe it is essential that the </w:t>
      </w:r>
      <w:r>
        <w:rPr>
          <w:rFonts w:ascii="Arial" w:hAnsi="Arial"/>
          <w:b/>
          <w:i w:val="false"/>
          <w:caps w:val="false"/>
          <w:smallCaps w:val="false"/>
          <w:color w:val="0E101A"/>
          <w:sz w:val="20"/>
        </w:rPr>
        <w:t>private sector take on a role as a change agent</w:t>
      </w:r>
      <w:r>
        <w:rPr>
          <w:rFonts w:ascii="Arial" w:hAnsi="Arial"/>
          <w:b w:val="false"/>
          <w:i w:val="false"/>
          <w:caps w:val="false"/>
          <w:smallCaps w:val="false"/>
          <w:color w:val="0E101A"/>
          <w:sz w:val="20"/>
        </w:rPr>
        <w:t>, generating well-being, safeguarding institutions, and fostering collaboration toward the sustainable development goals and the progress of our nations. Once again, we renew our commitment to improving lives, by driving the changes our countries need.</w:t>
      </w:r>
    </w:p>
    <w:p>
      <w:pPr>
        <w:pStyle w:val="TextBody"/>
        <w:bidi w:val="0"/>
        <w:spacing w:before="0" w:after="0"/>
        <w:ind w:left="0" w:right="0" w:hanging="0"/>
        <w:jc w:val="both"/>
        <w:rPr>
          <w:caps w:val="false"/>
          <w:smallCaps w:val="false"/>
          <w:color w:val="0E101A"/>
        </w:rPr>
      </w:pPr>
      <w:r>
        <w:rPr>
          <w:caps w:val="false"/>
          <w:smallCaps w:val="false"/>
          <w:color w:val="0E101A"/>
        </w:rPr>
        <w:t> </w:t>
      </w:r>
    </w:p>
    <w:p>
      <w:pPr>
        <w:pStyle w:val="TextBody"/>
        <w:bidi w:val="0"/>
        <w:spacing w:before="200" w:after="20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color w:val="0E101A"/>
        </w:rPr>
      </w:pPr>
      <w:r>
        <w:rPr>
          <w:caps w:val="false"/>
          <w:smallCaps w:val="false"/>
          <w:color w:val="0E101A"/>
        </w:rPr>
        <w:t> </w:t>
      </w:r>
    </w:p>
    <w:p>
      <w:pPr>
        <w:pStyle w:val="TextBody"/>
        <w:bidi w:val="0"/>
        <w:spacing w:before="0" w:after="0"/>
        <w:ind w:left="0" w:right="0" w:hanging="0"/>
        <w:jc w:val="left"/>
        <w:rPr>
          <w:rFonts w:ascii="Arial" w:hAnsi="Arial"/>
          <w:b/>
          <w:i w:val="false"/>
          <w:caps w:val="false"/>
          <w:smallCaps w:val="false"/>
          <w:color w:val="FE5000"/>
          <w:sz w:val="30"/>
        </w:rPr>
      </w:pPr>
      <w:r>
        <w:rPr>
          <w:rFonts w:ascii="Arial" w:hAnsi="Arial"/>
          <w:b/>
          <w:i w:val="false"/>
          <w:caps w:val="false"/>
          <w:smallCaps w:val="false"/>
          <w:color w:val="FE5000"/>
          <w:sz w:val="30"/>
        </w:rPr>
        <w:t>1.3. EXECUTIVE SUMMARY</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GRI 2-2, 2-3, 2-5, 2-14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mc:AlternateContent>
          <mc:Choice Requires="wps">
            <w:drawing>
              <wp:anchor behindDoc="0" distT="0" distB="0" distL="0" distR="0" simplePos="0" locked="0" layoutInCell="1" allowOverlap="1" relativeHeight="254">
                <wp:simplePos x="0" y="0"/>
                <wp:positionH relativeFrom="column">
                  <wp:align>left</wp:align>
                </wp:positionH>
                <wp:positionV relativeFrom="line">
                  <wp:posOffset>635</wp:posOffset>
                </wp:positionV>
                <wp:extent cx="3110230" cy="4264660"/>
                <wp:effectExtent l="0" t="0" r="0" b="0"/>
                <wp:wrapSquare wrapText="right"/>
                <wp:docPr id="45" name="Frame10"/>
                <a:graphic xmlns:a="http://schemas.openxmlformats.org/drawingml/2006/main">
                  <a:graphicData uri="http://schemas.microsoft.com/office/word/2010/wordprocessingShape">
                    <wps:wsp>
                      <wps:cNvSpPr txBox="1"/>
                      <wps:spPr>
                        <a:xfrm>
                          <a:off x="0" y="0"/>
                          <a:ext cx="3110230" cy="4264660"/>
                        </a:xfrm>
                        <a:prstGeom prst="rect"/>
                        <a:solidFill>
                          <a:srgbClr val="FFFFFF"/>
                        </a:solidFill>
                      </wps:spPr>
                      <wps:txbx>
                        <w:txbxContent>
                          <w:p>
                            <w:pPr>
                              <w:pStyle w:val="TextBody"/>
                              <w:bidi w:val="0"/>
                              <w:spacing w:lineRule="auto" w:line="240" w:before="0" w:after="0"/>
                              <w:ind w:left="600" w:right="0" w:hanging="0"/>
                              <w:jc w:val="both"/>
                              <w:rPr>
                                <w:rFonts w:ascii="Arial" w:hAnsi="Arial"/>
                                <w:b w:val="false"/>
                                <w:i w:val="false"/>
                                <w:caps w:val="false"/>
                                <w:smallCaps w:val="false"/>
                                <w:sz w:val="20"/>
                              </w:rPr>
                            </w:pPr>
                            <w:r>
                              <w:rPr>
                                <w:rFonts w:ascii="Arial" w:hAnsi="Arial"/>
                                <w:b w:val="false"/>
                                <w:i w:val="false"/>
                                <w:caps w:val="false"/>
                                <w:smallCaps w:val="false"/>
                                <w:sz w:val="20"/>
                              </w:rPr>
                              <w:t>This document reports how the Group and its subsidiary companies are progressing along the path to sustainability3. It places particular emphasis on the material topics for our businesses and stakeholders. Our strategy includes a deeper understanding of our role as a change agent, aligning with our priority SDGs, and, in parallel, integrating sustainability more fully into how we manage our businesses. During 2023, we continued making sustainability part of our mindset through the change management enabler and key finance and risk functions and processes to ensure better decision-making. As a result of our strategy implementation, we present Group and subsidiary achievements on the social and environmental fronts.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600" w:right="0" w:hanging="0"/>
                              <w:jc w:val="both"/>
                              <w:rPr>
                                <w:rFonts w:ascii="Arial" w:hAnsi="Arial"/>
                                <w:b w:val="false"/>
                                <w:i w:val="false"/>
                                <w:caps w:val="false"/>
                                <w:smallCaps w:val="false"/>
                                <w:sz w:val="20"/>
                              </w:rPr>
                            </w:pPr>
                            <w:r>
                              <w:rPr>
                                <w:rFonts w:ascii="Arial" w:hAnsi="Arial"/>
                                <w:b w:val="false"/>
                                <w:i w:val="false"/>
                                <w:caps w:val="false"/>
                                <w:smallCaps w:val="false"/>
                                <w:sz w:val="20"/>
                              </w:rPr>
                              <w:t>On the social front, we report our progress on the goals of increasing responsible financial inclusion that is complemented by comprehensive financial education, helping small businesses grow, and generating opportunities and products for women. Our social impact also manifests in our community engagement and through our relationship with suppliers along our value chain, in line with our vision of supporting their journey to greater sustainability.</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600" w:right="0" w:hanging="0"/>
                        <w:jc w:val="both"/>
                        <w:rPr>
                          <w:rFonts w:ascii="Arial" w:hAnsi="Arial"/>
                          <w:b w:val="false"/>
                          <w:i w:val="false"/>
                          <w:caps w:val="false"/>
                          <w:smallCaps w:val="false"/>
                          <w:sz w:val="20"/>
                        </w:rPr>
                      </w:pPr>
                      <w:r>
                        <w:rPr>
                          <w:rFonts w:ascii="Arial" w:hAnsi="Arial"/>
                          <w:b w:val="false"/>
                          <w:i w:val="false"/>
                          <w:caps w:val="false"/>
                          <w:smallCaps w:val="false"/>
                          <w:sz w:val="20"/>
                        </w:rPr>
                        <w:t>This document reports how the Group and its subsidiary companies are progressing along the path to sustainability3. It places particular emphasis on the material topics for our businesses and stakeholders. Our strategy includes a deeper understanding of our role as a change agent, aligning with our priority SDGs, and, in parallel, integrating sustainability more fully into how we manage our businesses. During 2023, we continued making sustainability part of our mindset through the change management enabler and key finance and risk functions and processes to ensure better decision-making. As a result of our strategy implementation, we present Group and subsidiary achievements on the social and environmental fronts.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600" w:right="0" w:hanging="0"/>
                        <w:jc w:val="both"/>
                        <w:rPr>
                          <w:rFonts w:ascii="Arial" w:hAnsi="Arial"/>
                          <w:b w:val="false"/>
                          <w:i w:val="false"/>
                          <w:caps w:val="false"/>
                          <w:smallCaps w:val="false"/>
                          <w:sz w:val="20"/>
                        </w:rPr>
                      </w:pPr>
                      <w:r>
                        <w:rPr>
                          <w:rFonts w:ascii="Arial" w:hAnsi="Arial"/>
                          <w:b w:val="false"/>
                          <w:i w:val="false"/>
                          <w:caps w:val="false"/>
                          <w:smallCaps w:val="false"/>
                          <w:sz w:val="20"/>
                        </w:rPr>
                        <w:t>On the social front, we report our progress on the goals of increasing responsible financial inclusion that is complemented by comprehensive financial education, helping small businesses grow, and generating opportunities and products for women. Our social impact also manifests in our community engagement and through our relationship with suppliers along our value chain, in line with our vision of supporting their journey to greater sustainability.</w:t>
                      </w:r>
                    </w:p>
                  </w:txbxContent>
                </v:textbox>
                <w10:wrap type="square" side="right"/>
              </v:rect>
            </w:pict>
          </mc:Fallback>
        </mc:AlternateContent>
      </w:r>
      <w:r>
        <mc:AlternateContent>
          <mc:Choice Requires="wps">
            <w:drawing>
              <wp:anchor behindDoc="0" distT="0" distB="0" distL="0" distR="0" simplePos="0" locked="0" layoutInCell="1" allowOverlap="1" relativeHeight="255">
                <wp:simplePos x="0" y="0"/>
                <wp:positionH relativeFrom="column">
                  <wp:align>right</wp:align>
                </wp:positionH>
                <wp:positionV relativeFrom="line">
                  <wp:posOffset>635</wp:posOffset>
                </wp:positionV>
                <wp:extent cx="3110230" cy="3680460"/>
                <wp:effectExtent l="0" t="0" r="0" b="0"/>
                <wp:wrapSquare wrapText="left"/>
                <wp:docPr id="46" name="Frame11"/>
                <a:graphic xmlns:a="http://schemas.openxmlformats.org/drawingml/2006/main">
                  <a:graphicData uri="http://schemas.microsoft.com/office/word/2010/wordprocessingShape">
                    <wps:wsp>
                      <wps:cNvSpPr txBox="1"/>
                      <wps:spPr>
                        <a:xfrm>
                          <a:off x="0" y="0"/>
                          <a:ext cx="3110230" cy="3680460"/>
                        </a:xfrm>
                        <a:prstGeom prst="rect"/>
                        <a:solidFill>
                          <a:srgbClr val="FFFFFF"/>
                        </a:solidFill>
                      </wps:spPr>
                      <wps:txbx>
                        <w:txbxContent>
                          <w:p>
                            <w:pPr>
                              <w:pStyle w:val="TextBody"/>
                              <w:bidi w:val="0"/>
                              <w:spacing w:before="0" w:after="0"/>
                              <w:ind w:left="0" w:right="600" w:hanging="0"/>
                              <w:jc w:val="both"/>
                              <w:rPr>
                                <w:rFonts w:ascii="Arial" w:hAnsi="Arial"/>
                                <w:b w:val="false"/>
                                <w:i w:val="false"/>
                                <w:caps w:val="false"/>
                                <w:smallCaps w:val="false"/>
                                <w:sz w:val="20"/>
                              </w:rPr>
                            </w:pPr>
                            <w:r>
                              <w:rPr>
                                <w:rFonts w:ascii="Arial" w:hAnsi="Arial"/>
                                <w:b w:val="false"/>
                                <w:i w:val="false"/>
                                <w:caps w:val="false"/>
                                <w:smallCaps w:val="false"/>
                                <w:sz w:val="20"/>
                              </w:rPr>
                              <w:t>On the environmental front, we published our first TCFD report and rolled out our corporate environmental strategy to deliver on our ambition to be local leaders in supporting the transition to an environmentally sustainable economy. We also designed a strategic sustainable financing roadmap and progressed with integrating sustainability criteria into our investment processes. On the risk management front, we deepened our approach to sustainability from both environmental and social perspectives. Finally, we report on progress regarding our direct carbon footprint.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600" w:hanging="0"/>
                              <w:jc w:val="both"/>
                              <w:rPr>
                                <w:rFonts w:ascii="Arial" w:hAnsi="Arial"/>
                                <w:b w:val="false"/>
                                <w:i w:val="false"/>
                                <w:caps w:val="false"/>
                                <w:smallCaps w:val="false"/>
                                <w:sz w:val="20"/>
                              </w:rPr>
                            </w:pPr>
                            <w:r>
                              <w:rPr>
                                <w:rFonts w:ascii="Arial" w:hAnsi="Arial"/>
                                <w:b w:val="false"/>
                                <w:i w:val="false"/>
                                <w:caps w:val="false"/>
                                <w:smallCaps w:val="false"/>
                                <w:sz w:val="20"/>
                              </w:rPr>
                              <w:t>Underpinning our entire strategy is our solid corporate governance and a diverse board composed primarily of independent members. We report on our main structures and how, from the highest levels of the organization downwards, we manage and supervise the sustainability strategy and integration. We conclude by describing advances in the following key focus areas for our governance: business ethics, regulatory compliance, and our commitment to human rights.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89.8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600" w:hanging="0"/>
                        <w:jc w:val="both"/>
                        <w:rPr>
                          <w:rFonts w:ascii="Arial" w:hAnsi="Arial"/>
                          <w:b w:val="false"/>
                          <w:i w:val="false"/>
                          <w:caps w:val="false"/>
                          <w:smallCaps w:val="false"/>
                          <w:sz w:val="20"/>
                        </w:rPr>
                      </w:pPr>
                      <w:r>
                        <w:rPr>
                          <w:rFonts w:ascii="Arial" w:hAnsi="Arial"/>
                          <w:b w:val="false"/>
                          <w:i w:val="false"/>
                          <w:caps w:val="false"/>
                          <w:smallCaps w:val="false"/>
                          <w:sz w:val="20"/>
                        </w:rPr>
                        <w:t>On the environmental front, we published our first TCFD report and rolled out our corporate environmental strategy to deliver on our ambition to be local leaders in supporting the transition to an environmentally sustainable economy. We also designed a strategic sustainable financing roadmap and progressed with integrating sustainability criteria into our investment processes. On the risk management front, we deepened our approach to sustainability from both environmental and social perspectives. Finally, we report on progress regarding our direct carbon footprint.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600" w:hanging="0"/>
                        <w:jc w:val="both"/>
                        <w:rPr>
                          <w:rFonts w:ascii="Arial" w:hAnsi="Arial"/>
                          <w:b w:val="false"/>
                          <w:i w:val="false"/>
                          <w:caps w:val="false"/>
                          <w:smallCaps w:val="false"/>
                          <w:sz w:val="20"/>
                        </w:rPr>
                      </w:pPr>
                      <w:r>
                        <w:rPr>
                          <w:rFonts w:ascii="Arial" w:hAnsi="Arial"/>
                          <w:b w:val="false"/>
                          <w:i w:val="false"/>
                          <w:caps w:val="false"/>
                          <w:smallCaps w:val="false"/>
                          <w:sz w:val="20"/>
                        </w:rPr>
                        <w:t>Underpinning our entire strategy is our solid corporate governance and a diverse board composed primarily of independent members. We report on our main structures and how, from the highest levels of the organization downwards, we manage and supervise the sustainability strategy and integration. We conclude by describing advances in the following key focus areas for our governance: business ethics, regulatory compliance, and our commitment to human rights.</w:t>
                      </w:r>
                    </w:p>
                  </w:txbxContent>
                </v:textbox>
                <w10:wrap type="square" side="left"/>
              </v:rect>
            </w:pict>
          </mc:Fallback>
        </mc:AlternateContent>
      </w:r>
    </w:p>
    <w:p>
      <w:pPr>
        <w:pStyle w:val="TextBody"/>
        <w:bidi w:val="0"/>
        <w:spacing w:before="0" w:after="60"/>
        <w:jc w:val="left"/>
        <w:rPr>
          <w:caps w:val="false"/>
          <w:smallCaps w:val="false"/>
          <w:bdr w:val="single" w:sz="8" w:space="1" w:color="000000"/>
        </w:rPr>
      </w:pPr>
      <w:r>
        <w:rPr>
          <w:caps w:val="false"/>
          <w:smallCaps w:val="false"/>
          <w:bdr w:val="single" w:sz="8" w:space="1" w:color="000000"/>
        </w:rPr>
        <w:t> </w:t>
      </w:r>
    </w:p>
    <w:p>
      <w:pPr>
        <w:pStyle w:val="TextBody"/>
        <w:bidi w:val="0"/>
        <w:spacing w:lineRule="auto" w:line="240"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3 This report is for Credicorp Ltd., registered in Hamilton, Bermuda. Consistent with the scope of Credicorp’s Corporate Sustainability Policy, it presents information from the company’s most important subsidiaries: Banco de Crédito del Peru (BCP), Mibanco Perú, Mibanco Colombia, BCP Bolivia, Pacífico Seguros, Prima AFP, and Credicorp Capital. Through these companies, Credicorp Ltd operates in Peru, Colombia, Bolivia, Chile, Panama, and the United States. Unless stated otherwise, the information is consolidated at the Credicorp Ltd level. The report covers the period from January 1 to December 31, 2023.</w:t>
      </w:r>
    </w:p>
    <w:p>
      <w:pPr>
        <w:pStyle w:val="TextBody"/>
        <w:bidi w:val="0"/>
        <w:spacing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The Sustainability Report is attached to our corporate Annual Report. These documents were published together in February 2024. Please note that both have been subject to a governance process of review and approval. They are ultimately approved by the Board of Directors. The information presented in this report has not been externally verified. The financial information in the Annual Report comes from the audited financial statements. Credicorp’s carbon footprint information is audited by an external consultant. This report was prepared in accordance with the Global Reporting Initiative (GRI) standards and also used the Sustainability Accounting Standard Board (SASB) Commercial Banking Industry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FE4F00"/>
          <w:sz w:val="30"/>
        </w:rPr>
      </w:pPr>
      <w:r>
        <w:rPr>
          <w:rFonts w:ascii="Arial" w:hAnsi="Arial"/>
          <w:b/>
          <w:i w:val="false"/>
          <w:caps w:val="false"/>
          <w:smallCaps w:val="false"/>
          <w:color w:val="FE4F00"/>
          <w:sz w:val="30"/>
        </w:rPr>
        <w:t>1.4. 2023 ACHIEVEMENTS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620000" cy="3905250"/>
            <wp:effectExtent l="0" t="0" r="0" b="0"/>
            <wp:docPr id="4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4" descr=""/>
                    <pic:cNvPicPr>
                      <a:picLocks noChangeAspect="1" noChangeArrowheads="1"/>
                    </pic:cNvPicPr>
                  </pic:nvPicPr>
                  <pic:blipFill>
                    <a:blip r:embed="rId37"/>
                    <a:stretch>
                      <a:fillRect/>
                    </a:stretch>
                  </pic:blipFill>
                  <pic:spPr bwMode="auto">
                    <a:xfrm>
                      <a:off x="0" y="0"/>
                      <a:ext cx="7620000" cy="39052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*The awards and recognitions received by Credicorp’s subsidiaries are listed in the respective sustainability reports.</w:t>
      </w:r>
    </w:p>
    <w:p>
      <w:pPr>
        <w:pStyle w:val="TextBody"/>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**Cumulative from 2020 to 2023. Includes people who made at least three average monthly transactions in the last three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FE5000"/>
          <w:sz w:val="30"/>
        </w:rPr>
      </w:pPr>
      <w:r>
        <w:rPr>
          <w:rFonts w:ascii="Arial" w:hAnsi="Arial"/>
          <w:b/>
          <w:i w:val="false"/>
          <w:caps w:val="false"/>
          <w:smallCaps w:val="false"/>
          <w:color w:val="FE5000"/>
          <w:sz w:val="30"/>
        </w:rPr>
        <w:t>1.5. OUR SUSTAINABILITY STRATEGY</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GRI 2- 29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mc:AlternateContent>
          <mc:Choice Requires="wps">
            <w:drawing>
              <wp:anchor behindDoc="0" distT="0" distB="0" distL="0" distR="0" simplePos="0" locked="0" layoutInCell="1" allowOverlap="1" relativeHeight="223">
                <wp:simplePos x="0" y="0"/>
                <wp:positionH relativeFrom="column">
                  <wp:align>right</wp:align>
                </wp:positionH>
                <wp:positionV relativeFrom="line">
                  <wp:posOffset>635</wp:posOffset>
                </wp:positionV>
                <wp:extent cx="3110230" cy="6097905"/>
                <wp:effectExtent l="0" t="0" r="0" b="0"/>
                <wp:wrapSquare wrapText="left"/>
                <wp:docPr id="48" name="Frame13"/>
                <a:graphic xmlns:a="http://schemas.openxmlformats.org/drawingml/2006/main">
                  <a:graphicData uri="http://schemas.microsoft.com/office/word/2010/wordprocessingShape">
                    <wps:wsp>
                      <wps:cNvSpPr txBox="1"/>
                      <wps:spPr>
                        <a:xfrm>
                          <a:off x="0" y="0"/>
                          <a:ext cx="3110230" cy="609790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642"/>
                              <w:gridCol w:w="8563"/>
                            </w:tblGrid>
                            <w:tr>
                              <w:trPr/>
                              <w:tc>
                                <w:tcPr>
                                  <w:tcW w:w="1642" w:type="dxa"/>
                                  <w:tcBorders/>
                                  <w:shd w:fill="FF7836" w:val="clear"/>
                                  <w:vAlign w:val="center"/>
                                </w:tcPr>
                                <w:p>
                                  <w:pPr>
                                    <w:pStyle w:val="TableContents"/>
                                    <w:bidi w:val="0"/>
                                    <w:spacing w:before="0" w:after="0"/>
                                    <w:jc w:val="center"/>
                                    <w:rPr>
                                      <w:rFonts w:ascii="Arial" w:hAnsi="Arial"/>
                                      <w:b/>
                                      <w:i w:val="false"/>
                                      <w:caps w:val="false"/>
                                      <w:smallCaps w:val="false"/>
                                      <w:color w:val="FFFFFF"/>
                                      <w:sz w:val="20"/>
                                    </w:rPr>
                                  </w:pPr>
                                  <w:r>
                                    <w:rPr>
                                      <w:rFonts w:ascii="Arial" w:hAnsi="Arial"/>
                                      <w:b/>
                                      <w:i w:val="false"/>
                                      <w:caps w:val="false"/>
                                      <w:smallCaps w:val="false"/>
                                      <w:color w:val="FFFFFF"/>
                                      <w:sz w:val="20"/>
                                    </w:rPr>
                                    <w:t xml:space="preserve">Strategic </w:t>
                                  </w:r>
                                </w:p>
                                <w:p>
                                  <w:pPr>
                                    <w:pStyle w:val="TableContents"/>
                                    <w:bidi w:val="0"/>
                                    <w:spacing w:before="0" w:after="0"/>
                                    <w:jc w:val="center"/>
                                    <w:rPr>
                                      <w:rFonts w:ascii="Arial" w:hAnsi="Arial"/>
                                      <w:b/>
                                      <w:i w:val="false"/>
                                      <w:caps w:val="false"/>
                                      <w:smallCaps w:val="false"/>
                                      <w:color w:val="FFFFFF"/>
                                      <w:sz w:val="20"/>
                                    </w:rPr>
                                  </w:pPr>
                                  <w:r>
                                    <w:rPr>
                                      <w:rFonts w:ascii="Arial" w:hAnsi="Arial"/>
                                      <w:b/>
                                      <w:i w:val="false"/>
                                      <w:caps w:val="false"/>
                                      <w:smallCaps w:val="false"/>
                                      <w:color w:val="FFFFFF"/>
                                      <w:sz w:val="20"/>
                                    </w:rPr>
                                    <w:t>partnerships</w:t>
                                  </w:r>
                                </w:p>
                              </w:tc>
                              <w:tc>
                                <w:tcPr>
                                  <w:tcW w:w="8563" w:type="dxa"/>
                                  <w:tcBorders>
                                    <w:top w:val="single" w:sz="8" w:space="0" w:color="FE4F00"/>
                                    <w:bottom w:val="single" w:sz="8" w:space="0" w:color="FE4F00"/>
                                    <w:right w:val="single" w:sz="8" w:space="0" w:color="FE4F00"/>
                                  </w:tcBorders>
                                  <w:tcMar>
                                    <w:top w:w="160" w:type="dxa"/>
                                    <w:bottom w:w="160" w:type="dxa"/>
                                    <w:right w:w="108" w:type="dxa"/>
                                  </w:tcMar>
                                  <w:vAlign w:val="center"/>
                                </w:tcPr>
                                <w:p>
                                  <w:pPr>
                                    <w:pStyle w:val="TableContents"/>
                                    <w:bidi w:val="0"/>
                                    <w:spacing w:before="0" w:after="283"/>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We contribute our own strengths and draw on those of others to achieve greater impact. These partnerships become most relevant when we deploy our financial education programs and inclusive products.</w:t>
                                  </w:r>
                                </w:p>
                              </w:tc>
                            </w:tr>
                            <w:tr>
                              <w:trPr/>
                              <w:tc>
                                <w:tcPr>
                                  <w:tcW w:w="164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5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42" w:type="dxa"/>
                                  <w:tcBorders/>
                                  <w:shd w:fill="FF7836" w:val="cle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Leadership and culture</w:t>
                                    <w:br/>
                                    <w:t>that transforms</w:t>
                                  </w:r>
                                </w:p>
                              </w:tc>
                              <w:tc>
                                <w:tcPr>
                                  <w:tcW w:w="8563" w:type="dxa"/>
                                  <w:tcBorders>
                                    <w:top w:val="single" w:sz="8" w:space="0" w:color="FE4F00"/>
                                    <w:bottom w:val="single" w:sz="8" w:space="0" w:color="FE4F00"/>
                                    <w:right w:val="single" w:sz="8" w:space="0" w:color="FE4F00"/>
                                  </w:tcBorders>
                                  <w:tcMar>
                                    <w:top w:w="160" w:type="dxa"/>
                                    <w:bottom w:w="160" w:type="dxa"/>
                                    <w:right w:w="108" w:type="dxa"/>
                                  </w:tcMar>
                                  <w:vAlign w:val="center"/>
                                </w:tcPr>
                                <w:p>
                                  <w:pPr>
                                    <w:pStyle w:val="TableContents"/>
                                    <w:bidi w:val="0"/>
                                    <w:spacing w:before="0" w:after="283"/>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Having leaders and employees who are active change agents, both internally and externally, is the key to increasing our impact.</w:t>
                                  </w:r>
                                </w:p>
                              </w:tc>
                            </w:tr>
                          </w:tbl>
                          <w:p>
                            <w:pPr>
                              <w:pStyle w:val="TextBody"/>
                              <w:bidi w:val="0"/>
                              <w:spacing w:before="0" w:after="283"/>
                              <w:jc w:val="left"/>
                              <w:rPr/>
                            </w:pPr>
                            <w:r>
                              <w:rPr/>
                              <w:t> </w:t>
                            </w:r>
                          </w:p>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1.5.2. The Integrated Sustainability Strategy</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Our sustainability strategy rests on three essential pillars aligned with our business strategy and stakeholder needs and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3810000" cy="1266825"/>
                                  <wp:effectExtent l="0" t="0" r="0" b="0"/>
                                  <wp:docPr id="4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5" descr=""/>
                                          <pic:cNvPicPr>
                                            <a:picLocks noChangeAspect="1" noChangeArrowheads="1"/>
                                          </pic:cNvPicPr>
                                        </pic:nvPicPr>
                                        <pic:blipFill>
                                          <a:blip r:embed="rId38"/>
                                          <a:stretch>
                                            <a:fillRect/>
                                          </a:stretch>
                                        </pic:blipFill>
                                        <pic:spPr bwMode="auto">
                                          <a:xfrm>
                                            <a:off x="0" y="0"/>
                                            <a:ext cx="3810000" cy="126682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40"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For each pillar, we have developed </w:t>
                            </w:r>
                            <w:r>
                              <w:rPr>
                                <w:rFonts w:ascii="Arial" w:hAnsi="Arial"/>
                                <w:b w:val="false"/>
                                <w:i w:val="false"/>
                                <w:caps w:val="false"/>
                                <w:smallCaps w:val="false"/>
                                <w:color w:val="3265FF"/>
                                <w:sz w:val="20"/>
                                <w:u w:val="single"/>
                              </w:rPr>
                              <w:t>platforms</w:t>
                            </w:r>
                            <w:r>
                              <w:rPr>
                                <w:rFonts w:ascii="Arial" w:hAnsi="Arial"/>
                                <w:b w:val="false"/>
                                <w:i w:val="false"/>
                                <w:caps w:val="false"/>
                                <w:smallCaps w:val="false"/>
                                <w:sz w:val="20"/>
                              </w:rPr>
                              <w:t xml:space="preserve"> that form a set of business model initiatives which each target a specific objective, for example, increasing financial inclusion. They allow us to advance in a coordinated way from the corporate level through to the subsidiary companies. In addition, we complement our strategy with sustainability </w:t>
                            </w:r>
                            <w:r>
                              <w:rPr>
                                <w:rFonts w:ascii="Arial" w:hAnsi="Arial"/>
                                <w:b w:val="false"/>
                                <w:i w:val="false"/>
                                <w:caps w:val="false"/>
                                <w:smallCaps w:val="false"/>
                                <w:color w:val="3265FF"/>
                                <w:sz w:val="20"/>
                                <w:u w:val="single"/>
                              </w:rPr>
                              <w:t>enablers</w:t>
                            </w:r>
                            <w:r>
                              <w:rPr>
                                <w:rFonts w:ascii="Arial" w:hAnsi="Arial"/>
                                <w:b w:val="false"/>
                                <w:i w:val="false"/>
                                <w:caps w:val="false"/>
                                <w:smallCaps w:val="false"/>
                                <w:sz w:val="20"/>
                              </w:rPr>
                              <w:t>4 which</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80.15pt;mso-wrap-distance-left:0pt;mso-wrap-distance-right:0pt;mso-wrap-distance-top:0pt;mso-wrap-distance-bottom:0pt;margin-top:0pt;mso-position-vertical:top;mso-position-vertical-relative:text;margin-left:265.35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1642"/>
                        <w:gridCol w:w="8563"/>
                      </w:tblGrid>
                      <w:tr>
                        <w:trPr/>
                        <w:tc>
                          <w:tcPr>
                            <w:tcW w:w="1642" w:type="dxa"/>
                            <w:tcBorders/>
                            <w:shd w:fill="FF7836" w:val="clear"/>
                            <w:vAlign w:val="center"/>
                          </w:tcPr>
                          <w:p>
                            <w:pPr>
                              <w:pStyle w:val="TableContents"/>
                              <w:bidi w:val="0"/>
                              <w:spacing w:before="0" w:after="0"/>
                              <w:jc w:val="center"/>
                              <w:rPr>
                                <w:rFonts w:ascii="Arial" w:hAnsi="Arial"/>
                                <w:b/>
                                <w:i w:val="false"/>
                                <w:caps w:val="false"/>
                                <w:smallCaps w:val="false"/>
                                <w:color w:val="FFFFFF"/>
                                <w:sz w:val="20"/>
                              </w:rPr>
                            </w:pPr>
                            <w:r>
                              <w:rPr>
                                <w:rFonts w:ascii="Arial" w:hAnsi="Arial"/>
                                <w:b/>
                                <w:i w:val="false"/>
                                <w:caps w:val="false"/>
                                <w:smallCaps w:val="false"/>
                                <w:color w:val="FFFFFF"/>
                                <w:sz w:val="20"/>
                              </w:rPr>
                              <w:t xml:space="preserve">Strategic </w:t>
                            </w:r>
                          </w:p>
                          <w:p>
                            <w:pPr>
                              <w:pStyle w:val="TableContents"/>
                              <w:bidi w:val="0"/>
                              <w:spacing w:before="0" w:after="0"/>
                              <w:jc w:val="center"/>
                              <w:rPr>
                                <w:rFonts w:ascii="Arial" w:hAnsi="Arial"/>
                                <w:b/>
                                <w:i w:val="false"/>
                                <w:caps w:val="false"/>
                                <w:smallCaps w:val="false"/>
                                <w:color w:val="FFFFFF"/>
                                <w:sz w:val="20"/>
                              </w:rPr>
                            </w:pPr>
                            <w:r>
                              <w:rPr>
                                <w:rFonts w:ascii="Arial" w:hAnsi="Arial"/>
                                <w:b/>
                                <w:i w:val="false"/>
                                <w:caps w:val="false"/>
                                <w:smallCaps w:val="false"/>
                                <w:color w:val="FFFFFF"/>
                                <w:sz w:val="20"/>
                              </w:rPr>
                              <w:t>partnerships</w:t>
                            </w:r>
                          </w:p>
                        </w:tc>
                        <w:tc>
                          <w:tcPr>
                            <w:tcW w:w="8563" w:type="dxa"/>
                            <w:tcBorders>
                              <w:top w:val="single" w:sz="8" w:space="0" w:color="FE4F00"/>
                              <w:bottom w:val="single" w:sz="8" w:space="0" w:color="FE4F00"/>
                              <w:right w:val="single" w:sz="8" w:space="0" w:color="FE4F00"/>
                            </w:tcBorders>
                            <w:tcMar>
                              <w:top w:w="160" w:type="dxa"/>
                              <w:bottom w:w="160" w:type="dxa"/>
                              <w:right w:w="108" w:type="dxa"/>
                            </w:tcMar>
                            <w:vAlign w:val="center"/>
                          </w:tcPr>
                          <w:p>
                            <w:pPr>
                              <w:pStyle w:val="TableContents"/>
                              <w:bidi w:val="0"/>
                              <w:spacing w:before="0" w:after="283"/>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We contribute our own strengths and draw on those of others to achieve greater impact. These partnerships become most relevant when we deploy our financial education programs and inclusive products.</w:t>
                            </w:r>
                          </w:p>
                        </w:tc>
                      </w:tr>
                      <w:tr>
                        <w:trPr/>
                        <w:tc>
                          <w:tcPr>
                            <w:tcW w:w="164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5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42" w:type="dxa"/>
                            <w:tcBorders/>
                            <w:shd w:fill="FF7836" w:val="cle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Leadership and culture</w:t>
                              <w:br/>
                              <w:t>that transforms</w:t>
                            </w:r>
                          </w:p>
                        </w:tc>
                        <w:tc>
                          <w:tcPr>
                            <w:tcW w:w="8563" w:type="dxa"/>
                            <w:tcBorders>
                              <w:top w:val="single" w:sz="8" w:space="0" w:color="FE4F00"/>
                              <w:bottom w:val="single" w:sz="8" w:space="0" w:color="FE4F00"/>
                              <w:right w:val="single" w:sz="8" w:space="0" w:color="FE4F00"/>
                            </w:tcBorders>
                            <w:tcMar>
                              <w:top w:w="160" w:type="dxa"/>
                              <w:bottom w:w="160" w:type="dxa"/>
                              <w:right w:w="108" w:type="dxa"/>
                            </w:tcMar>
                            <w:vAlign w:val="center"/>
                          </w:tcPr>
                          <w:p>
                            <w:pPr>
                              <w:pStyle w:val="TableContents"/>
                              <w:bidi w:val="0"/>
                              <w:spacing w:before="0" w:after="283"/>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Having leaders and employees who are active change agents, both internally and externally, is the key to increasing our impact.</w:t>
                            </w:r>
                          </w:p>
                        </w:tc>
                      </w:tr>
                    </w:tbl>
                    <w:p>
                      <w:pPr>
                        <w:pStyle w:val="TextBody"/>
                        <w:bidi w:val="0"/>
                        <w:spacing w:before="0" w:after="283"/>
                        <w:jc w:val="left"/>
                        <w:rPr/>
                      </w:pPr>
                      <w:r>
                        <w:rPr/>
                        <w:t> </w:t>
                      </w:r>
                    </w:p>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1.5.2. The Integrated Sustainability Strategy</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Our sustainability strategy rests on three essential pillars aligned with our business strategy and stakeholder needs and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3810000" cy="1266825"/>
                            <wp:effectExtent l="0" t="0" r="0" b="0"/>
                            <wp:docPr id="5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5" descr=""/>
                                    <pic:cNvPicPr>
                                      <a:picLocks noChangeAspect="1" noChangeArrowheads="1"/>
                                    </pic:cNvPicPr>
                                  </pic:nvPicPr>
                                  <pic:blipFill>
                                    <a:blip r:embed="rId39"/>
                                    <a:stretch>
                                      <a:fillRect/>
                                    </a:stretch>
                                  </pic:blipFill>
                                  <pic:spPr bwMode="auto">
                                    <a:xfrm>
                                      <a:off x="0" y="0"/>
                                      <a:ext cx="3810000" cy="126682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40"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For each pillar, we have developed </w:t>
                      </w:r>
                      <w:r>
                        <w:rPr>
                          <w:rFonts w:ascii="Arial" w:hAnsi="Arial"/>
                          <w:b w:val="false"/>
                          <w:i w:val="false"/>
                          <w:caps w:val="false"/>
                          <w:smallCaps w:val="false"/>
                          <w:color w:val="3265FF"/>
                          <w:sz w:val="20"/>
                          <w:u w:val="single"/>
                        </w:rPr>
                        <w:t>platforms</w:t>
                      </w:r>
                      <w:r>
                        <w:rPr>
                          <w:rFonts w:ascii="Arial" w:hAnsi="Arial"/>
                          <w:b w:val="false"/>
                          <w:i w:val="false"/>
                          <w:caps w:val="false"/>
                          <w:smallCaps w:val="false"/>
                          <w:sz w:val="20"/>
                        </w:rPr>
                        <w:t xml:space="preserve"> that form a set of business model initiatives which each target a specific objective, for example, increasing financial inclusion. They allow us to advance in a coordinated way from the corporate level through to the subsidiary companies. In addition, we complement our strategy with sustainability </w:t>
                      </w:r>
                      <w:r>
                        <w:rPr>
                          <w:rFonts w:ascii="Arial" w:hAnsi="Arial"/>
                          <w:b w:val="false"/>
                          <w:i w:val="false"/>
                          <w:caps w:val="false"/>
                          <w:smallCaps w:val="false"/>
                          <w:color w:val="3265FF"/>
                          <w:sz w:val="20"/>
                          <w:u w:val="single"/>
                        </w:rPr>
                        <w:t>enablers</w:t>
                      </w:r>
                      <w:r>
                        <w:rPr>
                          <w:rFonts w:ascii="Arial" w:hAnsi="Arial"/>
                          <w:b w:val="false"/>
                          <w:i w:val="false"/>
                          <w:caps w:val="false"/>
                          <w:smallCaps w:val="false"/>
                          <w:sz w:val="20"/>
                        </w:rPr>
                        <w:t>4 which</w:t>
                      </w:r>
                    </w:p>
                  </w:txbxContent>
                </v:textbox>
                <w10:wrap type="square" side="left"/>
              </v:rect>
            </w:pict>
          </mc:Fallback>
        </mc:AlternateContent>
      </w:r>
      <w:r>
        <mc:AlternateContent>
          <mc:Choice Requires="wps">
            <w:drawing>
              <wp:anchor behindDoc="0" distT="0" distB="0" distL="0" distR="0" simplePos="0" locked="0" layoutInCell="1" allowOverlap="1" relativeHeight="256">
                <wp:simplePos x="0" y="0"/>
                <wp:positionH relativeFrom="column">
                  <wp:align>left</wp:align>
                </wp:positionH>
                <wp:positionV relativeFrom="line">
                  <wp:posOffset>635</wp:posOffset>
                </wp:positionV>
                <wp:extent cx="3110230" cy="4710430"/>
                <wp:effectExtent l="0" t="0" r="0" b="0"/>
                <wp:wrapSquare wrapText="right"/>
                <wp:docPr id="51" name="Frame12"/>
                <a:graphic xmlns:a="http://schemas.openxmlformats.org/drawingml/2006/main">
                  <a:graphicData uri="http://schemas.microsoft.com/office/word/2010/wordprocessingShape">
                    <wps:wsp>
                      <wps:cNvSpPr txBox="1"/>
                      <wps:spPr>
                        <a:xfrm>
                          <a:off x="0" y="0"/>
                          <a:ext cx="3110230" cy="471043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6723"/>
                              <w:gridCol w:w="3482"/>
                            </w:tblGrid>
                            <w:tr>
                              <w:trPr/>
                              <w:tc>
                                <w:tcPr>
                                  <w:tcW w:w="6723" w:type="dxa"/>
                                  <w:tcBorders/>
                                  <w:vAlign w:val="center"/>
                                </w:tcPr>
                                <w:p>
                                  <w:pPr>
                                    <w:pStyle w:val="TableContents"/>
                                    <w:bidi w:val="0"/>
                                    <w:spacing w:before="0" w:after="283"/>
                                    <w:jc w:val="left"/>
                                    <w:rPr>
                                      <w:sz w:val="24"/>
                                    </w:rPr>
                                  </w:pPr>
                                  <w:r>
                                    <w:rPr>
                                      <w:sz w:val="24"/>
                                    </w:rPr>
                                    <w:t xml:space="preserve">Our </w:t>
                                  </w:r>
                                  <w:r>
                                    <w:rPr>
                                      <w:color w:val="3265FF"/>
                                      <w:sz w:val="24"/>
                                      <w:u w:val="single"/>
                                    </w:rPr>
                                    <w:t>sustainability strategy</w:t>
                                  </w:r>
                                  <w:r>
                                    <w:rPr>
                                      <w:sz w:val="24"/>
                                    </w:rPr>
                                    <w:t xml:space="preserve"> is the roadmap for delivering the objectives that will enable us to achieve our purpose. It focuses on where we can generate the most value for the business and our stakeholders.</w:t>
                                  </w:r>
                                </w:p>
                              </w:tc>
                              <w:tc>
                                <w:tcPr>
                                  <w:tcW w:w="3482" w:type="dxa"/>
                                  <w:tcBorders/>
                                  <w:vAlign w:val="center"/>
                                </w:tcPr>
                                <w:p>
                                  <w:pPr>
                                    <w:pStyle w:val="TableContents"/>
                                    <w:bidi w:val="0"/>
                                    <w:spacing w:before="0" w:after="0"/>
                                    <w:ind w:left="0" w:right="0" w:hanging="0"/>
                                    <w:jc w:val="center"/>
                                    <w:rPr>
                                      <w:rFonts w:ascii="Arial" w:hAnsi="Arial"/>
                                      <w:b w:val="false"/>
                                      <w:i w:val="false"/>
                                      <w:caps w:val="false"/>
                                      <w:smallCaps w:val="false"/>
                                      <w:color w:val="FE5000"/>
                                      <w:sz w:val="20"/>
                                    </w:rPr>
                                  </w:pPr>
                                  <w:r>
                                    <w:rPr>
                                      <w:rFonts w:ascii="Arial" w:hAnsi="Arial"/>
                                      <w:b/>
                                      <w:i w:val="false"/>
                                      <w:caps w:val="false"/>
                                      <w:smallCaps w:val="false"/>
                                      <w:color w:val="FE5000"/>
                                      <w:sz w:val="24"/>
                                    </w:rPr>
                                    <w:t>Our purpose is to</w:t>
                                  </w:r>
                                  <w:r>
                                    <w:rPr>
                                      <w:rFonts w:ascii="Arial" w:hAnsi="Arial"/>
                                      <w:b w:val="false"/>
                                      <w:i w:val="false"/>
                                      <w:caps w:val="false"/>
                                      <w:smallCaps w:val="false"/>
                                      <w:color w:val="FE5000"/>
                                      <w:sz w:val="24"/>
                                    </w:rPr>
                                    <w:br/>
                                  </w:r>
                                  <w:r>
                                    <w:rPr>
                                      <w:rFonts w:ascii="Arial" w:hAnsi="Arial"/>
                                      <w:b/>
                                      <w:i w:val="false"/>
                                      <w:caps w:val="false"/>
                                      <w:smallCaps w:val="false"/>
                                      <w:color w:val="FE5000"/>
                                      <w:sz w:val="24"/>
                                    </w:rPr>
                                    <w:t>contribute to improving lives by driving the changes that our countries need</w:t>
                                  </w:r>
                                </w:p>
                                <w:p>
                                  <w:pPr>
                                    <w:pStyle w:val="TableContents"/>
                                    <w:bidi w:val="0"/>
                                    <w:spacing w:before="0" w:after="0"/>
                                    <w:ind w:left="0" w:right="0" w:hanging="0"/>
                                    <w:jc w:val="center"/>
                                    <w:rPr>
                                      <w:caps w:val="false"/>
                                      <w:smallCaps w:val="false"/>
                                      <w:color w:val="FE5000"/>
                                    </w:rPr>
                                  </w:pPr>
                                  <w:r>
                                    <w:rPr>
                                      <w:caps w:val="false"/>
                                      <w:smallCaps w:val="false"/>
                                      <w:color w:val="FE500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1.5.1. A change agent</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 prioritize activities and programs that aim to not only generate a change in ourselves but also catalyze it in others. As a change agent, we target these four dimensions: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09"/>
                              <w:gridCol w:w="8696"/>
                            </w:tblGrid>
                            <w:tr>
                              <w:trPr/>
                              <w:tc>
                                <w:tcPr>
                                  <w:tcW w:w="1509" w:type="dxa"/>
                                  <w:tcBorders/>
                                  <w:shd w:fill="FF7836" w:val="cle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The ability to influence</w:t>
                                    <w:br/>
                                    <w:t>our stakeholders</w:t>
                                  </w:r>
                                </w:p>
                              </w:tc>
                              <w:tc>
                                <w:tcPr>
                                  <w:tcW w:w="8696" w:type="dxa"/>
                                  <w:tcBorders>
                                    <w:top w:val="single" w:sz="8" w:space="0" w:color="FE4F00"/>
                                    <w:bottom w:val="single" w:sz="8" w:space="0" w:color="FE4F00"/>
                                    <w:right w:val="single" w:sz="8" w:space="0" w:color="FE4F00"/>
                                  </w:tcBorders>
                                  <w:tcMar>
                                    <w:top w:w="160" w:type="dxa"/>
                                    <w:bottom w:w="160" w:type="dxa"/>
                                    <w:right w:w="108" w:type="dxa"/>
                                  </w:tcMar>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By adopting sustainable practices and initiatives, Credicorp generates positive knock on effects for our financial sector peers, our clients, employees, and communities, with whom we seek to share and promote best practices that positively impact the countries where we operate.</w:t>
                                  </w:r>
                                </w:p>
                              </w:tc>
                            </w:tr>
                            <w:tr>
                              <w:trPr/>
                              <w:tc>
                                <w:tcPr>
                                  <w:tcW w:w="150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6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09" w:type="dxa"/>
                                  <w:tcBorders/>
                                  <w:shd w:fill="FF7836" w:val="cle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 xml:space="preserve">Impact through </w:t>
                                    <w:br/>
                                    <w:t>products and services</w:t>
                                  </w:r>
                                </w:p>
                              </w:tc>
                              <w:tc>
                                <w:tcPr>
                                  <w:tcW w:w="8696" w:type="dxa"/>
                                  <w:tcBorders>
                                    <w:top w:val="single" w:sz="8" w:space="0" w:color="FE4F00"/>
                                    <w:bottom w:val="single" w:sz="8" w:space="0" w:color="FE4F00"/>
                                    <w:right w:val="single" w:sz="8" w:space="0" w:color="FE4F00"/>
                                  </w:tcBorders>
                                  <w:tcMar>
                                    <w:top w:w="160" w:type="dxa"/>
                                    <w:bottom w:w="160" w:type="dxa"/>
                                    <w:right w:w="108" w:type="dxa"/>
                                  </w:tcMar>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One of the ways to create a positive impact is through our products and services. For example, we promote financial inclusion and education through solutions ranging from digital wallets, microcredits, and loans for women through to web platforms for financial education and personalized advice.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70.9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6723"/>
                        <w:gridCol w:w="3482"/>
                      </w:tblGrid>
                      <w:tr>
                        <w:trPr/>
                        <w:tc>
                          <w:tcPr>
                            <w:tcW w:w="6723" w:type="dxa"/>
                            <w:tcBorders/>
                            <w:vAlign w:val="center"/>
                          </w:tcPr>
                          <w:p>
                            <w:pPr>
                              <w:pStyle w:val="TableContents"/>
                              <w:bidi w:val="0"/>
                              <w:spacing w:before="0" w:after="283"/>
                              <w:jc w:val="left"/>
                              <w:rPr>
                                <w:sz w:val="24"/>
                              </w:rPr>
                            </w:pPr>
                            <w:r>
                              <w:rPr>
                                <w:sz w:val="24"/>
                              </w:rPr>
                              <w:t xml:space="preserve">Our </w:t>
                            </w:r>
                            <w:r>
                              <w:rPr>
                                <w:color w:val="3265FF"/>
                                <w:sz w:val="24"/>
                                <w:u w:val="single"/>
                              </w:rPr>
                              <w:t>sustainability strategy</w:t>
                            </w:r>
                            <w:r>
                              <w:rPr>
                                <w:sz w:val="24"/>
                              </w:rPr>
                              <w:t xml:space="preserve"> is the roadmap for delivering the objectives that will enable us to achieve our purpose. It focuses on where we can generate the most value for the business and our stakeholders.</w:t>
                            </w:r>
                          </w:p>
                        </w:tc>
                        <w:tc>
                          <w:tcPr>
                            <w:tcW w:w="3482" w:type="dxa"/>
                            <w:tcBorders/>
                            <w:vAlign w:val="center"/>
                          </w:tcPr>
                          <w:p>
                            <w:pPr>
                              <w:pStyle w:val="TableContents"/>
                              <w:bidi w:val="0"/>
                              <w:spacing w:before="0" w:after="0"/>
                              <w:ind w:left="0" w:right="0" w:hanging="0"/>
                              <w:jc w:val="center"/>
                              <w:rPr>
                                <w:rFonts w:ascii="Arial" w:hAnsi="Arial"/>
                                <w:b w:val="false"/>
                                <w:i w:val="false"/>
                                <w:caps w:val="false"/>
                                <w:smallCaps w:val="false"/>
                                <w:color w:val="FE5000"/>
                                <w:sz w:val="20"/>
                              </w:rPr>
                            </w:pPr>
                            <w:r>
                              <w:rPr>
                                <w:rFonts w:ascii="Arial" w:hAnsi="Arial"/>
                                <w:b/>
                                <w:i w:val="false"/>
                                <w:caps w:val="false"/>
                                <w:smallCaps w:val="false"/>
                                <w:color w:val="FE5000"/>
                                <w:sz w:val="24"/>
                              </w:rPr>
                              <w:t>Our purpose is to</w:t>
                            </w:r>
                            <w:r>
                              <w:rPr>
                                <w:rFonts w:ascii="Arial" w:hAnsi="Arial"/>
                                <w:b w:val="false"/>
                                <w:i w:val="false"/>
                                <w:caps w:val="false"/>
                                <w:smallCaps w:val="false"/>
                                <w:color w:val="FE5000"/>
                                <w:sz w:val="24"/>
                              </w:rPr>
                              <w:br/>
                            </w:r>
                            <w:r>
                              <w:rPr>
                                <w:rFonts w:ascii="Arial" w:hAnsi="Arial"/>
                                <w:b/>
                                <w:i w:val="false"/>
                                <w:caps w:val="false"/>
                                <w:smallCaps w:val="false"/>
                                <w:color w:val="FE5000"/>
                                <w:sz w:val="24"/>
                              </w:rPr>
                              <w:t>contribute to improving lives by driving the changes that our countries need</w:t>
                            </w:r>
                          </w:p>
                          <w:p>
                            <w:pPr>
                              <w:pStyle w:val="TableContents"/>
                              <w:bidi w:val="0"/>
                              <w:spacing w:before="0" w:after="0"/>
                              <w:ind w:left="0" w:right="0" w:hanging="0"/>
                              <w:jc w:val="center"/>
                              <w:rPr>
                                <w:caps w:val="false"/>
                                <w:smallCaps w:val="false"/>
                                <w:color w:val="FE5000"/>
                              </w:rPr>
                            </w:pPr>
                            <w:r>
                              <w:rPr>
                                <w:caps w:val="false"/>
                                <w:smallCaps w:val="false"/>
                                <w:color w:val="FE500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1.5.1. A change agent</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 prioritize activities and programs that aim to not only generate a change in ourselves but also catalyze it in others. As a change agent, we target these four dimensions: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09"/>
                        <w:gridCol w:w="8696"/>
                      </w:tblGrid>
                      <w:tr>
                        <w:trPr/>
                        <w:tc>
                          <w:tcPr>
                            <w:tcW w:w="1509" w:type="dxa"/>
                            <w:tcBorders/>
                            <w:shd w:fill="FF7836" w:val="cle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The ability to influence</w:t>
                              <w:br/>
                              <w:t>our stakeholders</w:t>
                            </w:r>
                          </w:p>
                        </w:tc>
                        <w:tc>
                          <w:tcPr>
                            <w:tcW w:w="8696" w:type="dxa"/>
                            <w:tcBorders>
                              <w:top w:val="single" w:sz="8" w:space="0" w:color="FE4F00"/>
                              <w:bottom w:val="single" w:sz="8" w:space="0" w:color="FE4F00"/>
                              <w:right w:val="single" w:sz="8" w:space="0" w:color="FE4F00"/>
                            </w:tcBorders>
                            <w:tcMar>
                              <w:top w:w="160" w:type="dxa"/>
                              <w:bottom w:w="160" w:type="dxa"/>
                              <w:right w:w="108" w:type="dxa"/>
                            </w:tcMar>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By adopting sustainable practices and initiatives, Credicorp generates positive knock on effects for our financial sector peers, our clients, employees, and communities, with whom we seek to share and promote best practices that positively impact the countries where we operate.</w:t>
                            </w:r>
                          </w:p>
                        </w:tc>
                      </w:tr>
                      <w:tr>
                        <w:trPr/>
                        <w:tc>
                          <w:tcPr>
                            <w:tcW w:w="150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6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09" w:type="dxa"/>
                            <w:tcBorders/>
                            <w:shd w:fill="FF7836" w:val="cle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 xml:space="preserve">Impact through </w:t>
                              <w:br/>
                              <w:t>products and services</w:t>
                            </w:r>
                          </w:p>
                        </w:tc>
                        <w:tc>
                          <w:tcPr>
                            <w:tcW w:w="8696" w:type="dxa"/>
                            <w:tcBorders>
                              <w:top w:val="single" w:sz="8" w:space="0" w:color="FE4F00"/>
                              <w:bottom w:val="single" w:sz="8" w:space="0" w:color="FE4F00"/>
                              <w:right w:val="single" w:sz="8" w:space="0" w:color="FE4F00"/>
                            </w:tcBorders>
                            <w:tcMar>
                              <w:top w:w="160" w:type="dxa"/>
                              <w:bottom w:w="160" w:type="dxa"/>
                              <w:right w:w="108" w:type="dxa"/>
                            </w:tcMar>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One of the ways to create a positive impact is through our products and services. For example, we promote financial inclusion and education through solutions ranging from digital wallets, microcredits, and loans for women through to web platforms for financial education and personalized advice.</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60"/>
        <w:jc w:val="left"/>
        <w:rPr>
          <w:caps w:val="false"/>
          <w:smallCaps w:val="false"/>
          <w:bdr w:val="single" w:sz="8" w:space="1" w:color="000000"/>
        </w:rPr>
      </w:pPr>
      <w:r>
        <w:rPr>
          <w:caps w:val="false"/>
          <w:smallCaps w:val="false"/>
          <w:bdr w:val="single" w:sz="8" w:space="1" w:color="000000"/>
        </w:rPr>
        <w:t> </w:t>
      </w:r>
    </w:p>
    <w:p>
      <w:pPr>
        <w:pStyle w:val="TextBody"/>
        <w:bidi w:val="0"/>
        <w:spacing w:lineRule="auto" w:line="240"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 xml:space="preserve">4 Further information is available here on our website our </w:t>
      </w:r>
      <w:r>
        <w:rPr>
          <w:rFonts w:ascii="Arial" w:hAnsi="Arial"/>
          <w:b w:val="false"/>
          <w:i w:val="false"/>
          <w:caps w:val="false"/>
          <w:smallCaps w:val="false"/>
          <w:color w:val="3265FF"/>
          <w:sz w:val="16"/>
          <w:u w:val="single"/>
        </w:rPr>
        <w:t>Sustainability Strategy 2020-2025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mc:AlternateContent>
          <mc:Choice Requires="wps">
            <w:drawing>
              <wp:anchor behindDoc="0" distT="0" distB="0" distL="0" distR="0" simplePos="0" locked="0" layoutInCell="1" allowOverlap="1" relativeHeight="257">
                <wp:simplePos x="0" y="0"/>
                <wp:positionH relativeFrom="column">
                  <wp:align>left</wp:align>
                </wp:positionH>
                <wp:positionV relativeFrom="line">
                  <wp:posOffset>635</wp:posOffset>
                </wp:positionV>
                <wp:extent cx="3110230" cy="3388360"/>
                <wp:effectExtent l="0" t="0" r="0" b="0"/>
                <wp:wrapSquare wrapText="right"/>
                <wp:docPr id="52" name="Frame14"/>
                <a:graphic xmlns:a="http://schemas.openxmlformats.org/drawingml/2006/main">
                  <a:graphicData uri="http://schemas.microsoft.com/office/word/2010/wordprocessingShape">
                    <wps:wsp>
                      <wps:cNvSpPr txBox="1"/>
                      <wps:spPr>
                        <a:xfrm>
                          <a:off x="0" y="0"/>
                          <a:ext cx="3110230" cy="3388360"/>
                        </a:xfrm>
                        <a:prstGeom prst="rect"/>
                        <a:solidFill>
                          <a:srgbClr val="FFFFFF"/>
                        </a:solidFill>
                      </wps:spPr>
                      <wps:txbx>
                        <w:txbxContent>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are levers for taking forward the internal changes necessary to integrate sustainability into our operations and processes. To support this integration, we have prioritized work fronts corresponding to Credicorp’s main corporate functions, including risk, finance, ethics and compliance, corporate governance, and human management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40"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Testimony to Credicorp’s implementation and integration of its strategy comes in the form of several awards bestowed on the company by recognized authorities: Institutional Investor, Perú Sostenible, and GovernArt (ALAS20). In addition, in its report </w:t>
                            </w:r>
                            <w:r>
                              <w:rPr>
                                <w:rFonts w:ascii="Arial" w:hAnsi="Arial"/>
                                <w:b w:val="false"/>
                                <w:i/>
                                <w:caps w:val="false"/>
                                <w:smallCaps w:val="false"/>
                                <w:sz w:val="20"/>
                              </w:rPr>
                              <w:t>ESG integrated: Adjusting valuations for ESG credentials</w:t>
                            </w:r>
                            <w:r>
                              <w:rPr>
                                <w:rFonts w:ascii="Arial" w:hAnsi="Arial"/>
                                <w:b w:val="false"/>
                                <w:i w:val="false"/>
                                <w:caps w:val="false"/>
                                <w:smallCaps w:val="false"/>
                                <w:sz w:val="20"/>
                              </w:rPr>
                              <w:t>, HSBC has highlighted Credicorp’s progress and ranks it among the top 5 (out of 60 emerging market banks) with significantly stronger ESG credentials. It regards the Group as standing out among emerging market financial institutions for the independence and gender diversity of our board, for being one of the few companies to have audited operational GHG emissions,5 and for having facilitated financial inclusion in Peru through its digital payment platform.</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6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are levers for taking forward the internal changes necessary to integrate sustainability into our operations and processes. To support this integration, we have prioritized work fronts corresponding to Credicorp’s main corporate functions, including risk, finance, ethics and compliance, corporate governance, and human management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40"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Testimony to Credicorp’s implementation and integration of its strategy comes in the form of several awards bestowed on the company by recognized authorities: Institutional Investor, Perú Sostenible, and GovernArt (ALAS20). In addition, in its report </w:t>
                      </w:r>
                      <w:r>
                        <w:rPr>
                          <w:rFonts w:ascii="Arial" w:hAnsi="Arial"/>
                          <w:b w:val="false"/>
                          <w:i/>
                          <w:caps w:val="false"/>
                          <w:smallCaps w:val="false"/>
                          <w:sz w:val="20"/>
                        </w:rPr>
                        <w:t>ESG integrated: Adjusting valuations for ESG credentials</w:t>
                      </w:r>
                      <w:r>
                        <w:rPr>
                          <w:rFonts w:ascii="Arial" w:hAnsi="Arial"/>
                          <w:b w:val="false"/>
                          <w:i w:val="false"/>
                          <w:caps w:val="false"/>
                          <w:smallCaps w:val="false"/>
                          <w:sz w:val="20"/>
                        </w:rPr>
                        <w:t>, HSBC has highlighted Credicorp’s progress and ranks it among the top 5 (out of 60 emerging market banks) with significantly stronger ESG credentials. It regards the Group as standing out among emerging market financial institutions for the independence and gender diversity of our board, for being one of the few companies to have audited operational GHG emissions,5 and for having facilitated financial inclusion in Peru through its digital payment platform.</w:t>
                      </w:r>
                    </w:p>
                  </w:txbxContent>
                </v:textbox>
                <w10:wrap type="square" side="right"/>
              </v:rect>
            </w:pict>
          </mc:Fallback>
        </mc:AlternateContent>
      </w:r>
      <w:r>
        <mc:AlternateContent>
          <mc:Choice Requires="wps">
            <w:drawing>
              <wp:anchor behindDoc="0" distT="0" distB="0" distL="0" distR="0" simplePos="0" locked="0" layoutInCell="1" allowOverlap="1" relativeHeight="258">
                <wp:simplePos x="0" y="0"/>
                <wp:positionH relativeFrom="column">
                  <wp:align>right</wp:align>
                </wp:positionH>
                <wp:positionV relativeFrom="line">
                  <wp:posOffset>635</wp:posOffset>
                </wp:positionV>
                <wp:extent cx="3110230" cy="175260"/>
                <wp:effectExtent l="0" t="0" r="0" b="0"/>
                <wp:wrapSquare wrapText="left"/>
                <wp:docPr id="53" name="Frame15"/>
                <a:graphic xmlns:a="http://schemas.openxmlformats.org/drawingml/2006/main">
                  <a:graphicData uri="http://schemas.microsoft.com/office/word/2010/wordprocessingShape">
                    <wps:wsp>
                      <wps:cNvSpPr txBox="1"/>
                      <wps:spPr>
                        <a:xfrm>
                          <a:off x="0" y="0"/>
                          <a:ext cx="311023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3.8pt;mso-wrap-distance-left:0pt;mso-wrap-distance-right:0pt;mso-wrap-distance-top:0pt;mso-wrap-distance-bottom:0pt;margin-top:0pt;mso-position-vertical:top;mso-position-vertical-relative:text;margin-left:20.4pt;mso-position-horizontal:right;mso-position-horizontal-relative:text">
                <v:textbox>
                  <w:txbxContent>
                    <w:p>
                      <w:pPr>
                        <w:pStyle w:val="TextBody"/>
                        <w:bidi w:val="0"/>
                        <w:spacing w:before="0" w:after="283"/>
                        <w:jc w:val="left"/>
                        <w:rPr/>
                      </w:pPr>
                      <w:r>
                        <w:rPr/>
                      </w:r>
                    </w:p>
                  </w:txbxContent>
                </v:textbox>
                <w10:wrap type="square" side="left"/>
              </v:rect>
            </w:pict>
          </mc:Fallback>
        </mc:AlternateContent>
      </w:r>
    </w:p>
    <w:p>
      <w:pPr>
        <w:pStyle w:val="TextBody"/>
        <w:bidi w:val="0"/>
        <w:spacing w:before="0" w:after="60"/>
        <w:jc w:val="left"/>
        <w:rPr>
          <w:caps w:val="false"/>
          <w:smallCaps w:val="false"/>
          <w:bdr w:val="single" w:sz="8" w:space="1" w:color="000000"/>
        </w:rPr>
      </w:pPr>
      <w:r>
        <w:rPr>
          <w:caps w:val="false"/>
          <w:smallCaps w:val="false"/>
          <w:bdr w:val="single" w:sz="8" w:space="1" w:color="000000"/>
        </w:rPr>
        <w:t> </w:t>
      </w:r>
    </w:p>
    <w:p>
      <w:pPr>
        <w:pStyle w:val="TextBody"/>
        <w:bidi w:val="0"/>
        <w:spacing w:lineRule="auto" w:line="240"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5Scope 1, Scope 2 and Scope 3 emissions under operational control (portfolio emissions not included).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FE5000"/>
          <w:sz w:val="20"/>
        </w:rPr>
      </w:pPr>
      <w:r>
        <w:rPr>
          <w:rFonts w:ascii="Arial" w:hAnsi="Arial"/>
          <w:b/>
          <w:i w:val="false"/>
          <w:caps w:val="false"/>
          <w:smallCaps w:val="false"/>
          <w:color w:val="FE5000"/>
          <w:sz w:val="20"/>
        </w:rPr>
        <w:t>1.5.3. We create value for our stakeholders</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lineRule="auto" w:line="240" w:before="0" w:after="0"/>
        <w:ind w:left="0" w:right="0" w:hanging="0"/>
        <w:jc w:val="left"/>
        <w:rPr>
          <w:rFonts w:ascii="Arial" w:hAnsi="Arial"/>
          <w:b w:val="false"/>
          <w:i w:val="false"/>
          <w:caps w:val="false"/>
          <w:smallCaps w:val="false"/>
          <w:sz w:val="20"/>
        </w:rPr>
      </w:pPr>
      <w:r>
        <w:rPr>
          <w:rFonts w:ascii="Arial" w:hAnsi="Arial"/>
          <w:b/>
          <w:i w:val="false"/>
          <w:caps w:val="false"/>
          <w:smallCaps w:val="false"/>
          <w:color w:val="3B3838"/>
          <w:sz w:val="20"/>
        </w:rPr>
        <w:t>Our approach to major stakeholders</w:t>
      </w:r>
      <w:r>
        <w:rPr>
          <w:rFonts w:ascii="Arial" w:hAnsi="Arial"/>
          <w:b/>
          <w:i w:val="false"/>
          <w:caps w:val="false"/>
          <w:smallCaps w:val="false"/>
          <w:sz w:val="20"/>
        </w:rPr>
        <w:t>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20" w:type="dxa"/>
          <w:left w:w="108" w:type="dxa"/>
          <w:bottom w:w="500" w:type="dxa"/>
          <w:right w:w="108" w:type="dxa"/>
        </w:tblCellMar>
      </w:tblPr>
      <w:tblGrid>
        <w:gridCol w:w="2639"/>
        <w:gridCol w:w="60"/>
        <w:gridCol w:w="2311"/>
        <w:gridCol w:w="60"/>
        <w:gridCol w:w="2860"/>
        <w:gridCol w:w="60"/>
        <w:gridCol w:w="2215"/>
      </w:tblGrid>
      <w:tr>
        <w:trPr/>
        <w:tc>
          <w:tcPr>
            <w:tcW w:w="2639" w:type="dxa"/>
            <w:tcBorders>
              <w:top w:val="single" w:sz="8" w:space="0" w:color="FA9105"/>
              <w:left w:val="single" w:sz="8" w:space="0" w:color="FA9105"/>
              <w:bottom w:val="single" w:sz="8" w:space="0" w:color="FA9105"/>
              <w:right w:val="single" w:sz="8" w:space="0" w:color="FA9105"/>
            </w:tcBorders>
            <w:vAlign w:val="center"/>
          </w:tcPr>
          <w:p>
            <w:pPr>
              <w:pStyle w:val="TableContents"/>
              <w:bidi w:val="0"/>
              <w:spacing w:before="0" w:after="0"/>
              <w:ind w:left="0" w:right="0" w:hanging="0"/>
              <w:jc w:val="left"/>
              <w:rPr>
                <w:rFonts w:ascii="Arial" w:hAnsi="Arial"/>
                <w:b/>
                <w:i w:val="false"/>
                <w:caps w:val="false"/>
                <w:smallCaps w:val="false"/>
                <w:sz w:val="28"/>
              </w:rPr>
            </w:pPr>
            <w:r>
              <w:rPr>
                <w:rFonts w:ascii="Arial" w:hAnsi="Arial"/>
                <w:b/>
                <w:i w:val="false"/>
                <w:caps w:val="false"/>
                <w:smallCaps w:val="false"/>
                <w:sz w:val="28"/>
              </w:rPr>
              <w:t>Clients</w:t>
            </w:r>
          </w:p>
          <w:p>
            <w:pPr>
              <w:pStyle w:val="TableContents"/>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We deliver products, services, solutions, and tools that help small businesses grow, bring people into the financial system, and better harness the benefits that inclusion provides through financial education. We leverage innovation to strengthen our value offering and respond to client needs. Our gender and diversity approach brings our initiatives within reach of the users who need them most. We use simplicity and transparency to lift confidence in the system.</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op w:val="single" w:sz="8" w:space="0" w:color="FA9105"/>
              <w:left w:val="single" w:sz="8" w:space="0" w:color="FA9105"/>
              <w:bottom w:val="single" w:sz="8" w:space="0" w:color="FA9105"/>
              <w:right w:val="single" w:sz="8" w:space="0" w:color="FA9105"/>
            </w:tcBorders>
            <w:vAlign w:val="center"/>
          </w:tcPr>
          <w:p>
            <w:pPr>
              <w:pStyle w:val="TableContents"/>
              <w:bidi w:val="0"/>
              <w:spacing w:before="0" w:after="0"/>
              <w:ind w:left="0" w:right="0" w:hanging="0"/>
              <w:jc w:val="left"/>
              <w:rPr>
                <w:rFonts w:ascii="Arial" w:hAnsi="Arial"/>
                <w:b/>
                <w:i w:val="false"/>
                <w:caps w:val="false"/>
                <w:smallCaps w:val="false"/>
                <w:sz w:val="28"/>
              </w:rPr>
            </w:pPr>
            <w:r>
              <w:rPr>
                <w:rFonts w:ascii="Arial" w:hAnsi="Arial"/>
                <w:b/>
                <w:i w:val="false"/>
                <w:caps w:val="false"/>
                <w:smallCaps w:val="false"/>
                <w:sz w:val="28"/>
              </w:rPr>
              <w:t>Employees</w:t>
            </w:r>
          </w:p>
          <w:p>
            <w:pPr>
              <w:pStyle w:val="TableContents"/>
              <w:bidi w:val="0"/>
              <w:spacing w:lineRule="auto" w:line="240"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We believe that our more than 37,0006 employees are the key to success. We help them to become the best version of themselves and impact positively on the lives of others. To make Credicorp the best place for the best, we work hard on culture, equity, inclusion, training, and performance management.</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2860" w:type="dxa"/>
            <w:tcBorders>
              <w:top w:val="single" w:sz="8" w:space="0" w:color="FA9105"/>
              <w:left w:val="single" w:sz="8" w:space="0" w:color="FA9105"/>
              <w:bottom w:val="single" w:sz="8" w:space="0" w:color="FA9105"/>
              <w:right w:val="single" w:sz="8" w:space="0" w:color="FA9105"/>
            </w:tcBorders>
            <w:vAlign w:val="center"/>
          </w:tcPr>
          <w:p>
            <w:pPr>
              <w:pStyle w:val="TableContents"/>
              <w:bidi w:val="0"/>
              <w:spacing w:before="0" w:after="0"/>
              <w:ind w:left="0" w:right="0" w:hanging="0"/>
              <w:jc w:val="left"/>
              <w:rPr>
                <w:rFonts w:ascii="Arial" w:hAnsi="Arial"/>
                <w:b/>
                <w:i w:val="false"/>
                <w:caps w:val="false"/>
                <w:smallCaps w:val="false"/>
                <w:sz w:val="28"/>
              </w:rPr>
            </w:pPr>
            <w:r>
              <w:rPr>
                <w:rFonts w:ascii="Arial" w:hAnsi="Arial"/>
                <w:b/>
                <w:i w:val="false"/>
                <w:caps w:val="false"/>
                <w:smallCaps w:val="false"/>
                <w:sz w:val="28"/>
              </w:rPr>
              <w:t>Suppliers</w:t>
            </w:r>
          </w:p>
          <w:p>
            <w:pPr>
              <w:pStyle w:val="TableContents"/>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We promote sustainable management with our suppliers through an ethics-based negotiation process that is traceable, transparent, and auditable. We support our SME suppliers with simpler processes, shorter payment times, and responsible engagement that leads to greater satisfaction.</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2215" w:type="dxa"/>
            <w:tcBorders>
              <w:top w:val="single" w:sz="8" w:space="0" w:color="FA9105"/>
              <w:left w:val="single" w:sz="8" w:space="0" w:color="FA9105"/>
              <w:bottom w:val="single" w:sz="8" w:space="0" w:color="FA9105"/>
              <w:right w:val="single" w:sz="8" w:space="0" w:color="FA9105"/>
            </w:tcBorders>
            <w:vAlign w:val="center"/>
          </w:tcPr>
          <w:p>
            <w:pPr>
              <w:pStyle w:val="TableContents"/>
              <w:bidi w:val="0"/>
              <w:spacing w:before="0" w:after="0"/>
              <w:ind w:left="0" w:right="0" w:hanging="0"/>
              <w:jc w:val="left"/>
              <w:rPr>
                <w:rFonts w:ascii="Arial" w:hAnsi="Arial"/>
                <w:b/>
                <w:i w:val="false"/>
                <w:caps w:val="false"/>
                <w:smallCaps w:val="false"/>
                <w:sz w:val="28"/>
              </w:rPr>
            </w:pPr>
            <w:r>
              <w:rPr>
                <w:rFonts w:ascii="Arial" w:hAnsi="Arial"/>
                <w:b/>
                <w:i w:val="false"/>
                <w:caps w:val="false"/>
                <w:smallCaps w:val="false"/>
                <w:sz w:val="28"/>
              </w:rPr>
              <w:t>Community</w:t>
            </w:r>
          </w:p>
          <w:p>
            <w:pPr>
              <w:pStyle w:val="TableContents"/>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We make our presence felt in communities across the region. To complement our business strategy, we work with other actors on projects that tackle social challenges, encouraging our own staff to also participate. We focus on education and emergency response, the two areas where our scale, resources, and expertise can leave the greatest impact.</w:t>
            </w:r>
          </w:p>
        </w:tc>
      </w:tr>
      <w:tr>
        <w:trPr/>
        <w:tc>
          <w:tcPr>
            <w:tcW w:w="2639"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2860"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221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39" w:type="dxa"/>
            <w:tcBorders>
              <w:top w:val="single" w:sz="8" w:space="0" w:color="FA9105"/>
              <w:left w:val="single" w:sz="8" w:space="0" w:color="FA9105"/>
              <w:bottom w:val="single" w:sz="8" w:space="0" w:color="FA9105"/>
              <w:right w:val="single" w:sz="8" w:space="0" w:color="FA9105"/>
            </w:tcBorders>
            <w:vAlign w:val="center"/>
          </w:tcPr>
          <w:p>
            <w:pPr>
              <w:pStyle w:val="TableContents"/>
              <w:bidi w:val="0"/>
              <w:spacing w:before="0" w:after="0"/>
              <w:ind w:left="0" w:right="0" w:hanging="0"/>
              <w:jc w:val="left"/>
              <w:rPr>
                <w:rFonts w:ascii="Arial" w:hAnsi="Arial"/>
                <w:b/>
                <w:i w:val="false"/>
                <w:caps w:val="false"/>
                <w:smallCaps w:val="false"/>
                <w:sz w:val="28"/>
              </w:rPr>
            </w:pPr>
            <w:r>
              <w:rPr>
                <w:rFonts w:ascii="Arial" w:hAnsi="Arial"/>
                <w:b/>
                <w:i w:val="false"/>
                <w:caps w:val="false"/>
                <w:smallCaps w:val="false"/>
                <w:sz w:val="28"/>
              </w:rPr>
              <w:t>Investors and shareholders</w:t>
            </w:r>
          </w:p>
          <w:p>
            <w:pPr>
              <w:pStyle w:val="TableContents"/>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We develop and maintain long-term relationships with shareholders and investors built on trust. So they can fully evaluate us, we regularly communicate strategies, performance, and results via various market communication channels and mechanisms. We also proactively open dialog spaces that deliver the more detailed information these stakeholders seek and where we learn more about their needs and the expectations they have of us.</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op w:val="single" w:sz="8" w:space="0" w:color="FA9105"/>
              <w:left w:val="single" w:sz="8" w:space="0" w:color="FA9105"/>
              <w:bottom w:val="single" w:sz="8" w:space="0" w:color="FA9105"/>
              <w:right w:val="single" w:sz="8" w:space="0" w:color="FA9105"/>
            </w:tcBorders>
            <w:vAlign w:val="center"/>
          </w:tcPr>
          <w:p>
            <w:pPr>
              <w:pStyle w:val="TableContents"/>
              <w:bidi w:val="0"/>
              <w:spacing w:before="0" w:after="0"/>
              <w:ind w:left="0" w:right="0" w:hanging="0"/>
              <w:jc w:val="left"/>
              <w:rPr>
                <w:rFonts w:ascii="Arial" w:hAnsi="Arial"/>
                <w:b/>
                <w:i w:val="false"/>
                <w:caps w:val="false"/>
                <w:smallCaps w:val="false"/>
                <w:sz w:val="28"/>
              </w:rPr>
            </w:pPr>
            <w:r>
              <w:rPr>
                <w:rFonts w:ascii="Arial" w:hAnsi="Arial"/>
                <w:b/>
                <w:i w:val="false"/>
                <w:caps w:val="false"/>
                <w:smallCaps w:val="false"/>
                <w:sz w:val="28"/>
              </w:rPr>
              <w:t>Governance</w:t>
            </w:r>
          </w:p>
          <w:p>
            <w:pPr>
              <w:pStyle w:val="TableContents"/>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We give priority to dynamic and transparent government engagement. Regulatory compliance is the starting point for all our processes, policies, and internal regulations. These must also reflect our commitment to the fight against corruption. Generating value for society, the environment, and the company is the cornerstone of our relationship with government.</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2860" w:type="dxa"/>
            <w:tcBorders>
              <w:top w:val="single" w:sz="8" w:space="0" w:color="FA9105"/>
              <w:left w:val="single" w:sz="8" w:space="0" w:color="FA9105"/>
              <w:bottom w:val="single" w:sz="8" w:space="0" w:color="FA9105"/>
              <w:right w:val="single" w:sz="8" w:space="0" w:color="FA9105"/>
            </w:tcBorders>
            <w:vAlign w:val="center"/>
          </w:tcPr>
          <w:p>
            <w:pPr>
              <w:pStyle w:val="TableContents"/>
              <w:bidi w:val="0"/>
              <w:spacing w:before="0" w:after="0"/>
              <w:ind w:left="0" w:right="0" w:hanging="0"/>
              <w:jc w:val="left"/>
              <w:rPr>
                <w:rFonts w:ascii="Arial" w:hAnsi="Arial"/>
                <w:b/>
                <w:i w:val="false"/>
                <w:caps w:val="false"/>
                <w:smallCaps w:val="false"/>
                <w:sz w:val="28"/>
              </w:rPr>
            </w:pPr>
            <w:r>
              <w:rPr>
                <w:rFonts w:ascii="Arial" w:hAnsi="Arial"/>
                <w:b/>
                <w:i w:val="false"/>
                <w:caps w:val="false"/>
                <w:smallCaps w:val="false"/>
                <w:sz w:val="28"/>
              </w:rPr>
              <w:t>Communications media</w:t>
            </w:r>
          </w:p>
          <w:p>
            <w:pPr>
              <w:pStyle w:val="TableContents"/>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We always provide relevant information to media organizations about the achievements, progress, and developments we generate through our businesses. We also respond clearly and transparently when the media asks about topics of public interest, delivering first-hand information to those who require it.</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2215" w:type="dxa"/>
            <w:tcBorders>
              <w:top w:val="single" w:sz="8" w:space="0" w:color="FA9105"/>
              <w:left w:val="single" w:sz="8" w:space="0" w:color="FA9105"/>
              <w:bottom w:val="single" w:sz="8" w:space="0" w:color="FA9105"/>
              <w:right w:val="single" w:sz="8" w:space="0" w:color="FA9105"/>
            </w:tcBorders>
            <w:vAlign w:val="center"/>
          </w:tcPr>
          <w:p>
            <w:pPr>
              <w:pStyle w:val="TableContents"/>
              <w:bidi w:val="0"/>
              <w:spacing w:before="0" w:after="0"/>
              <w:ind w:left="0" w:right="0" w:hanging="0"/>
              <w:jc w:val="left"/>
              <w:rPr>
                <w:rFonts w:ascii="Arial" w:hAnsi="Arial"/>
                <w:b/>
                <w:i w:val="false"/>
                <w:caps w:val="false"/>
                <w:smallCaps w:val="false"/>
                <w:sz w:val="28"/>
              </w:rPr>
            </w:pPr>
            <w:r>
              <w:rPr>
                <w:rFonts w:ascii="Arial" w:hAnsi="Arial"/>
                <w:b/>
                <w:i w:val="false"/>
                <w:caps w:val="false"/>
                <w:smallCaps w:val="false"/>
                <w:sz w:val="28"/>
              </w:rPr>
              <w:t xml:space="preserve">Public opinion </w:t>
            </w:r>
          </w:p>
          <w:p>
            <w:pPr>
              <w:pStyle w:val="TableContents"/>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We make available relevant and timely information about Credicorp’s business so that interested parties can inform themselves and clarify doubts. We also gather perceptions and main concerns so we can find solutions aimed at building trust in the Group.</w:t>
            </w:r>
          </w:p>
        </w:tc>
      </w:tr>
    </w:tbl>
    <w:p>
      <w:pPr>
        <w:pStyle w:val="TextBody"/>
        <w:bidi w:val="0"/>
        <w:jc w:val="left"/>
        <w:rPr>
          <w:caps w:val="false"/>
          <w:smallCaps w:val="false"/>
        </w:rPr>
      </w:pPr>
      <w:r>
        <w:rPr>
          <w:caps w:val="false"/>
          <w:smallCaps w:val="false"/>
        </w:rPr>
        <w:t> </w:t>
      </w:r>
    </w:p>
    <w:p>
      <w:pPr>
        <w:pStyle w:val="TextBody"/>
        <w:bidi w:val="0"/>
        <w:spacing w:before="0" w:after="60"/>
        <w:jc w:val="left"/>
        <w:rPr>
          <w:caps w:val="false"/>
          <w:smallCaps w:val="false"/>
          <w:bdr w:val="single" w:sz="8" w:space="1" w:color="000000"/>
        </w:rPr>
      </w:pPr>
      <w:r>
        <w:rPr>
          <w:caps w:val="false"/>
          <w:smallCaps w:val="false"/>
          <w:bdr w:val="single" w:sz="8" w:space="1" w:color="000000"/>
        </w:rPr>
        <w:t> </w:t>
      </w:r>
    </w:p>
    <w:p>
      <w:pPr>
        <w:pStyle w:val="TextBody"/>
        <w:bidi w:val="0"/>
        <w:spacing w:lineRule="auto" w:line="240"/>
        <w:jc w:val="left"/>
        <w:rPr>
          <w:rFonts w:ascii="Arial" w:hAnsi="Arial"/>
          <w:b w:val="false"/>
          <w:i w:val="false"/>
          <w:caps w:val="false"/>
          <w:smallCaps w:val="false"/>
          <w:sz w:val="16"/>
        </w:rPr>
      </w:pPr>
      <w:r>
        <w:rPr>
          <w:rFonts w:ascii="Arial" w:hAnsi="Arial"/>
          <w:b w:val="false"/>
          <w:i w:val="false"/>
          <w:caps w:val="false"/>
          <w:smallCaps w:val="false"/>
          <w:sz w:val="16"/>
        </w:rPr>
        <w:t xml:space="preserve">6 Further detail on how we engage with our stakeholders is available in the annexes and the </w:t>
      </w:r>
      <w:r>
        <w:rPr>
          <w:rFonts w:ascii="Arial" w:hAnsi="Arial"/>
          <w:b w:val="false"/>
          <w:i w:val="false"/>
          <w:caps w:val="false"/>
          <w:smallCaps w:val="false"/>
          <w:color w:val="3265FF"/>
          <w:sz w:val="16"/>
          <w:u w:val="single"/>
        </w:rPr>
        <w:t>Credicorp Sustainability Policy</w:t>
      </w:r>
      <w:r>
        <w:rPr>
          <w:rFonts w:ascii="Arial" w:hAnsi="Arial"/>
          <w:b w:val="false"/>
          <w:i w:val="false"/>
          <w:caps w:val="false"/>
          <w:smallCaps w:val="false"/>
          <w:sz w:val="16"/>
        </w:rPr>
        <w:t>.</w:t>
      </w:r>
    </w:p>
    <w:p>
      <w:pPr>
        <w:pStyle w:val="TextBody"/>
        <w:bidi w:val="0"/>
        <w:spacing w:lineRule="auto" w:line="240"/>
        <w:jc w:val="left"/>
        <w:rPr>
          <w:rFonts w:ascii="Arial" w:hAnsi="Arial"/>
          <w:b w:val="false"/>
          <w:i w:val="false"/>
          <w:caps w:val="false"/>
          <w:smallCaps w:val="false"/>
          <w:sz w:val="16"/>
        </w:rPr>
      </w:pPr>
      <w:r>
        <w:rPr>
          <w:rFonts w:ascii="Arial" w:hAnsi="Arial"/>
          <w:b w:val="false"/>
          <w:i w:val="false"/>
          <w:caps w:val="false"/>
          <w:smallCaps w:val="false"/>
          <w:sz w:val="16"/>
        </w:rPr>
        <w:t>7 Includes the employees of the following subsidiaries: BCP, BCP Bolivia, Mibanco, Mibanco Colombia, Prima AFP, Pacífico Insurance, and Credicorp Capital. The Group’s total number of employees exceeds 44,000.</w:t>
      </w:r>
    </w:p>
    <w:p>
      <w:pPr>
        <w:pStyle w:val="TextBody"/>
        <w:bidi w:val="0"/>
        <w:jc w:val="left"/>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1.6. PRIORITIZED MATERIAL TOPICS AND SDGs</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GRI 3-1, 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 align our strategy to the main material topics for our business and stakeholders, which we subject to an in-depth analysis every two years. During 2023, we performed an update and validation of the topics using secondary sources. In 2024, we will again undertake an in-depth study. The materiality analysis showed the main material topics to be unchanged and that the strategic plan to 2025 keeps us on the right track to deliver the greatest impact in everything we do. The materiality update identified some topics so closely related as to warrant combining; for example, financial inclusion and financial education. As an additional material topic for our stakeholders, ethical data management was added to cybersecurity and data privacy.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caps w:val="false"/>
          <w:smallCaps w:val="false"/>
        </w:rPr>
      </w:pPr>
      <w:r>
        <w:rPr>
          <w:caps w:val="false"/>
          <w:smallCaps w:val="false"/>
        </w:rPr>
        <w:drawing>
          <wp:inline distT="0" distB="0" distL="0" distR="0">
            <wp:extent cx="7143750" cy="3695700"/>
            <wp:effectExtent l="0" t="0" r="0" b="0"/>
            <wp:docPr id="5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6" descr=""/>
                    <pic:cNvPicPr>
                      <a:picLocks noChangeAspect="1" noChangeArrowheads="1"/>
                    </pic:cNvPicPr>
                  </pic:nvPicPr>
                  <pic:blipFill>
                    <a:blip r:embed="rId40"/>
                    <a:stretch>
                      <a:fillRect/>
                    </a:stretch>
                  </pic:blipFill>
                  <pic:spPr bwMode="auto">
                    <a:xfrm>
                      <a:off x="0" y="0"/>
                      <a:ext cx="7143750" cy="369570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10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In addition to aligning with our stakeholders’ most relevant topics, the strategic pillars contribute mainly to seven of the Sustainable Development Goals (SDGs) we have defined as priorities.</w:t>
      </w:r>
    </w:p>
    <w:p>
      <w:pPr>
        <w:pStyle w:val="TextBody"/>
        <w:bidi w:val="0"/>
        <w:spacing w:before="0" w:after="0"/>
        <w:ind w:left="0" w:right="0" w:hanging="0"/>
        <w:jc w:val="left"/>
        <w:rPr>
          <w:caps w:val="false"/>
          <w:smallCaps w:val="false"/>
        </w:rPr>
      </w:pPr>
      <w:r>
        <w:rPr>
          <w:caps w:val="false"/>
          <w:smallCaps w:val="false"/>
        </w:rPr>
        <w:t> </w:t>
      </w:r>
    </w:p>
    <w:tbl>
      <w:tblPr>
        <w:tblW w:w="14820" w:type="dxa"/>
        <w:jc w:val="left"/>
        <w:tblInd w:w="0" w:type="dxa"/>
        <w:tblLayout w:type="fixed"/>
        <w:tblCellMar>
          <w:top w:w="0" w:type="dxa"/>
          <w:left w:w="0" w:type="dxa"/>
          <w:bottom w:w="0" w:type="dxa"/>
          <w:right w:w="0" w:type="dxa"/>
        </w:tblCellMar>
      </w:tblPr>
      <w:tblGrid>
        <w:gridCol w:w="8745"/>
        <w:gridCol w:w="6075"/>
      </w:tblGrid>
      <w:tr>
        <w:trPr/>
        <w:tc>
          <w:tcPr>
            <w:tcW w:w="874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5505450" cy="2171700"/>
                  <wp:effectExtent l="0" t="0" r="0" b="0"/>
                  <wp:docPr id="5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7" descr=""/>
                          <pic:cNvPicPr>
                            <a:picLocks noChangeAspect="1" noChangeArrowheads="1"/>
                          </pic:cNvPicPr>
                        </pic:nvPicPr>
                        <pic:blipFill>
                          <a:blip r:embed="rId41"/>
                          <a:stretch>
                            <a:fillRect/>
                          </a:stretch>
                        </pic:blipFill>
                        <pic:spPr bwMode="auto">
                          <a:xfrm>
                            <a:off x="0" y="0"/>
                            <a:ext cx="5505450" cy="2171700"/>
                          </a:xfrm>
                          <a:prstGeom prst="rect">
                            <a:avLst/>
                          </a:prstGeom>
                        </pic:spPr>
                      </pic:pic>
                    </a:graphicData>
                  </a:graphic>
                </wp:inline>
              </w:drawing>
            </w:r>
            <w:r>
              <w:rPr>
                <w:caps w:val="false"/>
                <w:smallCaps w:val="false"/>
              </w:rPr>
              <w:t> </w:t>
            </w:r>
          </w:p>
        </w:tc>
        <w:tc>
          <w:tcPr>
            <w:tcW w:w="6075" w:type="dxa"/>
            <w:tcBorders/>
            <w:vAlign w:val="center"/>
          </w:tcPr>
          <w:p>
            <w:pPr>
              <w:pStyle w:val="TableContents"/>
              <w:bidi w:val="0"/>
              <w:spacing w:before="0" w:after="283"/>
              <w:jc w:val="right"/>
              <w:rPr>
                <w:caps w:val="false"/>
                <w:smallCaps w:val="false"/>
              </w:rPr>
            </w:pPr>
            <w:r>
              <w:rPr>
                <w:caps w:val="false"/>
                <w:smallCaps w:val="false"/>
              </w:rPr>
              <w:drawing>
                <wp:inline distT="0" distB="0" distL="0" distR="0">
                  <wp:extent cx="3810000" cy="2562225"/>
                  <wp:effectExtent l="0" t="0" r="0" b="0"/>
                  <wp:docPr id="5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8" descr=""/>
                          <pic:cNvPicPr>
                            <a:picLocks noChangeAspect="1" noChangeArrowheads="1"/>
                          </pic:cNvPicPr>
                        </pic:nvPicPr>
                        <pic:blipFill>
                          <a:blip r:embed="rId42"/>
                          <a:stretch>
                            <a:fillRect/>
                          </a:stretch>
                        </pic:blipFill>
                        <pic:spPr bwMode="auto">
                          <a:xfrm>
                            <a:off x="0" y="0"/>
                            <a:ext cx="3810000" cy="2562225"/>
                          </a:xfrm>
                          <a:prstGeom prst="rect">
                            <a:avLst/>
                          </a:prstGeom>
                        </pic:spPr>
                      </pic:pic>
                    </a:graphicData>
                  </a:graphic>
                </wp:inline>
              </w:drawing>
            </w:r>
            <w:r>
              <w:rPr>
                <w:caps w:val="false"/>
                <w:smallCaps w:val="false"/>
              </w:rPr>
              <w:t> </w:t>
            </w:r>
          </w:p>
        </w:tc>
      </w:tr>
      <w:tr>
        <w:trPr/>
        <w:tc>
          <w:tcPr>
            <w:tcW w:w="8745" w:type="dxa"/>
            <w:tcBorders/>
            <w:vAlign w:val="center"/>
          </w:tcPr>
          <w:p>
            <w:pPr>
              <w:pStyle w:val="TableContents"/>
              <w:bidi w:val="0"/>
              <w:spacing w:before="0" w:after="283"/>
              <w:jc w:val="right"/>
              <w:rPr>
                <w:caps w:val="false"/>
                <w:smallCaps w:val="false"/>
              </w:rPr>
            </w:pPr>
            <w:r>
              <w:rPr>
                <w:caps w:val="false"/>
                <w:smallCaps w:val="false"/>
              </w:rPr>
              <w:t> </w:t>
            </w:r>
          </w:p>
        </w:tc>
        <w:tc>
          <w:tcPr>
            <w:tcW w:w="6075"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Marcus Burke, Manager, Equity Action of the WBCSD and Gianfranco</w:t>
            </w:r>
          </w:p>
        </w:tc>
      </w:tr>
      <w:tr>
        <w:trPr/>
        <w:tc>
          <w:tcPr>
            <w:tcW w:w="8745" w:type="dxa"/>
            <w:tcBorders/>
            <w:vAlign w:val="center"/>
          </w:tcPr>
          <w:p>
            <w:pPr>
              <w:pStyle w:val="TableContents"/>
              <w:bidi w:val="0"/>
              <w:spacing w:before="0" w:after="283"/>
              <w:jc w:val="left"/>
              <w:rPr>
                <w:caps w:val="false"/>
                <w:smallCaps w:val="false"/>
              </w:rPr>
            </w:pPr>
            <w:r>
              <w:rPr>
                <w:caps w:val="false"/>
                <w:smallCaps w:val="false"/>
              </w:rPr>
              <w:t> </w:t>
            </w:r>
          </w:p>
        </w:tc>
        <w:tc>
          <w:tcPr>
            <w:tcW w:w="6075" w:type="dxa"/>
            <w:tcBorders/>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Ferrari, CEO of Credicorp at Sustainable Peru 2023 event</w:t>
            </w:r>
          </w:p>
        </w:tc>
      </w:tr>
    </w:tbl>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6191250" cy="2305050"/>
            <wp:effectExtent l="0" t="0" r="0" b="0"/>
            <wp:docPr id="57"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9" descr=""/>
                    <pic:cNvPicPr>
                      <a:picLocks noChangeAspect="1" noChangeArrowheads="1"/>
                    </pic:cNvPicPr>
                  </pic:nvPicPr>
                  <pic:blipFill>
                    <a:blip r:embed="rId43"/>
                    <a:stretch>
                      <a:fillRect/>
                    </a:stretch>
                  </pic:blipFill>
                  <pic:spPr bwMode="auto">
                    <a:xfrm>
                      <a:off x="0" y="0"/>
                      <a:ext cx="6191250" cy="23050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ind w:left="0" w:right="0" w:hanging="0"/>
        <w:jc w:val="center"/>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11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1.7. THE KEY ENABLERS OF SUSTAINABILITY INTEGRATION</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Topics Materials Comprehensive Risk Management, Innovation and Digital Transformation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GRI 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1.7.1. The change management program</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left"/>
        <w:rPr>
          <w:caps w:val="false"/>
          <w:smallCaps w:val="false"/>
          <w:color w:val="FE5000"/>
        </w:rPr>
      </w:pPr>
      <w:r>
        <w:rPr>
          <w:caps w:val="false"/>
          <w:smallCaps w:val="false"/>
          <w:color w:val="FE5000"/>
        </w:rPr>
        <w:drawing>
          <wp:inline distT="0" distB="0" distL="0" distR="0">
            <wp:extent cx="7620000" cy="4219575"/>
            <wp:effectExtent l="0" t="0" r="0" b="0"/>
            <wp:docPr id="5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0" descr=""/>
                    <pic:cNvPicPr>
                      <a:picLocks noChangeAspect="1" noChangeArrowheads="1"/>
                    </pic:cNvPicPr>
                  </pic:nvPicPr>
                  <pic:blipFill>
                    <a:blip r:embed="rId44"/>
                    <a:stretch>
                      <a:fillRect/>
                    </a:stretch>
                  </pic:blipFill>
                  <pic:spPr bwMode="auto">
                    <a:xfrm>
                      <a:off x="0" y="0"/>
                      <a:ext cx="7620000" cy="4219575"/>
                    </a:xfrm>
                    <a:prstGeom prst="rect">
                      <a:avLst/>
                    </a:prstGeom>
                  </pic:spPr>
                </pic:pic>
              </a:graphicData>
            </a:graphic>
          </wp:inline>
        </w:drawing>
      </w:r>
      <w:r>
        <w:rPr>
          <w:caps w:val="false"/>
          <w:smallCaps w:val="false"/>
          <w:color w:val="FE5000"/>
        </w:rPr>
        <w:t> </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720" w:right="0" w:hanging="0"/>
        <w:jc w:val="left"/>
        <w:rPr>
          <w:rFonts w:ascii="Arial" w:hAnsi="Arial"/>
          <w:b w:val="false"/>
          <w:i w:val="false"/>
          <w:caps w:val="false"/>
          <w:smallCaps w:val="false"/>
          <w:sz w:val="20"/>
        </w:rPr>
      </w:pPr>
      <w:r>
        <w:rPr>
          <w:rFonts w:ascii="Arial" w:hAnsi="Arial"/>
          <w:b w:val="false"/>
          <w:i w:val="false"/>
          <w:caps w:val="false"/>
          <w:smallCaps w:val="false"/>
          <w:sz w:val="20"/>
        </w:rPr>
        <w:t>(*) Credicorp metrics only</w:t>
      </w:r>
      <w:r>
        <w:rPr>
          <w:rFonts w:ascii="Arial" w:hAnsi="Arial"/>
          <w:b w:val="false"/>
          <w:i w:val="false"/>
          <w:caps w:val="false"/>
          <w:smallCaps w:val="false"/>
          <w:color w:val="7F7F7F"/>
          <w:sz w:val="2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12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olumn">
                  <wp:align>left</wp:align>
                </wp:positionH>
                <wp:positionV relativeFrom="line">
                  <wp:posOffset>635</wp:posOffset>
                </wp:positionV>
                <wp:extent cx="3110230" cy="4858385"/>
                <wp:effectExtent l="0" t="0" r="0" b="0"/>
                <wp:wrapSquare wrapText="right"/>
                <wp:docPr id="59" name="Frame16"/>
                <a:graphic xmlns:a="http://schemas.openxmlformats.org/drawingml/2006/main">
                  <a:graphicData uri="http://schemas.microsoft.com/office/word/2010/wordprocessingShape">
                    <wps:wsp>
                      <wps:cNvSpPr txBox="1"/>
                      <wps:spPr>
                        <a:xfrm>
                          <a:off x="0" y="0"/>
                          <a:ext cx="3110230" cy="4858385"/>
                        </a:xfrm>
                        <a:prstGeom prst="rect"/>
                        <a:solidFill>
                          <a:srgbClr val="FFFFFF"/>
                        </a:solidFill>
                      </wps:spPr>
                      <wps:txbx>
                        <w:txbxContent>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1.7.2. ESG risk management</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ESG risk management provides us with a comprehensive view of our businesses’ exposure to sustainability-related risks so we can understand and manage those risks and make better, more informed decisions.</w:t>
                            </w:r>
                          </w:p>
                          <w:p>
                            <w:pPr>
                              <w:pStyle w:val="TextBody"/>
                              <w:bidi w:val="0"/>
                              <w:spacing w:before="0" w:after="0"/>
                              <w:jc w:val="center"/>
                              <w:rPr>
                                <w:caps w:val="false"/>
                                <w:smallCaps w:val="false"/>
                              </w:rPr>
                            </w:pPr>
                            <w:r>
                              <w:rPr>
                                <w:caps w:val="false"/>
                                <w:smallCaps w:val="false"/>
                              </w:rPr>
                              <w:drawing>
                                <wp:inline distT="0" distB="0" distL="0" distR="0">
                                  <wp:extent cx="2914650" cy="1933575"/>
                                  <wp:effectExtent l="0" t="0" r="0" b="0"/>
                                  <wp:docPr id="60"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1" descr=""/>
                                          <pic:cNvPicPr>
                                            <a:picLocks noChangeAspect="1" noChangeArrowheads="1"/>
                                          </pic:cNvPicPr>
                                        </pic:nvPicPr>
                                        <pic:blipFill>
                                          <a:blip r:embed="rId45"/>
                                          <a:stretch>
                                            <a:fillRect/>
                                          </a:stretch>
                                        </pic:blipFill>
                                        <pic:spPr bwMode="auto">
                                          <a:xfrm>
                                            <a:off x="0" y="0"/>
                                            <a:ext cx="2914650" cy="193357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 have progressed the main areas of our ESG risk management by defining risk appetite and exclusions, identifying and prioritizing the main ESG risks to manage, and updating standards and processes for our main financing and investment activities. We have also moved forward in identifying and managing ESG risks in accordance with the TCFD recommendations.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Further information on our progress is available in the following subsections: “Environmental risk management” and “Human Rights” (in the “Compliance” section).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8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1.7.2. ESG risk management</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ESG risk management provides us with a comprehensive view of our businesses’ exposure to sustainability-related risks so we can understand and manage those risks and make better, more informed decisions.</w:t>
                      </w:r>
                    </w:p>
                    <w:p>
                      <w:pPr>
                        <w:pStyle w:val="TextBody"/>
                        <w:bidi w:val="0"/>
                        <w:spacing w:before="0" w:after="0"/>
                        <w:jc w:val="center"/>
                        <w:rPr>
                          <w:caps w:val="false"/>
                          <w:smallCaps w:val="false"/>
                        </w:rPr>
                      </w:pPr>
                      <w:r>
                        <w:rPr>
                          <w:caps w:val="false"/>
                          <w:smallCaps w:val="false"/>
                        </w:rPr>
                        <w:drawing>
                          <wp:inline distT="0" distB="0" distL="0" distR="0">
                            <wp:extent cx="2914650" cy="1933575"/>
                            <wp:effectExtent l="0" t="0" r="0" b="0"/>
                            <wp:docPr id="6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1" descr=""/>
                                    <pic:cNvPicPr>
                                      <a:picLocks noChangeAspect="1" noChangeArrowheads="1"/>
                                    </pic:cNvPicPr>
                                  </pic:nvPicPr>
                                  <pic:blipFill>
                                    <a:blip r:embed="rId46"/>
                                    <a:stretch>
                                      <a:fillRect/>
                                    </a:stretch>
                                  </pic:blipFill>
                                  <pic:spPr bwMode="auto">
                                    <a:xfrm>
                                      <a:off x="0" y="0"/>
                                      <a:ext cx="2914650" cy="193357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 have progressed the main areas of our ESG risk management by defining risk appetite and exclusions, identifying and prioritizing the main ESG risks to manage, and updating standards and processes for our main financing and investment activities. We have also moved forward in identifying and managing ESG risks in accordance with the TCFD recommendations.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Further information on our progress is available in the following subsections: “Environmental risk management” and “Human Rights” (in the “Compliance” section). </w:t>
                      </w:r>
                    </w:p>
                  </w:txbxContent>
                </v:textbox>
                <w10:wrap type="square" side="right"/>
              </v:rect>
            </w:pict>
          </mc:Fallback>
        </mc:AlternateContent>
      </w:r>
      <w:r>
        <mc:AlternateContent>
          <mc:Choice Requires="wps">
            <w:drawing>
              <wp:anchor behindDoc="0" distT="0" distB="0" distL="0" distR="0" simplePos="0" locked="0" layoutInCell="1" allowOverlap="1" relativeHeight="164">
                <wp:simplePos x="0" y="0"/>
                <wp:positionH relativeFrom="column">
                  <wp:align>right</wp:align>
                </wp:positionH>
                <wp:positionV relativeFrom="line">
                  <wp:posOffset>635</wp:posOffset>
                </wp:positionV>
                <wp:extent cx="3110230" cy="3957320"/>
                <wp:effectExtent l="0" t="0" r="0" b="0"/>
                <wp:wrapSquare wrapText="left"/>
                <wp:docPr id="62" name="Frame17"/>
                <a:graphic xmlns:a="http://schemas.openxmlformats.org/drawingml/2006/main">
                  <a:graphicData uri="http://schemas.microsoft.com/office/word/2010/wordprocessingShape">
                    <wps:wsp>
                      <wps:cNvSpPr txBox="1"/>
                      <wps:spPr>
                        <a:xfrm>
                          <a:off x="0" y="0"/>
                          <a:ext cx="3110230" cy="3957320"/>
                        </a:xfrm>
                        <a:prstGeom prst="rect"/>
                        <a:solidFill>
                          <a:srgbClr val="FFFFFF"/>
                        </a:solidFill>
                      </wps:spPr>
                      <wps:txbx>
                        <w:txbxContent>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1.7.3. Planning and finance</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both"/>
                              <w:rPr>
                                <w:rFonts w:ascii="Arial" w:hAnsi="Arial"/>
                                <w:b w:val="false"/>
                                <w:i w:val="false"/>
                                <w:caps w:val="false"/>
                                <w:smallCaps w:val="false"/>
                                <w:color w:val="0D0D0D"/>
                                <w:sz w:val="20"/>
                              </w:rPr>
                            </w:pPr>
                            <w:r>
                              <w:rPr>
                                <w:rFonts w:ascii="Arial" w:hAnsi="Arial"/>
                                <w:b w:val="false"/>
                                <w:i w:val="false"/>
                                <w:caps w:val="false"/>
                                <w:smallCaps w:val="false"/>
                                <w:color w:val="0D0D0D"/>
                                <w:sz w:val="20"/>
                              </w:rPr>
                              <w:t>Planning and finance is an important enabler for successfully integrating sustainability into company management. It contributes to aligning execution with the corporate strategy and, above all, to incorporating the sustainability perspective into decision-making and measuring business success (including performance and impact).</w:t>
                            </w:r>
                          </w:p>
                          <w:p>
                            <w:pPr>
                              <w:pStyle w:val="TextBody"/>
                              <w:bidi w:val="0"/>
                              <w:spacing w:before="0" w:after="0"/>
                              <w:ind w:left="0" w:right="0" w:hanging="0"/>
                              <w:jc w:val="both"/>
                              <w:rPr>
                                <w:caps w:val="false"/>
                                <w:smallCaps w:val="false"/>
                                <w:color w:val="0D0D0D"/>
                              </w:rPr>
                            </w:pPr>
                            <w:r>
                              <w:rPr>
                                <w:caps w:val="false"/>
                                <w:smallCaps w:val="false"/>
                                <w:color w:val="0D0D0D"/>
                              </w:rPr>
                              <w:t> </w:t>
                            </w:r>
                          </w:p>
                          <w:p>
                            <w:pPr>
                              <w:pStyle w:val="TextBody"/>
                              <w:bidi w:val="0"/>
                              <w:spacing w:before="0" w:after="0"/>
                              <w:jc w:val="center"/>
                              <w:rPr>
                                <w:caps w:val="false"/>
                                <w:smallCaps w:val="false"/>
                                <w:color w:val="0D0D0D"/>
                              </w:rPr>
                            </w:pPr>
                            <w:r>
                              <w:rPr>
                                <w:caps w:val="false"/>
                                <w:smallCaps w:val="false"/>
                                <w:color w:val="0D0D0D"/>
                              </w:rPr>
                              <w:drawing>
                                <wp:inline distT="0" distB="0" distL="0" distR="0">
                                  <wp:extent cx="3276600" cy="2171700"/>
                                  <wp:effectExtent l="0" t="0" r="0" b="0"/>
                                  <wp:docPr id="6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2" descr=""/>
                                          <pic:cNvPicPr>
                                            <a:picLocks noChangeAspect="1" noChangeArrowheads="1"/>
                                          </pic:cNvPicPr>
                                        </pic:nvPicPr>
                                        <pic:blipFill>
                                          <a:blip r:embed="rId47"/>
                                          <a:stretch>
                                            <a:fillRect/>
                                          </a:stretch>
                                        </pic:blipFill>
                                        <pic:spPr bwMode="auto">
                                          <a:xfrm>
                                            <a:off x="0" y="0"/>
                                            <a:ext cx="3276600" cy="2171700"/>
                                          </a:xfrm>
                                          <a:prstGeom prst="rect">
                                            <a:avLst/>
                                          </a:prstGeom>
                                        </pic:spPr>
                                      </pic:pic>
                                    </a:graphicData>
                                  </a:graphic>
                                </wp:inline>
                              </w:drawing>
                            </w:r>
                            <w:r>
                              <w:rPr>
                                <w:caps w:val="false"/>
                                <w:smallCaps w:val="false"/>
                                <w:color w:val="0D0D0D"/>
                              </w:rPr>
                              <w:t> </w:t>
                            </w:r>
                          </w:p>
                          <w:p>
                            <w:pPr>
                              <w:pStyle w:val="TextBody"/>
                              <w:bidi w:val="0"/>
                              <w:spacing w:before="0" w:after="0"/>
                              <w:ind w:left="0" w:right="0" w:hanging="0"/>
                              <w:jc w:val="both"/>
                              <w:rPr>
                                <w:caps w:val="false"/>
                                <w:smallCaps w:val="false"/>
                                <w:color w:val="0D0D0D"/>
                              </w:rPr>
                            </w:pPr>
                            <w:r>
                              <w:rPr>
                                <w:caps w:val="false"/>
                                <w:smallCaps w:val="false"/>
                                <w:color w:val="0D0D0D"/>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11.6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1.7.3. Planning and finance</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both"/>
                        <w:rPr>
                          <w:rFonts w:ascii="Arial" w:hAnsi="Arial"/>
                          <w:b w:val="false"/>
                          <w:i w:val="false"/>
                          <w:caps w:val="false"/>
                          <w:smallCaps w:val="false"/>
                          <w:color w:val="0D0D0D"/>
                          <w:sz w:val="20"/>
                        </w:rPr>
                      </w:pPr>
                      <w:r>
                        <w:rPr>
                          <w:rFonts w:ascii="Arial" w:hAnsi="Arial"/>
                          <w:b w:val="false"/>
                          <w:i w:val="false"/>
                          <w:caps w:val="false"/>
                          <w:smallCaps w:val="false"/>
                          <w:color w:val="0D0D0D"/>
                          <w:sz w:val="20"/>
                        </w:rPr>
                        <w:t>Planning and finance is an important enabler for successfully integrating sustainability into company management. It contributes to aligning execution with the corporate strategy and, above all, to incorporating the sustainability perspective into decision-making and measuring business success (including performance and impact).</w:t>
                      </w:r>
                    </w:p>
                    <w:p>
                      <w:pPr>
                        <w:pStyle w:val="TextBody"/>
                        <w:bidi w:val="0"/>
                        <w:spacing w:before="0" w:after="0"/>
                        <w:ind w:left="0" w:right="0" w:hanging="0"/>
                        <w:jc w:val="both"/>
                        <w:rPr>
                          <w:caps w:val="false"/>
                          <w:smallCaps w:val="false"/>
                          <w:color w:val="0D0D0D"/>
                        </w:rPr>
                      </w:pPr>
                      <w:r>
                        <w:rPr>
                          <w:caps w:val="false"/>
                          <w:smallCaps w:val="false"/>
                          <w:color w:val="0D0D0D"/>
                        </w:rPr>
                        <w:t> </w:t>
                      </w:r>
                    </w:p>
                    <w:p>
                      <w:pPr>
                        <w:pStyle w:val="TextBody"/>
                        <w:bidi w:val="0"/>
                        <w:spacing w:before="0" w:after="0"/>
                        <w:jc w:val="center"/>
                        <w:rPr>
                          <w:caps w:val="false"/>
                          <w:smallCaps w:val="false"/>
                          <w:color w:val="0D0D0D"/>
                        </w:rPr>
                      </w:pPr>
                      <w:r>
                        <w:rPr>
                          <w:caps w:val="false"/>
                          <w:smallCaps w:val="false"/>
                          <w:color w:val="0D0D0D"/>
                        </w:rPr>
                        <w:drawing>
                          <wp:inline distT="0" distB="0" distL="0" distR="0">
                            <wp:extent cx="3276600" cy="2171700"/>
                            <wp:effectExtent l="0" t="0" r="0" b="0"/>
                            <wp:docPr id="6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2" descr=""/>
                                    <pic:cNvPicPr>
                                      <a:picLocks noChangeAspect="1" noChangeArrowheads="1"/>
                                    </pic:cNvPicPr>
                                  </pic:nvPicPr>
                                  <pic:blipFill>
                                    <a:blip r:embed="rId48"/>
                                    <a:stretch>
                                      <a:fillRect/>
                                    </a:stretch>
                                  </pic:blipFill>
                                  <pic:spPr bwMode="auto">
                                    <a:xfrm>
                                      <a:off x="0" y="0"/>
                                      <a:ext cx="3276600" cy="2171700"/>
                                    </a:xfrm>
                                    <a:prstGeom prst="rect">
                                      <a:avLst/>
                                    </a:prstGeom>
                                  </pic:spPr>
                                </pic:pic>
                              </a:graphicData>
                            </a:graphic>
                          </wp:inline>
                        </w:drawing>
                      </w:r>
                      <w:r>
                        <w:rPr>
                          <w:caps w:val="false"/>
                          <w:smallCaps w:val="false"/>
                          <w:color w:val="0D0D0D"/>
                        </w:rPr>
                        <w:t> </w:t>
                      </w:r>
                    </w:p>
                    <w:p>
                      <w:pPr>
                        <w:pStyle w:val="TextBody"/>
                        <w:bidi w:val="0"/>
                        <w:spacing w:before="0" w:after="0"/>
                        <w:ind w:left="0" w:right="0" w:hanging="0"/>
                        <w:jc w:val="both"/>
                        <w:rPr>
                          <w:caps w:val="false"/>
                          <w:smallCaps w:val="false"/>
                          <w:color w:val="0D0D0D"/>
                        </w:rPr>
                      </w:pPr>
                      <w:r>
                        <w:rPr>
                          <w:caps w:val="false"/>
                          <w:smallCaps w:val="false"/>
                          <w:color w:val="0D0D0D"/>
                        </w:rPr>
                        <w:t> </w:t>
                      </w:r>
                    </w:p>
                  </w:txbxContent>
                </v:textbox>
                <w10:wrap type="square" side="left"/>
              </v:rect>
            </w:pict>
          </mc:Fallback>
        </mc:AlternateConten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200" w:after="200"/>
        <w:ind w:left="6420" w:right="0" w:hanging="0"/>
        <w:jc w:val="center"/>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13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6280" w:right="0" w:hanging="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166">
                <wp:simplePos x="0" y="0"/>
                <wp:positionH relativeFrom="column">
                  <wp:align>left</wp:align>
                </wp:positionH>
                <wp:positionV relativeFrom="line">
                  <wp:posOffset>635</wp:posOffset>
                </wp:positionV>
                <wp:extent cx="3110230" cy="4679315"/>
                <wp:effectExtent l="0" t="0" r="0" b="0"/>
                <wp:wrapSquare wrapText="right"/>
                <wp:docPr id="65" name="Frame18"/>
                <a:graphic xmlns:a="http://schemas.openxmlformats.org/drawingml/2006/main">
                  <a:graphicData uri="http://schemas.microsoft.com/office/word/2010/wordprocessingShape">
                    <wps:wsp>
                      <wps:cNvSpPr txBox="1"/>
                      <wps:spPr>
                        <a:xfrm>
                          <a:off x="0" y="0"/>
                          <a:ext cx="3110230" cy="4679315"/>
                        </a:xfrm>
                        <a:prstGeom prst="rect"/>
                        <a:solidFill>
                          <a:srgbClr val="FFFFFF"/>
                        </a:solidFill>
                      </wps:spPr>
                      <wps:txbx>
                        <w:txbxContent>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1.7.4. Innovation</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Sustainability presents complex challenges and demands that we </w:t>
                            </w:r>
                            <w:r>
                              <w:rPr>
                                <w:rFonts w:ascii="Arial" w:hAnsi="Arial"/>
                                <w:b/>
                                <w:i w:val="false"/>
                                <w:caps w:val="false"/>
                                <w:smallCaps w:val="false"/>
                                <w:sz w:val="20"/>
                              </w:rPr>
                              <w:t xml:space="preserve">implement creative and innovative solutions </w:t>
                            </w:r>
                            <w:r>
                              <w:rPr>
                                <w:rFonts w:ascii="Arial" w:hAnsi="Arial"/>
                                <w:b w:val="false"/>
                                <w:i w:val="false"/>
                                <w:caps w:val="false"/>
                                <w:smallCaps w:val="false"/>
                                <w:sz w:val="20"/>
                              </w:rPr>
                              <w:t>which respond to our stakeholders’ needs cost-effectively over time. A pivotal ambition to improve the financial health of citizens (Pillar 2 of our sustainability strategy) is to speed up the pace of innovation and stay ahead of future client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4095750" cy="1228725"/>
                                  <wp:effectExtent l="0" t="0" r="0" b="0"/>
                                  <wp:docPr id="6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3" descr=""/>
                                          <pic:cNvPicPr>
                                            <a:picLocks noChangeAspect="1" noChangeArrowheads="1"/>
                                          </pic:cNvPicPr>
                                        </pic:nvPicPr>
                                        <pic:blipFill>
                                          <a:blip r:embed="rId49"/>
                                          <a:stretch>
                                            <a:fillRect/>
                                          </a:stretch>
                                        </pic:blipFill>
                                        <pic:spPr bwMode="auto">
                                          <a:xfrm>
                                            <a:off x="0" y="0"/>
                                            <a:ext cx="4095750" cy="1228725"/>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color w:val="FE5000"/>
                              </w:rPr>
                            </w:pPr>
                            <w:r>
                              <w:rPr>
                                <w:caps w:val="false"/>
                                <w:smallCaps w:val="false"/>
                                <w:color w:val="FE5000"/>
                              </w:rPr>
                              <w:t> </w:t>
                            </w:r>
                          </w:p>
                          <w:p>
                            <w:pPr>
                              <w:pStyle w:val="TextBody"/>
                              <w:bidi w:val="0"/>
                              <w:spacing w:before="0" w:after="0"/>
                              <w:jc w:val="center"/>
                              <w:rPr>
                                <w:rFonts w:ascii="Arial" w:hAnsi="Arial"/>
                                <w:b/>
                                <w:i w:val="false"/>
                                <w:caps w:val="false"/>
                                <w:smallCaps w:val="false"/>
                                <w:color w:val="FE5000"/>
                                <w:sz w:val="36"/>
                              </w:rPr>
                            </w:pPr>
                            <w:r>
                              <w:rPr>
                                <w:rFonts w:ascii="Arial" w:hAnsi="Arial"/>
                                <w:b/>
                                <w:i w:val="false"/>
                                <w:caps w:val="false"/>
                                <w:smallCaps w:val="false"/>
                                <w:color w:val="FE5000"/>
                                <w:sz w:val="36"/>
                              </w:rPr>
                              <w:t>To ensure long-term value creation, the ESG lens must be an integral part of the innovation process.</w:t>
                            </w:r>
                          </w:p>
                          <w:p>
                            <w:pPr>
                              <w:pStyle w:val="TextBody"/>
                              <w:bidi w:val="0"/>
                              <w:spacing w:before="0" w:after="0"/>
                              <w:ind w:left="20" w:right="0" w:hanging="0"/>
                              <w:jc w:val="center"/>
                              <w:rPr>
                                <w:caps w:val="false"/>
                                <w:smallCaps w:val="false"/>
                                <w:color w:val="FE5000"/>
                              </w:rPr>
                            </w:pPr>
                            <w:r>
                              <w:rPr>
                                <w:caps w:val="false"/>
                                <w:smallCaps w:val="false"/>
                                <w:color w:val="FE5000"/>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The initiatives in the innovation portfolio are directly linked to the ambitions prioritized in the sustainability strategy. For example: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68.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1.7.4. Innovation</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Sustainability presents complex challenges and demands that we </w:t>
                      </w:r>
                      <w:r>
                        <w:rPr>
                          <w:rFonts w:ascii="Arial" w:hAnsi="Arial"/>
                          <w:b/>
                          <w:i w:val="false"/>
                          <w:caps w:val="false"/>
                          <w:smallCaps w:val="false"/>
                          <w:sz w:val="20"/>
                        </w:rPr>
                        <w:t xml:space="preserve">implement creative and innovative solutions </w:t>
                      </w:r>
                      <w:r>
                        <w:rPr>
                          <w:rFonts w:ascii="Arial" w:hAnsi="Arial"/>
                          <w:b w:val="false"/>
                          <w:i w:val="false"/>
                          <w:caps w:val="false"/>
                          <w:smallCaps w:val="false"/>
                          <w:sz w:val="20"/>
                        </w:rPr>
                        <w:t>which respond to our stakeholders’ needs cost-effectively over time. A pivotal ambition to improve the financial health of citizens (Pillar 2 of our sustainability strategy) is to speed up the pace of innovation and stay ahead of future client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4095750" cy="1228725"/>
                            <wp:effectExtent l="0" t="0" r="0" b="0"/>
                            <wp:docPr id="6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43" descr=""/>
                                    <pic:cNvPicPr>
                                      <a:picLocks noChangeAspect="1" noChangeArrowheads="1"/>
                                    </pic:cNvPicPr>
                                  </pic:nvPicPr>
                                  <pic:blipFill>
                                    <a:blip r:embed="rId50"/>
                                    <a:stretch>
                                      <a:fillRect/>
                                    </a:stretch>
                                  </pic:blipFill>
                                  <pic:spPr bwMode="auto">
                                    <a:xfrm>
                                      <a:off x="0" y="0"/>
                                      <a:ext cx="4095750" cy="1228725"/>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color w:val="FE5000"/>
                        </w:rPr>
                      </w:pPr>
                      <w:r>
                        <w:rPr>
                          <w:caps w:val="false"/>
                          <w:smallCaps w:val="false"/>
                          <w:color w:val="FE5000"/>
                        </w:rPr>
                        <w:t> </w:t>
                      </w:r>
                    </w:p>
                    <w:p>
                      <w:pPr>
                        <w:pStyle w:val="TextBody"/>
                        <w:bidi w:val="0"/>
                        <w:spacing w:before="0" w:after="0"/>
                        <w:jc w:val="center"/>
                        <w:rPr>
                          <w:rFonts w:ascii="Arial" w:hAnsi="Arial"/>
                          <w:b/>
                          <w:i w:val="false"/>
                          <w:caps w:val="false"/>
                          <w:smallCaps w:val="false"/>
                          <w:color w:val="FE5000"/>
                          <w:sz w:val="36"/>
                        </w:rPr>
                      </w:pPr>
                      <w:r>
                        <w:rPr>
                          <w:rFonts w:ascii="Arial" w:hAnsi="Arial"/>
                          <w:b/>
                          <w:i w:val="false"/>
                          <w:caps w:val="false"/>
                          <w:smallCaps w:val="false"/>
                          <w:color w:val="FE5000"/>
                          <w:sz w:val="36"/>
                        </w:rPr>
                        <w:t>To ensure long-term value creation, the ESG lens must be an integral part of the innovation process.</w:t>
                      </w:r>
                    </w:p>
                    <w:p>
                      <w:pPr>
                        <w:pStyle w:val="TextBody"/>
                        <w:bidi w:val="0"/>
                        <w:spacing w:before="0" w:after="0"/>
                        <w:ind w:left="20" w:right="0" w:hanging="0"/>
                        <w:jc w:val="center"/>
                        <w:rPr>
                          <w:caps w:val="false"/>
                          <w:smallCaps w:val="false"/>
                          <w:color w:val="FE5000"/>
                        </w:rPr>
                      </w:pPr>
                      <w:r>
                        <w:rPr>
                          <w:caps w:val="false"/>
                          <w:smallCaps w:val="false"/>
                          <w:color w:val="FE5000"/>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The initiatives in the innovation portfolio are directly linked to the ambitions prioritized in the sustainability strategy. For example: </w:t>
                      </w:r>
                    </w:p>
                  </w:txbxContent>
                </v:textbox>
                <w10:wrap type="square" side="right"/>
              </v:rect>
            </w:pict>
          </mc:Fallback>
        </mc:AlternateContent>
      </w:r>
      <w:r>
        <mc:AlternateContent>
          <mc:Choice Requires="wps">
            <w:drawing>
              <wp:anchor behindDoc="0" distT="0" distB="0" distL="0" distR="0" simplePos="0" locked="0" layoutInCell="1" allowOverlap="1" relativeHeight="170">
                <wp:simplePos x="0" y="0"/>
                <wp:positionH relativeFrom="column">
                  <wp:align>right</wp:align>
                </wp:positionH>
                <wp:positionV relativeFrom="line">
                  <wp:posOffset>635</wp:posOffset>
                </wp:positionV>
                <wp:extent cx="3110230" cy="3559810"/>
                <wp:effectExtent l="0" t="0" r="0" b="0"/>
                <wp:wrapSquare wrapText="left"/>
                <wp:docPr id="68" name="Frame19"/>
                <a:graphic xmlns:a="http://schemas.openxmlformats.org/drawingml/2006/main">
                  <a:graphicData uri="http://schemas.microsoft.com/office/word/2010/wordprocessingShape">
                    <wps:wsp>
                      <wps:cNvSpPr txBox="1"/>
                      <wps:spPr>
                        <a:xfrm>
                          <a:off x="0" y="0"/>
                          <a:ext cx="3110230" cy="3559810"/>
                        </a:xfrm>
                        <a:prstGeom prst="rect"/>
                        <a:solidFill>
                          <a:srgbClr val="FFFFFF"/>
                        </a:solidFill>
                      </wps:spPr>
                      <wps:txbx>
                        <w:txbxContent>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248150" cy="1657350"/>
                                  <wp:effectExtent l="0" t="0" r="0" b="0"/>
                                  <wp:docPr id="69"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44" descr=""/>
                                          <pic:cNvPicPr>
                                            <a:picLocks noChangeAspect="1" noChangeArrowheads="1"/>
                                          </pic:cNvPicPr>
                                        </pic:nvPicPr>
                                        <pic:blipFill>
                                          <a:blip r:embed="rId51"/>
                                          <a:stretch>
                                            <a:fillRect/>
                                          </a:stretch>
                                        </pic:blipFill>
                                        <pic:spPr bwMode="auto">
                                          <a:xfrm>
                                            <a:off x="0" y="0"/>
                                            <a:ext cx="4248150" cy="16573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We held a “Creating positive impact from innovation” workshop aimed at the design leaders of the key subsidiaries (BCP, Mibanco, Prima AFP, Credicorp Capital, </w:t>
                            </w:r>
                            <w:r>
                              <w:rPr>
                                <w:rFonts w:ascii="Arial" w:hAnsi="Arial"/>
                                <w:b/>
                                <w:i w:val="false"/>
                                <w:caps w:val="false"/>
                                <w:smallCaps w:val="false"/>
                                <w:sz w:val="20"/>
                              </w:rPr>
                              <w:t>Pacífico Seguros,</w:t>
                            </w:r>
                            <w:r>
                              <w:rPr>
                                <w:rFonts w:ascii="Arial" w:hAnsi="Arial"/>
                                <w:b w:val="false"/>
                                <w:i w:val="false"/>
                                <w:caps w:val="false"/>
                                <w:smallCaps w:val="false"/>
                                <w:sz w:val="20"/>
                              </w:rPr>
                              <w:t xml:space="preserve"> Yape and Culqi</w:t>
                            </w:r>
                            <w:r>
                              <w:rPr>
                                <w:rFonts w:ascii="Arial" w:hAnsi="Arial"/>
                                <w:b/>
                                <w:i w:val="false"/>
                                <w:caps w:val="false"/>
                                <w:smallCaps w:val="false"/>
                                <w:sz w:val="20"/>
                              </w:rPr>
                              <w:t xml:space="preserve">) in which we trained more than 50 people. The objective was to raise awareness on sustainability issues and provide tools to integrate sustainability criteria </w:t>
                            </w:r>
                            <w:r>
                              <w:rPr>
                                <w:rFonts w:ascii="Arial" w:hAnsi="Arial"/>
                                <w:b w:val="false"/>
                                <w:i w:val="false"/>
                                <w:caps w:val="false"/>
                                <w:smallCaps w:val="false"/>
                                <w:sz w:val="20"/>
                              </w:rPr>
                              <w:t xml:space="preserve">into </w:t>
                            </w:r>
                            <w:r>
                              <w:rPr>
                                <w:rFonts w:ascii="Arial" w:hAnsi="Arial"/>
                                <w:b/>
                                <w:i w:val="false"/>
                                <w:caps w:val="false"/>
                                <w:smallCaps w:val="false"/>
                                <w:sz w:val="20"/>
                              </w:rPr>
                              <w:t>the innovation processes.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color w:val="FE5000"/>
                                <w:sz w:val="24"/>
                              </w:rPr>
                            </w:pPr>
                            <w:r>
                              <w:rPr>
                                <w:rFonts w:ascii="Arial" w:hAnsi="Arial"/>
                                <w:b/>
                                <w:i w:val="false"/>
                                <w:caps w:val="false"/>
                                <w:smallCaps w:val="false"/>
                                <w:color w:val="FE5000"/>
                                <w:sz w:val="24"/>
                              </w:rPr>
                              <w:t xml:space="preserve">+93% T2B </w:t>
                            </w:r>
                            <w:r>
                              <w:rPr>
                                <w:rFonts w:ascii="Arial" w:hAnsi="Arial"/>
                                <w:b w:val="false"/>
                                <w:i w:val="false"/>
                                <w:caps w:val="false"/>
                                <w:smallCaps w:val="false"/>
                                <w:color w:val="FE5000"/>
                                <w:sz w:val="24"/>
                              </w:rPr>
                              <w:t xml:space="preserve">satisfaction </w:t>
                            </w:r>
                            <w:r>
                              <w:rPr>
                                <w:rFonts w:ascii="Arial" w:hAnsi="Arial"/>
                                <w:b/>
                                <w:i w:val="false"/>
                                <w:caps w:val="false"/>
                                <w:smallCaps w:val="false"/>
                                <w:color w:val="FE5000"/>
                                <w:sz w:val="24"/>
                              </w:rPr>
                              <w:t xml:space="preserve">| 100% T2B </w:t>
                            </w:r>
                            <w:r>
                              <w:rPr>
                                <w:rFonts w:ascii="Arial" w:hAnsi="Arial"/>
                                <w:b w:val="false"/>
                                <w:i w:val="false"/>
                                <w:caps w:val="false"/>
                                <w:smallCaps w:val="false"/>
                                <w:color w:val="FE5000"/>
                                <w:sz w:val="24"/>
                              </w:rPr>
                              <w:t>applicability rate in the workshop</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80.3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248150" cy="1657350"/>
                            <wp:effectExtent l="0" t="0" r="0" b="0"/>
                            <wp:docPr id="7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44" descr=""/>
                                    <pic:cNvPicPr>
                                      <a:picLocks noChangeAspect="1" noChangeArrowheads="1"/>
                                    </pic:cNvPicPr>
                                  </pic:nvPicPr>
                                  <pic:blipFill>
                                    <a:blip r:embed="rId52"/>
                                    <a:stretch>
                                      <a:fillRect/>
                                    </a:stretch>
                                  </pic:blipFill>
                                  <pic:spPr bwMode="auto">
                                    <a:xfrm>
                                      <a:off x="0" y="0"/>
                                      <a:ext cx="4248150" cy="16573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We held a “Creating positive impact from innovation” workshop aimed at the design leaders of the key subsidiaries (BCP, Mibanco, Prima AFP, Credicorp Capital, </w:t>
                      </w:r>
                      <w:r>
                        <w:rPr>
                          <w:rFonts w:ascii="Arial" w:hAnsi="Arial"/>
                          <w:b/>
                          <w:i w:val="false"/>
                          <w:caps w:val="false"/>
                          <w:smallCaps w:val="false"/>
                          <w:sz w:val="20"/>
                        </w:rPr>
                        <w:t>Pacífico Seguros,</w:t>
                      </w:r>
                      <w:r>
                        <w:rPr>
                          <w:rFonts w:ascii="Arial" w:hAnsi="Arial"/>
                          <w:b w:val="false"/>
                          <w:i w:val="false"/>
                          <w:caps w:val="false"/>
                          <w:smallCaps w:val="false"/>
                          <w:sz w:val="20"/>
                        </w:rPr>
                        <w:t xml:space="preserve"> Yape and Culqi</w:t>
                      </w:r>
                      <w:r>
                        <w:rPr>
                          <w:rFonts w:ascii="Arial" w:hAnsi="Arial"/>
                          <w:b/>
                          <w:i w:val="false"/>
                          <w:caps w:val="false"/>
                          <w:smallCaps w:val="false"/>
                          <w:sz w:val="20"/>
                        </w:rPr>
                        <w:t xml:space="preserve">) in which we trained more than 50 people. The objective was to raise awareness on sustainability issues and provide tools to integrate sustainability criteria </w:t>
                      </w:r>
                      <w:r>
                        <w:rPr>
                          <w:rFonts w:ascii="Arial" w:hAnsi="Arial"/>
                          <w:b w:val="false"/>
                          <w:i w:val="false"/>
                          <w:caps w:val="false"/>
                          <w:smallCaps w:val="false"/>
                          <w:sz w:val="20"/>
                        </w:rPr>
                        <w:t xml:space="preserve">into </w:t>
                      </w:r>
                      <w:r>
                        <w:rPr>
                          <w:rFonts w:ascii="Arial" w:hAnsi="Arial"/>
                          <w:b/>
                          <w:i w:val="false"/>
                          <w:caps w:val="false"/>
                          <w:smallCaps w:val="false"/>
                          <w:sz w:val="20"/>
                        </w:rPr>
                        <w:t>the innovation processes.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color w:val="FE5000"/>
                          <w:sz w:val="24"/>
                        </w:rPr>
                      </w:pPr>
                      <w:r>
                        <w:rPr>
                          <w:rFonts w:ascii="Arial" w:hAnsi="Arial"/>
                          <w:b/>
                          <w:i w:val="false"/>
                          <w:caps w:val="false"/>
                          <w:smallCaps w:val="false"/>
                          <w:color w:val="FE5000"/>
                          <w:sz w:val="24"/>
                        </w:rPr>
                        <w:t xml:space="preserve">+93% T2B </w:t>
                      </w:r>
                      <w:r>
                        <w:rPr>
                          <w:rFonts w:ascii="Arial" w:hAnsi="Arial"/>
                          <w:b w:val="false"/>
                          <w:i w:val="false"/>
                          <w:caps w:val="false"/>
                          <w:smallCaps w:val="false"/>
                          <w:color w:val="FE5000"/>
                          <w:sz w:val="24"/>
                        </w:rPr>
                        <w:t xml:space="preserve">satisfaction </w:t>
                      </w:r>
                      <w:r>
                        <w:rPr>
                          <w:rFonts w:ascii="Arial" w:hAnsi="Arial"/>
                          <w:b/>
                          <w:i w:val="false"/>
                          <w:caps w:val="false"/>
                          <w:smallCaps w:val="false"/>
                          <w:color w:val="FE5000"/>
                          <w:sz w:val="24"/>
                        </w:rPr>
                        <w:t xml:space="preserve">| 100% T2B </w:t>
                      </w:r>
                      <w:r>
                        <w:rPr>
                          <w:rFonts w:ascii="Arial" w:hAnsi="Arial"/>
                          <w:b w:val="false"/>
                          <w:i w:val="false"/>
                          <w:caps w:val="false"/>
                          <w:smallCaps w:val="false"/>
                          <w:color w:val="FE5000"/>
                          <w:sz w:val="24"/>
                        </w:rPr>
                        <w:t>applicability rate in the workshop</w:t>
                      </w:r>
                    </w:p>
                  </w:txbxContent>
                </v:textbox>
                <w10:wrap type="square" side="left"/>
              </v:rect>
            </w:pict>
          </mc:Fallback>
        </mc:AlternateContent>
      </w:r>
    </w:p>
    <w:p>
      <w:pPr>
        <w:pStyle w:val="TextBody"/>
        <w:bidi w:val="0"/>
        <w:spacing w:before="200" w:after="200"/>
        <w:jc w:val="center"/>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14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both"/>
        <w:rPr>
          <w:caps w:val="false"/>
          <w:smallCaps w:val="false"/>
        </w:rPr>
      </w:pPr>
      <w:r>
        <w:rPr>
          <w:caps w:val="false"/>
          <w:smallCaps w:val="false"/>
        </w:rPr>
        <w:t>  </w:t>
      </w:r>
      <w:r>
        <mc:AlternateContent>
          <mc:Choice Requires="wps">
            <w:drawing>
              <wp:anchor behindDoc="0" distT="0" distB="0" distL="0" distR="0" simplePos="0" locked="0" layoutInCell="1" allowOverlap="1" relativeHeight="259">
                <wp:simplePos x="0" y="0"/>
                <wp:positionH relativeFrom="column">
                  <wp:align>left</wp:align>
                </wp:positionH>
                <wp:positionV relativeFrom="line">
                  <wp:posOffset>635</wp:posOffset>
                </wp:positionV>
                <wp:extent cx="3110230" cy="1548130"/>
                <wp:effectExtent l="0" t="0" r="0" b="0"/>
                <wp:wrapSquare wrapText="right"/>
                <wp:docPr id="71" name="Frame20"/>
                <a:graphic xmlns:a="http://schemas.openxmlformats.org/drawingml/2006/main">
                  <a:graphicData uri="http://schemas.microsoft.com/office/word/2010/wordprocessingShape">
                    <wps:wsp>
                      <wps:cNvSpPr txBox="1"/>
                      <wps:spPr>
                        <a:xfrm>
                          <a:off x="0" y="0"/>
                          <a:ext cx="3110230" cy="1548130"/>
                        </a:xfrm>
                        <a:prstGeom prst="rect"/>
                        <a:solidFill>
                          <a:srgbClr val="FFFFFF"/>
                        </a:solidFill>
                      </wps:spPr>
                      <wps:txbx>
                        <w:txbxContent>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2. SOCIAL MANAGEMENT</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The social challenges facing our region are complex and require joint and collaborative work. We strengthen the positive impact of our initiatives through efforts with different actors: companies, our employees, institutions, and society in general. We also generate and share knowledge that can serve everyone through instruments such as the </w:t>
                            </w:r>
                            <w:r>
                              <w:rPr>
                                <w:rFonts w:ascii="Arial" w:hAnsi="Arial"/>
                                <w:b/>
                                <w:i w:val="false"/>
                                <w:caps w:val="false"/>
                                <w:smallCaps w:val="false"/>
                                <w:sz w:val="20"/>
                              </w:rPr>
                              <w:t>Credicorp Financial Inclusion Index.</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21.9pt;mso-wrap-distance-left:0pt;mso-wrap-distance-right:0pt;mso-wrap-distance-top:0pt;mso-wrap-distance-bottom:0pt;margin-top:0pt;mso-position-vertical:top;mso-position-vertical-relative:text;margin-left:244.9pt;mso-position-horizontal:left;mso-position-horizontal-relative:text">
                <v:textbox>
                  <w:txbxContent>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2. SOCIAL MANAGEMENT</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The social challenges facing our region are complex and require joint and collaborative work. We strengthen the positive impact of our initiatives through efforts with different actors: companies, our employees, institutions, and society in general. We also generate and share knowledge that can serve everyone through instruments such as the </w:t>
                      </w:r>
                      <w:r>
                        <w:rPr>
                          <w:rFonts w:ascii="Arial" w:hAnsi="Arial"/>
                          <w:b/>
                          <w:i w:val="false"/>
                          <w:caps w:val="false"/>
                          <w:smallCaps w:val="false"/>
                          <w:sz w:val="20"/>
                        </w:rPr>
                        <w:t>Credicorp Financial Inclusion Index.</w:t>
                      </w:r>
                    </w:p>
                  </w:txbxContent>
                </v:textbox>
                <w10:wrap type="square" side="right"/>
              </v:rect>
            </w:pict>
          </mc:Fallback>
        </mc:AlternateContent>
      </w:r>
    </w:p>
    <w:p>
      <w:pPr>
        <w:pStyle w:val="TextBody"/>
        <w:bidi w:val="0"/>
        <w:spacing w:before="200" w:after="200"/>
        <w:jc w:val="center"/>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15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olumn">
                  <wp:align>left</wp:align>
                </wp:positionH>
                <wp:positionV relativeFrom="line">
                  <wp:posOffset>635</wp:posOffset>
                </wp:positionV>
                <wp:extent cx="3110230" cy="5760720"/>
                <wp:effectExtent l="0" t="0" r="0" b="0"/>
                <wp:wrapSquare wrapText="right"/>
                <wp:docPr id="72" name="Frame21"/>
                <a:graphic xmlns:a="http://schemas.openxmlformats.org/drawingml/2006/main">
                  <a:graphicData uri="http://schemas.microsoft.com/office/word/2010/wordprocessingShape">
                    <wps:wsp>
                      <wps:cNvSpPr txBox="1"/>
                      <wps:spPr>
                        <a:xfrm>
                          <a:off x="0" y="0"/>
                          <a:ext cx="3110230" cy="5760720"/>
                        </a:xfrm>
                        <a:prstGeom prst="rect"/>
                        <a:solidFill>
                          <a:srgbClr val="FFFFFF"/>
                        </a:solidFill>
                      </wps:spPr>
                      <wps:txbx>
                        <w:txbxContent>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2.1. THE SOCIAL IMPACT OF OUR BUSINESS</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Topics Materials Financial Inclusion and Education / Simplicity, transparency and client experience / Inclusion of diversity and equal opportunities, Responsible finance and investment GRI 3-3, 203-1, 203-2, 417-1 SASB FN-CB-410a.2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2.1.1. Comprehensive inclusion and financial education</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At Credicorp, we bring a holistic vision to promoting financial inclusion and education so that more people and businesses become financially empowered, build good credit records, and lead a healthy and mutually beneficial relationship with the financial sector. Our goal is to contribute to the well-being of people through a value proposition that responds to their needs and allows them to improve their quality of life. We particularly focus on vulnerable individuals.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color w:val="FF7334"/>
                                <w:sz w:val="36"/>
                              </w:rPr>
                            </w:pPr>
                            <w:r>
                              <w:rPr>
                                <w:rFonts w:ascii="Arial" w:hAnsi="Arial"/>
                                <w:b/>
                                <w:i w:val="false"/>
                                <w:caps w:val="false"/>
                                <w:smallCaps w:val="false"/>
                                <w:color w:val="FF7334"/>
                                <w:sz w:val="36"/>
                              </w:rPr>
                              <w:t>Financial inclusion contributes to people’s well-being.</w:t>
                            </w:r>
                          </w:p>
                          <w:p>
                            <w:pPr>
                              <w:pStyle w:val="TextBody"/>
                              <w:bidi w:val="0"/>
                              <w:spacing w:before="0" w:after="0"/>
                              <w:ind w:left="0" w:right="0" w:hanging="0"/>
                              <w:jc w:val="both"/>
                              <w:rPr>
                                <w:caps w:val="false"/>
                                <w:smallCaps w:val="false"/>
                                <w:color w:val="FF7334"/>
                              </w:rPr>
                            </w:pPr>
                            <w:r>
                              <w:rPr>
                                <w:caps w:val="false"/>
                                <w:smallCaps w:val="false"/>
                                <w:color w:val="FF7334"/>
                              </w:rPr>
                              <w:t> </w:t>
                            </w:r>
                          </w:p>
                          <w:p>
                            <w:pPr>
                              <w:pStyle w:val="TextBody"/>
                              <w:bidi w:val="0"/>
                              <w:spacing w:before="0" w:after="0"/>
                              <w:jc w:val="center"/>
                              <w:rPr>
                                <w:caps w:val="false"/>
                                <w:smallCaps w:val="false"/>
                              </w:rPr>
                            </w:pPr>
                            <w:r>
                              <w:rPr>
                                <w:caps w:val="false"/>
                                <w:smallCaps w:val="false"/>
                              </w:rPr>
                              <w:drawing>
                                <wp:inline distT="0" distB="0" distL="0" distR="0">
                                  <wp:extent cx="2695575" cy="1200150"/>
                                  <wp:effectExtent l="0" t="0" r="0" b="0"/>
                                  <wp:docPr id="7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45" descr=""/>
                                          <pic:cNvPicPr>
                                            <a:picLocks noChangeAspect="1" noChangeArrowheads="1"/>
                                          </pic:cNvPicPr>
                                        </pic:nvPicPr>
                                        <pic:blipFill>
                                          <a:blip r:embed="rId53"/>
                                          <a:stretch>
                                            <a:fillRect/>
                                          </a:stretch>
                                        </pic:blipFill>
                                        <pic:spPr bwMode="auto">
                                          <a:xfrm>
                                            <a:off x="0" y="0"/>
                                            <a:ext cx="2695575" cy="1200150"/>
                                          </a:xfrm>
                                          <a:prstGeom prst="rect">
                                            <a:avLst/>
                                          </a:prstGeom>
                                        </pic:spPr>
                                      </pic:pic>
                                    </a:graphicData>
                                  </a:graphic>
                                </wp:inline>
                              </w:drawing>
                            </w:r>
                            <w:r>
                              <w:rPr>
                                <w:caps w:val="false"/>
                                <w:smallCaps w:val="false"/>
                                <w:color w:val="FF7334"/>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53.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2.1. THE SOCIAL IMPACT OF OUR BUSINESS</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Topics Materials Financial Inclusion and Education / Simplicity, transparency and client experience / Inclusion of diversity and equal opportunities, Responsible finance and investment GRI 3-3, 203-1, 203-2, 417-1 SASB FN-CB-410a.2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2.1.1. Comprehensive inclusion and financial education</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At Credicorp, we bring a holistic vision to promoting financial inclusion and education so that more people and businesses become financially empowered, build good credit records, and lead a healthy and mutually beneficial relationship with the financial sector. Our goal is to contribute to the well-being of people through a value proposition that responds to their needs and allows them to improve their quality of life. We particularly focus on vulnerable individuals.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color w:val="FF7334"/>
                          <w:sz w:val="36"/>
                        </w:rPr>
                      </w:pPr>
                      <w:r>
                        <w:rPr>
                          <w:rFonts w:ascii="Arial" w:hAnsi="Arial"/>
                          <w:b/>
                          <w:i w:val="false"/>
                          <w:caps w:val="false"/>
                          <w:smallCaps w:val="false"/>
                          <w:color w:val="FF7334"/>
                          <w:sz w:val="36"/>
                        </w:rPr>
                        <w:t>Financial inclusion contributes to people’s well-being.</w:t>
                      </w:r>
                    </w:p>
                    <w:p>
                      <w:pPr>
                        <w:pStyle w:val="TextBody"/>
                        <w:bidi w:val="0"/>
                        <w:spacing w:before="0" w:after="0"/>
                        <w:ind w:left="0" w:right="0" w:hanging="0"/>
                        <w:jc w:val="both"/>
                        <w:rPr>
                          <w:caps w:val="false"/>
                          <w:smallCaps w:val="false"/>
                          <w:color w:val="FF7334"/>
                        </w:rPr>
                      </w:pPr>
                      <w:r>
                        <w:rPr>
                          <w:caps w:val="false"/>
                          <w:smallCaps w:val="false"/>
                          <w:color w:val="FF7334"/>
                        </w:rPr>
                        <w:t> </w:t>
                      </w:r>
                    </w:p>
                    <w:p>
                      <w:pPr>
                        <w:pStyle w:val="TextBody"/>
                        <w:bidi w:val="0"/>
                        <w:spacing w:before="0" w:after="0"/>
                        <w:jc w:val="center"/>
                        <w:rPr>
                          <w:caps w:val="false"/>
                          <w:smallCaps w:val="false"/>
                        </w:rPr>
                      </w:pPr>
                      <w:r>
                        <w:rPr>
                          <w:caps w:val="false"/>
                          <w:smallCaps w:val="false"/>
                        </w:rPr>
                        <w:drawing>
                          <wp:inline distT="0" distB="0" distL="0" distR="0">
                            <wp:extent cx="2695575" cy="1200150"/>
                            <wp:effectExtent l="0" t="0" r="0" b="0"/>
                            <wp:docPr id="74"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45" descr=""/>
                                    <pic:cNvPicPr>
                                      <a:picLocks noChangeAspect="1" noChangeArrowheads="1"/>
                                    </pic:cNvPicPr>
                                  </pic:nvPicPr>
                                  <pic:blipFill>
                                    <a:blip r:embed="rId54"/>
                                    <a:stretch>
                                      <a:fillRect/>
                                    </a:stretch>
                                  </pic:blipFill>
                                  <pic:spPr bwMode="auto">
                                    <a:xfrm>
                                      <a:off x="0" y="0"/>
                                      <a:ext cx="2695575" cy="1200150"/>
                                    </a:xfrm>
                                    <a:prstGeom prst="rect">
                                      <a:avLst/>
                                    </a:prstGeom>
                                  </pic:spPr>
                                </pic:pic>
                              </a:graphicData>
                            </a:graphic>
                          </wp:inline>
                        </w:drawing>
                      </w:r>
                      <w:r>
                        <w:rPr>
                          <w:caps w:val="false"/>
                          <w:smallCaps w:val="false"/>
                          <w:color w:val="FF7334"/>
                        </w:rPr>
                        <w:t> </w:t>
                      </w:r>
                    </w:p>
                  </w:txbxContent>
                </v:textbox>
                <w10:wrap type="square" side="right"/>
              </v:rect>
            </w:pict>
          </mc:Fallback>
        </mc:AlternateContent>
      </w:r>
      <w:r>
        <mc:AlternateContent>
          <mc:Choice Requires="wps">
            <w:drawing>
              <wp:anchor behindDoc="0" distT="0" distB="0" distL="0" distR="0" simplePos="0" locked="0" layoutInCell="1" allowOverlap="1" relativeHeight="180">
                <wp:simplePos x="0" y="0"/>
                <wp:positionH relativeFrom="column">
                  <wp:align>right</wp:align>
                </wp:positionH>
                <wp:positionV relativeFrom="line">
                  <wp:posOffset>635</wp:posOffset>
                </wp:positionV>
                <wp:extent cx="3110230" cy="4850765"/>
                <wp:effectExtent l="0" t="0" r="0" b="0"/>
                <wp:wrapSquare wrapText="left"/>
                <wp:docPr id="75" name="Frame22"/>
                <a:graphic xmlns:a="http://schemas.openxmlformats.org/drawingml/2006/main">
                  <a:graphicData uri="http://schemas.microsoft.com/office/word/2010/wordprocessingShape">
                    <wps:wsp>
                      <wps:cNvSpPr txBox="1"/>
                      <wps:spPr>
                        <a:xfrm>
                          <a:off x="0" y="0"/>
                          <a:ext cx="3110230" cy="4850765"/>
                        </a:xfrm>
                        <a:prstGeom prst="rect"/>
                        <a:solidFill>
                          <a:srgbClr val="FFFFFF"/>
                        </a:solidFill>
                      </wps:spPr>
                      <wps:txbx>
                        <w:txbxContent>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10205" w:type="dxa"/>
                              <w:jc w:val="left"/>
                              <w:tblInd w:w="0" w:type="dxa"/>
                              <w:shd w:fill="FF7334" w:val="clear"/>
                              <w:tblLayout w:type="fixed"/>
                              <w:tblCellMar>
                                <w:top w:w="0" w:type="dxa"/>
                                <w:left w:w="0" w:type="dxa"/>
                                <w:bottom w:w="0" w:type="dxa"/>
                                <w:right w:w="0" w:type="dxa"/>
                              </w:tblCellMar>
                            </w:tblPr>
                            <w:tblGrid>
                              <w:gridCol w:w="10205"/>
                            </w:tblGrid>
                            <w:tr>
                              <w:trPr/>
                              <w:tc>
                                <w:tcPr>
                                  <w:tcW w:w="10205" w:type="dxa"/>
                                  <w:tcBorders/>
                                  <w:shd w:fill="FF7334" w:val="clear"/>
                                  <w:vAlign w:val="center"/>
                                </w:tcPr>
                                <w:p>
                                  <w:pPr>
                                    <w:pStyle w:val="TableContents"/>
                                    <w:bidi w:val="0"/>
                                    <w:spacing w:before="0" w:after="283"/>
                                    <w:jc w:val="center"/>
                                    <w:rPr>
                                      <w:rFonts w:ascii="Arial" w:hAnsi="Arial"/>
                                      <w:b/>
                                      <w:color w:val="FFFFFF"/>
                                      <w:sz w:val="30"/>
                                    </w:rPr>
                                  </w:pPr>
                                  <w:r>
                                    <w:rPr>
                                      <w:rFonts w:ascii="Arial" w:hAnsi="Arial"/>
                                      <w:b/>
                                      <w:color w:val="FFFFFF"/>
                                      <w:sz w:val="30"/>
                                    </w:rPr>
                                    <w:t>The Credicorp Financial Inclusion Index</w:t>
                                  </w:r>
                                </w:p>
                              </w:tc>
                            </w:tr>
                            <w:tr>
                              <w:trPr/>
                              <w:tc>
                                <w:tcPr>
                                  <w:tcW w:w="10205" w:type="dxa"/>
                                  <w:tcBorders/>
                                  <w:shd w:fill="FF7334" w:val="clear"/>
                                  <w:vAlign w:val="center"/>
                                </w:tcPr>
                                <w:p>
                                  <w:pPr>
                                    <w:pStyle w:val="TableContents"/>
                                    <w:bidi w:val="0"/>
                                    <w:jc w:val="both"/>
                                    <w:rPr>
                                      <w:sz w:val="20"/>
                                    </w:rPr>
                                  </w:pPr>
                                  <w:r>
                                    <w:rPr>
                                      <w:rFonts w:ascii="Arial" w:hAnsi="Arial"/>
                                      <w:color w:val="FFFFFF"/>
                                      <w:sz w:val="20"/>
                                    </w:rPr>
                                    <w:t xml:space="preserve">Aware of the need to deepen how we understand financial inclusion, Credicorp began a </w:t>
                                  </w:r>
                                  <w:r>
                                    <w:rPr>
                                      <w:rFonts w:ascii="Arial" w:hAnsi="Arial"/>
                                      <w:b/>
                                      <w:color w:val="FFFFFF"/>
                                      <w:sz w:val="20"/>
                                    </w:rPr>
                                    <w:t xml:space="preserve">partnership </w:t>
                                  </w:r>
                                  <w:r>
                                    <w:rPr>
                                      <w:rFonts w:ascii="Arial" w:hAnsi="Arial"/>
                                      <w:color w:val="FFFFFF"/>
                                      <w:sz w:val="20"/>
                                    </w:rPr>
                                    <w:t>in 2021 with IPSOS to develop the Credicorp Financial Inclusion Index. This tool measures and monitors how financial inclusion is evolving across eight countries in Latin America. Now that it has been in operation for three straight years, the index is beginning to reveal trends.</w:t>
                                  </w:r>
                                  <w:r>
                                    <w:rPr>
                                      <w:sz w:val="20"/>
                                    </w:rPr>
                                    <w:t xml:space="preserve"> </w:t>
                                  </w:r>
                                </w:p>
                                <w:p>
                                  <w:pPr>
                                    <w:pStyle w:val="TableContents"/>
                                    <w:bidi w:val="0"/>
                                    <w:spacing w:before="0" w:after="283"/>
                                    <w:ind w:left="0" w:right="0" w:hanging="0"/>
                                    <w:jc w:val="both"/>
                                    <w:rPr/>
                                  </w:pPr>
                                  <w:r>
                                    <w:rPr/>
                                    <w:t> </w:t>
                                  </w:r>
                                </w:p>
                              </w:tc>
                            </w:tr>
                            <w:tr>
                              <w:trPr/>
                              <w:tc>
                                <w:tcPr>
                                  <w:tcW w:w="10205" w:type="dxa"/>
                                  <w:tcBorders/>
                                  <w:shd w:fill="FF7334" w:val="clear"/>
                                  <w:vAlign w:val="center"/>
                                </w:tcPr>
                                <w:p>
                                  <w:pPr>
                                    <w:pStyle w:val="TableContents"/>
                                    <w:bidi w:val="0"/>
                                    <w:jc w:val="center"/>
                                    <w:rPr/>
                                  </w:pPr>
                                  <w:r>
                                    <w:rPr/>
                                    <w:drawing>
                                      <wp:inline distT="0" distB="0" distL="0" distR="0">
                                        <wp:extent cx="3905250" cy="752475"/>
                                        <wp:effectExtent l="0" t="0" r="0" b="0"/>
                                        <wp:docPr id="7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46" descr=""/>
                                                <pic:cNvPicPr>
                                                  <a:picLocks noChangeAspect="1" noChangeArrowheads="1"/>
                                                </pic:cNvPicPr>
                                              </pic:nvPicPr>
                                              <pic:blipFill>
                                                <a:blip r:embed="rId55"/>
                                                <a:stretch>
                                                  <a:fillRect/>
                                                </a:stretch>
                                              </pic:blipFill>
                                              <pic:spPr bwMode="auto">
                                                <a:xfrm>
                                                  <a:off x="0" y="0"/>
                                                  <a:ext cx="3905250" cy="752475"/>
                                                </a:xfrm>
                                                <a:prstGeom prst="rect">
                                                  <a:avLst/>
                                                </a:prstGeom>
                                              </pic:spPr>
                                            </pic:pic>
                                          </a:graphicData>
                                        </a:graphic>
                                      </wp:inline>
                                    </w:drawing>
                                  </w:r>
                                </w:p>
                                <w:p>
                                  <w:pPr>
                                    <w:pStyle w:val="TableContents"/>
                                    <w:bidi w:val="0"/>
                                    <w:spacing w:before="0" w:after="283"/>
                                    <w:jc w:val="center"/>
                                    <w:rPr>
                                      <w:color w:val="FFFFFF"/>
                                    </w:rPr>
                                  </w:pPr>
                                  <w:r>
                                    <w:rPr>
                                      <w:color w:val="FFFFFF"/>
                                    </w:rPr>
                                    <w:t> </w:t>
                                  </w:r>
                                </w:p>
                              </w:tc>
                            </w:tr>
                            <w:tr>
                              <w:trPr/>
                              <w:tc>
                                <w:tcPr>
                                  <w:tcW w:w="10205" w:type="dxa"/>
                                  <w:tcBorders/>
                                  <w:shd w:fill="FF7334" w:val="clear"/>
                                  <w:vAlign w:val="center"/>
                                </w:tcPr>
                                <w:p>
                                  <w:pPr>
                                    <w:pStyle w:val="TableContents"/>
                                    <w:bidi w:val="0"/>
                                    <w:spacing w:before="0" w:after="0"/>
                                    <w:ind w:left="0" w:right="0" w:hanging="0"/>
                                    <w:jc w:val="both"/>
                                    <w:rPr>
                                      <w:rFonts w:ascii="Arial" w:hAnsi="Arial"/>
                                      <w:b w:val="false"/>
                                      <w:i w:val="false"/>
                                      <w:caps w:val="false"/>
                                      <w:smallCaps w:val="false"/>
                                      <w:color w:val="FFFFFF"/>
                                      <w:sz w:val="20"/>
                                    </w:rPr>
                                  </w:pPr>
                                  <w:r>
                                    <w:rPr>
                                      <w:rFonts w:ascii="Arial" w:hAnsi="Arial"/>
                                      <w:b w:val="false"/>
                                      <w:i w:val="false"/>
                                      <w:caps w:val="false"/>
                                      <w:smallCaps w:val="false"/>
                                      <w:color w:val="FFFFFF"/>
                                      <w:sz w:val="20"/>
                                    </w:rPr>
                                    <w:t>Of the three dimensions it measures—access, use and perceived quality—the least developed in the region are use (30.5 out of 100) and access (45.1 out of 100). The challenge this finding presents demands joint efforts by multiple actors.</w:t>
                                  </w:r>
                                </w:p>
                                <w:p>
                                  <w:pPr>
                                    <w:pStyle w:val="TableContents"/>
                                    <w:bidi w:val="0"/>
                                    <w:spacing w:before="0" w:after="0"/>
                                    <w:ind w:left="0" w:right="0" w:hanging="0"/>
                                    <w:jc w:val="both"/>
                                    <w:rPr>
                                      <w:caps w:val="false"/>
                                      <w:smallCaps w:val="false"/>
                                      <w:color w:val="FFFFFF"/>
                                    </w:rPr>
                                  </w:pPr>
                                  <w:r>
                                    <w:rPr>
                                      <w:caps w:val="false"/>
                                      <w:smallCaps w:val="false"/>
                                      <w:color w:val="FFFFFF"/>
                                    </w:rPr>
                                    <w:t> </w:t>
                                  </w:r>
                                </w:p>
                                <w:p>
                                  <w:pPr>
                                    <w:pStyle w:val="TableContents"/>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color w:val="FFFFFF"/>
                                      <w:sz w:val="20"/>
                                    </w:rPr>
                                    <w:t xml:space="preserve">In Credicorp’s role as a change agent, we publish the annual index results on our website and undertake numerous dissemination activities across the eight countries. With its growing use and dissemination, the index has become a highly complete and updated map of the state of financial inclusion in Latin America. As such, it is now a valuable tool for </w:t>
                                  </w:r>
                                  <w:r>
                                    <w:rPr>
                                      <w:rFonts w:ascii="Arial" w:hAnsi="Arial"/>
                                      <w:b/>
                                      <w:i w:val="false"/>
                                      <w:caps w:val="false"/>
                                      <w:smallCaps w:val="false"/>
                                      <w:color w:val="FFFFFF"/>
                                      <w:sz w:val="20"/>
                                    </w:rPr>
                                    <w:t xml:space="preserve">monitoring, analysis, and debate </w:t>
                                  </w:r>
                                  <w:r>
                                    <w:rPr>
                                      <w:rFonts w:ascii="Arial" w:hAnsi="Arial"/>
                                      <w:b w:val="false"/>
                                      <w:i w:val="false"/>
                                      <w:caps w:val="false"/>
                                      <w:smallCaps w:val="false"/>
                                      <w:color w:val="FFFFFF"/>
                                      <w:sz w:val="20"/>
                                    </w:rPr>
                                    <w:t xml:space="preserve">and spurs us to continue working on our strategy and action plans. Further details are available here: </w:t>
                                  </w:r>
                                  <w:r>
                                    <w:rPr>
                                      <w:rFonts w:ascii="Arial" w:hAnsi="Arial"/>
                                      <w:b w:val="false"/>
                                      <w:i w:val="false"/>
                                      <w:caps w:val="false"/>
                                      <w:smallCaps w:val="false"/>
                                      <w:color w:val="0000FF"/>
                                      <w:sz w:val="20"/>
                                      <w:u w:val="single"/>
                                    </w:rPr>
                                    <w:t>Credicorp Financial Inclusion Index 2023</w:t>
                                  </w:r>
                                  <w:r>
                                    <w:rPr>
                                      <w:rFonts w:ascii="Arial" w:hAnsi="Arial"/>
                                      <w:b w:val="false"/>
                                      <w:i w:val="false"/>
                                      <w:caps w:val="false"/>
                                      <w:smallCaps w:val="false"/>
                                      <w:color w:val="FFFFFF"/>
                                      <w:sz w:val="20"/>
                                      <w:u w:val="single"/>
                                    </w:rPr>
                                    <w:t>.</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caps w:val="false"/>
                                <w:smallCaps w:val="false"/>
                                <w:color w:val="FF0000"/>
                              </w:rPr>
                            </w:pPr>
                            <w:r>
                              <w:rPr>
                                <w:caps w:val="false"/>
                                <w:smallCaps w:val="false"/>
                                <w:color w:val="FF0000"/>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81.9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10205" w:type="dxa"/>
                        <w:jc w:val="left"/>
                        <w:tblInd w:w="0" w:type="dxa"/>
                        <w:shd w:fill="FF7334" w:val="clear"/>
                        <w:tblLayout w:type="fixed"/>
                        <w:tblCellMar>
                          <w:top w:w="0" w:type="dxa"/>
                          <w:left w:w="0" w:type="dxa"/>
                          <w:bottom w:w="0" w:type="dxa"/>
                          <w:right w:w="0" w:type="dxa"/>
                        </w:tblCellMar>
                      </w:tblPr>
                      <w:tblGrid>
                        <w:gridCol w:w="10205"/>
                      </w:tblGrid>
                      <w:tr>
                        <w:trPr/>
                        <w:tc>
                          <w:tcPr>
                            <w:tcW w:w="10205" w:type="dxa"/>
                            <w:tcBorders/>
                            <w:shd w:fill="FF7334" w:val="clear"/>
                            <w:vAlign w:val="center"/>
                          </w:tcPr>
                          <w:p>
                            <w:pPr>
                              <w:pStyle w:val="TableContents"/>
                              <w:bidi w:val="0"/>
                              <w:spacing w:before="0" w:after="283"/>
                              <w:jc w:val="center"/>
                              <w:rPr>
                                <w:rFonts w:ascii="Arial" w:hAnsi="Arial"/>
                                <w:b/>
                                <w:color w:val="FFFFFF"/>
                                <w:sz w:val="30"/>
                              </w:rPr>
                            </w:pPr>
                            <w:r>
                              <w:rPr>
                                <w:rFonts w:ascii="Arial" w:hAnsi="Arial"/>
                                <w:b/>
                                <w:color w:val="FFFFFF"/>
                                <w:sz w:val="30"/>
                              </w:rPr>
                              <w:t>The Credicorp Financial Inclusion Index</w:t>
                            </w:r>
                          </w:p>
                        </w:tc>
                      </w:tr>
                      <w:tr>
                        <w:trPr/>
                        <w:tc>
                          <w:tcPr>
                            <w:tcW w:w="10205" w:type="dxa"/>
                            <w:tcBorders/>
                            <w:shd w:fill="FF7334" w:val="clear"/>
                            <w:vAlign w:val="center"/>
                          </w:tcPr>
                          <w:p>
                            <w:pPr>
                              <w:pStyle w:val="TableContents"/>
                              <w:bidi w:val="0"/>
                              <w:jc w:val="both"/>
                              <w:rPr>
                                <w:sz w:val="20"/>
                              </w:rPr>
                            </w:pPr>
                            <w:r>
                              <w:rPr>
                                <w:rFonts w:ascii="Arial" w:hAnsi="Arial"/>
                                <w:color w:val="FFFFFF"/>
                                <w:sz w:val="20"/>
                              </w:rPr>
                              <w:t xml:space="preserve">Aware of the need to deepen how we understand financial inclusion, Credicorp began a </w:t>
                            </w:r>
                            <w:r>
                              <w:rPr>
                                <w:rFonts w:ascii="Arial" w:hAnsi="Arial"/>
                                <w:b/>
                                <w:color w:val="FFFFFF"/>
                                <w:sz w:val="20"/>
                              </w:rPr>
                              <w:t xml:space="preserve">partnership </w:t>
                            </w:r>
                            <w:r>
                              <w:rPr>
                                <w:rFonts w:ascii="Arial" w:hAnsi="Arial"/>
                                <w:color w:val="FFFFFF"/>
                                <w:sz w:val="20"/>
                              </w:rPr>
                              <w:t>in 2021 with IPSOS to develop the Credicorp Financial Inclusion Index. This tool measures and monitors how financial inclusion is evolving across eight countries in Latin America. Now that it has been in operation for three straight years, the index is beginning to reveal trends.</w:t>
                            </w:r>
                            <w:r>
                              <w:rPr>
                                <w:sz w:val="20"/>
                              </w:rPr>
                              <w:t xml:space="preserve"> </w:t>
                            </w:r>
                          </w:p>
                          <w:p>
                            <w:pPr>
                              <w:pStyle w:val="TableContents"/>
                              <w:bidi w:val="0"/>
                              <w:spacing w:before="0" w:after="283"/>
                              <w:ind w:left="0" w:right="0" w:hanging="0"/>
                              <w:jc w:val="both"/>
                              <w:rPr/>
                            </w:pPr>
                            <w:r>
                              <w:rPr/>
                              <w:t> </w:t>
                            </w:r>
                          </w:p>
                        </w:tc>
                      </w:tr>
                      <w:tr>
                        <w:trPr/>
                        <w:tc>
                          <w:tcPr>
                            <w:tcW w:w="10205" w:type="dxa"/>
                            <w:tcBorders/>
                            <w:shd w:fill="FF7334" w:val="clear"/>
                            <w:vAlign w:val="center"/>
                          </w:tcPr>
                          <w:p>
                            <w:pPr>
                              <w:pStyle w:val="TableContents"/>
                              <w:bidi w:val="0"/>
                              <w:jc w:val="center"/>
                              <w:rPr/>
                            </w:pPr>
                            <w:r>
                              <w:rPr/>
                              <w:drawing>
                                <wp:inline distT="0" distB="0" distL="0" distR="0">
                                  <wp:extent cx="3905250" cy="752475"/>
                                  <wp:effectExtent l="0" t="0" r="0" b="0"/>
                                  <wp:docPr id="7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46" descr=""/>
                                          <pic:cNvPicPr>
                                            <a:picLocks noChangeAspect="1" noChangeArrowheads="1"/>
                                          </pic:cNvPicPr>
                                        </pic:nvPicPr>
                                        <pic:blipFill>
                                          <a:blip r:embed="rId56"/>
                                          <a:stretch>
                                            <a:fillRect/>
                                          </a:stretch>
                                        </pic:blipFill>
                                        <pic:spPr bwMode="auto">
                                          <a:xfrm>
                                            <a:off x="0" y="0"/>
                                            <a:ext cx="3905250" cy="752475"/>
                                          </a:xfrm>
                                          <a:prstGeom prst="rect">
                                            <a:avLst/>
                                          </a:prstGeom>
                                        </pic:spPr>
                                      </pic:pic>
                                    </a:graphicData>
                                  </a:graphic>
                                </wp:inline>
                              </w:drawing>
                            </w:r>
                          </w:p>
                          <w:p>
                            <w:pPr>
                              <w:pStyle w:val="TableContents"/>
                              <w:bidi w:val="0"/>
                              <w:spacing w:before="0" w:after="283"/>
                              <w:jc w:val="center"/>
                              <w:rPr>
                                <w:color w:val="FFFFFF"/>
                              </w:rPr>
                            </w:pPr>
                            <w:r>
                              <w:rPr>
                                <w:color w:val="FFFFFF"/>
                              </w:rPr>
                              <w:t> </w:t>
                            </w:r>
                          </w:p>
                        </w:tc>
                      </w:tr>
                      <w:tr>
                        <w:trPr/>
                        <w:tc>
                          <w:tcPr>
                            <w:tcW w:w="10205" w:type="dxa"/>
                            <w:tcBorders/>
                            <w:shd w:fill="FF7334" w:val="clear"/>
                            <w:vAlign w:val="center"/>
                          </w:tcPr>
                          <w:p>
                            <w:pPr>
                              <w:pStyle w:val="TableContents"/>
                              <w:bidi w:val="0"/>
                              <w:spacing w:before="0" w:after="0"/>
                              <w:ind w:left="0" w:right="0" w:hanging="0"/>
                              <w:jc w:val="both"/>
                              <w:rPr>
                                <w:rFonts w:ascii="Arial" w:hAnsi="Arial"/>
                                <w:b w:val="false"/>
                                <w:i w:val="false"/>
                                <w:caps w:val="false"/>
                                <w:smallCaps w:val="false"/>
                                <w:color w:val="FFFFFF"/>
                                <w:sz w:val="20"/>
                              </w:rPr>
                            </w:pPr>
                            <w:r>
                              <w:rPr>
                                <w:rFonts w:ascii="Arial" w:hAnsi="Arial"/>
                                <w:b w:val="false"/>
                                <w:i w:val="false"/>
                                <w:caps w:val="false"/>
                                <w:smallCaps w:val="false"/>
                                <w:color w:val="FFFFFF"/>
                                <w:sz w:val="20"/>
                              </w:rPr>
                              <w:t>Of the three dimensions it measures—access, use and perceived quality—the least developed in the region are use (30.5 out of 100) and access (45.1 out of 100). The challenge this finding presents demands joint efforts by multiple actors.</w:t>
                            </w:r>
                          </w:p>
                          <w:p>
                            <w:pPr>
                              <w:pStyle w:val="TableContents"/>
                              <w:bidi w:val="0"/>
                              <w:spacing w:before="0" w:after="0"/>
                              <w:ind w:left="0" w:right="0" w:hanging="0"/>
                              <w:jc w:val="both"/>
                              <w:rPr>
                                <w:caps w:val="false"/>
                                <w:smallCaps w:val="false"/>
                                <w:color w:val="FFFFFF"/>
                              </w:rPr>
                            </w:pPr>
                            <w:r>
                              <w:rPr>
                                <w:caps w:val="false"/>
                                <w:smallCaps w:val="false"/>
                                <w:color w:val="FFFFFF"/>
                              </w:rPr>
                              <w:t> </w:t>
                            </w:r>
                          </w:p>
                          <w:p>
                            <w:pPr>
                              <w:pStyle w:val="TableContents"/>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color w:val="FFFFFF"/>
                                <w:sz w:val="20"/>
                              </w:rPr>
                              <w:t xml:space="preserve">In Credicorp’s role as a change agent, we publish the annual index results on our website and undertake numerous dissemination activities across the eight countries. With its growing use and dissemination, the index has become a highly complete and updated map of the state of financial inclusion in Latin America. As such, it is now a valuable tool for </w:t>
                            </w:r>
                            <w:r>
                              <w:rPr>
                                <w:rFonts w:ascii="Arial" w:hAnsi="Arial"/>
                                <w:b/>
                                <w:i w:val="false"/>
                                <w:caps w:val="false"/>
                                <w:smallCaps w:val="false"/>
                                <w:color w:val="FFFFFF"/>
                                <w:sz w:val="20"/>
                              </w:rPr>
                              <w:t xml:space="preserve">monitoring, analysis, and debate </w:t>
                            </w:r>
                            <w:r>
                              <w:rPr>
                                <w:rFonts w:ascii="Arial" w:hAnsi="Arial"/>
                                <w:b w:val="false"/>
                                <w:i w:val="false"/>
                                <w:caps w:val="false"/>
                                <w:smallCaps w:val="false"/>
                                <w:color w:val="FFFFFF"/>
                                <w:sz w:val="20"/>
                              </w:rPr>
                              <w:t xml:space="preserve">and spurs us to continue working on our strategy and action plans. Further details are available here: </w:t>
                            </w:r>
                            <w:r>
                              <w:rPr>
                                <w:rFonts w:ascii="Arial" w:hAnsi="Arial"/>
                                <w:b w:val="false"/>
                                <w:i w:val="false"/>
                                <w:caps w:val="false"/>
                                <w:smallCaps w:val="false"/>
                                <w:color w:val="0000FF"/>
                                <w:sz w:val="20"/>
                                <w:u w:val="single"/>
                              </w:rPr>
                              <w:t>Credicorp Financial Inclusion Index 2023</w:t>
                            </w:r>
                            <w:r>
                              <w:rPr>
                                <w:rFonts w:ascii="Arial" w:hAnsi="Arial"/>
                                <w:b w:val="false"/>
                                <w:i w:val="false"/>
                                <w:caps w:val="false"/>
                                <w:smallCaps w:val="false"/>
                                <w:color w:val="FFFFFF"/>
                                <w:sz w:val="20"/>
                                <w:u w:val="single"/>
                              </w:rPr>
                              <w:t>.</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caps w:val="false"/>
                          <w:smallCaps w:val="false"/>
                          <w:color w:val="FF0000"/>
                        </w:rPr>
                      </w:pPr>
                      <w:r>
                        <w:rPr>
                          <w:caps w:val="false"/>
                          <w:smallCaps w:val="false"/>
                          <w:color w:val="FF0000"/>
                        </w:rPr>
                        <w:t> </w:t>
                      </w:r>
                    </w:p>
                  </w:txbxContent>
                </v:textbox>
                <w10:wrap type="square" side="left"/>
              </v:rect>
            </w:pict>
          </mc:Fallback>
        </mc:AlternateConten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16</w:t>
      </w:r>
    </w:p>
    <w:p>
      <w:pPr>
        <w:pStyle w:val="HorizontalLine"/>
        <w:pBdr>
          <w:bottom w:val="single" w:sz="12" w:space="0" w:color="808080"/>
        </w:pBdr>
        <w:bidi w:val="0"/>
        <w:spacing w:before="200" w:after="200"/>
        <w:jc w:val="left"/>
        <w:rPr/>
      </w:pPr>
      <w:r>
        <w:rPr/>
      </w:r>
    </w:p>
    <w:p>
      <w:pPr>
        <w:pStyle w:val="TextBody"/>
        <w:bidi w:val="0"/>
        <w:ind w:left="0" w:right="0" w:hanging="0"/>
        <w:jc w:val="left"/>
        <w:rPr>
          <w:caps w:val="false"/>
          <w:smallCaps w:val="false"/>
        </w:rPr>
      </w:pPr>
      <w:r>
        <w:rPr>
          <w:caps w:val="false"/>
          <w:smallCaps w:val="false"/>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olumn">
                  <wp:align>left</wp:align>
                </wp:positionH>
                <wp:positionV relativeFrom="line">
                  <wp:posOffset>635</wp:posOffset>
                </wp:positionV>
                <wp:extent cx="3110230" cy="4871720"/>
                <wp:effectExtent l="0" t="0" r="0" b="0"/>
                <wp:wrapTopAndBottom/>
                <wp:docPr id="78" name="Frame23"/>
                <a:graphic xmlns:a="http://schemas.openxmlformats.org/drawingml/2006/main">
                  <a:graphicData uri="http://schemas.microsoft.com/office/word/2010/wordprocessingShape">
                    <wps:wsp>
                      <wps:cNvSpPr txBox="1"/>
                      <wps:spPr>
                        <a:xfrm>
                          <a:off x="0" y="0"/>
                          <a:ext cx="3110230" cy="4871720"/>
                        </a:xfrm>
                        <a:prstGeom prst="rect"/>
                        <a:solidFill>
                          <a:srgbClr val="FFFFFF"/>
                        </a:solidFill>
                      </wps:spPr>
                      <wps:txbx>
                        <w:txbxContent>
                          <w:p>
                            <w:pPr>
                              <w:pStyle w:val="TextBody"/>
                              <w:bidi w:val="0"/>
                              <w:spacing w:before="0" w:after="0"/>
                              <w:ind w:left="0" w:right="0" w:hanging="0"/>
                              <w:jc w:val="left"/>
                              <w:rPr>
                                <w:rFonts w:ascii="Arial" w:hAnsi="Arial"/>
                                <w:b/>
                                <w:i w:val="false"/>
                                <w:caps w:val="false"/>
                                <w:smallCaps w:val="false"/>
                                <w:sz w:val="22"/>
                              </w:rPr>
                            </w:pPr>
                            <w:r>
                              <w:rPr>
                                <w:rFonts w:ascii="Arial" w:hAnsi="Arial"/>
                                <w:b/>
                                <w:i w:val="false"/>
                                <w:caps w:val="false"/>
                                <w:smallCaps w:val="false"/>
                                <w:sz w:val="22"/>
                              </w:rPr>
                              <w:t>2.1.1.1. Our financial inclusion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Credicorp develops products, services, and channels to financially include more people, help them grow economically, and strengthen their financial resilience.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2023, Mibanco became the first entity specialized in microfinance in Peru to obtain an A+ score in the Social and Environmental Rating evaluation from MicroFinanza Rating (MFR) in recognition of the bank’s commitment to social development and client service and protection. Measurements taken by MFR in 2021 showed the following positive impacts of Mibanco’s financial inclusion efforts: 45% of households and more than half of micro-businesses were able to increase their income, and 27% of households increased their ability to pay for education. These results reinforce our commitment to financial inclusion, which we regard as closely connected to people’s well-being.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4286250" cy="1381125"/>
                                  <wp:effectExtent l="0" t="0" r="0" b="0"/>
                                  <wp:docPr id="7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47" descr=""/>
                                          <pic:cNvPicPr>
                                            <a:picLocks noChangeAspect="1" noChangeArrowheads="1"/>
                                          </pic:cNvPicPr>
                                        </pic:nvPicPr>
                                        <pic:blipFill>
                                          <a:blip r:embed="rId57"/>
                                          <a:stretch>
                                            <a:fillRect/>
                                          </a:stretch>
                                        </pic:blipFill>
                                        <pic:spPr bwMode="auto">
                                          <a:xfrm>
                                            <a:off x="0" y="0"/>
                                            <a:ext cx="4286250" cy="1381125"/>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Credicorp’s subsidiaries offer a robust portfolio of inclusive solutions: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83.6pt;mso-wrap-distance-left:0pt;mso-wrap-distance-right:0pt;mso-wrap-distance-top:0pt;mso-wrap-distance-bottom:0pt;margin-top:0pt;mso-position-vertical:top;mso-position-vertical-relative:text;margin-left:244.9pt;mso-position-horizontal:left;mso-position-horizontal-relative:text">
                <v:textbox>
                  <w:txbxContent>
                    <w:p>
                      <w:pPr>
                        <w:pStyle w:val="TextBody"/>
                        <w:bidi w:val="0"/>
                        <w:spacing w:before="0" w:after="0"/>
                        <w:ind w:left="0" w:right="0" w:hanging="0"/>
                        <w:jc w:val="left"/>
                        <w:rPr>
                          <w:rFonts w:ascii="Arial" w:hAnsi="Arial"/>
                          <w:b/>
                          <w:i w:val="false"/>
                          <w:caps w:val="false"/>
                          <w:smallCaps w:val="false"/>
                          <w:sz w:val="22"/>
                        </w:rPr>
                      </w:pPr>
                      <w:r>
                        <w:rPr>
                          <w:rFonts w:ascii="Arial" w:hAnsi="Arial"/>
                          <w:b/>
                          <w:i w:val="false"/>
                          <w:caps w:val="false"/>
                          <w:smallCaps w:val="false"/>
                          <w:sz w:val="22"/>
                        </w:rPr>
                        <w:t>2.1.1.1. Our financial inclusion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Credicorp develops products, services, and channels to financially include more people, help them grow economically, and strengthen their financial resilience.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2023, Mibanco became the first entity specialized in microfinance in Peru to obtain an A+ score in the Social and Environmental Rating evaluation from MicroFinanza Rating (MFR) in recognition of the bank’s commitment to social development and client service and protection. Measurements taken by MFR in 2021 showed the following positive impacts of Mibanco’s financial inclusion efforts: 45% of households and more than half of micro-businesses were able to increase their income, and 27% of households increased their ability to pay for education. These results reinforce our commitment to financial inclusion, which we regard as closely connected to people’s well-being.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4286250" cy="1381125"/>
                            <wp:effectExtent l="0" t="0" r="0" b="0"/>
                            <wp:docPr id="8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47" descr=""/>
                                    <pic:cNvPicPr>
                                      <a:picLocks noChangeAspect="1" noChangeArrowheads="1"/>
                                    </pic:cNvPicPr>
                                  </pic:nvPicPr>
                                  <pic:blipFill>
                                    <a:blip r:embed="rId58"/>
                                    <a:stretch>
                                      <a:fillRect/>
                                    </a:stretch>
                                  </pic:blipFill>
                                  <pic:spPr bwMode="auto">
                                    <a:xfrm>
                                      <a:off x="0" y="0"/>
                                      <a:ext cx="4286250" cy="1381125"/>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Credicorp’s subsidiaries offer a robust portfolio of inclusive solutions:</w:t>
                      </w:r>
                    </w:p>
                  </w:txbxContent>
                </v:textbox>
                <w10:wrap type="topAndBottom"/>
              </v:rect>
            </w:pict>
          </mc:Fallback>
        </mc:AlternateContent>
      </w:r>
      <w:r>
        <mc:AlternateContent>
          <mc:Choice Requires="wps">
            <w:drawing>
              <wp:anchor behindDoc="0" distT="0" distB="0" distL="0" distR="0" simplePos="0" locked="0" layoutInCell="1" allowOverlap="1" relativeHeight="184">
                <wp:simplePos x="0" y="0"/>
                <wp:positionH relativeFrom="column">
                  <wp:align>right</wp:align>
                </wp:positionH>
                <wp:positionV relativeFrom="line">
                  <wp:posOffset>635</wp:posOffset>
                </wp:positionV>
                <wp:extent cx="3110230" cy="5944870"/>
                <wp:effectExtent l="0" t="0" r="0" b="0"/>
                <wp:wrapTopAndBottom/>
                <wp:docPr id="81" name="Frame24"/>
                <a:graphic xmlns:a="http://schemas.openxmlformats.org/drawingml/2006/main">
                  <a:graphicData uri="http://schemas.microsoft.com/office/word/2010/wordprocessingShape">
                    <wps:wsp>
                      <wps:cNvSpPr txBox="1"/>
                      <wps:spPr>
                        <a:xfrm>
                          <a:off x="0" y="0"/>
                          <a:ext cx="3110230" cy="5944870"/>
                        </a:xfrm>
                        <a:prstGeom prst="rect"/>
                        <a:solidFill>
                          <a:srgbClr val="FFFFFF"/>
                        </a:solidFill>
                      </wps:spPr>
                      <wps:txbx>
                        <w:txbxContent>
                          <w:p>
                            <w:pPr>
                              <w:pStyle w:val="TextBody"/>
                              <w:bidi w:val="0"/>
                              <w:spacing w:before="0" w:after="0"/>
                              <w:jc w:val="left"/>
                              <w:rPr>
                                <w:caps w:val="false"/>
                                <w:smallCaps w:val="false"/>
                              </w:rPr>
                            </w:pPr>
                            <w:r>
                              <w:rPr>
                                <w:caps w:val="false"/>
                                <w:smallCaps w:val="false"/>
                              </w:rPr>
                              <w:t> </w:t>
                            </w:r>
                            <w:r>
                              <w:rPr>
                                <w:caps w:val="false"/>
                                <w:smallCaps w:val="false"/>
                              </w:rPr>
                              <w:drawing>
                                <wp:inline distT="0" distB="0" distL="0" distR="0">
                                  <wp:extent cx="4286250" cy="4133850"/>
                                  <wp:effectExtent l="0" t="0" r="0" b="0"/>
                                  <wp:docPr id="8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8" descr=""/>
                                          <pic:cNvPicPr>
                                            <a:picLocks noChangeAspect="1" noChangeArrowheads="1"/>
                                          </pic:cNvPicPr>
                                        </pic:nvPicPr>
                                        <pic:blipFill>
                                          <a:blip r:embed="rId59"/>
                                          <a:stretch>
                                            <a:fillRect/>
                                          </a:stretch>
                                        </pic:blipFill>
                                        <pic:spPr bwMode="auto">
                                          <a:xfrm>
                                            <a:off x="0" y="0"/>
                                            <a:ext cx="4286250" cy="41338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contraction of the Peruvian economy in the last year (0.6% drop in GDP) coupled with the climate emergency in the country’s north and social conflicts in the south in early 2023 impacted the growth of microfinance segment loans, as the Crediagua product results and the figures for the number of banked clients demonstrate. Consistent with its purpose, Mibanco is committed to digitalization and strengthening its inclusive products offering to continue supporting entrepreneurs to progess.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68.1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jc w:val="left"/>
                        <w:rPr>
                          <w:caps w:val="false"/>
                          <w:smallCaps w:val="false"/>
                        </w:rPr>
                      </w:pPr>
                      <w:r>
                        <w:rPr>
                          <w:caps w:val="false"/>
                          <w:smallCaps w:val="false"/>
                        </w:rPr>
                        <w:t> </w:t>
                      </w:r>
                      <w:r>
                        <w:rPr>
                          <w:caps w:val="false"/>
                          <w:smallCaps w:val="false"/>
                        </w:rPr>
                        <w:drawing>
                          <wp:inline distT="0" distB="0" distL="0" distR="0">
                            <wp:extent cx="4286250" cy="4133850"/>
                            <wp:effectExtent l="0" t="0" r="0" b="0"/>
                            <wp:docPr id="8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48" descr=""/>
                                    <pic:cNvPicPr>
                                      <a:picLocks noChangeAspect="1" noChangeArrowheads="1"/>
                                    </pic:cNvPicPr>
                                  </pic:nvPicPr>
                                  <pic:blipFill>
                                    <a:blip r:embed="rId60"/>
                                    <a:stretch>
                                      <a:fillRect/>
                                    </a:stretch>
                                  </pic:blipFill>
                                  <pic:spPr bwMode="auto">
                                    <a:xfrm>
                                      <a:off x="0" y="0"/>
                                      <a:ext cx="4286250" cy="41338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contraction of the Peruvian economy in the last year (0.6% drop in GDP) coupled with the climate emergency in the country’s north and social conflicts in the south in early 2023 impacted the growth of microfinance segment loans, as the Crediagua product results and the figures for the number of banked clients demonstrate. Consistent with its purpose, Mibanco is committed to digitalization and strengthening its inclusive products offering to continue supporting entrepreneurs to progess.</w:t>
                      </w:r>
                    </w:p>
                  </w:txbxContent>
                </v:textbox>
                <w10:wrap type="topAndBottom"/>
              </v:rect>
            </w:pict>
          </mc:Fallback>
        </mc:AlternateConten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17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olumn">
                  <wp:align>left</wp:align>
                </wp:positionH>
                <wp:positionV relativeFrom="line">
                  <wp:posOffset>635</wp:posOffset>
                </wp:positionV>
                <wp:extent cx="3110230" cy="5782945"/>
                <wp:effectExtent l="0" t="0" r="0" b="0"/>
                <wp:wrapTopAndBottom/>
                <wp:docPr id="84" name="Frame25"/>
                <a:graphic xmlns:a="http://schemas.openxmlformats.org/drawingml/2006/main">
                  <a:graphicData uri="http://schemas.microsoft.com/office/word/2010/wordprocessingShape">
                    <wps:wsp>
                      <wps:cNvSpPr txBox="1"/>
                      <wps:spPr>
                        <a:xfrm>
                          <a:off x="0" y="0"/>
                          <a:ext cx="3110230" cy="5782945"/>
                        </a:xfrm>
                        <a:prstGeom prst="rect"/>
                        <a:solidFill>
                          <a:srgbClr val="FFFFFF"/>
                        </a:solidFill>
                      </wps:spPr>
                      <wps:txbx>
                        <w:txbxContent>
                          <w:p>
                            <w:pPr>
                              <w:pStyle w:val="TextBody"/>
                              <w:bidi w:val="0"/>
                              <w:spacing w:before="0" w:after="0"/>
                              <w:ind w:left="0" w:right="0" w:hanging="0"/>
                              <w:jc w:val="left"/>
                              <w:rPr>
                                <w:rFonts w:ascii="Arial" w:hAnsi="Arial"/>
                                <w:b w:val="false"/>
                                <w:i w:val="false"/>
                                <w:caps w:val="false"/>
                                <w:smallCaps w:val="false"/>
                                <w:sz w:val="20"/>
                                <w:u w:val="single"/>
                              </w:rPr>
                            </w:pPr>
                            <w:r>
                              <w:rPr>
                                <w:rFonts w:ascii="Arial" w:hAnsi="Arial"/>
                                <w:b w:val="false"/>
                                <w:i w:val="false"/>
                                <w:caps w:val="false"/>
                                <w:smallCaps w:val="false"/>
                                <w:sz w:val="20"/>
                                <w:u w:val="single"/>
                              </w:rPr>
                              <w:t>2.1.1.1.1 The Yape ecosystem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40"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Some 4.1 million people have been financially included8 since 2020 through BCP and the Yape virtual wallet. Over 1.7 million did so through Yape alone, of whom around 36% were in Metropolitan Lima, Lima Region and Callao and the rest in the provinces (including 5% in La Libertad, 5% in Lambayeque and 5% in Arequipa). Our approach to inclusion means reaching people throughout the entire country and not only in the capital. We have also introduced Yape to Bolivia.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Yape ecosystem relies on BCP’s marketing channels, is fed by other companies’ inclusive products, and heavily leverages partnerships and financial education to increase uptake and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4286250" cy="1076325"/>
                                  <wp:effectExtent l="0" t="0" r="0" b="0"/>
                                  <wp:docPr id="85"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49" descr=""/>
                                          <pic:cNvPicPr>
                                            <a:picLocks noChangeAspect="1" noChangeArrowheads="1"/>
                                          </pic:cNvPicPr>
                                        </pic:nvPicPr>
                                        <pic:blipFill>
                                          <a:blip r:embed="rId61"/>
                                          <a:stretch>
                                            <a:fillRect/>
                                          </a:stretch>
                                        </pic:blipFill>
                                        <pic:spPr bwMode="auto">
                                          <a:xfrm>
                                            <a:off x="0" y="0"/>
                                            <a:ext cx="4286250" cy="107632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Conscious of the relevance of usage, as we move forward toward our goals and develop impact metrics, we continue to measure financial inclusion more rigorously. The inclusion figures for Yape count people who opened an account and made, on average, at least three transactions a month during a three-month period. We consider clients who have met</w:t>
                            </w:r>
                          </w:p>
                          <w:p>
                            <w:pPr>
                              <w:pStyle w:val="TextBody"/>
                              <w:bidi w:val="0"/>
                              <w:spacing w:before="0" w:after="0"/>
                              <w:ind w:left="0" w:right="2740" w:hanging="0"/>
                              <w:jc w:val="both"/>
                              <w:rPr>
                                <w:caps w:val="false"/>
                                <w:smallCaps w:val="false"/>
                              </w:rPr>
                            </w:pPr>
                            <w:r>
                              <w:rPr>
                                <w:caps w:val="false"/>
                                <w:smallCaps w:val="false"/>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5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left"/>
                        <w:rPr>
                          <w:rFonts w:ascii="Arial" w:hAnsi="Arial"/>
                          <w:b w:val="false"/>
                          <w:i w:val="false"/>
                          <w:caps w:val="false"/>
                          <w:smallCaps w:val="false"/>
                          <w:sz w:val="20"/>
                          <w:u w:val="single"/>
                        </w:rPr>
                      </w:pPr>
                      <w:r>
                        <w:rPr>
                          <w:rFonts w:ascii="Arial" w:hAnsi="Arial"/>
                          <w:b w:val="false"/>
                          <w:i w:val="false"/>
                          <w:caps w:val="false"/>
                          <w:smallCaps w:val="false"/>
                          <w:sz w:val="20"/>
                          <w:u w:val="single"/>
                        </w:rPr>
                        <w:t>2.1.1.1.1 The Yape ecosystem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40"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Some 4.1 million people have been financially included8 since 2020 through BCP and the Yape virtual wallet. Over 1.7 million did so through Yape alone, of whom around 36% were in Metropolitan Lima, Lima Region and Callao and the rest in the provinces (including 5% in La Libertad, 5% in Lambayeque and 5% in Arequipa). Our approach to inclusion means reaching people throughout the entire country and not only in the capital. We have also introduced Yape to Bolivia.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Yape ecosystem relies on BCP’s marketing channels, is fed by other companies’ inclusive products, and heavily leverages partnerships and financial education to increase uptake and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4286250" cy="1076325"/>
                            <wp:effectExtent l="0" t="0" r="0" b="0"/>
                            <wp:docPr id="8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49" descr=""/>
                                    <pic:cNvPicPr>
                                      <a:picLocks noChangeAspect="1" noChangeArrowheads="1"/>
                                    </pic:cNvPicPr>
                                  </pic:nvPicPr>
                                  <pic:blipFill>
                                    <a:blip r:embed="rId62"/>
                                    <a:stretch>
                                      <a:fillRect/>
                                    </a:stretch>
                                  </pic:blipFill>
                                  <pic:spPr bwMode="auto">
                                    <a:xfrm>
                                      <a:off x="0" y="0"/>
                                      <a:ext cx="4286250" cy="107632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Conscious of the relevance of usage, as we move forward toward our goals and develop impact metrics, we continue to measure financial inclusion more rigorously. The inclusion figures for Yape count people who opened an account and made, on average, at least three transactions a month during a three-month period. We consider clients who have met</w:t>
                      </w:r>
                    </w:p>
                    <w:p>
                      <w:pPr>
                        <w:pStyle w:val="TextBody"/>
                        <w:bidi w:val="0"/>
                        <w:spacing w:before="0" w:after="0"/>
                        <w:ind w:left="0" w:right="2740" w:hanging="0"/>
                        <w:jc w:val="both"/>
                        <w:rPr>
                          <w:caps w:val="false"/>
                          <w:smallCaps w:val="false"/>
                        </w:rPr>
                      </w:pPr>
                      <w:r>
                        <w:rPr>
                          <w:caps w:val="false"/>
                          <w:smallCaps w:val="false"/>
                        </w:rPr>
                        <w:t> </w:t>
                      </w:r>
                    </w:p>
                  </w:txbxContent>
                </v:textbox>
                <w10:wrap type="topAndBottom"/>
              </v:rect>
            </w:pict>
          </mc:Fallback>
        </mc:AlternateContent>
      </w:r>
      <w:r>
        <mc:AlternateContent>
          <mc:Choice Requires="wps">
            <w:drawing>
              <wp:anchor behindDoc="0" distT="0" distB="0" distL="0" distR="0" simplePos="0" locked="0" layoutInCell="1" allowOverlap="1" relativeHeight="188">
                <wp:simplePos x="0" y="0"/>
                <wp:positionH relativeFrom="column">
                  <wp:align>right</wp:align>
                </wp:positionH>
                <wp:positionV relativeFrom="line">
                  <wp:posOffset>635</wp:posOffset>
                </wp:positionV>
                <wp:extent cx="3110230" cy="4667885"/>
                <wp:effectExtent l="0" t="0" r="0" b="0"/>
                <wp:wrapTopAndBottom/>
                <wp:docPr id="87" name="Frame27"/>
                <a:graphic xmlns:a="http://schemas.openxmlformats.org/drawingml/2006/main">
                  <a:graphicData uri="http://schemas.microsoft.com/office/word/2010/wordprocessingShape">
                    <wps:wsp>
                      <wps:cNvSpPr txBox="1"/>
                      <wps:spPr>
                        <a:xfrm>
                          <a:off x="0" y="0"/>
                          <a:ext cx="3110230" cy="4667885"/>
                        </a:xfrm>
                        <a:prstGeom prst="rect"/>
                        <a:solidFill>
                          <a:srgbClr val="FFFFFF"/>
                        </a:solidFill>
                      </wps:spPr>
                      <wps:txbx>
                        <w:txbxContent>
                          <w:p>
                            <w:pPr>
                              <w:pStyle w:val="TextBody"/>
                              <w:bidi w:val="0"/>
                              <w:spacing w:before="0" w:after="0"/>
                              <w:ind w:left="0" w:right="760" w:hanging="0"/>
                              <w:jc w:val="left"/>
                              <w:rPr>
                                <w:rFonts w:ascii="Arial" w:hAnsi="Arial"/>
                                <w:b w:val="false"/>
                                <w:i w:val="false"/>
                                <w:caps w:val="false"/>
                                <w:smallCaps w:val="false"/>
                                <w:sz w:val="20"/>
                              </w:rPr>
                            </w:pPr>
                            <w:r>
                              <w:rPr>
                                <w:rFonts w:ascii="Arial" w:hAnsi="Arial"/>
                                <w:b w:val="false"/>
                                <w:i w:val="false"/>
                                <w:caps w:val="false"/>
                                <w:smallCaps w:val="false"/>
                                <w:sz w:val="20"/>
                              </w:rPr>
                              <w:t>these criteria to have evolved financially and demonstrated that they are using the tool.</w:t>
                            </w:r>
                          </w:p>
                          <w:p>
                            <w:pPr>
                              <w:pStyle w:val="TextBody"/>
                              <w:bidi w:val="0"/>
                              <w:spacing w:before="0" w:after="0"/>
                              <w:ind w:left="0" w:right="760" w:hanging="0"/>
                              <w:jc w:val="left"/>
                              <w:rPr>
                                <w:caps w:val="false"/>
                                <w:smallCaps w:val="false"/>
                              </w:rPr>
                            </w:pPr>
                            <w:r>
                              <w:rPr>
                                <w:caps w:val="false"/>
                                <w:smallCaps w:val="false"/>
                              </w:rPr>
                              <w:t> </w:t>
                            </w:r>
                          </w:p>
                          <w:p>
                            <w:pPr>
                              <w:pStyle w:val="TextBody"/>
                              <w:bidi w:val="0"/>
                              <w:spacing w:before="0" w:after="0"/>
                              <w:ind w:left="0" w:right="760" w:hanging="0"/>
                              <w:jc w:val="left"/>
                              <w:rPr>
                                <w:caps w:val="false"/>
                                <w:smallCaps w:val="false"/>
                              </w:rPr>
                            </w:pPr>
                            <w:r>
                              <w:rPr>
                                <w:caps w:val="false"/>
                                <w:smallCaps w:val="false"/>
                              </w:rPr>
                              <w:drawing>
                                <wp:inline distT="0" distB="0" distL="0" distR="0">
                                  <wp:extent cx="4286250" cy="4200525"/>
                                  <wp:effectExtent l="0" t="0" r="0" b="0"/>
                                  <wp:docPr id="88"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50" descr=""/>
                                          <pic:cNvPicPr>
                                            <a:picLocks noChangeAspect="1" noChangeArrowheads="1"/>
                                          </pic:cNvPicPr>
                                        </pic:nvPicPr>
                                        <pic:blipFill>
                                          <a:blip r:embed="rId63"/>
                                          <a:stretch>
                                            <a:fillRect/>
                                          </a:stretch>
                                        </pic:blipFill>
                                        <pic:spPr bwMode="auto">
                                          <a:xfrm>
                                            <a:off x="0" y="0"/>
                                            <a:ext cx="4286250" cy="4200525"/>
                                          </a:xfrm>
                                          <a:prstGeom prst="rect">
                                            <a:avLst/>
                                          </a:prstGeom>
                                        </pic:spPr>
                                      </pic:pic>
                                    </a:graphicData>
                                  </a:graphic>
                                </wp:inline>
                              </w:drawing>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67.5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760" w:hanging="0"/>
                        <w:jc w:val="left"/>
                        <w:rPr>
                          <w:rFonts w:ascii="Arial" w:hAnsi="Arial"/>
                          <w:b w:val="false"/>
                          <w:i w:val="false"/>
                          <w:caps w:val="false"/>
                          <w:smallCaps w:val="false"/>
                          <w:sz w:val="20"/>
                        </w:rPr>
                      </w:pPr>
                      <w:r>
                        <w:rPr>
                          <w:rFonts w:ascii="Arial" w:hAnsi="Arial"/>
                          <w:b w:val="false"/>
                          <w:i w:val="false"/>
                          <w:caps w:val="false"/>
                          <w:smallCaps w:val="false"/>
                          <w:sz w:val="20"/>
                        </w:rPr>
                        <w:t>these criteria to have evolved financially and demonstrated that they are using the tool.</w:t>
                      </w:r>
                    </w:p>
                    <w:p>
                      <w:pPr>
                        <w:pStyle w:val="TextBody"/>
                        <w:bidi w:val="0"/>
                        <w:spacing w:before="0" w:after="0"/>
                        <w:ind w:left="0" w:right="760" w:hanging="0"/>
                        <w:jc w:val="left"/>
                        <w:rPr>
                          <w:caps w:val="false"/>
                          <w:smallCaps w:val="false"/>
                        </w:rPr>
                      </w:pPr>
                      <w:r>
                        <w:rPr>
                          <w:caps w:val="false"/>
                          <w:smallCaps w:val="false"/>
                        </w:rPr>
                        <w:t> </w:t>
                      </w:r>
                    </w:p>
                    <w:p>
                      <w:pPr>
                        <w:pStyle w:val="TextBody"/>
                        <w:bidi w:val="0"/>
                        <w:spacing w:before="0" w:after="0"/>
                        <w:ind w:left="0" w:right="760" w:hanging="0"/>
                        <w:jc w:val="left"/>
                        <w:rPr>
                          <w:caps w:val="false"/>
                          <w:smallCaps w:val="false"/>
                        </w:rPr>
                      </w:pPr>
                      <w:r>
                        <w:rPr>
                          <w:caps w:val="false"/>
                          <w:smallCaps w:val="false"/>
                        </w:rPr>
                        <w:drawing>
                          <wp:inline distT="0" distB="0" distL="0" distR="0">
                            <wp:extent cx="4286250" cy="4200525"/>
                            <wp:effectExtent l="0" t="0" r="0" b="0"/>
                            <wp:docPr id="89"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50" descr=""/>
                                    <pic:cNvPicPr>
                                      <a:picLocks noChangeAspect="1" noChangeArrowheads="1"/>
                                    </pic:cNvPicPr>
                                  </pic:nvPicPr>
                                  <pic:blipFill>
                                    <a:blip r:embed="rId64"/>
                                    <a:stretch>
                                      <a:fillRect/>
                                    </a:stretch>
                                  </pic:blipFill>
                                  <pic:spPr bwMode="auto">
                                    <a:xfrm>
                                      <a:off x="0" y="0"/>
                                      <a:ext cx="4286250" cy="4200525"/>
                                    </a:xfrm>
                                    <a:prstGeom prst="rect">
                                      <a:avLst/>
                                    </a:prstGeom>
                                  </pic:spPr>
                                </pic:pic>
                              </a:graphicData>
                            </a:graphic>
                          </wp:inline>
                        </w:drawing>
                      </w:r>
                    </w:p>
                  </w:txbxContent>
                </v:textbox>
                <w10:wrap type="topAndBottom"/>
              </v:rect>
            </w:pict>
          </mc:Fallback>
        </mc:AlternateContent>
      </w:r>
      <w:r>
        <mc:AlternateContent>
          <mc:Choice Requires="wps">
            <w:drawing>
              <wp:anchor behindDoc="0" distT="0" distB="0" distL="0" distR="101600" simplePos="0" locked="0" layoutInCell="1" allowOverlap="1" relativeHeight="260">
                <wp:simplePos x="0" y="0"/>
                <wp:positionH relativeFrom="column">
                  <wp:align>right</wp:align>
                </wp:positionH>
                <wp:positionV relativeFrom="line">
                  <wp:posOffset>635</wp:posOffset>
                </wp:positionV>
                <wp:extent cx="932815" cy="1339850"/>
                <wp:effectExtent l="0" t="0" r="0" b="0"/>
                <wp:wrapSquare wrapText="left"/>
                <wp:docPr id="90" name="Frame26"/>
                <a:graphic xmlns:a="http://schemas.openxmlformats.org/drawingml/2006/main">
                  <a:graphicData uri="http://schemas.microsoft.com/office/word/2010/wordprocessingShape">
                    <wps:wsp>
                      <wps:cNvSpPr txBox="1"/>
                      <wps:spPr>
                        <a:xfrm>
                          <a:off x="0" y="0"/>
                          <a:ext cx="932815" cy="1339850"/>
                        </a:xfrm>
                        <a:prstGeom prst="rect"/>
                        <a:solidFill>
                          <a:srgbClr val="FFFFFF"/>
                        </a:solidFill>
                      </wps:spPr>
                      <wps:txbx>
                        <w:txbxContent>
                          <w:p>
                            <w:pPr>
                              <w:pStyle w:val="TextBody"/>
                              <w:bidi w:val="0"/>
                              <w:spacing w:before="40" w:after="0"/>
                              <w:jc w:val="center"/>
                              <w:rPr>
                                <w:rFonts w:ascii="Arial" w:hAnsi="Arial"/>
                                <w:b/>
                                <w:i w:val="false"/>
                                <w:caps w:val="false"/>
                                <w:smallCaps w:val="false"/>
                                <w:color w:val="FE5000"/>
                                <w:sz w:val="20"/>
                              </w:rPr>
                            </w:pPr>
                            <w:r>
                              <w:rPr>
                                <w:rFonts w:ascii="Arial" w:hAnsi="Arial"/>
                                <w:b/>
                                <w:i w:val="false"/>
                                <w:caps w:val="false"/>
                                <w:smallCaps w:val="false"/>
                                <w:color w:val="FE5000"/>
                                <w:sz w:val="20"/>
                              </w:rPr>
                              <w:t>The Yape ecosystem incorporates products and services that deepen financial inclusion and increase usage</w:t>
                            </w:r>
                          </w:p>
                        </w:txbxContent>
                      </wps:txbx>
                      <wps:bodyPr anchor="t" lIns="0" tIns="0" rIns="0" bIns="0">
                        <a:noAutofit/>
                      </wps:bodyPr>
                    </wps:wsp>
                  </a:graphicData>
                </a:graphic>
                <wp14:sizeRelH relativeFrom="margin">
                  <wp14:pctWidth>30000</wp14:pctWidth>
                </wp14:sizeRelH>
              </wp:anchor>
            </w:drawing>
          </mc:Choice>
          <mc:Fallback>
            <w:pict>
              <v:rect style="position:absolute;rotation:-0;width:73.45pt;height:105.5pt;mso-wrap-distance-left:0pt;mso-wrap-distance-right:8pt;mso-wrap-distance-top:0pt;mso-wrap-distance-bottom:0pt;margin-top:0pt;mso-position-vertical:top;mso-position-vertical-relative:text;margin-left:163.45pt;mso-position-horizontal:right;mso-position-horizontal-relative:text">
                <v:textbox inset="0in,0in,0in,0in">
                  <w:txbxContent>
                    <w:p>
                      <w:pPr>
                        <w:pStyle w:val="TextBody"/>
                        <w:bidi w:val="0"/>
                        <w:spacing w:before="40" w:after="0"/>
                        <w:jc w:val="center"/>
                        <w:rPr>
                          <w:rFonts w:ascii="Arial" w:hAnsi="Arial"/>
                          <w:b/>
                          <w:i w:val="false"/>
                          <w:caps w:val="false"/>
                          <w:smallCaps w:val="false"/>
                          <w:color w:val="FE5000"/>
                          <w:sz w:val="20"/>
                        </w:rPr>
                      </w:pPr>
                      <w:r>
                        <w:rPr>
                          <w:rFonts w:ascii="Arial" w:hAnsi="Arial"/>
                          <w:b/>
                          <w:i w:val="false"/>
                          <w:caps w:val="false"/>
                          <w:smallCaps w:val="false"/>
                          <w:color w:val="FE5000"/>
                          <w:sz w:val="20"/>
                        </w:rPr>
                        <w:t>The Yape ecosystem incorporates products and services that deepen financial inclusion and increase usage</w:t>
                      </w:r>
                    </w:p>
                  </w:txbxContent>
                </v:textbox>
                <w10:wrap type="square" side="left"/>
              </v:rect>
            </w:pict>
          </mc:Fallback>
        </mc:AlternateContent>
      </w:r>
    </w:p>
    <w:p>
      <w:pPr>
        <w:pStyle w:val="TextBody"/>
        <w:bidi w:val="0"/>
        <w:spacing w:before="0" w:after="0"/>
        <w:ind w:left="0" w:right="2740" w:hanging="0"/>
        <w:jc w:val="left"/>
        <w:rPr/>
      </w:pPr>
      <w:r>
        <w:rPr/>
      </w:r>
      <w:r>
        <mc:AlternateContent>
          <mc:Choice Requires="wps">
            <w:drawing>
              <wp:anchor behindDoc="0" distT="0" distB="0" distL="0" distR="0" simplePos="0" locked="0" layoutInCell="1" allowOverlap="1" relativeHeight="261">
                <wp:simplePos x="0" y="0"/>
                <wp:positionH relativeFrom="column">
                  <wp:align>left</wp:align>
                </wp:positionH>
                <wp:positionV relativeFrom="line">
                  <wp:posOffset>635</wp:posOffset>
                </wp:positionV>
                <wp:extent cx="3110230" cy="982980"/>
                <wp:effectExtent l="0" t="0" r="0" b="0"/>
                <wp:wrapTopAndBottom/>
                <wp:docPr id="91" name="Frame28"/>
                <a:graphic xmlns:a="http://schemas.openxmlformats.org/drawingml/2006/main">
                  <a:graphicData uri="http://schemas.microsoft.com/office/word/2010/wordprocessingShape">
                    <wps:wsp>
                      <wps:cNvSpPr txBox="1"/>
                      <wps:spPr>
                        <a:xfrm>
                          <a:off x="0" y="0"/>
                          <a:ext cx="3110230" cy="982980"/>
                        </a:xfrm>
                        <a:prstGeom prst="rect"/>
                        <a:solidFill>
                          <a:srgbClr val="FFFFFF"/>
                        </a:solidFill>
                      </wps:spPr>
                      <wps:txbx>
                        <w:txbxContent>
                          <w:p>
                            <w:pPr>
                              <w:pStyle w:val="TextBody"/>
                              <w:bidi w:val="0"/>
                              <w:spacing w:before="60" w:after="60"/>
                              <w:jc w:val="left"/>
                              <w:rPr>
                                <w:bdr w:val="single" w:sz="8" w:space="1" w:color="000000"/>
                              </w:rPr>
                            </w:pPr>
                            <w:r>
                              <w:rPr>
                                <w:bdr w:val="single" w:sz="8" w:space="1" w:color="000000"/>
                              </w:rPr>
                              <w:t> </w:t>
                            </w:r>
                          </w:p>
                          <w:p>
                            <w:pPr>
                              <w:pStyle w:val="TextBody"/>
                              <w:bidi w:val="0"/>
                              <w:spacing w:lineRule="auto" w:line="240"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8 To fit the definition of financially included, a client must have made at least three transactions on average in the last 3 months, and at the time of opening their account in BCP or Yape with a DNI, have not had an account with the bank or an active credit product in the last 12 months in the system of the Superintendence of Banking and Insurance.</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7.4pt;mso-wrap-distance-left:0pt;mso-wrap-distance-right:0pt;mso-wrap-distance-top:0pt;mso-wrap-distance-bottom:0pt;margin-top:0pt;mso-position-vertical:top;mso-position-vertical-relative:text;margin-left:244.9pt;mso-position-horizontal:left;mso-position-horizontal-relative:text">
                <v:textbox>
                  <w:txbxContent>
                    <w:p>
                      <w:pPr>
                        <w:pStyle w:val="TextBody"/>
                        <w:bidi w:val="0"/>
                        <w:spacing w:before="60" w:after="60"/>
                        <w:jc w:val="left"/>
                        <w:rPr>
                          <w:bdr w:val="single" w:sz="8" w:space="1" w:color="000000"/>
                        </w:rPr>
                      </w:pPr>
                      <w:r>
                        <w:rPr>
                          <w:bdr w:val="single" w:sz="8" w:space="1" w:color="000000"/>
                        </w:rPr>
                        <w:t> </w:t>
                      </w:r>
                    </w:p>
                    <w:p>
                      <w:pPr>
                        <w:pStyle w:val="TextBody"/>
                        <w:bidi w:val="0"/>
                        <w:spacing w:lineRule="auto" w:line="240"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8 To fit the definition of financially included, a client must have made at least three transactions on average in the last 3 months, and at the time of opening their account in BCP or Yape with a DNI, have not had an account with the bank or an active credit product in the last 12 months in the system of the Superintendence of Banking and Insurance.</w:t>
                      </w:r>
                    </w:p>
                  </w:txbxContent>
                </v:textbox>
                <w10:wrap type="topAndBottom"/>
              </v:rect>
            </w:pict>
          </mc:Fallback>
        </mc:AlternateContent>
      </w:r>
      <w:r>
        <mc:AlternateContent>
          <mc:Choice Requires="wps">
            <w:drawing>
              <wp:anchor behindDoc="0" distT="0" distB="0" distL="0" distR="0" simplePos="0" locked="0" layoutInCell="1" allowOverlap="1" relativeHeight="262">
                <wp:simplePos x="0" y="0"/>
                <wp:positionH relativeFrom="column">
                  <wp:align>right</wp:align>
                </wp:positionH>
                <wp:positionV relativeFrom="line">
                  <wp:posOffset>635</wp:posOffset>
                </wp:positionV>
                <wp:extent cx="3110230" cy="175260"/>
                <wp:effectExtent l="0" t="0" r="0" b="0"/>
                <wp:wrapTopAndBottom/>
                <wp:docPr id="92" name="Frame29"/>
                <a:graphic xmlns:a="http://schemas.openxmlformats.org/drawingml/2006/main">
                  <a:graphicData uri="http://schemas.microsoft.com/office/word/2010/wordprocessingShape">
                    <wps:wsp>
                      <wps:cNvSpPr txBox="1"/>
                      <wps:spPr>
                        <a:xfrm>
                          <a:off x="0" y="0"/>
                          <a:ext cx="311023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3.8pt;mso-wrap-distance-left:0pt;mso-wrap-distance-right:0pt;mso-wrap-distance-top:0pt;mso-wrap-distance-bottom:0pt;margin-top:0pt;mso-position-vertical:top;mso-position-vertical-relative:text;margin-left:20.4pt;mso-position-horizontal:right;mso-position-horizontal-relative:text">
                <v:textbox>
                  <w:txbxContent>
                    <w:p>
                      <w:pPr>
                        <w:pStyle w:val="TextBody"/>
                        <w:bidi w:val="0"/>
                        <w:spacing w:before="0" w:after="283"/>
                        <w:jc w:val="left"/>
                        <w:rPr/>
                      </w:pPr>
                      <w:r>
                        <w:rPr/>
                      </w:r>
                    </w:p>
                  </w:txbxContent>
                </v:textbox>
                <w10:wrap type="topAndBottom"/>
              </v:rect>
            </w:pict>
          </mc:Fallback>
        </mc:AlternateConten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18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olumn">
                  <wp:align>left</wp:align>
                </wp:positionH>
                <wp:positionV relativeFrom="line">
                  <wp:posOffset>635</wp:posOffset>
                </wp:positionV>
                <wp:extent cx="3110230" cy="6783070"/>
                <wp:effectExtent l="0" t="0" r="0" b="0"/>
                <wp:wrapTopAndBottom/>
                <wp:docPr id="93" name="Frame30"/>
                <a:graphic xmlns:a="http://schemas.openxmlformats.org/drawingml/2006/main">
                  <a:graphicData uri="http://schemas.microsoft.com/office/word/2010/wordprocessingShape">
                    <wps:wsp>
                      <wps:cNvSpPr txBox="1"/>
                      <wps:spPr>
                        <a:xfrm>
                          <a:off x="0" y="0"/>
                          <a:ext cx="3110230" cy="6783070"/>
                        </a:xfrm>
                        <a:prstGeom prst="rect"/>
                        <a:solidFill>
                          <a:srgbClr val="FFFFFF"/>
                        </a:solidFill>
                      </wps:spPr>
                      <wps:txbx>
                        <w:txbxContent>
                          <w:p>
                            <w:pPr>
                              <w:pStyle w:val="TextBody"/>
                              <w:bidi w:val="0"/>
                              <w:spacing w:before="0" w:after="0"/>
                              <w:ind w:left="0" w:right="0" w:hanging="0"/>
                              <w:jc w:val="left"/>
                              <w:rPr>
                                <w:rFonts w:ascii="Arial" w:hAnsi="Arial"/>
                                <w:b w:val="false"/>
                                <w:i w:val="false"/>
                                <w:caps w:val="false"/>
                                <w:smallCaps w:val="false"/>
                                <w:sz w:val="20"/>
                                <w:u w:val="single"/>
                              </w:rPr>
                            </w:pPr>
                            <w:r>
                              <w:rPr>
                                <w:rFonts w:ascii="Arial" w:hAnsi="Arial"/>
                                <w:b w:val="false"/>
                                <w:i w:val="false"/>
                                <w:caps w:val="false"/>
                                <w:smallCaps w:val="false"/>
                                <w:sz w:val="20"/>
                                <w:u w:val="single"/>
                              </w:rPr>
                              <w:t>2.1.1.1.2 Other financial inclusion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Pacífico Seguros Insurance for All (</w:t>
                            </w:r>
                            <w:r>
                              <w:rPr>
                                <w:rFonts w:ascii="Arial" w:hAnsi="Arial"/>
                                <w:b/>
                                <w:i/>
                                <w:caps w:val="false"/>
                                <w:smallCaps w:val="false"/>
                                <w:sz w:val="20"/>
                              </w:rPr>
                              <w:t>Seguros para Todos</w:t>
                            </w:r>
                            <w:r>
                              <w:rPr>
                                <w:rFonts w:ascii="Arial" w:hAnsi="Arial"/>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Given that more than 50% of the population in Peru falls into economic segments C and D, it is vital that inclusion strategies bring protection to more people regardless of socio-economic status. </w:t>
                            </w:r>
                            <w:r>
                              <w:rPr>
                                <w:rFonts w:ascii="Arial" w:hAnsi="Arial"/>
                                <w:b w:val="false"/>
                                <w:i/>
                                <w:caps w:val="false"/>
                                <w:smallCaps w:val="false"/>
                                <w:sz w:val="20"/>
                              </w:rPr>
                              <w:t>Seguros para Todos</w:t>
                            </w:r>
                            <w:r>
                              <w:rPr>
                                <w:rFonts w:ascii="Arial" w:hAnsi="Arial"/>
                                <w:b w:val="false"/>
                                <w:i w:val="false"/>
                                <w:caps w:val="false"/>
                                <w:smallCaps w:val="false"/>
                                <w:sz w:val="20"/>
                              </w:rPr>
                              <w:t xml:space="preserve"> is an affordable insurance strategy through which Pacífico Seguros aims to cover as many people as possible.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company defines inclusive insurance as an optional product starting at S/ 4.00 per month up to a maximum of S/20.00 per month or a single payment, and with an underwriting process and use experience that are clear, simple, and transparent for the client. By the end of 2023, through Mibanco and BCP, Credicorp was selling ten different inclusive insurance products. We will continue to expand our offering during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57500" cy="685800"/>
                                  <wp:effectExtent l="0" t="0" r="0" b="0"/>
                                  <wp:docPr id="9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51" descr=""/>
                                          <pic:cNvPicPr>
                                            <a:picLocks noChangeAspect="1" noChangeArrowheads="1"/>
                                          </pic:cNvPicPr>
                                        </pic:nvPicPr>
                                        <pic:blipFill>
                                          <a:blip r:embed="rId65"/>
                                          <a:stretch>
                                            <a:fillRect/>
                                          </a:stretch>
                                        </pic:blipFill>
                                        <pic:spPr bwMode="auto">
                                          <a:xfrm>
                                            <a:off x="0" y="0"/>
                                            <a:ext cx="2857500" cy="68580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Mibanco Perú</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Through Mibanco, Credicorp is focusing on responsibly banking our clients in a way that is consistent with our purpose and delivers what small entrepreneurs need. The following initiatives are spurring financial inclusion across the country.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57500" cy="685800"/>
                                  <wp:effectExtent l="0" t="0" r="0" b="0"/>
                                  <wp:docPr id="9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52" descr=""/>
                                          <pic:cNvPicPr>
                                            <a:picLocks noChangeAspect="1" noChangeArrowheads="1"/>
                                          </pic:cNvPicPr>
                                        </pic:nvPicPr>
                                        <pic:blipFill>
                                          <a:blip r:embed="rId66"/>
                                          <a:stretch>
                                            <a:fillRect/>
                                          </a:stretch>
                                        </pic:blipFill>
                                        <pic:spPr bwMode="auto">
                                          <a:xfrm>
                                            <a:off x="0" y="0"/>
                                            <a:ext cx="2857500" cy="68580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i w:val="false"/>
                                <w:caps w:val="false"/>
                                <w:smallCaps w:val="false"/>
                                <w:sz w:val="20"/>
                              </w:rPr>
                              <w:t xml:space="preserve">Crediagua </w:t>
                            </w:r>
                            <w:r>
                              <w:rPr>
                                <w:rFonts w:ascii="Arial" w:hAnsi="Arial"/>
                                <w:b w:val="false"/>
                                <w:i w:val="false"/>
                                <w:caps w:val="false"/>
                                <w:smallCaps w:val="false"/>
                                <w:sz w:val="20"/>
                              </w:rPr>
                              <w:t>aims to raise awareness among low-income earners about how better health is the key to family well-being and development. The product</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34.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left"/>
                        <w:rPr>
                          <w:rFonts w:ascii="Arial" w:hAnsi="Arial"/>
                          <w:b w:val="false"/>
                          <w:i w:val="false"/>
                          <w:caps w:val="false"/>
                          <w:smallCaps w:val="false"/>
                          <w:sz w:val="20"/>
                          <w:u w:val="single"/>
                        </w:rPr>
                      </w:pPr>
                      <w:r>
                        <w:rPr>
                          <w:rFonts w:ascii="Arial" w:hAnsi="Arial"/>
                          <w:b w:val="false"/>
                          <w:i w:val="false"/>
                          <w:caps w:val="false"/>
                          <w:smallCaps w:val="false"/>
                          <w:sz w:val="20"/>
                          <w:u w:val="single"/>
                        </w:rPr>
                        <w:t>2.1.1.1.2 Other financial inclusion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Pacífico Seguros Insurance for All (</w:t>
                      </w:r>
                      <w:r>
                        <w:rPr>
                          <w:rFonts w:ascii="Arial" w:hAnsi="Arial"/>
                          <w:b/>
                          <w:i/>
                          <w:caps w:val="false"/>
                          <w:smallCaps w:val="false"/>
                          <w:sz w:val="20"/>
                        </w:rPr>
                        <w:t>Seguros para Todos</w:t>
                      </w:r>
                      <w:r>
                        <w:rPr>
                          <w:rFonts w:ascii="Arial" w:hAnsi="Arial"/>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Given that more than 50% of the population in Peru falls into economic segments C and D, it is vital that inclusion strategies bring protection to more people regardless of socio-economic status. </w:t>
                      </w:r>
                      <w:r>
                        <w:rPr>
                          <w:rFonts w:ascii="Arial" w:hAnsi="Arial"/>
                          <w:b w:val="false"/>
                          <w:i/>
                          <w:caps w:val="false"/>
                          <w:smallCaps w:val="false"/>
                          <w:sz w:val="20"/>
                        </w:rPr>
                        <w:t>Seguros para Todos</w:t>
                      </w:r>
                      <w:r>
                        <w:rPr>
                          <w:rFonts w:ascii="Arial" w:hAnsi="Arial"/>
                          <w:b w:val="false"/>
                          <w:i w:val="false"/>
                          <w:caps w:val="false"/>
                          <w:smallCaps w:val="false"/>
                          <w:sz w:val="20"/>
                        </w:rPr>
                        <w:t xml:space="preserve"> is an affordable insurance strategy through which Pacífico Seguros aims to cover as many people as possible.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company defines inclusive insurance as an optional product starting at S/ 4.00 per month up to a maximum of S/20.00 per month or a single payment, and with an underwriting process and use experience that are clear, simple, and transparent for the client. By the end of 2023, through Mibanco and BCP, Credicorp was selling ten different inclusive insurance products. We will continue to expand our offering during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57500" cy="685800"/>
                            <wp:effectExtent l="0" t="0" r="0" b="0"/>
                            <wp:docPr id="96"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51" descr=""/>
                                    <pic:cNvPicPr>
                                      <a:picLocks noChangeAspect="1" noChangeArrowheads="1"/>
                                    </pic:cNvPicPr>
                                  </pic:nvPicPr>
                                  <pic:blipFill>
                                    <a:blip r:embed="rId67"/>
                                    <a:stretch>
                                      <a:fillRect/>
                                    </a:stretch>
                                  </pic:blipFill>
                                  <pic:spPr bwMode="auto">
                                    <a:xfrm>
                                      <a:off x="0" y="0"/>
                                      <a:ext cx="2857500" cy="68580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Mibanco Perú</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Through Mibanco, Credicorp is focusing on responsibly banking our clients in a way that is consistent with our purpose and delivers what small entrepreneurs need. The following initiatives are spurring financial inclusion across the country.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57500" cy="685800"/>
                            <wp:effectExtent l="0" t="0" r="0" b="0"/>
                            <wp:docPr id="97"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52" descr=""/>
                                    <pic:cNvPicPr>
                                      <a:picLocks noChangeAspect="1" noChangeArrowheads="1"/>
                                    </pic:cNvPicPr>
                                  </pic:nvPicPr>
                                  <pic:blipFill>
                                    <a:blip r:embed="rId68"/>
                                    <a:stretch>
                                      <a:fillRect/>
                                    </a:stretch>
                                  </pic:blipFill>
                                  <pic:spPr bwMode="auto">
                                    <a:xfrm>
                                      <a:off x="0" y="0"/>
                                      <a:ext cx="2857500" cy="68580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i w:val="false"/>
                          <w:caps w:val="false"/>
                          <w:smallCaps w:val="false"/>
                          <w:sz w:val="20"/>
                        </w:rPr>
                        <w:t xml:space="preserve">Crediagua </w:t>
                      </w:r>
                      <w:r>
                        <w:rPr>
                          <w:rFonts w:ascii="Arial" w:hAnsi="Arial"/>
                          <w:b w:val="false"/>
                          <w:i w:val="false"/>
                          <w:caps w:val="false"/>
                          <w:smallCaps w:val="false"/>
                          <w:sz w:val="20"/>
                        </w:rPr>
                        <w:t>aims to raise awareness among low-income earners about how better health is the key to family well-being and development. The product</w:t>
                      </w:r>
                    </w:p>
                  </w:txbxContent>
                </v:textbox>
                <w10:wrap type="topAndBottom"/>
              </v:rect>
            </w:pict>
          </mc:Fallback>
        </mc:AlternateContent>
      </w:r>
      <w:r>
        <mc:AlternateContent>
          <mc:Choice Requires="wps">
            <w:drawing>
              <wp:anchor behindDoc="0" distT="0" distB="0" distL="0" distR="0" simplePos="0" locked="0" layoutInCell="1" allowOverlap="1" relativeHeight="193">
                <wp:simplePos x="0" y="0"/>
                <wp:positionH relativeFrom="column">
                  <wp:align>right</wp:align>
                </wp:positionH>
                <wp:positionV relativeFrom="line">
                  <wp:posOffset>635</wp:posOffset>
                </wp:positionV>
                <wp:extent cx="3110230" cy="5260340"/>
                <wp:effectExtent l="0" t="0" r="0" b="0"/>
                <wp:wrapTopAndBottom/>
                <wp:docPr id="98" name="Frame31"/>
                <a:graphic xmlns:a="http://schemas.openxmlformats.org/drawingml/2006/main">
                  <a:graphicData uri="http://schemas.microsoft.com/office/word/2010/wordprocessingShape">
                    <wps:wsp>
                      <wps:cNvSpPr txBox="1"/>
                      <wps:spPr>
                        <a:xfrm>
                          <a:off x="0" y="0"/>
                          <a:ext cx="3110230" cy="5260340"/>
                        </a:xfrm>
                        <a:prstGeom prst="rect"/>
                        <a:solidFill>
                          <a:srgbClr val="FFFFFF"/>
                        </a:solidFill>
                      </wps:spPr>
                      <wps:txbx>
                        <w:txbxContent>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enhances our role as a change agent: we provide access to an essential service (water), contribute to sensitization about health practices, and open up financial inclusion opportunities for our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57500" cy="628650"/>
                                  <wp:effectExtent l="0" t="0" r="0" b="0"/>
                                  <wp:docPr id="99"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53" descr=""/>
                                          <pic:cNvPicPr>
                                            <a:picLocks noChangeAspect="1" noChangeArrowheads="1"/>
                                          </pic:cNvPicPr>
                                        </pic:nvPicPr>
                                        <pic:blipFill>
                                          <a:blip r:embed="rId69"/>
                                          <a:stretch>
                                            <a:fillRect/>
                                          </a:stretch>
                                        </pic:blipFill>
                                        <pic:spPr bwMode="auto">
                                          <a:xfrm>
                                            <a:off x="0" y="0"/>
                                            <a:ext cx="2857500" cy="6286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This inclusion in the form of loans is complemented by </w:t>
                            </w:r>
                            <w:r>
                              <w:rPr>
                                <w:rFonts w:ascii="Arial" w:hAnsi="Arial"/>
                                <w:b/>
                                <w:i w:val="false"/>
                                <w:caps w:val="false"/>
                                <w:smallCaps w:val="false"/>
                                <w:sz w:val="20"/>
                              </w:rPr>
                              <w:t>Simi</w:t>
                            </w:r>
                            <w:r>
                              <w:rPr>
                                <w:rFonts w:ascii="Arial" w:hAnsi="Arial"/>
                                <w:b w:val="false"/>
                                <w:i w:val="false"/>
                                <w:caps w:val="false"/>
                                <w:smallCaps w:val="false"/>
                                <w:sz w:val="20"/>
                              </w:rPr>
                              <w:t>, an initiative that uses language to promote financial inclusion. Mibanco is the first financial institution in the country to provide clients and users with guidance in native languages, such as Quechua and Aymara. We are reasserting these indigenous languages because we believe that linguistic differences should not hamper people’s attempts to enter any system, let alone the financial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57500" cy="476250"/>
                                  <wp:effectExtent l="0" t="0" r="0" b="0"/>
                                  <wp:docPr id="100"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54" descr=""/>
                                          <pic:cNvPicPr>
                                            <a:picLocks noChangeAspect="1" noChangeArrowheads="1"/>
                                          </pic:cNvPicPr>
                                        </pic:nvPicPr>
                                        <pic:blipFill>
                                          <a:blip r:embed="rId70"/>
                                          <a:stretch>
                                            <a:fillRect/>
                                          </a:stretch>
                                        </pic:blipFill>
                                        <pic:spPr bwMode="auto">
                                          <a:xfrm>
                                            <a:off x="0" y="0"/>
                                            <a:ext cx="2857500" cy="47625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BCP Perú</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addition to gender diversity and financial inclusion, Credicorp’s subsidiaries are implementing various inclusion initiatives. For example, BCP has been helping persons with hearing disabilities to access its web and digital applications more easily. For persons with physical disabilities, it has been implementing an infrastructure adaptation plan for its agencies and our customer service centers.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14.2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enhances our role as a change agent: we provide access to an essential service (water), contribute to sensitization about health practices, and open up financial inclusion opportunities for our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57500" cy="628650"/>
                            <wp:effectExtent l="0" t="0" r="0" b="0"/>
                            <wp:docPr id="101"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53" descr=""/>
                                    <pic:cNvPicPr>
                                      <a:picLocks noChangeAspect="1" noChangeArrowheads="1"/>
                                    </pic:cNvPicPr>
                                  </pic:nvPicPr>
                                  <pic:blipFill>
                                    <a:blip r:embed="rId71"/>
                                    <a:stretch>
                                      <a:fillRect/>
                                    </a:stretch>
                                  </pic:blipFill>
                                  <pic:spPr bwMode="auto">
                                    <a:xfrm>
                                      <a:off x="0" y="0"/>
                                      <a:ext cx="2857500" cy="6286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This inclusion in the form of loans is complemented by </w:t>
                      </w:r>
                      <w:r>
                        <w:rPr>
                          <w:rFonts w:ascii="Arial" w:hAnsi="Arial"/>
                          <w:b/>
                          <w:i w:val="false"/>
                          <w:caps w:val="false"/>
                          <w:smallCaps w:val="false"/>
                          <w:sz w:val="20"/>
                        </w:rPr>
                        <w:t>Simi</w:t>
                      </w:r>
                      <w:r>
                        <w:rPr>
                          <w:rFonts w:ascii="Arial" w:hAnsi="Arial"/>
                          <w:b w:val="false"/>
                          <w:i w:val="false"/>
                          <w:caps w:val="false"/>
                          <w:smallCaps w:val="false"/>
                          <w:sz w:val="20"/>
                        </w:rPr>
                        <w:t>, an initiative that uses language to promote financial inclusion. Mibanco is the first financial institution in the country to provide clients and users with guidance in native languages, such as Quechua and Aymara. We are reasserting these indigenous languages because we believe that linguistic differences should not hamper people’s attempts to enter any system, let alone the financial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57500" cy="476250"/>
                            <wp:effectExtent l="0" t="0" r="0" b="0"/>
                            <wp:docPr id="102"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54" descr=""/>
                                    <pic:cNvPicPr>
                                      <a:picLocks noChangeAspect="1" noChangeArrowheads="1"/>
                                    </pic:cNvPicPr>
                                  </pic:nvPicPr>
                                  <pic:blipFill>
                                    <a:blip r:embed="rId72"/>
                                    <a:stretch>
                                      <a:fillRect/>
                                    </a:stretch>
                                  </pic:blipFill>
                                  <pic:spPr bwMode="auto">
                                    <a:xfrm>
                                      <a:off x="0" y="0"/>
                                      <a:ext cx="2857500" cy="47625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BCP Perú</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addition to gender diversity and financial inclusion, Credicorp’s subsidiaries are implementing various inclusion initiatives. For example, BCP has been helping persons with hearing disabilities to access its web and digital applications more easily. For persons with physical disabilities, it has been implementing an infrastructure adaptation plan for its agencies and our customer service centers.</w:t>
                      </w:r>
                    </w:p>
                  </w:txbxContent>
                </v:textbox>
                <w10:wrap type="topAndBottom"/>
              </v:rect>
            </w:pict>
          </mc:Fallback>
        </mc:AlternateConten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19</w:t>
      </w:r>
    </w:p>
    <w:p>
      <w:pPr>
        <w:pStyle w:val="HorizontalLine"/>
        <w:pBdr>
          <w:bottom w:val="single" w:sz="12" w:space="0" w:color="808080"/>
        </w:pBdr>
        <w:bidi w:val="0"/>
        <w:spacing w:before="200" w:after="200"/>
        <w:jc w:val="left"/>
        <w:rPr/>
      </w:pPr>
      <w:r>
        <w:rPr/>
      </w:r>
    </w:p>
    <w:p>
      <w:pPr>
        <w:pStyle w:val="TextBody"/>
        <w:bidi w:val="0"/>
        <w:spacing w:before="0" w:after="0"/>
        <w:ind w:left="500" w:right="0" w:hanging="0"/>
        <w:jc w:val="left"/>
        <w:rPr>
          <w:caps w:val="false"/>
          <w:smallCaps w:val="false"/>
          <w:color w:val="0D0D0D"/>
        </w:rPr>
      </w:pPr>
      <w:r>
        <w:rPr>
          <w:caps w:val="false"/>
          <w:smallCaps w:val="false"/>
          <w:color w:val="0D0D0D"/>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olumn">
                  <wp:align>left</wp:align>
                </wp:positionH>
                <wp:positionV relativeFrom="line">
                  <wp:posOffset>635</wp:posOffset>
                </wp:positionV>
                <wp:extent cx="3110230" cy="6554470"/>
                <wp:effectExtent l="0" t="0" r="0" b="0"/>
                <wp:wrapTopAndBottom/>
                <wp:docPr id="103" name="Frame32"/>
                <a:graphic xmlns:a="http://schemas.openxmlformats.org/drawingml/2006/main">
                  <a:graphicData uri="http://schemas.microsoft.com/office/word/2010/wordprocessingShape">
                    <wps:wsp>
                      <wps:cNvSpPr txBox="1"/>
                      <wps:spPr>
                        <a:xfrm>
                          <a:off x="0" y="0"/>
                          <a:ext cx="3110230" cy="6554470"/>
                        </a:xfrm>
                        <a:prstGeom prst="rect"/>
                        <a:solidFill>
                          <a:srgbClr val="FFFFFF"/>
                        </a:solidFill>
                      </wps:spPr>
                      <wps:txbx>
                        <w:txbxContent>
                          <w:p>
                            <w:pPr>
                              <w:pStyle w:val="TextBody"/>
                              <w:bidi w:val="0"/>
                              <w:spacing w:before="0" w:after="0"/>
                              <w:ind w:left="0" w:right="0" w:hanging="0"/>
                              <w:jc w:val="left"/>
                              <w:rPr>
                                <w:rFonts w:ascii="Arial" w:hAnsi="Arial"/>
                                <w:b/>
                                <w:i w:val="false"/>
                                <w:caps w:val="false"/>
                                <w:smallCaps w:val="false"/>
                                <w:color w:val="0D0D0D"/>
                                <w:sz w:val="20"/>
                              </w:rPr>
                            </w:pPr>
                            <w:r>
                              <w:rPr>
                                <w:rFonts w:ascii="Arial" w:hAnsi="Arial"/>
                                <w:b/>
                                <w:i w:val="false"/>
                                <w:caps w:val="false"/>
                                <w:smallCaps w:val="false"/>
                                <w:color w:val="0D0D0D"/>
                                <w:sz w:val="20"/>
                              </w:rPr>
                              <w:t>2.1.1.2. Financial education</w:t>
                            </w:r>
                          </w:p>
                          <w:p>
                            <w:pPr>
                              <w:pStyle w:val="TextBody"/>
                              <w:bidi w:val="0"/>
                              <w:spacing w:before="0" w:after="0"/>
                              <w:ind w:left="0" w:right="0" w:hanging="0"/>
                              <w:jc w:val="left"/>
                              <w:rPr>
                                <w:caps w:val="false"/>
                                <w:smallCaps w:val="false"/>
                                <w:color w:val="0D0D0D"/>
                              </w:rPr>
                            </w:pPr>
                            <w:r>
                              <w:rPr>
                                <w:caps w:val="false"/>
                                <w:smallCaps w:val="false"/>
                                <w:color w:val="0D0D0D"/>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Credicorp’s financial education programs raise awareness about the importance of responsible money and financial services management, </w:t>
                            </w:r>
                            <w:r>
                              <w:rPr>
                                <w:rFonts w:ascii="Arial" w:hAnsi="Arial"/>
                                <w:b/>
                                <w:i w:val="false"/>
                                <w:caps w:val="false"/>
                                <w:smallCaps w:val="false"/>
                                <w:color w:val="FE5000"/>
                                <w:sz w:val="20"/>
                              </w:rPr>
                              <w:t>the system's role</w:t>
                            </w:r>
                            <w:r>
                              <w:rPr>
                                <w:rFonts w:ascii="Arial" w:hAnsi="Arial"/>
                                <w:b w:val="false"/>
                                <w:i w:val="false"/>
                                <w:caps w:val="false"/>
                                <w:smallCaps w:val="false"/>
                                <w:sz w:val="20"/>
                              </w:rPr>
                              <w:t>, and the opportunities it provides. These initiatives help to increase confidence in the system and, consequently, to improve the well-being of the people who benefit from it.</w:t>
                            </w:r>
                          </w:p>
                          <w:p>
                            <w:pPr>
                              <w:pStyle w:val="TextBody"/>
                              <w:bidi w:val="0"/>
                              <w:spacing w:before="0" w:after="0"/>
                              <w:ind w:left="500" w:right="180" w:hanging="0"/>
                              <w:jc w:val="both"/>
                              <w:rPr>
                                <w:caps w:val="false"/>
                                <w:smallCaps w:val="false"/>
                              </w:rPr>
                            </w:pPr>
                            <w:r>
                              <w:rPr>
                                <w:caps w:val="false"/>
                                <w:smallCaps w:val="false"/>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4286250" cy="838200"/>
                                  <wp:effectExtent l="0" t="0" r="0" b="0"/>
                                  <wp:docPr id="104"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55" descr=""/>
                                          <pic:cNvPicPr>
                                            <a:picLocks noChangeAspect="1" noChangeArrowheads="1"/>
                                          </pic:cNvPicPr>
                                        </pic:nvPicPr>
                                        <pic:blipFill>
                                          <a:blip r:embed="rId73"/>
                                          <a:stretch>
                                            <a:fillRect/>
                                          </a:stretch>
                                        </pic:blipFill>
                                        <pic:spPr bwMode="auto">
                                          <a:xfrm>
                                            <a:off x="0" y="0"/>
                                            <a:ext cx="4286250" cy="838200"/>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Through the use of digital mass media, we spread the reach of our financial education towards millions of people, be they clients or members of society more broadly: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Arial" w:hAnsi="Arial"/>
                                <w:b/>
                                <w:i w:val="false"/>
                                <w:caps w:val="false"/>
                                <w:smallCaps w:val="false"/>
                                <w:color w:val="FE5000"/>
                                <w:sz w:val="24"/>
                              </w:rPr>
                            </w:pPr>
                            <w:r>
                              <w:rPr>
                                <w:rFonts w:ascii="Arial" w:hAnsi="Arial"/>
                                <w:b/>
                                <w:i w:val="false"/>
                                <w:caps w:val="false"/>
                                <w:smallCaps w:val="false"/>
                                <w:color w:val="FE5000"/>
                                <w:sz w:val="24"/>
                              </w:rPr>
                              <w:t>Financial education mass communication</w:t>
                            </w:r>
                          </w:p>
                          <w:p>
                            <w:pPr>
                              <w:pStyle w:val="TextBody"/>
                              <w:bidi w:val="0"/>
                              <w:spacing w:before="0" w:after="0"/>
                              <w:ind w:left="1760" w:right="0" w:hanging="0"/>
                              <w:jc w:val="left"/>
                              <w:rPr>
                                <w:caps w:val="false"/>
                                <w:smallCaps w:val="false"/>
                                <w:color w:val="FE5000"/>
                              </w:rPr>
                            </w:pPr>
                            <w:r>
                              <w:rPr>
                                <w:caps w:val="false"/>
                                <w:smallCaps w:val="false"/>
                                <w:color w:val="FE5000"/>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3810000" cy="819150"/>
                                  <wp:effectExtent l="0" t="0" r="0" b="0"/>
                                  <wp:docPr id="105"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56" descr=""/>
                                          <pic:cNvPicPr>
                                            <a:picLocks noChangeAspect="1" noChangeArrowheads="1"/>
                                          </pic:cNvPicPr>
                                        </pic:nvPicPr>
                                        <pic:blipFill>
                                          <a:blip r:embed="rId74"/>
                                          <a:stretch>
                                            <a:fillRect/>
                                          </a:stretch>
                                        </pic:blipFill>
                                        <pic:spPr bwMode="auto">
                                          <a:xfrm>
                                            <a:off x="0" y="0"/>
                                            <a:ext cx="3810000" cy="819150"/>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2023, we focused on addressing topics for more specific audiences in our mass media education initiatives; for example, the El Niño phenomenon, which is of particular interest to those in the area it most affects. This change has meant a reduced number of chapters and, therefore, fewer effective views.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lineRule="auto" w:line="240"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9 Peru’s principal consumer goods company producing industrial items, mass consumption products, and animal feed.</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16.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left"/>
                        <w:rPr>
                          <w:rFonts w:ascii="Arial" w:hAnsi="Arial"/>
                          <w:b/>
                          <w:i w:val="false"/>
                          <w:caps w:val="false"/>
                          <w:smallCaps w:val="false"/>
                          <w:color w:val="0D0D0D"/>
                          <w:sz w:val="20"/>
                        </w:rPr>
                      </w:pPr>
                      <w:r>
                        <w:rPr>
                          <w:rFonts w:ascii="Arial" w:hAnsi="Arial"/>
                          <w:b/>
                          <w:i w:val="false"/>
                          <w:caps w:val="false"/>
                          <w:smallCaps w:val="false"/>
                          <w:color w:val="0D0D0D"/>
                          <w:sz w:val="20"/>
                        </w:rPr>
                        <w:t>2.1.1.2. Financial education</w:t>
                      </w:r>
                    </w:p>
                    <w:p>
                      <w:pPr>
                        <w:pStyle w:val="TextBody"/>
                        <w:bidi w:val="0"/>
                        <w:spacing w:before="0" w:after="0"/>
                        <w:ind w:left="0" w:right="0" w:hanging="0"/>
                        <w:jc w:val="left"/>
                        <w:rPr>
                          <w:caps w:val="false"/>
                          <w:smallCaps w:val="false"/>
                          <w:color w:val="0D0D0D"/>
                        </w:rPr>
                      </w:pPr>
                      <w:r>
                        <w:rPr>
                          <w:caps w:val="false"/>
                          <w:smallCaps w:val="false"/>
                          <w:color w:val="0D0D0D"/>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Credicorp’s financial education programs raise awareness about the importance of responsible money and financial services management, </w:t>
                      </w:r>
                      <w:r>
                        <w:rPr>
                          <w:rFonts w:ascii="Arial" w:hAnsi="Arial"/>
                          <w:b/>
                          <w:i w:val="false"/>
                          <w:caps w:val="false"/>
                          <w:smallCaps w:val="false"/>
                          <w:color w:val="FE5000"/>
                          <w:sz w:val="20"/>
                        </w:rPr>
                        <w:t>the system's role</w:t>
                      </w:r>
                      <w:r>
                        <w:rPr>
                          <w:rFonts w:ascii="Arial" w:hAnsi="Arial"/>
                          <w:b w:val="false"/>
                          <w:i w:val="false"/>
                          <w:caps w:val="false"/>
                          <w:smallCaps w:val="false"/>
                          <w:sz w:val="20"/>
                        </w:rPr>
                        <w:t>, and the opportunities it provides. These initiatives help to increase confidence in the system and, consequently, to improve the well-being of the people who benefit from it.</w:t>
                      </w:r>
                    </w:p>
                    <w:p>
                      <w:pPr>
                        <w:pStyle w:val="TextBody"/>
                        <w:bidi w:val="0"/>
                        <w:spacing w:before="0" w:after="0"/>
                        <w:ind w:left="500" w:right="180" w:hanging="0"/>
                        <w:jc w:val="both"/>
                        <w:rPr>
                          <w:caps w:val="false"/>
                          <w:smallCaps w:val="false"/>
                        </w:rPr>
                      </w:pPr>
                      <w:r>
                        <w:rPr>
                          <w:caps w:val="false"/>
                          <w:smallCaps w:val="false"/>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4286250" cy="838200"/>
                            <wp:effectExtent l="0" t="0" r="0" b="0"/>
                            <wp:docPr id="106"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55" descr=""/>
                                    <pic:cNvPicPr>
                                      <a:picLocks noChangeAspect="1" noChangeArrowheads="1"/>
                                    </pic:cNvPicPr>
                                  </pic:nvPicPr>
                                  <pic:blipFill>
                                    <a:blip r:embed="rId75"/>
                                    <a:stretch>
                                      <a:fillRect/>
                                    </a:stretch>
                                  </pic:blipFill>
                                  <pic:spPr bwMode="auto">
                                    <a:xfrm>
                                      <a:off x="0" y="0"/>
                                      <a:ext cx="4286250" cy="838200"/>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Through the use of digital mass media, we spread the reach of our financial education towards millions of people, be they clients or members of society more broadly: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Arial" w:hAnsi="Arial"/>
                          <w:b/>
                          <w:i w:val="false"/>
                          <w:caps w:val="false"/>
                          <w:smallCaps w:val="false"/>
                          <w:color w:val="FE5000"/>
                          <w:sz w:val="24"/>
                        </w:rPr>
                      </w:pPr>
                      <w:r>
                        <w:rPr>
                          <w:rFonts w:ascii="Arial" w:hAnsi="Arial"/>
                          <w:b/>
                          <w:i w:val="false"/>
                          <w:caps w:val="false"/>
                          <w:smallCaps w:val="false"/>
                          <w:color w:val="FE5000"/>
                          <w:sz w:val="24"/>
                        </w:rPr>
                        <w:t>Financial education mass communication</w:t>
                      </w:r>
                    </w:p>
                    <w:p>
                      <w:pPr>
                        <w:pStyle w:val="TextBody"/>
                        <w:bidi w:val="0"/>
                        <w:spacing w:before="0" w:after="0"/>
                        <w:ind w:left="1760" w:right="0" w:hanging="0"/>
                        <w:jc w:val="left"/>
                        <w:rPr>
                          <w:caps w:val="false"/>
                          <w:smallCaps w:val="false"/>
                          <w:color w:val="FE5000"/>
                        </w:rPr>
                      </w:pPr>
                      <w:r>
                        <w:rPr>
                          <w:caps w:val="false"/>
                          <w:smallCaps w:val="false"/>
                          <w:color w:val="FE5000"/>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3810000" cy="819150"/>
                            <wp:effectExtent l="0" t="0" r="0" b="0"/>
                            <wp:docPr id="107"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56" descr=""/>
                                    <pic:cNvPicPr>
                                      <a:picLocks noChangeAspect="1" noChangeArrowheads="1"/>
                                    </pic:cNvPicPr>
                                  </pic:nvPicPr>
                                  <pic:blipFill>
                                    <a:blip r:embed="rId76"/>
                                    <a:stretch>
                                      <a:fillRect/>
                                    </a:stretch>
                                  </pic:blipFill>
                                  <pic:spPr bwMode="auto">
                                    <a:xfrm>
                                      <a:off x="0" y="0"/>
                                      <a:ext cx="3810000" cy="819150"/>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2023, we focused on addressing topics for more specific audiences in our mass media education initiatives; for example, the El Niño phenomenon, which is of particular interest to those in the area it most affects. This change has meant a reduced number of chapters and, therefore, fewer effective views.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lineRule="auto" w:line="240"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9 Peru’s principal consumer goods company producing industrial items, mass consumption products, and animal feed.</w:t>
                      </w:r>
                    </w:p>
                  </w:txbxContent>
                </v:textbox>
                <w10:wrap type="topAndBottom"/>
              </v:rect>
            </w:pict>
          </mc:Fallback>
        </mc:AlternateContent>
      </w:r>
      <w:r>
        <mc:AlternateContent>
          <mc:Choice Requires="wps">
            <w:drawing>
              <wp:anchor behindDoc="0" distT="0" distB="0" distL="0" distR="0" simplePos="0" locked="0" layoutInCell="1" allowOverlap="1" relativeHeight="240">
                <wp:simplePos x="0" y="0"/>
                <wp:positionH relativeFrom="column">
                  <wp:align>right</wp:align>
                </wp:positionH>
                <wp:positionV relativeFrom="line">
                  <wp:posOffset>635</wp:posOffset>
                </wp:positionV>
                <wp:extent cx="3110230" cy="5298440"/>
                <wp:effectExtent l="0" t="0" r="0" b="0"/>
                <wp:wrapTopAndBottom/>
                <wp:docPr id="108" name="Frame33"/>
                <a:graphic xmlns:a="http://schemas.openxmlformats.org/drawingml/2006/main">
                  <a:graphicData uri="http://schemas.microsoft.com/office/word/2010/wordprocessingShape">
                    <wps:wsp>
                      <wps:cNvSpPr txBox="1"/>
                      <wps:spPr>
                        <a:xfrm>
                          <a:off x="0" y="0"/>
                          <a:ext cx="3110230" cy="5298440"/>
                        </a:xfrm>
                        <a:prstGeom prst="rect"/>
                        <a:solidFill>
                          <a:srgbClr val="FFFFFF"/>
                        </a:solidFill>
                      </wps:spPr>
                      <wps:txbx>
                        <w:txbxContent>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 also offer a range of content freely available on the web that is linked to financial education, and to our products, services, and channels, especially the digital ones.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Arial" w:hAnsi="Arial"/>
                                <w:b/>
                                <w:i w:val="false"/>
                                <w:caps w:val="false"/>
                                <w:smallCaps w:val="false"/>
                                <w:color w:val="FE5000"/>
                                <w:sz w:val="24"/>
                              </w:rPr>
                            </w:pPr>
                            <w:r>
                              <w:rPr>
                                <w:rFonts w:ascii="Arial" w:hAnsi="Arial"/>
                                <w:b/>
                                <w:i w:val="false"/>
                                <w:caps w:val="false"/>
                                <w:smallCaps w:val="false"/>
                                <w:color w:val="FE5000"/>
                                <w:sz w:val="24"/>
                              </w:rPr>
                              <w:t>Financial Education initiatives</w:t>
                            </w:r>
                          </w:p>
                          <w:p>
                            <w:pPr>
                              <w:pStyle w:val="TextBody"/>
                              <w:bidi w:val="0"/>
                              <w:spacing w:before="0" w:after="0"/>
                              <w:jc w:val="center"/>
                              <w:rPr>
                                <w:caps w:val="false"/>
                                <w:smallCaps w:val="false"/>
                                <w:color w:val="FE5000"/>
                              </w:rPr>
                            </w:pPr>
                            <w:r>
                              <w:rPr>
                                <w:caps w:val="false"/>
                                <w:smallCaps w:val="false"/>
                                <w:color w:val="FE5000"/>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4286250" cy="2114550"/>
                                  <wp:effectExtent l="0" t="0" r="0" b="0"/>
                                  <wp:docPr id="109"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57" descr=""/>
                                          <pic:cNvPicPr>
                                            <a:picLocks noChangeAspect="1" noChangeArrowheads="1"/>
                                          </pic:cNvPicPr>
                                        </pic:nvPicPr>
                                        <pic:blipFill>
                                          <a:blip r:embed="rId77"/>
                                          <a:stretch>
                                            <a:fillRect/>
                                          </a:stretch>
                                        </pic:blipFill>
                                        <pic:spPr bwMode="auto">
                                          <a:xfrm>
                                            <a:off x="0" y="0"/>
                                            <a:ext cx="4286250" cy="2114550"/>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lineRule="auto" w:line="240"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In addition, we use partnerships to broaden our reach. For example, Mibanco’s </w:t>
                            </w:r>
                            <w:r>
                              <w:rPr>
                                <w:rFonts w:ascii="Arial" w:hAnsi="Arial"/>
                                <w:b/>
                                <w:i w:val="false"/>
                                <w:caps w:val="false"/>
                                <w:smallCaps w:val="false"/>
                                <w:sz w:val="20"/>
                              </w:rPr>
                              <w:t>Miconsultor</w:t>
                            </w:r>
                            <w:r>
                              <w:rPr>
                                <w:rFonts w:ascii="Arial" w:hAnsi="Arial"/>
                                <w:b w:val="false"/>
                                <w:i w:val="false"/>
                                <w:caps w:val="false"/>
                                <w:smallCaps w:val="false"/>
                                <w:sz w:val="20"/>
                              </w:rPr>
                              <w:t xml:space="preserve"> program, in collaboration with universities in Lima and Peru’s provinces, reached 1,145 microentrepreneurs and 8,125 participating student consultants since the start of the programme (2011). For the second year, Mibanco joined </w:t>
                            </w:r>
                            <w:r>
                              <w:rPr>
                                <w:rFonts w:ascii="Arial" w:hAnsi="Arial"/>
                                <w:b/>
                                <w:i/>
                                <w:caps w:val="false"/>
                                <w:smallCaps w:val="false"/>
                                <w:sz w:val="20"/>
                              </w:rPr>
                              <w:t>Ollas que desarrollan</w:t>
                            </w:r>
                            <w:r>
                              <w:rPr>
                                <w:rFonts w:ascii="Arial" w:hAnsi="Arial"/>
                                <w:b/>
                                <w:i w:val="false"/>
                                <w:caps w:val="false"/>
                                <w:smallCaps w:val="false"/>
                                <w:sz w:val="20"/>
                              </w:rPr>
                              <w:t>,</w:t>
                            </w:r>
                            <w:r>
                              <w:rPr>
                                <w:rFonts w:ascii="Arial" w:hAnsi="Arial"/>
                                <w:b w:val="false"/>
                                <w:i w:val="false"/>
                                <w:caps w:val="false"/>
                                <w:smallCaps w:val="false"/>
                                <w:sz w:val="20"/>
                              </w:rPr>
                              <w:t xml:space="preserve"> Alicorp’s9 development (</w:t>
                            </w:r>
                            <w:r>
                              <w:rPr>
                                <w:rFonts w:ascii="Arial" w:hAnsi="Arial"/>
                                <w:b w:val="false"/>
                                <w:i/>
                                <w:caps w:val="false"/>
                                <w:smallCaps w:val="false"/>
                                <w:sz w:val="20"/>
                              </w:rPr>
                              <w:t>desarrollo</w:t>
                            </w:r>
                            <w:r>
                              <w:rPr>
                                <w:rFonts w:ascii="Arial" w:hAnsi="Arial"/>
                                <w:b w:val="false"/>
                                <w:i w:val="false"/>
                                <w:caps w:val="false"/>
                                <w:smallCaps w:val="false"/>
                                <w:sz w:val="20"/>
                              </w:rPr>
                              <w:t>) work in community kitchens (</w:t>
                            </w:r>
                            <w:r>
                              <w:rPr>
                                <w:rFonts w:ascii="Arial" w:hAnsi="Arial"/>
                                <w:b w:val="false"/>
                                <w:i/>
                                <w:caps w:val="false"/>
                                <w:smallCaps w:val="false"/>
                                <w:sz w:val="20"/>
                              </w:rPr>
                              <w:t>ollas)</w:t>
                            </w:r>
                            <w:r>
                              <w:rPr>
                                <w:rFonts w:ascii="Arial" w:hAnsi="Arial"/>
                                <w:b w:val="false"/>
                                <w:i w:val="false"/>
                                <w:caps w:val="false"/>
                                <w:smallCaps w:val="false"/>
                                <w:sz w:val="20"/>
                              </w:rPr>
                              <w:t xml:space="preserve"> within the framework of the </w:t>
                            </w:r>
                            <w:r>
                              <w:rPr>
                                <w:rFonts w:ascii="Arial" w:hAnsi="Arial"/>
                                <w:b/>
                                <w:i/>
                                <w:caps w:val="false"/>
                                <w:smallCaps w:val="false"/>
                                <w:sz w:val="20"/>
                              </w:rPr>
                              <w:t xml:space="preserve">Mujeres Poderosas </w:t>
                            </w:r>
                            <w:r>
                              <w:rPr>
                                <w:rFonts w:ascii="Arial" w:hAnsi="Arial"/>
                                <w:b w:val="false"/>
                                <w:i w:val="false"/>
                                <w:caps w:val="false"/>
                                <w:smallCaps w:val="false"/>
                                <w:sz w:val="20"/>
                              </w:rPr>
                              <w:t>program. It seeks to use financial and digital education to strengthen female leaders and users of grassroots social organizations. In 2023, more than 13,000 women were reached, helping to close gender gaps.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17.2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 also offer a range of content freely available on the web that is linked to financial education, and to our products, services, and channels, especially the digital ones.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Arial" w:hAnsi="Arial"/>
                          <w:b/>
                          <w:i w:val="false"/>
                          <w:caps w:val="false"/>
                          <w:smallCaps w:val="false"/>
                          <w:color w:val="FE5000"/>
                          <w:sz w:val="24"/>
                        </w:rPr>
                      </w:pPr>
                      <w:r>
                        <w:rPr>
                          <w:rFonts w:ascii="Arial" w:hAnsi="Arial"/>
                          <w:b/>
                          <w:i w:val="false"/>
                          <w:caps w:val="false"/>
                          <w:smallCaps w:val="false"/>
                          <w:color w:val="FE5000"/>
                          <w:sz w:val="24"/>
                        </w:rPr>
                        <w:t>Financial Education initiatives</w:t>
                      </w:r>
                    </w:p>
                    <w:p>
                      <w:pPr>
                        <w:pStyle w:val="TextBody"/>
                        <w:bidi w:val="0"/>
                        <w:spacing w:before="0" w:after="0"/>
                        <w:jc w:val="center"/>
                        <w:rPr>
                          <w:caps w:val="false"/>
                          <w:smallCaps w:val="false"/>
                          <w:color w:val="FE5000"/>
                        </w:rPr>
                      </w:pPr>
                      <w:r>
                        <w:rPr>
                          <w:caps w:val="false"/>
                          <w:smallCaps w:val="false"/>
                          <w:color w:val="FE5000"/>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4286250" cy="2114550"/>
                            <wp:effectExtent l="0" t="0" r="0" b="0"/>
                            <wp:docPr id="11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57" descr=""/>
                                    <pic:cNvPicPr>
                                      <a:picLocks noChangeAspect="1" noChangeArrowheads="1"/>
                                    </pic:cNvPicPr>
                                  </pic:nvPicPr>
                                  <pic:blipFill>
                                    <a:blip r:embed="rId78"/>
                                    <a:stretch>
                                      <a:fillRect/>
                                    </a:stretch>
                                  </pic:blipFill>
                                  <pic:spPr bwMode="auto">
                                    <a:xfrm>
                                      <a:off x="0" y="0"/>
                                      <a:ext cx="4286250" cy="2114550"/>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lineRule="auto" w:line="240"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In addition, we use partnerships to broaden our reach. For example, Mibanco’s </w:t>
                      </w:r>
                      <w:r>
                        <w:rPr>
                          <w:rFonts w:ascii="Arial" w:hAnsi="Arial"/>
                          <w:b/>
                          <w:i w:val="false"/>
                          <w:caps w:val="false"/>
                          <w:smallCaps w:val="false"/>
                          <w:sz w:val="20"/>
                        </w:rPr>
                        <w:t>Miconsultor</w:t>
                      </w:r>
                      <w:r>
                        <w:rPr>
                          <w:rFonts w:ascii="Arial" w:hAnsi="Arial"/>
                          <w:b w:val="false"/>
                          <w:i w:val="false"/>
                          <w:caps w:val="false"/>
                          <w:smallCaps w:val="false"/>
                          <w:sz w:val="20"/>
                        </w:rPr>
                        <w:t xml:space="preserve"> program, in collaboration with universities in Lima and Peru’s provinces, reached 1,145 microentrepreneurs and 8,125 participating student consultants since the start of the programme (2011). For the second year, Mibanco joined </w:t>
                      </w:r>
                      <w:r>
                        <w:rPr>
                          <w:rFonts w:ascii="Arial" w:hAnsi="Arial"/>
                          <w:b/>
                          <w:i/>
                          <w:caps w:val="false"/>
                          <w:smallCaps w:val="false"/>
                          <w:sz w:val="20"/>
                        </w:rPr>
                        <w:t>Ollas que desarrollan</w:t>
                      </w:r>
                      <w:r>
                        <w:rPr>
                          <w:rFonts w:ascii="Arial" w:hAnsi="Arial"/>
                          <w:b/>
                          <w:i w:val="false"/>
                          <w:caps w:val="false"/>
                          <w:smallCaps w:val="false"/>
                          <w:sz w:val="20"/>
                        </w:rPr>
                        <w:t>,</w:t>
                      </w:r>
                      <w:r>
                        <w:rPr>
                          <w:rFonts w:ascii="Arial" w:hAnsi="Arial"/>
                          <w:b w:val="false"/>
                          <w:i w:val="false"/>
                          <w:caps w:val="false"/>
                          <w:smallCaps w:val="false"/>
                          <w:sz w:val="20"/>
                        </w:rPr>
                        <w:t xml:space="preserve"> Alicorp’s9 development (</w:t>
                      </w:r>
                      <w:r>
                        <w:rPr>
                          <w:rFonts w:ascii="Arial" w:hAnsi="Arial"/>
                          <w:b w:val="false"/>
                          <w:i/>
                          <w:caps w:val="false"/>
                          <w:smallCaps w:val="false"/>
                          <w:sz w:val="20"/>
                        </w:rPr>
                        <w:t>desarrollo</w:t>
                      </w:r>
                      <w:r>
                        <w:rPr>
                          <w:rFonts w:ascii="Arial" w:hAnsi="Arial"/>
                          <w:b w:val="false"/>
                          <w:i w:val="false"/>
                          <w:caps w:val="false"/>
                          <w:smallCaps w:val="false"/>
                          <w:sz w:val="20"/>
                        </w:rPr>
                        <w:t>) work in community kitchens (</w:t>
                      </w:r>
                      <w:r>
                        <w:rPr>
                          <w:rFonts w:ascii="Arial" w:hAnsi="Arial"/>
                          <w:b w:val="false"/>
                          <w:i/>
                          <w:caps w:val="false"/>
                          <w:smallCaps w:val="false"/>
                          <w:sz w:val="20"/>
                        </w:rPr>
                        <w:t>ollas)</w:t>
                      </w:r>
                      <w:r>
                        <w:rPr>
                          <w:rFonts w:ascii="Arial" w:hAnsi="Arial"/>
                          <w:b w:val="false"/>
                          <w:i w:val="false"/>
                          <w:caps w:val="false"/>
                          <w:smallCaps w:val="false"/>
                          <w:sz w:val="20"/>
                        </w:rPr>
                        <w:t xml:space="preserve"> within the framework of the </w:t>
                      </w:r>
                      <w:r>
                        <w:rPr>
                          <w:rFonts w:ascii="Arial" w:hAnsi="Arial"/>
                          <w:b/>
                          <w:i/>
                          <w:caps w:val="false"/>
                          <w:smallCaps w:val="false"/>
                          <w:sz w:val="20"/>
                        </w:rPr>
                        <w:t xml:space="preserve">Mujeres Poderosas </w:t>
                      </w:r>
                      <w:r>
                        <w:rPr>
                          <w:rFonts w:ascii="Arial" w:hAnsi="Arial"/>
                          <w:b w:val="false"/>
                          <w:i w:val="false"/>
                          <w:caps w:val="false"/>
                          <w:smallCaps w:val="false"/>
                          <w:sz w:val="20"/>
                        </w:rPr>
                        <w:t>program. It seeks to use financial and digital education to strengthen female leaders and users of grassroots social organizations. In 2023, more than 13,000 women were reached, helping to close gender gaps.</w:t>
                      </w:r>
                    </w:p>
                  </w:txbxContent>
                </v:textbox>
                <w10:wrap type="topAndBottom"/>
              </v:rect>
            </w:pict>
          </mc:Fallback>
        </mc:AlternateConten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20</w:t>
      </w:r>
    </w:p>
    <w:p>
      <w:pPr>
        <w:pStyle w:val="HorizontalLine"/>
        <w:pBdr>
          <w:bottom w:val="single" w:sz="12" w:space="0" w:color="808080"/>
        </w:pBdr>
        <w:bidi w:val="0"/>
        <w:spacing w:before="200" w:after="200"/>
        <w:jc w:val="left"/>
        <w:rPr/>
      </w:pPr>
      <w:r>
        <w:rPr/>
      </w:r>
    </w:p>
    <w:p>
      <w:pPr>
        <w:pStyle w:val="TextBody"/>
        <w:bidi w:val="0"/>
        <w:spacing w:before="0" w:after="0"/>
        <w:ind w:left="2"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242">
                <wp:simplePos x="0" y="0"/>
                <wp:positionH relativeFrom="column">
                  <wp:align>left</wp:align>
                </wp:positionH>
                <wp:positionV relativeFrom="line">
                  <wp:posOffset>635</wp:posOffset>
                </wp:positionV>
                <wp:extent cx="3110230" cy="4542155"/>
                <wp:effectExtent l="0" t="0" r="0" b="0"/>
                <wp:wrapTopAndBottom/>
                <wp:docPr id="111" name="Frame34"/>
                <a:graphic xmlns:a="http://schemas.openxmlformats.org/drawingml/2006/main">
                  <a:graphicData uri="http://schemas.microsoft.com/office/word/2010/wordprocessingShape">
                    <wps:wsp>
                      <wps:cNvSpPr txBox="1"/>
                      <wps:spPr>
                        <a:xfrm>
                          <a:off x="0" y="0"/>
                          <a:ext cx="3110230" cy="4542155"/>
                        </a:xfrm>
                        <a:prstGeom prst="rect"/>
                        <a:solidFill>
                          <a:srgbClr val="FFFFFF"/>
                        </a:solidFill>
                      </wps:spPr>
                      <wps:txbx>
                        <w:txbxContent>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Our financial education programs encourage the responsible use of products and services. They place particular emphasis on the importance of:</w:t>
                            </w:r>
                          </w:p>
                          <w:p>
                            <w:pPr>
                              <w:pStyle w:val="TextBody"/>
                              <w:bidi w:val="0"/>
                              <w:spacing w:before="0" w:after="0"/>
                              <w:ind w:left="2"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
                              <w:gridCol w:w="108"/>
                              <w:gridCol w:w="4772"/>
                            </w:tblGrid>
                            <w:tr>
                              <w:trPr/>
                              <w:tc>
                                <w:tcPr>
                                  <w:tcW w:w="18"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pPr>
                                  <w:r>
                                    <w:rPr/>
                                    <w:drawing>
                                      <wp:inline distT="0" distB="0" distL="0" distR="0">
                                        <wp:extent cx="142875" cy="104775"/>
                                        <wp:effectExtent l="0" t="0" r="0" b="0"/>
                                        <wp:docPr id="112"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58" descr=""/>
                                                <pic:cNvPicPr>
                                                  <a:picLocks noChangeAspect="1" noChangeArrowheads="1"/>
                                                </pic:cNvPicPr>
                                              </pic:nvPicPr>
                                              <pic:blipFill>
                                                <a:blip r:embed="rId79"/>
                                                <a:stretch>
                                                  <a:fillRect/>
                                                </a:stretch>
                                              </pic:blipFill>
                                              <pic:spPr bwMode="auto">
                                                <a:xfrm>
                                                  <a:off x="0" y="0"/>
                                                  <a:ext cx="142875" cy="104775"/>
                                                </a:xfrm>
                                                <a:prstGeom prst="rect">
                                                  <a:avLst/>
                                                </a:prstGeom>
                                              </pic:spPr>
                                            </pic:pic>
                                          </a:graphicData>
                                        </a:graphic>
                                      </wp:inline>
                                    </w:drawing>
                                  </w:r>
                                </w:p>
                              </w:tc>
                              <w:tc>
                                <w:tcPr>
                                  <w:tcW w:w="4772" w:type="dxa"/>
                                  <w:tcBorders/>
                                  <w:vAlign w:val="center"/>
                                </w:tcPr>
                                <w:p>
                                  <w:pPr>
                                    <w:pStyle w:val="TableContents"/>
                                    <w:bidi w:val="0"/>
                                    <w:spacing w:before="0" w:after="283"/>
                                    <w:jc w:val="both"/>
                                    <w:rPr>
                                      <w:rFonts w:ascii="Arial" w:hAnsi="Arial"/>
                                      <w:sz w:val="20"/>
                                    </w:rPr>
                                  </w:pPr>
                                  <w:r>
                                    <w:rPr>
                                      <w:rFonts w:ascii="Arial" w:hAnsi="Arial"/>
                                      <w:sz w:val="20"/>
                                    </w:rPr>
                                    <w:t xml:space="preserve">the </w:t>
                                  </w:r>
                                  <w:r>
                                    <w:rPr>
                                      <w:rFonts w:ascii="Arial" w:hAnsi="Arial"/>
                                      <w:b/>
                                      <w:color w:val="FE5000"/>
                                      <w:sz w:val="20"/>
                                    </w:rPr>
                                    <w:t>savings culture</w:t>
                                  </w:r>
                                  <w:r>
                                    <w:rPr>
                                      <w:rFonts w:ascii="Arial" w:hAnsi="Arial"/>
                                      <w:sz w:val="20"/>
                                    </w:rPr>
                                    <w:t xml:space="preserve"> as an enabler of </w:t>
                                  </w:r>
                                  <w:r>
                                    <w:rPr>
                                      <w:rFonts w:ascii="Arial" w:hAnsi="Arial"/>
                                      <w:b/>
                                      <w:color w:val="FE5000"/>
                                      <w:sz w:val="20"/>
                                    </w:rPr>
                                    <w:t>financial resilience.</w:t>
                                  </w:r>
                                  <w:r>
                                    <w:rPr>
                                      <w:rFonts w:ascii="Arial" w:hAnsi="Arial"/>
                                      <w:sz w:val="20"/>
                                    </w:rPr>
                                    <w:t xml:space="preserve"> Examples include Prima AFP’s educational videos (</w:t>
                                  </w:r>
                                  <w:r>
                                    <w:rPr>
                                      <w:rFonts w:ascii="Arial" w:hAnsi="Arial"/>
                                      <w:b/>
                                      <w:i/>
                                      <w:sz w:val="20"/>
                                    </w:rPr>
                                    <w:t>Aprende Ahorando a Fondo</w:t>
                                  </w:r>
                                  <w:r>
                                    <w:rPr>
                                      <w:rFonts w:ascii="Arial" w:hAnsi="Arial"/>
                                      <w:sz w:val="20"/>
                                    </w:rPr>
                                    <w:t>), launched this year on YouTube about Peru’s private pension system, and a video podcast (</w:t>
                                  </w:r>
                                  <w:r>
                                    <w:rPr>
                                      <w:rFonts w:ascii="Arial" w:hAnsi="Arial"/>
                                      <w:b/>
                                      <w:i/>
                                      <w:sz w:val="20"/>
                                    </w:rPr>
                                    <w:t>Micros Abiertos</w:t>
                                  </w:r>
                                  <w:r>
                                    <w:rPr>
                                      <w:rFonts w:ascii="Arial" w:hAnsi="Arial"/>
                                      <w:sz w:val="20"/>
                                    </w:rPr>
                                    <w:t>), which discusses a company product (</w:t>
                                  </w:r>
                                  <w:r>
                                    <w:rPr>
                                      <w:rFonts w:ascii="Arial" w:hAnsi="Arial"/>
                                      <w:i/>
                                      <w:sz w:val="20"/>
                                    </w:rPr>
                                    <w:t>Cuentas Metas</w:t>
                                  </w:r>
                                  <w:r>
                                    <w:rPr>
                                      <w:rFonts w:ascii="Arial" w:hAnsi="Arial"/>
                                      <w:sz w:val="20"/>
                                    </w:rPr>
                                    <w:t xml:space="preserve">) that encourages voluntary savings; </w:t>
                                  </w:r>
                                </w:p>
                              </w:tc>
                            </w:tr>
                          </w:tbl>
                          <w:tbl>
                            <w:tblPr>
                              <w:tblW w:w="5000" w:type="pct"/>
                              <w:jc w:val="left"/>
                              <w:tblInd w:w="0" w:type="dxa"/>
                              <w:tblLayout w:type="fixed"/>
                              <w:tblCellMar>
                                <w:top w:w="0" w:type="dxa"/>
                                <w:left w:w="0" w:type="dxa"/>
                                <w:bottom w:w="0" w:type="dxa"/>
                                <w:right w:w="0" w:type="dxa"/>
                              </w:tblCellMar>
                            </w:tblPr>
                            <w:tblGrid>
                              <w:gridCol w:w="18"/>
                              <w:gridCol w:w="108"/>
                              <w:gridCol w:w="4772"/>
                            </w:tblGrid>
                            <w:tr>
                              <w:trPr/>
                              <w:tc>
                                <w:tcPr>
                                  <w:tcW w:w="18"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pPr>
                                  <w:r>
                                    <w:rPr/>
                                    <w:drawing>
                                      <wp:inline distT="0" distB="0" distL="0" distR="0">
                                        <wp:extent cx="142875" cy="104775"/>
                                        <wp:effectExtent l="0" t="0" r="0" b="0"/>
                                        <wp:docPr id="113"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59" descr=""/>
                                                <pic:cNvPicPr>
                                                  <a:picLocks noChangeAspect="1" noChangeArrowheads="1"/>
                                                </pic:cNvPicPr>
                                              </pic:nvPicPr>
                                              <pic:blipFill>
                                                <a:blip r:embed="rId80"/>
                                                <a:stretch>
                                                  <a:fillRect/>
                                                </a:stretch>
                                              </pic:blipFill>
                                              <pic:spPr bwMode="auto">
                                                <a:xfrm>
                                                  <a:off x="0" y="0"/>
                                                  <a:ext cx="142875" cy="104775"/>
                                                </a:xfrm>
                                                <a:prstGeom prst="rect">
                                                  <a:avLst/>
                                                </a:prstGeom>
                                              </pic:spPr>
                                            </pic:pic>
                                          </a:graphicData>
                                        </a:graphic>
                                      </wp:inline>
                                    </w:drawing>
                                  </w:r>
                                </w:p>
                              </w:tc>
                              <w:tc>
                                <w:tcPr>
                                  <w:tcW w:w="4772" w:type="dxa"/>
                                  <w:tcBorders/>
                                  <w:vAlign w:val="center"/>
                                </w:tcPr>
                                <w:p>
                                  <w:pPr>
                                    <w:pStyle w:val="TableContents"/>
                                    <w:bidi w:val="0"/>
                                    <w:spacing w:before="0" w:after="283"/>
                                    <w:jc w:val="both"/>
                                    <w:rPr/>
                                  </w:pPr>
                                  <w:r>
                                    <w:rPr>
                                      <w:rFonts w:ascii="Arial" w:hAnsi="Arial"/>
                                      <w:b/>
                                      <w:color w:val="FE5000"/>
                                      <w:sz w:val="20"/>
                                    </w:rPr>
                                    <w:t xml:space="preserve">avoiding the over-indebtedness </w:t>
                                  </w:r>
                                  <w:r>
                                    <w:rPr>
                                      <w:rFonts w:ascii="Arial" w:hAnsi="Arial"/>
                                      <w:sz w:val="20"/>
                                    </w:rPr>
                                    <w:t xml:space="preserve">that comes from credit card overdrafts and late payments. An example is </w:t>
                                  </w:r>
                                  <w:r>
                                    <w:rPr>
                                      <w:rFonts w:ascii="Arial" w:hAnsi="Arial"/>
                                      <w:b/>
                                      <w:sz w:val="20"/>
                                    </w:rPr>
                                    <w:t>BCP’s Improving Financial Behavior Program</w:t>
                                  </w:r>
                                  <w:r>
                                    <w:rPr>
                                      <w:rFonts w:ascii="Arial" w:hAnsi="Arial"/>
                                      <w:sz w:val="20"/>
                                    </w:rPr>
                                    <w:t>. In 2023, we optimized our strategy by exploring and adding new behaviors and helped more than 214,000 people change their conduct and enjoy better financial health.</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Arial" w:hAnsi="Arial"/>
                                <w:b/>
                                <w:i w:val="false"/>
                                <w:caps w:val="false"/>
                                <w:smallCaps w:val="false"/>
                                <w:color w:val="FE5000"/>
                                <w:sz w:val="24"/>
                              </w:rPr>
                            </w:pPr>
                            <w:r>
                              <w:rPr>
                                <w:rFonts w:ascii="Arial" w:hAnsi="Arial"/>
                                <w:b/>
                                <w:i w:val="false"/>
                                <w:caps w:val="false"/>
                                <w:smallCaps w:val="false"/>
                                <w:color w:val="FE5000"/>
                                <w:sz w:val="24"/>
                              </w:rPr>
                              <w:t>BCP Program: Improving Financial Behavior</w:t>
                            </w:r>
                          </w:p>
                          <w:p>
                            <w:pPr>
                              <w:pStyle w:val="TextBody"/>
                              <w:bidi w:val="0"/>
                              <w:spacing w:before="0" w:after="0"/>
                              <w:jc w:val="center"/>
                              <w:rPr>
                                <w:caps w:val="false"/>
                                <w:smallCaps w:val="false"/>
                                <w:color w:val="FE5000"/>
                              </w:rPr>
                            </w:pPr>
                            <w:r>
                              <w:rPr>
                                <w:caps w:val="false"/>
                                <w:smallCaps w:val="false"/>
                                <w:color w:val="FE5000"/>
                              </w:rPr>
                              <w:t> </w:t>
                            </w:r>
                          </w:p>
                          <w:p>
                            <w:pPr>
                              <w:pStyle w:val="TextBody"/>
                              <w:bidi w:val="0"/>
                              <w:spacing w:before="0" w:after="0"/>
                              <w:jc w:val="center"/>
                              <w:rPr>
                                <w:caps w:val="false"/>
                                <w:smallCaps w:val="false"/>
                                <w:color w:val="FE5000"/>
                              </w:rPr>
                            </w:pPr>
                            <w:r>
                              <w:rPr>
                                <w:caps w:val="false"/>
                                <w:smallCaps w:val="false"/>
                                <w:color w:val="FE5000"/>
                              </w:rPr>
                              <w:drawing>
                                <wp:inline distT="0" distB="0" distL="0" distR="0">
                                  <wp:extent cx="2381250" cy="790575"/>
                                  <wp:effectExtent l="0" t="0" r="0" b="0"/>
                                  <wp:docPr id="114"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60" descr=""/>
                                          <pic:cNvPicPr>
                                            <a:picLocks noChangeAspect="1" noChangeArrowheads="1"/>
                                          </pic:cNvPicPr>
                                        </pic:nvPicPr>
                                        <pic:blipFill>
                                          <a:blip r:embed="rId81"/>
                                          <a:stretch>
                                            <a:fillRect/>
                                          </a:stretch>
                                        </pic:blipFill>
                                        <pic:spPr bwMode="auto">
                                          <a:xfrm>
                                            <a:off x="0" y="0"/>
                                            <a:ext cx="2381250" cy="790575"/>
                                          </a:xfrm>
                                          <a:prstGeom prst="rect">
                                            <a:avLst/>
                                          </a:prstGeom>
                                        </pic:spPr>
                                      </pic:pic>
                                    </a:graphicData>
                                  </a:graphic>
                                </wp:inline>
                              </w:drawing>
                            </w:r>
                            <w:r>
                              <w:rPr>
                                <w:caps w:val="false"/>
                                <w:smallCaps w:val="false"/>
                                <w:color w:val="FE5000"/>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5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Our financial education programs encourage the responsible use of products and services. They place particular emphasis on the importance of:</w:t>
                      </w:r>
                    </w:p>
                    <w:p>
                      <w:pPr>
                        <w:pStyle w:val="TextBody"/>
                        <w:bidi w:val="0"/>
                        <w:spacing w:before="0" w:after="0"/>
                        <w:ind w:left="2"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
                        <w:gridCol w:w="108"/>
                        <w:gridCol w:w="4772"/>
                      </w:tblGrid>
                      <w:tr>
                        <w:trPr/>
                        <w:tc>
                          <w:tcPr>
                            <w:tcW w:w="18"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pPr>
                            <w:r>
                              <w:rPr/>
                              <w:drawing>
                                <wp:inline distT="0" distB="0" distL="0" distR="0">
                                  <wp:extent cx="142875" cy="104775"/>
                                  <wp:effectExtent l="0" t="0" r="0" b="0"/>
                                  <wp:docPr id="115"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58" descr=""/>
                                          <pic:cNvPicPr>
                                            <a:picLocks noChangeAspect="1" noChangeArrowheads="1"/>
                                          </pic:cNvPicPr>
                                        </pic:nvPicPr>
                                        <pic:blipFill>
                                          <a:blip r:embed="rId82"/>
                                          <a:stretch>
                                            <a:fillRect/>
                                          </a:stretch>
                                        </pic:blipFill>
                                        <pic:spPr bwMode="auto">
                                          <a:xfrm>
                                            <a:off x="0" y="0"/>
                                            <a:ext cx="142875" cy="104775"/>
                                          </a:xfrm>
                                          <a:prstGeom prst="rect">
                                            <a:avLst/>
                                          </a:prstGeom>
                                        </pic:spPr>
                                      </pic:pic>
                                    </a:graphicData>
                                  </a:graphic>
                                </wp:inline>
                              </w:drawing>
                            </w:r>
                          </w:p>
                        </w:tc>
                        <w:tc>
                          <w:tcPr>
                            <w:tcW w:w="4772" w:type="dxa"/>
                            <w:tcBorders/>
                            <w:vAlign w:val="center"/>
                          </w:tcPr>
                          <w:p>
                            <w:pPr>
                              <w:pStyle w:val="TableContents"/>
                              <w:bidi w:val="0"/>
                              <w:spacing w:before="0" w:after="283"/>
                              <w:jc w:val="both"/>
                              <w:rPr>
                                <w:rFonts w:ascii="Arial" w:hAnsi="Arial"/>
                                <w:sz w:val="20"/>
                              </w:rPr>
                            </w:pPr>
                            <w:r>
                              <w:rPr>
                                <w:rFonts w:ascii="Arial" w:hAnsi="Arial"/>
                                <w:sz w:val="20"/>
                              </w:rPr>
                              <w:t xml:space="preserve">the </w:t>
                            </w:r>
                            <w:r>
                              <w:rPr>
                                <w:rFonts w:ascii="Arial" w:hAnsi="Arial"/>
                                <w:b/>
                                <w:color w:val="FE5000"/>
                                <w:sz w:val="20"/>
                              </w:rPr>
                              <w:t>savings culture</w:t>
                            </w:r>
                            <w:r>
                              <w:rPr>
                                <w:rFonts w:ascii="Arial" w:hAnsi="Arial"/>
                                <w:sz w:val="20"/>
                              </w:rPr>
                              <w:t xml:space="preserve"> as an enabler of </w:t>
                            </w:r>
                            <w:r>
                              <w:rPr>
                                <w:rFonts w:ascii="Arial" w:hAnsi="Arial"/>
                                <w:b/>
                                <w:color w:val="FE5000"/>
                                <w:sz w:val="20"/>
                              </w:rPr>
                              <w:t>financial resilience.</w:t>
                            </w:r>
                            <w:r>
                              <w:rPr>
                                <w:rFonts w:ascii="Arial" w:hAnsi="Arial"/>
                                <w:sz w:val="20"/>
                              </w:rPr>
                              <w:t xml:space="preserve"> Examples include Prima AFP’s educational videos (</w:t>
                            </w:r>
                            <w:r>
                              <w:rPr>
                                <w:rFonts w:ascii="Arial" w:hAnsi="Arial"/>
                                <w:b/>
                                <w:i/>
                                <w:sz w:val="20"/>
                              </w:rPr>
                              <w:t>Aprende Ahorando a Fondo</w:t>
                            </w:r>
                            <w:r>
                              <w:rPr>
                                <w:rFonts w:ascii="Arial" w:hAnsi="Arial"/>
                                <w:sz w:val="20"/>
                              </w:rPr>
                              <w:t>), launched this year on YouTube about Peru’s private pension system, and a video podcast (</w:t>
                            </w:r>
                            <w:r>
                              <w:rPr>
                                <w:rFonts w:ascii="Arial" w:hAnsi="Arial"/>
                                <w:b/>
                                <w:i/>
                                <w:sz w:val="20"/>
                              </w:rPr>
                              <w:t>Micros Abiertos</w:t>
                            </w:r>
                            <w:r>
                              <w:rPr>
                                <w:rFonts w:ascii="Arial" w:hAnsi="Arial"/>
                                <w:sz w:val="20"/>
                              </w:rPr>
                              <w:t>), which discusses a company product (</w:t>
                            </w:r>
                            <w:r>
                              <w:rPr>
                                <w:rFonts w:ascii="Arial" w:hAnsi="Arial"/>
                                <w:i/>
                                <w:sz w:val="20"/>
                              </w:rPr>
                              <w:t>Cuentas Metas</w:t>
                            </w:r>
                            <w:r>
                              <w:rPr>
                                <w:rFonts w:ascii="Arial" w:hAnsi="Arial"/>
                                <w:sz w:val="20"/>
                              </w:rPr>
                              <w:t xml:space="preserve">) that encourages voluntary savings; </w:t>
                            </w:r>
                          </w:p>
                        </w:tc>
                      </w:tr>
                    </w:tbl>
                    <w:tbl>
                      <w:tblPr>
                        <w:tblW w:w="5000" w:type="pct"/>
                        <w:jc w:val="left"/>
                        <w:tblInd w:w="0" w:type="dxa"/>
                        <w:tblLayout w:type="fixed"/>
                        <w:tblCellMar>
                          <w:top w:w="0" w:type="dxa"/>
                          <w:left w:w="0" w:type="dxa"/>
                          <w:bottom w:w="0" w:type="dxa"/>
                          <w:right w:w="0" w:type="dxa"/>
                        </w:tblCellMar>
                      </w:tblPr>
                      <w:tblGrid>
                        <w:gridCol w:w="18"/>
                        <w:gridCol w:w="108"/>
                        <w:gridCol w:w="4772"/>
                      </w:tblGrid>
                      <w:tr>
                        <w:trPr/>
                        <w:tc>
                          <w:tcPr>
                            <w:tcW w:w="18"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pPr>
                            <w:r>
                              <w:rPr/>
                              <w:drawing>
                                <wp:inline distT="0" distB="0" distL="0" distR="0">
                                  <wp:extent cx="142875" cy="104775"/>
                                  <wp:effectExtent l="0" t="0" r="0" b="0"/>
                                  <wp:docPr id="116"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59" descr=""/>
                                          <pic:cNvPicPr>
                                            <a:picLocks noChangeAspect="1" noChangeArrowheads="1"/>
                                          </pic:cNvPicPr>
                                        </pic:nvPicPr>
                                        <pic:blipFill>
                                          <a:blip r:embed="rId83"/>
                                          <a:stretch>
                                            <a:fillRect/>
                                          </a:stretch>
                                        </pic:blipFill>
                                        <pic:spPr bwMode="auto">
                                          <a:xfrm>
                                            <a:off x="0" y="0"/>
                                            <a:ext cx="142875" cy="104775"/>
                                          </a:xfrm>
                                          <a:prstGeom prst="rect">
                                            <a:avLst/>
                                          </a:prstGeom>
                                        </pic:spPr>
                                      </pic:pic>
                                    </a:graphicData>
                                  </a:graphic>
                                </wp:inline>
                              </w:drawing>
                            </w:r>
                          </w:p>
                        </w:tc>
                        <w:tc>
                          <w:tcPr>
                            <w:tcW w:w="4772" w:type="dxa"/>
                            <w:tcBorders/>
                            <w:vAlign w:val="center"/>
                          </w:tcPr>
                          <w:p>
                            <w:pPr>
                              <w:pStyle w:val="TableContents"/>
                              <w:bidi w:val="0"/>
                              <w:spacing w:before="0" w:after="283"/>
                              <w:jc w:val="both"/>
                              <w:rPr/>
                            </w:pPr>
                            <w:r>
                              <w:rPr>
                                <w:rFonts w:ascii="Arial" w:hAnsi="Arial"/>
                                <w:b/>
                                <w:color w:val="FE5000"/>
                                <w:sz w:val="20"/>
                              </w:rPr>
                              <w:t xml:space="preserve">avoiding the over-indebtedness </w:t>
                            </w:r>
                            <w:r>
                              <w:rPr>
                                <w:rFonts w:ascii="Arial" w:hAnsi="Arial"/>
                                <w:sz w:val="20"/>
                              </w:rPr>
                              <w:t xml:space="preserve">that comes from credit card overdrafts and late payments. An example is </w:t>
                            </w:r>
                            <w:r>
                              <w:rPr>
                                <w:rFonts w:ascii="Arial" w:hAnsi="Arial"/>
                                <w:b/>
                                <w:sz w:val="20"/>
                              </w:rPr>
                              <w:t>BCP’s Improving Financial Behavior Program</w:t>
                            </w:r>
                            <w:r>
                              <w:rPr>
                                <w:rFonts w:ascii="Arial" w:hAnsi="Arial"/>
                                <w:sz w:val="20"/>
                              </w:rPr>
                              <w:t>. In 2023, we optimized our strategy by exploring and adding new behaviors and helped more than 214,000 people change their conduct and enjoy better financial health.</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Arial" w:hAnsi="Arial"/>
                          <w:b/>
                          <w:i w:val="false"/>
                          <w:caps w:val="false"/>
                          <w:smallCaps w:val="false"/>
                          <w:color w:val="FE5000"/>
                          <w:sz w:val="24"/>
                        </w:rPr>
                      </w:pPr>
                      <w:r>
                        <w:rPr>
                          <w:rFonts w:ascii="Arial" w:hAnsi="Arial"/>
                          <w:b/>
                          <w:i w:val="false"/>
                          <w:caps w:val="false"/>
                          <w:smallCaps w:val="false"/>
                          <w:color w:val="FE5000"/>
                          <w:sz w:val="24"/>
                        </w:rPr>
                        <w:t>BCP Program: Improving Financial Behavior</w:t>
                      </w:r>
                    </w:p>
                    <w:p>
                      <w:pPr>
                        <w:pStyle w:val="TextBody"/>
                        <w:bidi w:val="0"/>
                        <w:spacing w:before="0" w:after="0"/>
                        <w:jc w:val="center"/>
                        <w:rPr>
                          <w:caps w:val="false"/>
                          <w:smallCaps w:val="false"/>
                          <w:color w:val="FE5000"/>
                        </w:rPr>
                      </w:pPr>
                      <w:r>
                        <w:rPr>
                          <w:caps w:val="false"/>
                          <w:smallCaps w:val="false"/>
                          <w:color w:val="FE5000"/>
                        </w:rPr>
                        <w:t> </w:t>
                      </w:r>
                    </w:p>
                    <w:p>
                      <w:pPr>
                        <w:pStyle w:val="TextBody"/>
                        <w:bidi w:val="0"/>
                        <w:spacing w:before="0" w:after="0"/>
                        <w:jc w:val="center"/>
                        <w:rPr>
                          <w:caps w:val="false"/>
                          <w:smallCaps w:val="false"/>
                          <w:color w:val="FE5000"/>
                        </w:rPr>
                      </w:pPr>
                      <w:r>
                        <w:rPr>
                          <w:caps w:val="false"/>
                          <w:smallCaps w:val="false"/>
                          <w:color w:val="FE5000"/>
                        </w:rPr>
                        <w:drawing>
                          <wp:inline distT="0" distB="0" distL="0" distR="0">
                            <wp:extent cx="2381250" cy="790575"/>
                            <wp:effectExtent l="0" t="0" r="0" b="0"/>
                            <wp:docPr id="117"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60" descr=""/>
                                    <pic:cNvPicPr>
                                      <a:picLocks noChangeAspect="1" noChangeArrowheads="1"/>
                                    </pic:cNvPicPr>
                                  </pic:nvPicPr>
                                  <pic:blipFill>
                                    <a:blip r:embed="rId84"/>
                                    <a:stretch>
                                      <a:fillRect/>
                                    </a:stretch>
                                  </pic:blipFill>
                                  <pic:spPr bwMode="auto">
                                    <a:xfrm>
                                      <a:off x="0" y="0"/>
                                      <a:ext cx="2381250" cy="790575"/>
                                    </a:xfrm>
                                    <a:prstGeom prst="rect">
                                      <a:avLst/>
                                    </a:prstGeom>
                                  </pic:spPr>
                                </pic:pic>
                              </a:graphicData>
                            </a:graphic>
                          </wp:inline>
                        </w:drawing>
                      </w:r>
                      <w:r>
                        <w:rPr>
                          <w:caps w:val="false"/>
                          <w:smallCaps w:val="false"/>
                          <w:color w:val="FE5000"/>
                        </w:rPr>
                        <w:t> </w:t>
                      </w:r>
                    </w:p>
                  </w:txbxContent>
                </v:textbox>
                <w10:wrap type="topAndBottom"/>
              </v:rect>
            </w:pict>
          </mc:Fallback>
        </mc:AlternateContent>
      </w:r>
      <w:r>
        <mc:AlternateContent>
          <mc:Choice Requires="wps">
            <w:drawing>
              <wp:anchor behindDoc="0" distT="0" distB="0" distL="0" distR="0" simplePos="0" locked="0" layoutInCell="1" allowOverlap="1" relativeHeight="263">
                <wp:simplePos x="0" y="0"/>
                <wp:positionH relativeFrom="column">
                  <wp:align>right</wp:align>
                </wp:positionH>
                <wp:positionV relativeFrom="line">
                  <wp:posOffset>635</wp:posOffset>
                </wp:positionV>
                <wp:extent cx="3110230" cy="5111750"/>
                <wp:effectExtent l="0" t="0" r="0" b="0"/>
                <wp:wrapTopAndBottom/>
                <wp:docPr id="118" name="Frame35"/>
                <a:graphic xmlns:a="http://schemas.openxmlformats.org/drawingml/2006/main">
                  <a:graphicData uri="http://schemas.microsoft.com/office/word/2010/wordprocessingShape">
                    <wps:wsp>
                      <wps:cNvSpPr txBox="1"/>
                      <wps:spPr>
                        <a:xfrm>
                          <a:off x="0" y="0"/>
                          <a:ext cx="3110230" cy="5111750"/>
                        </a:xfrm>
                        <a:prstGeom prst="rect"/>
                        <a:solidFill>
                          <a:srgbClr val="FFFFFF"/>
                        </a:solidFill>
                      </wps:spPr>
                      <wps:txbx>
                        <w:txbxContent>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2.1.2. Helping small businesses grow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Micro, small, and medium-sized businesses (MSM Es) are the engine of the economy, creating the most employment in Peru and becoming crucial to raising people’s quality of life.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40" w:before="0" w:after="0"/>
                              <w:jc w:val="center"/>
                              <w:rPr>
                                <w:rFonts w:ascii="Arial" w:hAnsi="Arial"/>
                                <w:b/>
                                <w:i w:val="false"/>
                                <w:caps w:val="false"/>
                                <w:smallCaps w:val="false"/>
                                <w:color w:val="FE5000"/>
                                <w:sz w:val="36"/>
                              </w:rPr>
                            </w:pPr>
                            <w:r>
                              <w:rPr>
                                <w:rFonts w:ascii="Arial" w:hAnsi="Arial"/>
                                <w:b/>
                                <w:i w:val="false"/>
                                <w:caps w:val="false"/>
                                <w:smallCaps w:val="false"/>
                                <w:color w:val="FE5000"/>
                                <w:sz w:val="36"/>
                              </w:rPr>
                              <w:t>96.4%10 of Peru’s companies are considered MSEs, and more than 52%11 of these are led by women.</w:t>
                            </w:r>
                          </w:p>
                          <w:p>
                            <w:pPr>
                              <w:pStyle w:val="TextBody"/>
                              <w:bidi w:val="0"/>
                              <w:spacing w:before="0" w:after="0"/>
                              <w:ind w:left="2480" w:right="40" w:hanging="2436"/>
                              <w:jc w:val="left"/>
                              <w:rPr>
                                <w:caps w:val="false"/>
                                <w:smallCaps w:val="false"/>
                                <w:color w:val="FE5000"/>
                              </w:rPr>
                            </w:pPr>
                            <w:r>
                              <w:rPr>
                                <w:caps w:val="false"/>
                                <w:smallCaps w:val="false"/>
                                <w:color w:val="FE5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Credicorp optimizes its products to address emerging MSME needs and deliver a competitive advantage through collaborative work between companies and synergies between initiatives. We seek to financially include individuals who own a business as well as legal entities, that previously faced limited access to credit. We are always testing new ways of understanding and assessing them. We design self-service processes to improve their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40"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 also identify key ways for boosting and formalizing these entrepreneurs (86.7%12 of SMEs sit outside the formal sector) because we understand that entering the system lowers risk and drives healthy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Initiatives aimed at MSMEs delivered the following results: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02.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2.1.2. Helping small businesses grow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Micro, small, and medium-sized businesses (MSM Es) are the engine of the economy, creating the most employment in Peru and becoming crucial to raising people’s quality of life.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40" w:before="0" w:after="0"/>
                        <w:jc w:val="center"/>
                        <w:rPr>
                          <w:rFonts w:ascii="Arial" w:hAnsi="Arial"/>
                          <w:b/>
                          <w:i w:val="false"/>
                          <w:caps w:val="false"/>
                          <w:smallCaps w:val="false"/>
                          <w:color w:val="FE5000"/>
                          <w:sz w:val="36"/>
                        </w:rPr>
                      </w:pPr>
                      <w:r>
                        <w:rPr>
                          <w:rFonts w:ascii="Arial" w:hAnsi="Arial"/>
                          <w:b/>
                          <w:i w:val="false"/>
                          <w:caps w:val="false"/>
                          <w:smallCaps w:val="false"/>
                          <w:color w:val="FE5000"/>
                          <w:sz w:val="36"/>
                        </w:rPr>
                        <w:t>96.4%10 of Peru’s companies are considered MSEs, and more than 52%11 of these are led by women.</w:t>
                      </w:r>
                    </w:p>
                    <w:p>
                      <w:pPr>
                        <w:pStyle w:val="TextBody"/>
                        <w:bidi w:val="0"/>
                        <w:spacing w:before="0" w:after="0"/>
                        <w:ind w:left="2480" w:right="40" w:hanging="2436"/>
                        <w:jc w:val="left"/>
                        <w:rPr>
                          <w:caps w:val="false"/>
                          <w:smallCaps w:val="false"/>
                          <w:color w:val="FE5000"/>
                        </w:rPr>
                      </w:pPr>
                      <w:r>
                        <w:rPr>
                          <w:caps w:val="false"/>
                          <w:smallCaps w:val="false"/>
                          <w:color w:val="FE5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Credicorp optimizes its products to address emerging MSME needs and deliver a competitive advantage through collaborative work between companies and synergies between initiatives. We seek to financially include individuals who own a business as well as legal entities, that previously faced limited access to credit. We are always testing new ways of understanding and assessing them. We design self-service processes to improve their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40"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 also identify key ways for boosting and formalizing these entrepreneurs (86.7%12 of SMEs sit outside the formal sector) because we understand that entering the system lowers risk and drives healthy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Initiatives aimed at MSMEs delivered the following results:</w:t>
                      </w:r>
                    </w:p>
                  </w:txbxContent>
                </v:textbox>
                <w10:wrap type="topAndBottom"/>
              </v:rect>
            </w:pict>
          </mc:Fallback>
        </mc:AlternateContent>
      </w:r>
    </w:p>
    <w:p>
      <w:pPr>
        <w:pStyle w:val="TextBody"/>
        <w:bidi w:val="0"/>
        <w:spacing w:before="0" w:after="0"/>
        <w:jc w:val="left"/>
        <w:rPr/>
      </w:pPr>
      <w:r>
        <w:rPr/>
      </w:r>
      <w:r>
        <mc:AlternateContent>
          <mc:Choice Requires="wps">
            <w:drawing>
              <wp:anchor behindDoc="0" distT="0" distB="0" distL="0" distR="0" simplePos="0" locked="0" layoutInCell="1" allowOverlap="1" relativeHeight="264">
                <wp:simplePos x="0" y="0"/>
                <wp:positionH relativeFrom="column">
                  <wp:align>left</wp:align>
                </wp:positionH>
                <wp:positionV relativeFrom="line">
                  <wp:posOffset>635</wp:posOffset>
                </wp:positionV>
                <wp:extent cx="3110230" cy="427990"/>
                <wp:effectExtent l="0" t="0" r="0" b="0"/>
                <wp:wrapTopAndBottom/>
                <wp:docPr id="119" name="Frame36"/>
                <a:graphic xmlns:a="http://schemas.openxmlformats.org/drawingml/2006/main">
                  <a:graphicData uri="http://schemas.microsoft.com/office/word/2010/wordprocessingShape">
                    <wps:wsp>
                      <wps:cNvSpPr txBox="1"/>
                      <wps:spPr>
                        <a:xfrm>
                          <a:off x="0" y="0"/>
                          <a:ext cx="3110230" cy="427990"/>
                        </a:xfrm>
                        <a:prstGeom prst="rect"/>
                        <a:solidFill>
                          <a:srgbClr val="FFFFFF"/>
                        </a:solidFill>
                      </wps:spPr>
                      <wps:txbx>
                        <w:txbxContent>
                          <w:p>
                            <w:pPr>
                              <w:pStyle w:val="TextBody"/>
                              <w:bidi w:val="0"/>
                              <w:spacing w:before="60" w:after="60"/>
                              <w:jc w:val="left"/>
                              <w:rPr>
                                <w:bdr w:val="single" w:sz="8" w:space="1" w:color="000000"/>
                              </w:rPr>
                            </w:pPr>
                            <w:r>
                              <w:rPr>
                                <w:bdr w:val="single" w:sz="8" w:space="1" w:color="000000"/>
                              </w:rPr>
                              <w:t> </w:t>
                            </w:r>
                          </w:p>
                          <w:p>
                            <w:pPr>
                              <w:pStyle w:val="TextBody"/>
                              <w:bidi w:val="0"/>
                              <w:spacing w:lineRule="auto" w:line="240"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10, </w:t>
                            </w:r>
                            <w:r>
                              <w:rPr>
                                <w:rFonts w:ascii="Arial" w:hAnsi="Arial"/>
                                <w:b w:val="false"/>
                                <w:i w:val="false"/>
                                <w:caps w:val="false"/>
                                <w:smallCaps w:val="false"/>
                                <w:sz w:val="16"/>
                              </w:rPr>
                              <w:t>Encuesta Nacional de Hogares 2022</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3.7pt;mso-wrap-distance-left:0pt;mso-wrap-distance-right:0pt;mso-wrap-distance-top:0pt;mso-wrap-distance-bottom:0pt;margin-top:0pt;mso-position-vertical:top;mso-position-vertical-relative:text;margin-left:244.9pt;mso-position-horizontal:left;mso-position-horizontal-relative:text">
                <v:textbox>
                  <w:txbxContent>
                    <w:p>
                      <w:pPr>
                        <w:pStyle w:val="TextBody"/>
                        <w:bidi w:val="0"/>
                        <w:spacing w:before="60" w:after="60"/>
                        <w:jc w:val="left"/>
                        <w:rPr>
                          <w:bdr w:val="single" w:sz="8" w:space="1" w:color="000000"/>
                        </w:rPr>
                      </w:pPr>
                      <w:r>
                        <w:rPr>
                          <w:bdr w:val="single" w:sz="8" w:space="1" w:color="000000"/>
                        </w:rPr>
                        <w:t> </w:t>
                      </w:r>
                    </w:p>
                    <w:p>
                      <w:pPr>
                        <w:pStyle w:val="TextBody"/>
                        <w:bidi w:val="0"/>
                        <w:spacing w:lineRule="auto" w:line="240"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10, </w:t>
                      </w:r>
                      <w:r>
                        <w:rPr>
                          <w:rFonts w:ascii="Arial" w:hAnsi="Arial"/>
                          <w:b w:val="false"/>
                          <w:i w:val="false"/>
                          <w:caps w:val="false"/>
                          <w:smallCaps w:val="false"/>
                          <w:sz w:val="16"/>
                        </w:rPr>
                        <w:t>Encuesta Nacional de Hogares 2022</w:t>
                      </w:r>
                    </w:p>
                  </w:txbxContent>
                </v:textbox>
                <w10:wrap type="topAndBottom"/>
              </v:rect>
            </w:pict>
          </mc:Fallback>
        </mc:AlternateContent>
      </w:r>
      <w:r>
        <mc:AlternateContent>
          <mc:Choice Requires="wps">
            <w:drawing>
              <wp:anchor behindDoc="0" distT="0" distB="0" distL="0" distR="0" simplePos="0" locked="0" layoutInCell="1" allowOverlap="1" relativeHeight="265">
                <wp:simplePos x="0" y="0"/>
                <wp:positionH relativeFrom="column">
                  <wp:align>right</wp:align>
                </wp:positionH>
                <wp:positionV relativeFrom="line">
                  <wp:posOffset>635</wp:posOffset>
                </wp:positionV>
                <wp:extent cx="3110230" cy="262890"/>
                <wp:effectExtent l="0" t="0" r="0" b="0"/>
                <wp:wrapTopAndBottom/>
                <wp:docPr id="120" name="Frame37"/>
                <a:graphic xmlns:a="http://schemas.openxmlformats.org/drawingml/2006/main">
                  <a:graphicData uri="http://schemas.microsoft.com/office/word/2010/wordprocessingShape">
                    <wps:wsp>
                      <wps:cNvSpPr txBox="1"/>
                      <wps:spPr>
                        <a:xfrm>
                          <a:off x="0" y="0"/>
                          <a:ext cx="3110230" cy="262890"/>
                        </a:xfrm>
                        <a:prstGeom prst="rect"/>
                        <a:solidFill>
                          <a:srgbClr val="FFFFFF"/>
                        </a:solidFill>
                      </wps:spPr>
                      <wps:txbx>
                        <w:txbxContent>
                          <w:p>
                            <w:pPr>
                              <w:pStyle w:val="TextBody"/>
                              <w:bidi w:val="0"/>
                              <w:spacing w:lineRule="auto" w:line="240"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 xml:space="preserve">11 </w:t>
                            </w:r>
                            <w:r>
                              <w:rPr>
                                <w:rFonts w:ascii="Arial" w:hAnsi="Arial"/>
                                <w:b w:val="false"/>
                                <w:i w:val="false"/>
                                <w:caps w:val="false"/>
                                <w:smallCaps w:val="false"/>
                                <w:sz w:val="16"/>
                              </w:rPr>
                              <w:t>ComexPerú (2022). Micro and small enterprises in Peru. 2022 results.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0.7pt;mso-wrap-distance-left:0pt;mso-wrap-distance-right:0pt;mso-wrap-distance-top:0pt;mso-wrap-distance-bottom:0pt;margin-top:0pt;mso-position-vertical:top;mso-position-vertical-relative:text;margin-left:20.4pt;mso-position-horizontal:right;mso-position-horizontal-relative:text">
                <v:textbox>
                  <w:txbxContent>
                    <w:p>
                      <w:pPr>
                        <w:pStyle w:val="TextBody"/>
                        <w:bidi w:val="0"/>
                        <w:spacing w:lineRule="auto" w:line="240"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 xml:space="preserve">11 </w:t>
                      </w:r>
                      <w:r>
                        <w:rPr>
                          <w:rFonts w:ascii="Arial" w:hAnsi="Arial"/>
                          <w:b w:val="false"/>
                          <w:i w:val="false"/>
                          <w:caps w:val="false"/>
                          <w:smallCaps w:val="false"/>
                          <w:sz w:val="16"/>
                        </w:rPr>
                        <w:t>ComexPerú (2022). Micro and small enterprises in Peru. 2022 results.</w:t>
                      </w:r>
                    </w:p>
                  </w:txbxContent>
                </v:textbox>
                <w10:wrap type="topAndBottom"/>
              </v:rect>
            </w:pict>
          </mc:Fallback>
        </mc:AlternateConten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21</w:t>
      </w:r>
    </w:p>
    <w:p>
      <w:pPr>
        <w:pStyle w:val="HorizontalLine"/>
        <w:pBdr>
          <w:bottom w:val="single" w:sz="12" w:space="0" w:color="808080"/>
        </w:pBdr>
        <w:bidi w:val="0"/>
        <w:spacing w:before="200" w:after="200"/>
        <w:jc w:val="left"/>
        <w:rPr/>
      </w:pPr>
      <w:r>
        <w:rPr/>
      </w:r>
    </w:p>
    <w:p>
      <w:pPr>
        <w:pStyle w:val="TextBody"/>
        <w:bidi w:val="0"/>
        <w:spacing w:before="0" w:after="0"/>
        <w:jc w:val="center"/>
        <w:rPr>
          <w:caps w:val="false"/>
          <w:smallCaps w:val="false"/>
          <w:color w:val="FE5000"/>
        </w:rPr>
      </w:pPr>
      <w:r>
        <w:rPr>
          <w:caps w:val="false"/>
          <w:smallCaps w:val="false"/>
          <w:color w:val="FE5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olumn">
                  <wp:align>left</wp:align>
                </wp:positionH>
                <wp:positionV relativeFrom="line">
                  <wp:posOffset>635</wp:posOffset>
                </wp:positionV>
                <wp:extent cx="3110230" cy="5554345"/>
                <wp:effectExtent l="0" t="0" r="0" b="0"/>
                <wp:wrapTopAndBottom/>
                <wp:docPr id="121" name="Frame38"/>
                <a:graphic xmlns:a="http://schemas.openxmlformats.org/drawingml/2006/main">
                  <a:graphicData uri="http://schemas.microsoft.com/office/word/2010/wordprocessingShape">
                    <wps:wsp>
                      <wps:cNvSpPr txBox="1"/>
                      <wps:spPr>
                        <a:xfrm>
                          <a:off x="0" y="0"/>
                          <a:ext cx="3110230" cy="5554345"/>
                        </a:xfrm>
                        <a:prstGeom prst="rect"/>
                        <a:solidFill>
                          <a:srgbClr val="FFFFFF"/>
                        </a:solidFill>
                      </wps:spPr>
                      <wps:txbx>
                        <w:txbxContent>
                          <w:p>
                            <w:pPr>
                              <w:pStyle w:val="TextBody"/>
                              <w:bidi w:val="0"/>
                              <w:spacing w:before="0" w:after="0"/>
                              <w:jc w:val="center"/>
                              <w:rPr>
                                <w:rFonts w:ascii="Arial" w:hAnsi="Arial"/>
                                <w:b/>
                                <w:i w:val="false"/>
                                <w:caps w:val="false"/>
                                <w:smallCaps w:val="false"/>
                                <w:color w:val="FE5000"/>
                                <w:sz w:val="24"/>
                              </w:rPr>
                            </w:pPr>
                            <w:r>
                              <w:rPr>
                                <w:rFonts w:ascii="Arial" w:hAnsi="Arial"/>
                                <w:b/>
                                <w:i w:val="false"/>
                                <w:caps w:val="false"/>
                                <w:smallCaps w:val="false"/>
                                <w:color w:val="FE5000"/>
                                <w:sz w:val="24"/>
                              </w:rPr>
                              <w:t>Initiatives aimed at MSMEs</w:t>
                            </w:r>
                          </w:p>
                          <w:p>
                            <w:pPr>
                              <w:pStyle w:val="TextBody"/>
                              <w:bidi w:val="0"/>
                              <w:spacing w:before="0" w:after="0"/>
                              <w:jc w:val="center"/>
                              <w:rPr>
                                <w:caps w:val="false"/>
                                <w:smallCaps w:val="false"/>
                                <w:color w:val="FE5000"/>
                              </w:rPr>
                            </w:pPr>
                            <w:r>
                              <w:rPr>
                                <w:caps w:val="false"/>
                                <w:smallCaps w:val="false"/>
                                <w:color w:val="FE5000"/>
                              </w:rPr>
                              <w:t> </w:t>
                            </w:r>
                          </w:p>
                          <w:p>
                            <w:pPr>
                              <w:pStyle w:val="TextBody"/>
                              <w:bidi w:val="0"/>
                              <w:spacing w:before="0" w:after="0"/>
                              <w:jc w:val="center"/>
                              <w:rPr>
                                <w:caps w:val="false"/>
                                <w:smallCaps w:val="false"/>
                                <w:color w:val="FE5000"/>
                              </w:rPr>
                            </w:pPr>
                            <w:r>
                              <w:rPr>
                                <w:caps w:val="false"/>
                                <w:smallCaps w:val="false"/>
                                <w:color w:val="FE5000"/>
                              </w:rPr>
                              <w:drawing>
                                <wp:inline distT="0" distB="0" distL="0" distR="0">
                                  <wp:extent cx="4286250" cy="2162175"/>
                                  <wp:effectExtent l="0" t="0" r="0" b="0"/>
                                  <wp:docPr id="122"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61" descr=""/>
                                          <pic:cNvPicPr>
                                            <a:picLocks noChangeAspect="1" noChangeArrowheads="1"/>
                                          </pic:cNvPicPr>
                                        </pic:nvPicPr>
                                        <pic:blipFill>
                                          <a:blip r:embed="rId85"/>
                                          <a:stretch>
                                            <a:fillRect/>
                                          </a:stretch>
                                        </pic:blipFill>
                                        <pic:spPr bwMode="auto">
                                          <a:xfrm>
                                            <a:off x="0" y="0"/>
                                            <a:ext cx="4286250" cy="2162175"/>
                                          </a:xfrm>
                                          <a:prstGeom prst="rect">
                                            <a:avLst/>
                                          </a:prstGeom>
                                        </pic:spPr>
                                      </pic:pic>
                                    </a:graphicData>
                                  </a:graphic>
                                </wp:inline>
                              </w:drawing>
                            </w:r>
                            <w:r>
                              <w:rPr>
                                <w:caps w:val="false"/>
                                <w:smallCaps w:val="false"/>
                                <w:color w:val="FE5000"/>
                              </w:rPr>
                              <w:t> </w:t>
                            </w:r>
                          </w:p>
                          <w:p>
                            <w:pPr>
                              <w:pStyle w:val="TextBody"/>
                              <w:bidi w:val="0"/>
                              <w:spacing w:before="0" w:after="0"/>
                              <w:jc w:val="center"/>
                              <w:rPr>
                                <w:caps w:val="false"/>
                                <w:smallCaps w:val="false"/>
                                <w:color w:val="FE5000"/>
                              </w:rPr>
                            </w:pPr>
                            <w:r>
                              <w:rPr>
                                <w:caps w:val="false"/>
                                <w:smallCaps w:val="false"/>
                                <w:color w:val="FE5000"/>
                              </w:rPr>
                              <w:t> </w:t>
                            </w:r>
                          </w:p>
                          <w:p>
                            <w:pPr>
                              <w:pStyle w:val="TextBody"/>
                              <w:bidi w:val="0"/>
                              <w:spacing w:before="0" w:after="0"/>
                              <w:ind w:left="40" w:right="0" w:hanging="0"/>
                              <w:jc w:val="left"/>
                              <w:rPr>
                                <w:rFonts w:ascii="Arial" w:hAnsi="Arial"/>
                                <w:b/>
                                <w:i w:val="false"/>
                                <w:caps w:val="false"/>
                                <w:smallCaps w:val="false"/>
                                <w:sz w:val="20"/>
                              </w:rPr>
                            </w:pPr>
                            <w:r>
                              <w:rPr>
                                <w:rFonts w:ascii="Arial" w:hAnsi="Arial"/>
                                <w:b/>
                                <w:i w:val="false"/>
                                <w:caps w:val="false"/>
                                <w:smallCaps w:val="false"/>
                                <w:sz w:val="20"/>
                              </w:rPr>
                              <w:t>2.1.2.1. Mibanco micro-loans for MSEs</w:t>
                            </w:r>
                          </w:p>
                          <w:p>
                            <w:pPr>
                              <w:pStyle w:val="TextBody"/>
                              <w:bidi w:val="0"/>
                              <w:spacing w:before="0" w:after="0"/>
                              <w:ind w:left="40" w:right="0" w:hanging="0"/>
                              <w:jc w:val="left"/>
                              <w:rPr>
                                <w:caps w:val="false"/>
                                <w:smallCaps w:val="false"/>
                              </w:rPr>
                            </w:pPr>
                            <w:r>
                              <w:rPr>
                                <w:caps w:val="false"/>
                                <w:smallCaps w:val="false"/>
                              </w:rPr>
                              <w:t> </w:t>
                            </w:r>
                          </w:p>
                          <w:p>
                            <w:pPr>
                              <w:pStyle w:val="TextBody"/>
                              <w:bidi w:val="0"/>
                              <w:spacing w:before="0" w:after="0"/>
                              <w:ind w:left="0" w:right="0" w:firstLine="50"/>
                              <w:jc w:val="both"/>
                              <w:rPr>
                                <w:rFonts w:ascii="Arial" w:hAnsi="Arial"/>
                                <w:b w:val="false"/>
                                <w:i w:val="false"/>
                                <w:caps w:val="false"/>
                                <w:smallCaps w:val="false"/>
                                <w:sz w:val="20"/>
                              </w:rPr>
                            </w:pPr>
                            <w:r>
                              <w:rPr>
                                <w:rFonts w:ascii="Arial" w:hAnsi="Arial"/>
                                <w:b w:val="false"/>
                                <w:i w:val="false"/>
                                <w:caps w:val="false"/>
                                <w:smallCaps w:val="false"/>
                                <w:sz w:val="20"/>
                              </w:rPr>
                              <w:t>Mibanco aims to transform lives. It is committed to people’s financial inclusion and their progress, working together with them to contribute to the country’s growth. Our market share in the segment of micro and small enterprises (with less than S/150,000 of debt in the financial system) reached 22.1%, with more than 629,000 customers and gross loans of S/13,165 million. The range of products for this segment includes working capital loans, lines of credit, agricultural and livestock loans, property loans and commercial loans.</w:t>
                            </w:r>
                          </w:p>
                          <w:p>
                            <w:pPr>
                              <w:pStyle w:val="TextBody"/>
                              <w:bidi w:val="0"/>
                              <w:spacing w:before="0" w:after="0"/>
                              <w:ind w:left="0" w:right="0" w:firstLine="5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2024, the company aims to drive entrepreneur business growth by strengthening its solutions on the back of innovative digital experiences that deliver more access to financial tools and services. We will work on two fronts: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rFonts w:ascii="Arial" w:hAnsi="Arial"/>
                          <w:b/>
                          <w:i w:val="false"/>
                          <w:caps w:val="false"/>
                          <w:smallCaps w:val="false"/>
                          <w:color w:val="FE5000"/>
                          <w:sz w:val="24"/>
                        </w:rPr>
                      </w:pPr>
                      <w:r>
                        <w:rPr>
                          <w:rFonts w:ascii="Arial" w:hAnsi="Arial"/>
                          <w:b/>
                          <w:i w:val="false"/>
                          <w:caps w:val="false"/>
                          <w:smallCaps w:val="false"/>
                          <w:color w:val="FE5000"/>
                          <w:sz w:val="24"/>
                        </w:rPr>
                        <w:t>Initiatives aimed at MSMEs</w:t>
                      </w:r>
                    </w:p>
                    <w:p>
                      <w:pPr>
                        <w:pStyle w:val="TextBody"/>
                        <w:bidi w:val="0"/>
                        <w:spacing w:before="0" w:after="0"/>
                        <w:jc w:val="center"/>
                        <w:rPr>
                          <w:caps w:val="false"/>
                          <w:smallCaps w:val="false"/>
                          <w:color w:val="FE5000"/>
                        </w:rPr>
                      </w:pPr>
                      <w:r>
                        <w:rPr>
                          <w:caps w:val="false"/>
                          <w:smallCaps w:val="false"/>
                          <w:color w:val="FE5000"/>
                        </w:rPr>
                        <w:t> </w:t>
                      </w:r>
                    </w:p>
                    <w:p>
                      <w:pPr>
                        <w:pStyle w:val="TextBody"/>
                        <w:bidi w:val="0"/>
                        <w:spacing w:before="0" w:after="0"/>
                        <w:jc w:val="center"/>
                        <w:rPr>
                          <w:caps w:val="false"/>
                          <w:smallCaps w:val="false"/>
                          <w:color w:val="FE5000"/>
                        </w:rPr>
                      </w:pPr>
                      <w:r>
                        <w:rPr>
                          <w:caps w:val="false"/>
                          <w:smallCaps w:val="false"/>
                          <w:color w:val="FE5000"/>
                        </w:rPr>
                        <w:drawing>
                          <wp:inline distT="0" distB="0" distL="0" distR="0">
                            <wp:extent cx="4286250" cy="2162175"/>
                            <wp:effectExtent l="0" t="0" r="0" b="0"/>
                            <wp:docPr id="123"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61" descr=""/>
                                    <pic:cNvPicPr>
                                      <a:picLocks noChangeAspect="1" noChangeArrowheads="1"/>
                                    </pic:cNvPicPr>
                                  </pic:nvPicPr>
                                  <pic:blipFill>
                                    <a:blip r:embed="rId86"/>
                                    <a:stretch>
                                      <a:fillRect/>
                                    </a:stretch>
                                  </pic:blipFill>
                                  <pic:spPr bwMode="auto">
                                    <a:xfrm>
                                      <a:off x="0" y="0"/>
                                      <a:ext cx="4286250" cy="2162175"/>
                                    </a:xfrm>
                                    <a:prstGeom prst="rect">
                                      <a:avLst/>
                                    </a:prstGeom>
                                  </pic:spPr>
                                </pic:pic>
                              </a:graphicData>
                            </a:graphic>
                          </wp:inline>
                        </w:drawing>
                      </w:r>
                      <w:r>
                        <w:rPr>
                          <w:caps w:val="false"/>
                          <w:smallCaps w:val="false"/>
                          <w:color w:val="FE5000"/>
                        </w:rPr>
                        <w:t> </w:t>
                      </w:r>
                    </w:p>
                    <w:p>
                      <w:pPr>
                        <w:pStyle w:val="TextBody"/>
                        <w:bidi w:val="0"/>
                        <w:spacing w:before="0" w:after="0"/>
                        <w:jc w:val="center"/>
                        <w:rPr>
                          <w:caps w:val="false"/>
                          <w:smallCaps w:val="false"/>
                          <w:color w:val="FE5000"/>
                        </w:rPr>
                      </w:pPr>
                      <w:r>
                        <w:rPr>
                          <w:caps w:val="false"/>
                          <w:smallCaps w:val="false"/>
                          <w:color w:val="FE5000"/>
                        </w:rPr>
                        <w:t> </w:t>
                      </w:r>
                    </w:p>
                    <w:p>
                      <w:pPr>
                        <w:pStyle w:val="TextBody"/>
                        <w:bidi w:val="0"/>
                        <w:spacing w:before="0" w:after="0"/>
                        <w:ind w:left="40" w:right="0" w:hanging="0"/>
                        <w:jc w:val="left"/>
                        <w:rPr>
                          <w:rFonts w:ascii="Arial" w:hAnsi="Arial"/>
                          <w:b/>
                          <w:i w:val="false"/>
                          <w:caps w:val="false"/>
                          <w:smallCaps w:val="false"/>
                          <w:sz w:val="20"/>
                        </w:rPr>
                      </w:pPr>
                      <w:r>
                        <w:rPr>
                          <w:rFonts w:ascii="Arial" w:hAnsi="Arial"/>
                          <w:b/>
                          <w:i w:val="false"/>
                          <w:caps w:val="false"/>
                          <w:smallCaps w:val="false"/>
                          <w:sz w:val="20"/>
                        </w:rPr>
                        <w:t>2.1.2.1. Mibanco micro-loans for MSEs</w:t>
                      </w:r>
                    </w:p>
                    <w:p>
                      <w:pPr>
                        <w:pStyle w:val="TextBody"/>
                        <w:bidi w:val="0"/>
                        <w:spacing w:before="0" w:after="0"/>
                        <w:ind w:left="40" w:right="0" w:hanging="0"/>
                        <w:jc w:val="left"/>
                        <w:rPr>
                          <w:caps w:val="false"/>
                          <w:smallCaps w:val="false"/>
                        </w:rPr>
                      </w:pPr>
                      <w:r>
                        <w:rPr>
                          <w:caps w:val="false"/>
                          <w:smallCaps w:val="false"/>
                        </w:rPr>
                        <w:t> </w:t>
                      </w:r>
                    </w:p>
                    <w:p>
                      <w:pPr>
                        <w:pStyle w:val="TextBody"/>
                        <w:bidi w:val="0"/>
                        <w:spacing w:before="0" w:after="0"/>
                        <w:ind w:left="0" w:right="0" w:firstLine="50"/>
                        <w:jc w:val="both"/>
                        <w:rPr>
                          <w:rFonts w:ascii="Arial" w:hAnsi="Arial"/>
                          <w:b w:val="false"/>
                          <w:i w:val="false"/>
                          <w:caps w:val="false"/>
                          <w:smallCaps w:val="false"/>
                          <w:sz w:val="20"/>
                        </w:rPr>
                      </w:pPr>
                      <w:r>
                        <w:rPr>
                          <w:rFonts w:ascii="Arial" w:hAnsi="Arial"/>
                          <w:b w:val="false"/>
                          <w:i w:val="false"/>
                          <w:caps w:val="false"/>
                          <w:smallCaps w:val="false"/>
                          <w:sz w:val="20"/>
                        </w:rPr>
                        <w:t>Mibanco aims to transform lives. It is committed to people’s financial inclusion and their progress, working together with them to contribute to the country’s growth. Our market share in the segment of micro and small enterprises (with less than S/150,000 of debt in the financial system) reached 22.1%, with more than 629,000 customers and gross loans of S/13,165 million. The range of products for this segment includes working capital loans, lines of credit, agricultural and livestock loans, property loans and commercial loans.</w:t>
                      </w:r>
                    </w:p>
                    <w:p>
                      <w:pPr>
                        <w:pStyle w:val="TextBody"/>
                        <w:bidi w:val="0"/>
                        <w:spacing w:before="0" w:after="0"/>
                        <w:ind w:left="0" w:right="0" w:firstLine="5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2024, the company aims to drive entrepreneur business growth by strengthening its solutions on the back of innovative digital experiences that deliver more access to financial tools and services. We will work on two fronts:</w:t>
                      </w:r>
                    </w:p>
                  </w:txbxContent>
                </v:textbox>
                <w10:wrap type="topAndBottom"/>
              </v:rect>
            </w:pict>
          </mc:Fallback>
        </mc:AlternateContent>
      </w:r>
      <w:r>
        <mc:AlternateContent>
          <mc:Choice Requires="wps">
            <w:drawing>
              <wp:anchor behindDoc="0" distT="0" distB="0" distL="0" distR="0" simplePos="0" locked="0" layoutInCell="1" allowOverlap="1" relativeHeight="232">
                <wp:simplePos x="0" y="0"/>
                <wp:positionH relativeFrom="column">
                  <wp:align>right</wp:align>
                </wp:positionH>
                <wp:positionV relativeFrom="line">
                  <wp:posOffset>635</wp:posOffset>
                </wp:positionV>
                <wp:extent cx="3110230" cy="7290435"/>
                <wp:effectExtent l="0" t="0" r="0" b="0"/>
                <wp:wrapTopAndBottom/>
                <wp:docPr id="124" name="Frame39"/>
                <a:graphic xmlns:a="http://schemas.openxmlformats.org/drawingml/2006/main">
                  <a:graphicData uri="http://schemas.microsoft.com/office/word/2010/wordprocessingShape">
                    <wps:wsp>
                      <wps:cNvSpPr txBox="1"/>
                      <wps:spPr>
                        <a:xfrm>
                          <a:off x="0" y="0"/>
                          <a:ext cx="3110230" cy="7290435"/>
                        </a:xfrm>
                        <a:prstGeom prst="rect"/>
                        <a:solidFill>
                          <a:srgbClr val="FFFFFF"/>
                        </a:solidFill>
                      </wps:spPr>
                      <wps:txbx>
                        <w:txbxContent>
                          <w:tbl>
                            <w:tblPr>
                              <w:tblW w:w="5000" w:type="pct"/>
                              <w:jc w:val="left"/>
                              <w:tblInd w:w="0" w:type="dxa"/>
                              <w:tblLayout w:type="fixed"/>
                              <w:tblCellMar>
                                <w:top w:w="0" w:type="dxa"/>
                                <w:left w:w="0" w:type="dxa"/>
                                <w:bottom w:w="0" w:type="dxa"/>
                                <w:right w:w="0" w:type="dxa"/>
                              </w:tblCellMar>
                            </w:tblPr>
                            <w:tblGrid>
                              <w:gridCol w:w="18"/>
                              <w:gridCol w:w="108"/>
                              <w:gridCol w:w="4772"/>
                            </w:tblGrid>
                            <w:tr>
                              <w:trPr/>
                              <w:tc>
                                <w:tcPr>
                                  <w:tcW w:w="18"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pPr>
                                  <w:r>
                                    <w:rPr/>
                                    <w:drawing>
                                      <wp:inline distT="0" distB="0" distL="0" distR="0">
                                        <wp:extent cx="142875" cy="104775"/>
                                        <wp:effectExtent l="0" t="0" r="0" b="0"/>
                                        <wp:docPr id="12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62" descr=""/>
                                                <pic:cNvPicPr>
                                                  <a:picLocks noChangeAspect="1" noChangeArrowheads="1"/>
                                                </pic:cNvPicPr>
                                              </pic:nvPicPr>
                                              <pic:blipFill>
                                                <a:blip r:embed="rId87"/>
                                                <a:stretch>
                                                  <a:fillRect/>
                                                </a:stretch>
                                              </pic:blipFill>
                                              <pic:spPr bwMode="auto">
                                                <a:xfrm>
                                                  <a:off x="0" y="0"/>
                                                  <a:ext cx="142875" cy="104775"/>
                                                </a:xfrm>
                                                <a:prstGeom prst="rect">
                                                  <a:avLst/>
                                                </a:prstGeom>
                                              </pic:spPr>
                                            </pic:pic>
                                          </a:graphicData>
                                        </a:graphic>
                                      </wp:inline>
                                    </w:drawing>
                                  </w:r>
                                </w:p>
                              </w:tc>
                              <w:tc>
                                <w:tcPr>
                                  <w:tcW w:w="4772" w:type="dxa"/>
                                  <w:tcBorders/>
                                  <w:vAlign w:val="center"/>
                                </w:tcPr>
                                <w:p>
                                  <w:pPr>
                                    <w:pStyle w:val="TableContents"/>
                                    <w:bidi w:val="0"/>
                                    <w:spacing w:before="0" w:after="283"/>
                                    <w:jc w:val="both"/>
                                    <w:rPr>
                                      <w:rFonts w:ascii="Arial" w:hAnsi="Arial"/>
                                      <w:sz w:val="20"/>
                                    </w:rPr>
                                  </w:pPr>
                                  <w:r>
                                    <w:rPr>
                                      <w:rFonts w:ascii="Arial" w:hAnsi="Arial"/>
                                      <w:sz w:val="20"/>
                                    </w:rPr>
                                    <w:t>The experimentation platform: Incubating and validating the digital pilots hand-in-hand with developing and digitalizing new financial products.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
                              <w:gridCol w:w="108"/>
                              <w:gridCol w:w="4772"/>
                            </w:tblGrid>
                            <w:tr>
                              <w:trPr/>
                              <w:tc>
                                <w:tcPr>
                                  <w:tcW w:w="18"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color w:val="FB6305"/>
                                    </w:rPr>
                                  </w:pPr>
                                  <w:r>
                                    <w:rPr>
                                      <w:color w:val="FB6305"/>
                                    </w:rPr>
                                    <w:drawing>
                                      <wp:inline distT="0" distB="0" distL="0" distR="0">
                                        <wp:extent cx="142875" cy="104775"/>
                                        <wp:effectExtent l="0" t="0" r="0" b="0"/>
                                        <wp:docPr id="12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63" descr=""/>
                                                <pic:cNvPicPr>
                                                  <a:picLocks noChangeAspect="1" noChangeArrowheads="1"/>
                                                </pic:cNvPicPr>
                                              </pic:nvPicPr>
                                              <pic:blipFill>
                                                <a:blip r:embed="rId88"/>
                                                <a:stretch>
                                                  <a:fillRect/>
                                                </a:stretch>
                                              </pic:blipFill>
                                              <pic:spPr bwMode="auto">
                                                <a:xfrm>
                                                  <a:off x="0" y="0"/>
                                                  <a:ext cx="142875" cy="104775"/>
                                                </a:xfrm>
                                                <a:prstGeom prst="rect">
                                                  <a:avLst/>
                                                </a:prstGeom>
                                              </pic:spPr>
                                            </pic:pic>
                                          </a:graphicData>
                                        </a:graphic>
                                      </wp:inline>
                                    </w:drawing>
                                  </w:r>
                                </w:p>
                              </w:tc>
                              <w:tc>
                                <w:tcPr>
                                  <w:tcW w:w="4772" w:type="dxa"/>
                                  <w:tcBorders/>
                                  <w:vAlign w:val="center"/>
                                </w:tcPr>
                                <w:p>
                                  <w:pPr>
                                    <w:pStyle w:val="TableContents"/>
                                    <w:bidi w:val="0"/>
                                    <w:spacing w:before="0" w:after="283"/>
                                    <w:jc w:val="both"/>
                                    <w:rPr>
                                      <w:rFonts w:ascii="Arial" w:hAnsi="Arial"/>
                                      <w:sz w:val="20"/>
                                    </w:rPr>
                                  </w:pPr>
                                  <w:r>
                                    <w:rPr>
                                      <w:rFonts w:ascii="Arial" w:hAnsi="Arial"/>
                                      <w:sz w:val="20"/>
                                    </w:rPr>
                                    <w:t>Entrepreneur development: Educational content aimed at entrepreneurs and the generation of communities with shared interests so as to strengthen their development.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2.1.2.2. BCPs Contigo Emprendedor Program</w:t>
                            </w:r>
                          </w:p>
                          <w:p>
                            <w:pPr>
                              <w:pStyle w:val="TextBody"/>
                              <w:bidi w:val="0"/>
                              <w:spacing w:before="0" w:after="0"/>
                              <w:ind w:left="6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caps w:val="false"/>
                                <w:smallCaps w:val="false"/>
                                <w:sz w:val="20"/>
                              </w:rPr>
                              <w:t xml:space="preserve">Contigo Emprendedor </w:t>
                            </w:r>
                            <w:r>
                              <w:rPr>
                                <w:rFonts w:ascii="Arial" w:hAnsi="Arial"/>
                                <w:b w:val="false"/>
                                <w:i w:val="false"/>
                                <w:caps w:val="false"/>
                                <w:smallCaps w:val="false"/>
                                <w:sz w:val="20"/>
                              </w:rPr>
                              <w:t>(We’re with you, entrepreneur) is one of Peru’s most comprehensive programs for entrepreneurs, providing free training in management, digital tools, and financial education. The initiative is supported by staff volunteers from the ranks of BCP and other subsidiaries and draws on technology to deliver courses (e.g., WhatsApp, Virtual Campus, and Digital Entrepreneurs) to achieve a greater reach.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2857500" cy="676275"/>
                                  <wp:effectExtent l="0" t="0" r="0" b="0"/>
                                  <wp:docPr id="12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64" descr=""/>
                                          <pic:cNvPicPr>
                                            <a:picLocks noChangeAspect="1" noChangeArrowheads="1"/>
                                          </pic:cNvPicPr>
                                        </pic:nvPicPr>
                                        <pic:blipFill>
                                          <a:blip r:embed="rId89"/>
                                          <a:stretch>
                                            <a:fillRect/>
                                          </a:stretch>
                                        </pic:blipFill>
                                        <pic:spPr bwMode="auto">
                                          <a:xfrm>
                                            <a:off x="0" y="0"/>
                                            <a:ext cx="2857500" cy="6762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2.1.3.Opportunities and products for women</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Gender inequality is one of the greatest challenges facing our region. By observing the disaggregated figures in our </w:t>
                            </w:r>
                            <w:r>
                              <w:rPr>
                                <w:rFonts w:ascii="Arial" w:hAnsi="Arial"/>
                                <w:b/>
                                <w:i w:val="false"/>
                                <w:caps w:val="false"/>
                                <w:smallCaps w:val="false"/>
                                <w:color w:val="0563C1"/>
                                <w:sz w:val="20"/>
                                <w:u w:val="single"/>
                              </w:rPr>
                              <w:t>Financial Inclusion Index</w:t>
                            </w:r>
                            <w:r>
                              <w:rPr>
                                <w:rFonts w:ascii="Arial" w:hAnsi="Arial"/>
                                <w:b w:val="false"/>
                                <w:i w:val="false"/>
                                <w:caps w:val="false"/>
                                <w:smallCaps w:val="false"/>
                                <w:sz w:val="20"/>
                              </w:rPr>
                              <w:t>, Credicorp can closely monitor the reality of women’s inclusion and its evolution across different countries. Those facing the biggest hurdles are often indigenous housewives over 43 years, located away from the main cities, and with limited digital access and formal education. Significant challenges exist in credit use and transaction frequency.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 w:hAnsi="Arial"/>
                                <w:b/>
                                <w:i w:val="false"/>
                                <w:caps w:val="false"/>
                                <w:smallCaps w:val="false"/>
                                <w:color w:val="FE5000"/>
                                <w:sz w:val="36"/>
                              </w:rPr>
                            </w:pPr>
                            <w:r>
                              <w:rPr>
                                <w:rFonts w:ascii="Arial" w:hAnsi="Arial"/>
                                <w:b/>
                                <w:i w:val="false"/>
                                <w:caps w:val="false"/>
                                <w:smallCaps w:val="false"/>
                                <w:color w:val="FE5000"/>
                                <w:sz w:val="36"/>
                              </w:rPr>
                              <w:t>In Latin America, 1 in 4 women are not financially included.</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74.05pt;mso-wrap-distance-left:0pt;mso-wrap-distance-right:0pt;mso-wrap-distance-top:0pt;mso-wrap-distance-bottom:0pt;margin-top:0pt;mso-position-vertical:top;mso-position-vertical-relative:text;margin-left:265.35pt;mso-position-horizontal:right;mso-position-horizontal-relative:text">
                <v:textbox>
                  <w:txbxContent>
                    <w:tbl>
                      <w:tblPr>
                        <w:tblW w:w="5000" w:type="pct"/>
                        <w:jc w:val="left"/>
                        <w:tblInd w:w="0" w:type="dxa"/>
                        <w:tblLayout w:type="fixed"/>
                        <w:tblCellMar>
                          <w:top w:w="0" w:type="dxa"/>
                          <w:left w:w="0" w:type="dxa"/>
                          <w:bottom w:w="0" w:type="dxa"/>
                          <w:right w:w="0" w:type="dxa"/>
                        </w:tblCellMar>
                      </w:tblPr>
                      <w:tblGrid>
                        <w:gridCol w:w="18"/>
                        <w:gridCol w:w="108"/>
                        <w:gridCol w:w="4772"/>
                      </w:tblGrid>
                      <w:tr>
                        <w:trPr/>
                        <w:tc>
                          <w:tcPr>
                            <w:tcW w:w="18"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pPr>
                            <w:r>
                              <w:rPr/>
                              <w:drawing>
                                <wp:inline distT="0" distB="0" distL="0" distR="0">
                                  <wp:extent cx="142875" cy="104775"/>
                                  <wp:effectExtent l="0" t="0" r="0" b="0"/>
                                  <wp:docPr id="128"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62" descr=""/>
                                          <pic:cNvPicPr>
                                            <a:picLocks noChangeAspect="1" noChangeArrowheads="1"/>
                                          </pic:cNvPicPr>
                                        </pic:nvPicPr>
                                        <pic:blipFill>
                                          <a:blip r:embed="rId90"/>
                                          <a:stretch>
                                            <a:fillRect/>
                                          </a:stretch>
                                        </pic:blipFill>
                                        <pic:spPr bwMode="auto">
                                          <a:xfrm>
                                            <a:off x="0" y="0"/>
                                            <a:ext cx="142875" cy="104775"/>
                                          </a:xfrm>
                                          <a:prstGeom prst="rect">
                                            <a:avLst/>
                                          </a:prstGeom>
                                        </pic:spPr>
                                      </pic:pic>
                                    </a:graphicData>
                                  </a:graphic>
                                </wp:inline>
                              </w:drawing>
                            </w:r>
                          </w:p>
                        </w:tc>
                        <w:tc>
                          <w:tcPr>
                            <w:tcW w:w="4772" w:type="dxa"/>
                            <w:tcBorders/>
                            <w:vAlign w:val="center"/>
                          </w:tcPr>
                          <w:p>
                            <w:pPr>
                              <w:pStyle w:val="TableContents"/>
                              <w:bidi w:val="0"/>
                              <w:spacing w:before="0" w:after="283"/>
                              <w:jc w:val="both"/>
                              <w:rPr>
                                <w:rFonts w:ascii="Arial" w:hAnsi="Arial"/>
                                <w:sz w:val="20"/>
                              </w:rPr>
                            </w:pPr>
                            <w:r>
                              <w:rPr>
                                <w:rFonts w:ascii="Arial" w:hAnsi="Arial"/>
                                <w:sz w:val="20"/>
                              </w:rPr>
                              <w:t>The experimentation platform: Incubating and validating the digital pilots hand-in-hand with developing and digitalizing new financial products.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
                        <w:gridCol w:w="108"/>
                        <w:gridCol w:w="4772"/>
                      </w:tblGrid>
                      <w:tr>
                        <w:trPr/>
                        <w:tc>
                          <w:tcPr>
                            <w:tcW w:w="18"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color w:val="FB6305"/>
                              </w:rPr>
                            </w:pPr>
                            <w:r>
                              <w:rPr>
                                <w:color w:val="FB6305"/>
                              </w:rPr>
                              <w:drawing>
                                <wp:inline distT="0" distB="0" distL="0" distR="0">
                                  <wp:extent cx="142875" cy="104775"/>
                                  <wp:effectExtent l="0" t="0" r="0" b="0"/>
                                  <wp:docPr id="129"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63" descr=""/>
                                          <pic:cNvPicPr>
                                            <a:picLocks noChangeAspect="1" noChangeArrowheads="1"/>
                                          </pic:cNvPicPr>
                                        </pic:nvPicPr>
                                        <pic:blipFill>
                                          <a:blip r:embed="rId91"/>
                                          <a:stretch>
                                            <a:fillRect/>
                                          </a:stretch>
                                        </pic:blipFill>
                                        <pic:spPr bwMode="auto">
                                          <a:xfrm>
                                            <a:off x="0" y="0"/>
                                            <a:ext cx="142875" cy="104775"/>
                                          </a:xfrm>
                                          <a:prstGeom prst="rect">
                                            <a:avLst/>
                                          </a:prstGeom>
                                        </pic:spPr>
                                      </pic:pic>
                                    </a:graphicData>
                                  </a:graphic>
                                </wp:inline>
                              </w:drawing>
                            </w:r>
                          </w:p>
                        </w:tc>
                        <w:tc>
                          <w:tcPr>
                            <w:tcW w:w="4772" w:type="dxa"/>
                            <w:tcBorders/>
                            <w:vAlign w:val="center"/>
                          </w:tcPr>
                          <w:p>
                            <w:pPr>
                              <w:pStyle w:val="TableContents"/>
                              <w:bidi w:val="0"/>
                              <w:spacing w:before="0" w:after="283"/>
                              <w:jc w:val="both"/>
                              <w:rPr>
                                <w:rFonts w:ascii="Arial" w:hAnsi="Arial"/>
                                <w:sz w:val="20"/>
                              </w:rPr>
                            </w:pPr>
                            <w:r>
                              <w:rPr>
                                <w:rFonts w:ascii="Arial" w:hAnsi="Arial"/>
                                <w:sz w:val="20"/>
                              </w:rPr>
                              <w:t>Entrepreneur development: Educational content aimed at entrepreneurs and the generation of communities with shared interests so as to strengthen their development.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2.1.2.2. BCPs Contigo Emprendedor Program</w:t>
                      </w:r>
                    </w:p>
                    <w:p>
                      <w:pPr>
                        <w:pStyle w:val="TextBody"/>
                        <w:bidi w:val="0"/>
                        <w:spacing w:before="0" w:after="0"/>
                        <w:ind w:left="6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caps w:val="false"/>
                          <w:smallCaps w:val="false"/>
                          <w:sz w:val="20"/>
                        </w:rPr>
                        <w:t xml:space="preserve">Contigo Emprendedor </w:t>
                      </w:r>
                      <w:r>
                        <w:rPr>
                          <w:rFonts w:ascii="Arial" w:hAnsi="Arial"/>
                          <w:b w:val="false"/>
                          <w:i w:val="false"/>
                          <w:caps w:val="false"/>
                          <w:smallCaps w:val="false"/>
                          <w:sz w:val="20"/>
                        </w:rPr>
                        <w:t>(We’re with you, entrepreneur) is one of Peru’s most comprehensive programs for entrepreneurs, providing free training in management, digital tools, and financial education. The initiative is supported by staff volunteers from the ranks of BCP and other subsidiaries and draws on technology to deliver courses (e.g., WhatsApp, Virtual Campus, and Digital Entrepreneurs) to achieve a greater reach.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2857500" cy="676275"/>
                            <wp:effectExtent l="0" t="0" r="0" b="0"/>
                            <wp:docPr id="130"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64" descr=""/>
                                    <pic:cNvPicPr>
                                      <a:picLocks noChangeAspect="1" noChangeArrowheads="1"/>
                                    </pic:cNvPicPr>
                                  </pic:nvPicPr>
                                  <pic:blipFill>
                                    <a:blip r:embed="rId92"/>
                                    <a:stretch>
                                      <a:fillRect/>
                                    </a:stretch>
                                  </pic:blipFill>
                                  <pic:spPr bwMode="auto">
                                    <a:xfrm>
                                      <a:off x="0" y="0"/>
                                      <a:ext cx="2857500" cy="6762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2.1.3.Opportunities and products for women</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Gender inequality is one of the greatest challenges facing our region. By observing the disaggregated figures in our </w:t>
                      </w:r>
                      <w:r>
                        <w:rPr>
                          <w:rFonts w:ascii="Arial" w:hAnsi="Arial"/>
                          <w:b/>
                          <w:i w:val="false"/>
                          <w:caps w:val="false"/>
                          <w:smallCaps w:val="false"/>
                          <w:color w:val="0563C1"/>
                          <w:sz w:val="20"/>
                          <w:u w:val="single"/>
                        </w:rPr>
                        <w:t>Financial Inclusion Index</w:t>
                      </w:r>
                      <w:r>
                        <w:rPr>
                          <w:rFonts w:ascii="Arial" w:hAnsi="Arial"/>
                          <w:b w:val="false"/>
                          <w:i w:val="false"/>
                          <w:caps w:val="false"/>
                          <w:smallCaps w:val="false"/>
                          <w:sz w:val="20"/>
                        </w:rPr>
                        <w:t>, Credicorp can closely monitor the reality of women’s inclusion and its evolution across different countries. Those facing the biggest hurdles are often indigenous housewives over 43 years, located away from the main cities, and with limited digital access and formal education. Significant challenges exist in credit use and transaction frequency.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 w:hAnsi="Arial"/>
                          <w:b/>
                          <w:i w:val="false"/>
                          <w:caps w:val="false"/>
                          <w:smallCaps w:val="false"/>
                          <w:color w:val="FE5000"/>
                          <w:sz w:val="36"/>
                        </w:rPr>
                      </w:pPr>
                      <w:r>
                        <w:rPr>
                          <w:rFonts w:ascii="Arial" w:hAnsi="Arial"/>
                          <w:b/>
                          <w:i w:val="false"/>
                          <w:caps w:val="false"/>
                          <w:smallCaps w:val="false"/>
                          <w:color w:val="FE5000"/>
                          <w:sz w:val="36"/>
                        </w:rPr>
                        <w:t>In Latin America, 1 in 4 women are not financially included.</w:t>
                      </w:r>
                    </w:p>
                  </w:txbxContent>
                </v:textbox>
                <w10:wrap type="topAndBottom"/>
              </v:rect>
            </w:pict>
          </mc:Fallback>
        </mc:AlternateConten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22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olumn">
                  <wp:align>right</wp:align>
                </wp:positionH>
                <wp:positionV relativeFrom="line">
                  <wp:posOffset>635</wp:posOffset>
                </wp:positionV>
                <wp:extent cx="3110230" cy="6257290"/>
                <wp:effectExtent l="0" t="0" r="0" b="0"/>
                <wp:wrapTopAndBottom/>
                <wp:docPr id="131" name="Frame41"/>
                <a:graphic xmlns:a="http://schemas.openxmlformats.org/drawingml/2006/main">
                  <a:graphicData uri="http://schemas.microsoft.com/office/word/2010/wordprocessingShape">
                    <wps:wsp>
                      <wps:cNvSpPr txBox="1"/>
                      <wps:spPr>
                        <a:xfrm>
                          <a:off x="0" y="0"/>
                          <a:ext cx="3110230" cy="6257290"/>
                        </a:xfrm>
                        <a:prstGeom prst="rect"/>
                        <a:solidFill>
                          <a:srgbClr val="FFFFFF"/>
                        </a:solidFill>
                      </wps:spPr>
                      <wps:txbx>
                        <w:txbxContent>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available savings products, complementary cancer insurance, and educational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3333750" cy="2514600"/>
                                  <wp:effectExtent l="0" t="0" r="0" b="0"/>
                                  <wp:docPr id="132"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66" descr=""/>
                                          <pic:cNvPicPr>
                                            <a:picLocks noChangeAspect="1" noChangeArrowheads="1"/>
                                          </pic:cNvPicPr>
                                        </pic:nvPicPr>
                                        <pic:blipFill>
                                          <a:blip r:embed="rId93"/>
                                          <a:stretch>
                                            <a:fillRect/>
                                          </a:stretch>
                                        </pic:blipFill>
                                        <pic:spPr bwMode="auto">
                                          <a:xfrm>
                                            <a:off x="0" y="0"/>
                                            <a:ext cx="3333750" cy="2514600"/>
                                          </a:xfrm>
                                          <a:prstGeom prst="rect">
                                            <a:avLst/>
                                          </a:prstGeom>
                                        </pic:spPr>
                                      </pic:pic>
                                    </a:graphicData>
                                  </a:graphic>
                                </wp:inline>
                              </w:drawing>
                            </w: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Mibanco’s </w:t>
                            </w:r>
                            <w:r>
                              <w:rPr>
                                <w:rFonts w:ascii="Arial" w:hAnsi="Arial"/>
                                <w:b/>
                                <w:i/>
                                <w:caps w:val="false"/>
                                <w:smallCaps w:val="false"/>
                                <w:color w:val="FE5000"/>
                                <w:sz w:val="24"/>
                              </w:rPr>
                              <w:t>Mujeres Poderosas</w:t>
                            </w:r>
                            <w:r>
                              <w:rPr>
                                <w:rFonts w:ascii="Arial" w:hAnsi="Arial"/>
                                <w:b w:val="false"/>
                                <w:i w:val="false"/>
                                <w:caps w:val="false"/>
                                <w:smallCaps w:val="false"/>
                                <w:sz w:val="20"/>
                              </w:rPr>
                              <w:t xml:space="preserve"> program, aimed at leaders of women’s organizations at the base of the pyramid, offers financial education, digitalization, and empowerment (</w:t>
                            </w:r>
                            <w:r>
                              <w:rPr>
                                <w:rFonts w:ascii="Arial" w:hAnsi="Arial"/>
                                <w:b w:val="false"/>
                                <w:i/>
                                <w:caps w:val="false"/>
                                <w:smallCaps w:val="false"/>
                                <w:sz w:val="20"/>
                              </w:rPr>
                              <w:t>poder</w:t>
                            </w:r>
                            <w:r>
                              <w:rPr>
                                <w:rFonts w:ascii="Arial" w:hAnsi="Arial"/>
                                <w:b w:val="false"/>
                                <w:i w:val="false"/>
                                <w:caps w:val="false"/>
                                <w:smallCaps w:val="false"/>
                                <w:sz w:val="20"/>
                              </w:rPr>
                              <w:t>) through workshops and technology tools that seek a new model of responsible financial inclusion.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40"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Mibanco Colombia is rolling out </w:t>
                            </w:r>
                            <w:r>
                              <w:rPr>
                                <w:rFonts w:ascii="Arial" w:hAnsi="Arial"/>
                                <w:b/>
                                <w:i/>
                                <w:caps w:val="false"/>
                                <w:smallCaps w:val="false"/>
                                <w:color w:val="FE5000"/>
                                <w:sz w:val="24"/>
                              </w:rPr>
                              <w:t>Mujeres Pa’lante</w:t>
                            </w:r>
                            <w:r>
                              <w:rPr>
                                <w:rFonts w:ascii="Arial" w:hAnsi="Arial"/>
                                <w:b w:val="false"/>
                                <w:i w:val="false"/>
                                <w:caps w:val="false"/>
                                <w:smallCaps w:val="false"/>
                                <w:sz w:val="20"/>
                              </w:rPr>
                              <w:t>, a credit product that funds working capital and fixed assets for the financial inclusion of female micro-business owners and the progress (</w:t>
                            </w:r>
                            <w:r>
                              <w:rPr>
                                <w:rFonts w:ascii="Arial" w:hAnsi="Arial"/>
                                <w:b w:val="false"/>
                                <w:i/>
                                <w:caps w:val="false"/>
                                <w:smallCaps w:val="false"/>
                                <w:sz w:val="20"/>
                              </w:rPr>
                              <w:t>pa’lante</w:t>
                            </w:r>
                            <w:r>
                              <w:rPr>
                                <w:rFonts w:ascii="Arial" w:hAnsi="Arial"/>
                                <w:b w:val="false"/>
                                <w:i w:val="false"/>
                                <w:caps w:val="false"/>
                                <w:smallCaps w:val="false"/>
                                <w:sz w:val="20"/>
                              </w:rPr>
                              <w:t>) of their families. To date, we have banked 6.9 thousand women and placed more than S/ 17.3 million12 in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BCP Bolivia’s </w:t>
                            </w:r>
                            <w:r>
                              <w:rPr>
                                <w:rFonts w:ascii="Arial" w:hAnsi="Arial"/>
                                <w:b/>
                                <w:i/>
                                <w:caps w:val="false"/>
                                <w:smallCaps w:val="false"/>
                                <w:color w:val="FE5000"/>
                                <w:sz w:val="24"/>
                              </w:rPr>
                              <w:t>Taller24</w:t>
                            </w:r>
                            <w:r>
                              <w:rPr>
                                <w:rFonts w:ascii="Arial" w:hAnsi="Arial"/>
                                <w:b/>
                                <w:i w:val="false"/>
                                <w:caps w:val="false"/>
                                <w:smallCaps w:val="false"/>
                                <w:color w:val="FE5000"/>
                                <w:sz w:val="24"/>
                              </w:rPr>
                              <w:t xml:space="preserve">, </w:t>
                            </w:r>
                            <w:r>
                              <w:rPr>
                                <w:rFonts w:ascii="Arial" w:hAnsi="Arial"/>
                                <w:b w:val="false"/>
                                <w:i w:val="false"/>
                                <w:caps w:val="false"/>
                                <w:smallCaps w:val="false"/>
                                <w:sz w:val="20"/>
                              </w:rPr>
                              <w:t>is a workshop (</w:t>
                            </w:r>
                            <w:r>
                              <w:rPr>
                                <w:rFonts w:ascii="Arial" w:hAnsi="Arial"/>
                                <w:b w:val="false"/>
                                <w:i/>
                                <w:caps w:val="false"/>
                                <w:smallCaps w:val="false"/>
                                <w:sz w:val="20"/>
                              </w:rPr>
                              <w:t>taller</w:t>
                            </w:r>
                            <w:r>
                              <w:rPr>
                                <w:rFonts w:ascii="Arial" w:hAnsi="Arial"/>
                                <w:b w:val="false"/>
                                <w:i w:val="false"/>
                                <w:caps w:val="false"/>
                                <w:smallCaps w:val="false"/>
                                <w:sz w:val="20"/>
                              </w:rPr>
                              <w:t>) program that has been running for two years and trained more than 4 thousand female entrepreneurs in leadership, sales strengthening, and financial management.</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92.7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available savings products, complementary cancer insurance, and educational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3333750" cy="2514600"/>
                            <wp:effectExtent l="0" t="0" r="0" b="0"/>
                            <wp:docPr id="133"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66" descr=""/>
                                    <pic:cNvPicPr>
                                      <a:picLocks noChangeAspect="1" noChangeArrowheads="1"/>
                                    </pic:cNvPicPr>
                                  </pic:nvPicPr>
                                  <pic:blipFill>
                                    <a:blip r:embed="rId94"/>
                                    <a:stretch>
                                      <a:fillRect/>
                                    </a:stretch>
                                  </pic:blipFill>
                                  <pic:spPr bwMode="auto">
                                    <a:xfrm>
                                      <a:off x="0" y="0"/>
                                      <a:ext cx="3333750" cy="2514600"/>
                                    </a:xfrm>
                                    <a:prstGeom prst="rect">
                                      <a:avLst/>
                                    </a:prstGeom>
                                  </pic:spPr>
                                </pic:pic>
                              </a:graphicData>
                            </a:graphic>
                          </wp:inline>
                        </w:drawing>
                      </w: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Mibanco’s </w:t>
                      </w:r>
                      <w:r>
                        <w:rPr>
                          <w:rFonts w:ascii="Arial" w:hAnsi="Arial"/>
                          <w:b/>
                          <w:i/>
                          <w:caps w:val="false"/>
                          <w:smallCaps w:val="false"/>
                          <w:color w:val="FE5000"/>
                          <w:sz w:val="24"/>
                        </w:rPr>
                        <w:t>Mujeres Poderosas</w:t>
                      </w:r>
                      <w:r>
                        <w:rPr>
                          <w:rFonts w:ascii="Arial" w:hAnsi="Arial"/>
                          <w:b w:val="false"/>
                          <w:i w:val="false"/>
                          <w:caps w:val="false"/>
                          <w:smallCaps w:val="false"/>
                          <w:sz w:val="20"/>
                        </w:rPr>
                        <w:t xml:space="preserve"> program, aimed at leaders of women’s organizations at the base of the pyramid, offers financial education, digitalization, and empowerment (</w:t>
                      </w:r>
                      <w:r>
                        <w:rPr>
                          <w:rFonts w:ascii="Arial" w:hAnsi="Arial"/>
                          <w:b w:val="false"/>
                          <w:i/>
                          <w:caps w:val="false"/>
                          <w:smallCaps w:val="false"/>
                          <w:sz w:val="20"/>
                        </w:rPr>
                        <w:t>poder</w:t>
                      </w:r>
                      <w:r>
                        <w:rPr>
                          <w:rFonts w:ascii="Arial" w:hAnsi="Arial"/>
                          <w:b w:val="false"/>
                          <w:i w:val="false"/>
                          <w:caps w:val="false"/>
                          <w:smallCaps w:val="false"/>
                          <w:sz w:val="20"/>
                        </w:rPr>
                        <w:t>) through workshops and technology tools that seek a new model of responsible financial inclusion.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40"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Mibanco Colombia is rolling out </w:t>
                      </w:r>
                      <w:r>
                        <w:rPr>
                          <w:rFonts w:ascii="Arial" w:hAnsi="Arial"/>
                          <w:b/>
                          <w:i/>
                          <w:caps w:val="false"/>
                          <w:smallCaps w:val="false"/>
                          <w:color w:val="FE5000"/>
                          <w:sz w:val="24"/>
                        </w:rPr>
                        <w:t>Mujeres Pa’lante</w:t>
                      </w:r>
                      <w:r>
                        <w:rPr>
                          <w:rFonts w:ascii="Arial" w:hAnsi="Arial"/>
                          <w:b w:val="false"/>
                          <w:i w:val="false"/>
                          <w:caps w:val="false"/>
                          <w:smallCaps w:val="false"/>
                          <w:sz w:val="20"/>
                        </w:rPr>
                        <w:t>, a credit product that funds working capital and fixed assets for the financial inclusion of female micro-business owners and the progress (</w:t>
                      </w:r>
                      <w:r>
                        <w:rPr>
                          <w:rFonts w:ascii="Arial" w:hAnsi="Arial"/>
                          <w:b w:val="false"/>
                          <w:i/>
                          <w:caps w:val="false"/>
                          <w:smallCaps w:val="false"/>
                          <w:sz w:val="20"/>
                        </w:rPr>
                        <w:t>pa’lante</w:t>
                      </w:r>
                      <w:r>
                        <w:rPr>
                          <w:rFonts w:ascii="Arial" w:hAnsi="Arial"/>
                          <w:b w:val="false"/>
                          <w:i w:val="false"/>
                          <w:caps w:val="false"/>
                          <w:smallCaps w:val="false"/>
                          <w:sz w:val="20"/>
                        </w:rPr>
                        <w:t>) of their families. To date, we have banked 6.9 thousand women and placed more than S/ 17.3 million12 in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BCP Bolivia’s </w:t>
                      </w:r>
                      <w:r>
                        <w:rPr>
                          <w:rFonts w:ascii="Arial" w:hAnsi="Arial"/>
                          <w:b/>
                          <w:i/>
                          <w:caps w:val="false"/>
                          <w:smallCaps w:val="false"/>
                          <w:color w:val="FE5000"/>
                          <w:sz w:val="24"/>
                        </w:rPr>
                        <w:t>Taller24</w:t>
                      </w:r>
                      <w:r>
                        <w:rPr>
                          <w:rFonts w:ascii="Arial" w:hAnsi="Arial"/>
                          <w:b/>
                          <w:i w:val="false"/>
                          <w:caps w:val="false"/>
                          <w:smallCaps w:val="false"/>
                          <w:color w:val="FE5000"/>
                          <w:sz w:val="24"/>
                        </w:rPr>
                        <w:t xml:space="preserve">, </w:t>
                      </w:r>
                      <w:r>
                        <w:rPr>
                          <w:rFonts w:ascii="Arial" w:hAnsi="Arial"/>
                          <w:b w:val="false"/>
                          <w:i w:val="false"/>
                          <w:caps w:val="false"/>
                          <w:smallCaps w:val="false"/>
                          <w:sz w:val="20"/>
                        </w:rPr>
                        <w:t>is a workshop (</w:t>
                      </w:r>
                      <w:r>
                        <w:rPr>
                          <w:rFonts w:ascii="Arial" w:hAnsi="Arial"/>
                          <w:b w:val="false"/>
                          <w:i/>
                          <w:caps w:val="false"/>
                          <w:smallCaps w:val="false"/>
                          <w:sz w:val="20"/>
                        </w:rPr>
                        <w:t>taller</w:t>
                      </w:r>
                      <w:r>
                        <w:rPr>
                          <w:rFonts w:ascii="Arial" w:hAnsi="Arial"/>
                          <w:b w:val="false"/>
                          <w:i w:val="false"/>
                          <w:caps w:val="false"/>
                          <w:smallCaps w:val="false"/>
                          <w:sz w:val="20"/>
                        </w:rPr>
                        <w:t>) program that has been running for two years and trained more than 4 thousand female entrepreneurs in leadership, sales strengthening, and financial management.</w:t>
                      </w:r>
                    </w:p>
                  </w:txbxContent>
                </v:textbox>
                <w10:wrap type="topAndBottom"/>
              </v:rect>
            </w:pict>
          </mc:Fallback>
        </mc:AlternateContent>
      </w:r>
      <w:r>
        <mc:AlternateContent>
          <mc:Choice Requires="wps">
            <w:drawing>
              <wp:anchor behindDoc="0" distT="0" distB="0" distL="0" distR="0" simplePos="0" locked="0" layoutInCell="1" allowOverlap="1" relativeHeight="236">
                <wp:simplePos x="0" y="0"/>
                <wp:positionH relativeFrom="column">
                  <wp:align>left</wp:align>
                </wp:positionH>
                <wp:positionV relativeFrom="line">
                  <wp:posOffset>635</wp:posOffset>
                </wp:positionV>
                <wp:extent cx="3110230" cy="6198235"/>
                <wp:effectExtent l="0" t="0" r="0" b="0"/>
                <wp:wrapTopAndBottom/>
                <wp:docPr id="134" name="Frame40"/>
                <a:graphic xmlns:a="http://schemas.openxmlformats.org/drawingml/2006/main">
                  <a:graphicData uri="http://schemas.microsoft.com/office/word/2010/wordprocessingShape">
                    <wps:wsp>
                      <wps:cNvSpPr txBox="1"/>
                      <wps:spPr>
                        <a:xfrm>
                          <a:off x="0" y="0"/>
                          <a:ext cx="3110230" cy="6198235"/>
                        </a:xfrm>
                        <a:prstGeom prst="rect"/>
                        <a:solidFill>
                          <a:srgbClr val="FFFFFF"/>
                        </a:solidFill>
                      </wps:spPr>
                      <wps:txbx>
                        <w:txbxContent>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Credicorp’s companies build products and programs that help to lift women's engagement with the financial system and contribute to closing gender gaps.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 xml:space="preserve">2.1.4.1. </w:t>
                            </w:r>
                            <w:r>
                              <w:rPr>
                                <w:rFonts w:ascii="Arial" w:hAnsi="Arial"/>
                                <w:b/>
                                <w:i/>
                                <w:caps w:val="false"/>
                                <w:smallCaps w:val="false"/>
                                <w:sz w:val="20"/>
                              </w:rPr>
                              <w:t>Crédito Mujer</w:t>
                            </w:r>
                            <w:r>
                              <w:rPr>
                                <w:rFonts w:ascii="Arial" w:hAnsi="Arial"/>
                                <w:b/>
                                <w:i w:val="false"/>
                                <w:caps w:val="false"/>
                                <w:smallCaps w:val="false"/>
                                <w:sz w:val="20"/>
                              </w:rPr>
                              <w:t xml:space="preserve"> and </w:t>
                            </w:r>
                            <w:r>
                              <w:rPr>
                                <w:rFonts w:ascii="Arial" w:hAnsi="Arial"/>
                                <w:b/>
                                <w:i/>
                                <w:caps w:val="false"/>
                                <w:smallCaps w:val="false"/>
                                <w:sz w:val="20"/>
                              </w:rPr>
                              <w:t>Mundo Mujer</w:t>
                            </w:r>
                          </w:p>
                          <w:p>
                            <w:pPr>
                              <w:pStyle w:val="TextBody"/>
                              <w:bidi w:val="0"/>
                              <w:spacing w:before="0" w:after="0"/>
                              <w:ind w:left="4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i/>
                                <w:caps w:val="false"/>
                                <w:smallCaps w:val="false"/>
                                <w:color w:val="FE5000"/>
                                <w:sz w:val="24"/>
                              </w:rPr>
                              <w:t xml:space="preserve">Crédito Mujer </w:t>
                            </w:r>
                            <w:r>
                              <w:rPr>
                                <w:rFonts w:ascii="Arial" w:hAnsi="Arial"/>
                                <w:b w:val="false"/>
                                <w:i w:val="false"/>
                                <w:caps w:val="false"/>
                                <w:smallCaps w:val="false"/>
                                <w:sz w:val="20"/>
                              </w:rPr>
                              <w:t>is our main loan (</w:t>
                            </w:r>
                            <w:r>
                              <w:rPr>
                                <w:rFonts w:ascii="Arial" w:hAnsi="Arial"/>
                                <w:b w:val="false"/>
                                <w:i/>
                                <w:caps w:val="false"/>
                                <w:smallCaps w:val="false"/>
                                <w:sz w:val="20"/>
                              </w:rPr>
                              <w:t>crédito</w:t>
                            </w:r>
                            <w:r>
                              <w:rPr>
                                <w:rFonts w:ascii="Arial" w:hAnsi="Arial"/>
                                <w:b w:val="false"/>
                                <w:i w:val="false"/>
                                <w:caps w:val="false"/>
                                <w:smallCaps w:val="false"/>
                                <w:sz w:val="20"/>
                              </w:rPr>
                              <w:t>) product targeting the needs of women (</w:t>
                            </w:r>
                            <w:r>
                              <w:rPr>
                                <w:rFonts w:ascii="Arial" w:hAnsi="Arial"/>
                                <w:b w:val="false"/>
                                <w:i/>
                                <w:caps w:val="false"/>
                                <w:smallCaps w:val="false"/>
                                <w:sz w:val="20"/>
                              </w:rPr>
                              <w:t>mujer</w:t>
                            </w:r>
                            <w:r>
                              <w:rPr>
                                <w:rFonts w:ascii="Arial" w:hAnsi="Arial"/>
                                <w:b w:val="false"/>
                                <w:i w:val="false"/>
                                <w:caps w:val="false"/>
                                <w:smallCaps w:val="false"/>
                                <w:sz w:val="20"/>
                              </w:rPr>
                              <w:t xml:space="preserve">) entrepreneurs. It is a response to </w:t>
                            </w:r>
                            <w:r>
                              <w:rPr>
                                <w:rFonts w:ascii="Arial" w:hAnsi="Arial"/>
                                <w:b w:val="false"/>
                                <w:i w:val="false"/>
                                <w:caps w:val="false"/>
                                <w:smallCaps w:val="false"/>
                                <w:color w:val="333333"/>
                                <w:sz w:val="20"/>
                              </w:rPr>
                              <w:t>the</w:t>
                            </w:r>
                            <w:r>
                              <w:rPr>
                                <w:rFonts w:ascii="Arial" w:hAnsi="Arial"/>
                                <w:b w:val="false"/>
                                <w:i w:val="false"/>
                                <w:caps w:val="false"/>
                                <w:smallCaps w:val="false"/>
                                <w:sz w:val="20"/>
                              </w:rPr>
                              <w:t xml:space="preserve"> limited access to financial services those women on small incomes face. The requirements do away with the need for a woman’s spouse to sign, thus empowering her and delivering greater financial freedom.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3143250" cy="2352675"/>
                                  <wp:effectExtent l="0" t="0" r="0" b="0"/>
                                  <wp:docPr id="13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65" descr=""/>
                                          <pic:cNvPicPr>
                                            <a:picLocks noChangeAspect="1" noChangeArrowheads="1"/>
                                          </pic:cNvPicPr>
                                        </pic:nvPicPr>
                                        <pic:blipFill>
                                          <a:blip r:embed="rId95"/>
                                          <a:stretch>
                                            <a:fillRect/>
                                          </a:stretch>
                                        </pic:blipFill>
                                        <pic:spPr bwMode="auto">
                                          <a:xfrm>
                                            <a:off x="0" y="0"/>
                                            <a:ext cx="3143250" cy="2352675"/>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The success of </w:t>
                            </w:r>
                            <w:r>
                              <w:rPr>
                                <w:rFonts w:ascii="Arial" w:hAnsi="Arial"/>
                                <w:b w:val="false"/>
                                <w:i/>
                                <w:caps w:val="false"/>
                                <w:smallCaps w:val="false"/>
                                <w:sz w:val="20"/>
                              </w:rPr>
                              <w:t>Crédito Mujer</w:t>
                            </w:r>
                            <w:r>
                              <w:rPr>
                                <w:rFonts w:ascii="Arial" w:hAnsi="Arial"/>
                                <w:b w:val="false"/>
                                <w:i w:val="false"/>
                                <w:caps w:val="false"/>
                                <w:smallCaps w:val="false"/>
                                <w:sz w:val="20"/>
                              </w:rPr>
                              <w:t xml:space="preserve"> has led us to create </w:t>
                            </w:r>
                            <w:r>
                              <w:rPr>
                                <w:rFonts w:ascii="Arial" w:hAnsi="Arial"/>
                                <w:b/>
                                <w:i/>
                                <w:caps w:val="false"/>
                                <w:smallCaps w:val="false"/>
                                <w:color w:val="FE5000"/>
                                <w:sz w:val="24"/>
                              </w:rPr>
                              <w:t>Mundo Mujer</w:t>
                            </w:r>
                            <w:r>
                              <w:rPr>
                                <w:rFonts w:ascii="Arial" w:hAnsi="Arial"/>
                                <w:b w:val="false"/>
                                <w:i w:val="false"/>
                                <w:caps w:val="false"/>
                                <w:smallCaps w:val="false"/>
                                <w:sz w:val="20"/>
                              </w:rPr>
                              <w:t>. This value proposition goes above and beyond a loan product by taking into account the broader world (</w:t>
                            </w:r>
                            <w:r>
                              <w:rPr>
                                <w:rFonts w:ascii="Arial" w:hAnsi="Arial"/>
                                <w:b w:val="false"/>
                                <w:i/>
                                <w:caps w:val="false"/>
                                <w:smallCaps w:val="false"/>
                                <w:sz w:val="20"/>
                              </w:rPr>
                              <w:t>mundo</w:t>
                            </w:r>
                            <w:r>
                              <w:rPr>
                                <w:rFonts w:ascii="Arial" w:hAnsi="Arial"/>
                                <w:b w:val="false"/>
                                <w:i w:val="false"/>
                                <w:caps w:val="false"/>
                                <w:smallCaps w:val="false"/>
                                <w:sz w:val="20"/>
                              </w:rPr>
                              <w:t>) of a female business owner and making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40"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12 The local currency amount is $17,677 million colombian pesos.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8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Credicorp’s companies build products and programs that help to lift women's engagement with the financial system and contribute to closing gender gaps.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 xml:space="preserve">2.1.4.1. </w:t>
                      </w:r>
                      <w:r>
                        <w:rPr>
                          <w:rFonts w:ascii="Arial" w:hAnsi="Arial"/>
                          <w:b/>
                          <w:i/>
                          <w:caps w:val="false"/>
                          <w:smallCaps w:val="false"/>
                          <w:sz w:val="20"/>
                        </w:rPr>
                        <w:t>Crédito Mujer</w:t>
                      </w:r>
                      <w:r>
                        <w:rPr>
                          <w:rFonts w:ascii="Arial" w:hAnsi="Arial"/>
                          <w:b/>
                          <w:i w:val="false"/>
                          <w:caps w:val="false"/>
                          <w:smallCaps w:val="false"/>
                          <w:sz w:val="20"/>
                        </w:rPr>
                        <w:t xml:space="preserve"> and </w:t>
                      </w:r>
                      <w:r>
                        <w:rPr>
                          <w:rFonts w:ascii="Arial" w:hAnsi="Arial"/>
                          <w:b/>
                          <w:i/>
                          <w:caps w:val="false"/>
                          <w:smallCaps w:val="false"/>
                          <w:sz w:val="20"/>
                        </w:rPr>
                        <w:t>Mundo Mujer</w:t>
                      </w:r>
                    </w:p>
                    <w:p>
                      <w:pPr>
                        <w:pStyle w:val="TextBody"/>
                        <w:bidi w:val="0"/>
                        <w:spacing w:before="0" w:after="0"/>
                        <w:ind w:left="4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i/>
                          <w:caps w:val="false"/>
                          <w:smallCaps w:val="false"/>
                          <w:color w:val="FE5000"/>
                          <w:sz w:val="24"/>
                        </w:rPr>
                        <w:t xml:space="preserve">Crédito Mujer </w:t>
                      </w:r>
                      <w:r>
                        <w:rPr>
                          <w:rFonts w:ascii="Arial" w:hAnsi="Arial"/>
                          <w:b w:val="false"/>
                          <w:i w:val="false"/>
                          <w:caps w:val="false"/>
                          <w:smallCaps w:val="false"/>
                          <w:sz w:val="20"/>
                        </w:rPr>
                        <w:t>is our main loan (</w:t>
                      </w:r>
                      <w:r>
                        <w:rPr>
                          <w:rFonts w:ascii="Arial" w:hAnsi="Arial"/>
                          <w:b w:val="false"/>
                          <w:i/>
                          <w:caps w:val="false"/>
                          <w:smallCaps w:val="false"/>
                          <w:sz w:val="20"/>
                        </w:rPr>
                        <w:t>crédito</w:t>
                      </w:r>
                      <w:r>
                        <w:rPr>
                          <w:rFonts w:ascii="Arial" w:hAnsi="Arial"/>
                          <w:b w:val="false"/>
                          <w:i w:val="false"/>
                          <w:caps w:val="false"/>
                          <w:smallCaps w:val="false"/>
                          <w:sz w:val="20"/>
                        </w:rPr>
                        <w:t>) product targeting the needs of women (</w:t>
                      </w:r>
                      <w:r>
                        <w:rPr>
                          <w:rFonts w:ascii="Arial" w:hAnsi="Arial"/>
                          <w:b w:val="false"/>
                          <w:i/>
                          <w:caps w:val="false"/>
                          <w:smallCaps w:val="false"/>
                          <w:sz w:val="20"/>
                        </w:rPr>
                        <w:t>mujer</w:t>
                      </w:r>
                      <w:r>
                        <w:rPr>
                          <w:rFonts w:ascii="Arial" w:hAnsi="Arial"/>
                          <w:b w:val="false"/>
                          <w:i w:val="false"/>
                          <w:caps w:val="false"/>
                          <w:smallCaps w:val="false"/>
                          <w:sz w:val="20"/>
                        </w:rPr>
                        <w:t xml:space="preserve">) entrepreneurs. It is a response to </w:t>
                      </w:r>
                      <w:r>
                        <w:rPr>
                          <w:rFonts w:ascii="Arial" w:hAnsi="Arial"/>
                          <w:b w:val="false"/>
                          <w:i w:val="false"/>
                          <w:caps w:val="false"/>
                          <w:smallCaps w:val="false"/>
                          <w:color w:val="333333"/>
                          <w:sz w:val="20"/>
                        </w:rPr>
                        <w:t>the</w:t>
                      </w:r>
                      <w:r>
                        <w:rPr>
                          <w:rFonts w:ascii="Arial" w:hAnsi="Arial"/>
                          <w:b w:val="false"/>
                          <w:i w:val="false"/>
                          <w:caps w:val="false"/>
                          <w:smallCaps w:val="false"/>
                          <w:sz w:val="20"/>
                        </w:rPr>
                        <w:t xml:space="preserve"> limited access to financial services those women on small incomes face. The requirements do away with the need for a woman’s spouse to sign, thus empowering her and delivering greater financial freedom.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3143250" cy="2352675"/>
                            <wp:effectExtent l="0" t="0" r="0" b="0"/>
                            <wp:docPr id="136"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65" descr=""/>
                                    <pic:cNvPicPr>
                                      <a:picLocks noChangeAspect="1" noChangeArrowheads="1"/>
                                    </pic:cNvPicPr>
                                  </pic:nvPicPr>
                                  <pic:blipFill>
                                    <a:blip r:embed="rId96"/>
                                    <a:stretch>
                                      <a:fillRect/>
                                    </a:stretch>
                                  </pic:blipFill>
                                  <pic:spPr bwMode="auto">
                                    <a:xfrm>
                                      <a:off x="0" y="0"/>
                                      <a:ext cx="3143250" cy="2352675"/>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The success of </w:t>
                      </w:r>
                      <w:r>
                        <w:rPr>
                          <w:rFonts w:ascii="Arial" w:hAnsi="Arial"/>
                          <w:b w:val="false"/>
                          <w:i/>
                          <w:caps w:val="false"/>
                          <w:smallCaps w:val="false"/>
                          <w:sz w:val="20"/>
                        </w:rPr>
                        <w:t>Crédito Mujer</w:t>
                      </w:r>
                      <w:r>
                        <w:rPr>
                          <w:rFonts w:ascii="Arial" w:hAnsi="Arial"/>
                          <w:b w:val="false"/>
                          <w:i w:val="false"/>
                          <w:caps w:val="false"/>
                          <w:smallCaps w:val="false"/>
                          <w:sz w:val="20"/>
                        </w:rPr>
                        <w:t xml:space="preserve"> has led us to create </w:t>
                      </w:r>
                      <w:r>
                        <w:rPr>
                          <w:rFonts w:ascii="Arial" w:hAnsi="Arial"/>
                          <w:b/>
                          <w:i/>
                          <w:caps w:val="false"/>
                          <w:smallCaps w:val="false"/>
                          <w:color w:val="FE5000"/>
                          <w:sz w:val="24"/>
                        </w:rPr>
                        <w:t>Mundo Mujer</w:t>
                      </w:r>
                      <w:r>
                        <w:rPr>
                          <w:rFonts w:ascii="Arial" w:hAnsi="Arial"/>
                          <w:b w:val="false"/>
                          <w:i w:val="false"/>
                          <w:caps w:val="false"/>
                          <w:smallCaps w:val="false"/>
                          <w:sz w:val="20"/>
                        </w:rPr>
                        <w:t>. This value proposition goes above and beyond a loan product by taking into account the broader world (</w:t>
                      </w:r>
                      <w:r>
                        <w:rPr>
                          <w:rFonts w:ascii="Arial" w:hAnsi="Arial"/>
                          <w:b w:val="false"/>
                          <w:i/>
                          <w:caps w:val="false"/>
                          <w:smallCaps w:val="false"/>
                          <w:sz w:val="20"/>
                        </w:rPr>
                        <w:t>mundo</w:t>
                      </w:r>
                      <w:r>
                        <w:rPr>
                          <w:rFonts w:ascii="Arial" w:hAnsi="Arial"/>
                          <w:b w:val="false"/>
                          <w:i w:val="false"/>
                          <w:caps w:val="false"/>
                          <w:smallCaps w:val="false"/>
                          <w:sz w:val="20"/>
                        </w:rPr>
                        <w:t>) of a female business owner and making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40"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12 The local currency amount is $17,677 million colombian pesos.</w:t>
                      </w:r>
                    </w:p>
                  </w:txbxContent>
                </v:textbox>
                <w10:wrap type="topAndBottom"/>
              </v:rect>
            </w:pict>
          </mc:Fallback>
        </mc:AlternateConten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23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266">
                <wp:simplePos x="0" y="0"/>
                <wp:positionH relativeFrom="column">
                  <wp:align>left</wp:align>
                </wp:positionH>
                <wp:positionV relativeFrom="line">
                  <wp:posOffset>635</wp:posOffset>
                </wp:positionV>
                <wp:extent cx="3110230" cy="6084570"/>
                <wp:effectExtent l="0" t="0" r="0" b="0"/>
                <wp:wrapTopAndBottom/>
                <wp:docPr id="137" name="Frame42"/>
                <a:graphic xmlns:a="http://schemas.openxmlformats.org/drawingml/2006/main">
                  <a:graphicData uri="http://schemas.microsoft.com/office/word/2010/wordprocessingShape">
                    <wps:wsp>
                      <wps:cNvSpPr txBox="1"/>
                      <wps:spPr>
                        <a:xfrm>
                          <a:off x="0" y="0"/>
                          <a:ext cx="3110230" cy="6084570"/>
                        </a:xfrm>
                        <a:prstGeom prst="rect"/>
                        <a:solidFill>
                          <a:srgbClr val="FFFFFF"/>
                        </a:solidFill>
                      </wps:spPr>
                      <wps:txbx>
                        <w:txbxContent>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2.1.3.2. Digitization and data contribute to closing gaps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 xml:space="preserve">Our </w:t>
                            </w:r>
                            <w:r>
                              <w:rPr>
                                <w:rFonts w:ascii="Arial" w:hAnsi="Arial"/>
                                <w:b/>
                                <w:i w:val="false"/>
                                <w:caps w:val="false"/>
                                <w:smallCaps w:val="false"/>
                                <w:color w:val="FE5000"/>
                                <w:sz w:val="20"/>
                              </w:rPr>
                              <w:t>Yape digital wallet</w:t>
                            </w:r>
                            <w:r>
                              <w:rPr>
                                <w:rFonts w:ascii="Arial" w:hAnsi="Arial"/>
                                <w:b w:val="false"/>
                                <w:i w:val="false"/>
                                <w:caps w:val="false"/>
                                <w:smallCaps w:val="false"/>
                                <w:sz w:val="20"/>
                              </w:rPr>
                              <w:t xml:space="preserve"> is a powerful tool for women’s financial inclusion: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7334" w:val="clear"/>
                              <w:tblLayout w:type="fixed"/>
                              <w:tblCellMar>
                                <w:top w:w="0" w:type="dxa"/>
                                <w:left w:w="0" w:type="dxa"/>
                                <w:bottom w:w="0" w:type="dxa"/>
                                <w:right w:w="0" w:type="dxa"/>
                              </w:tblCellMar>
                            </w:tblPr>
                            <w:tblGrid>
                              <w:gridCol w:w="10205"/>
                            </w:tblGrid>
                            <w:tr>
                              <w:trPr/>
                              <w:tc>
                                <w:tcPr>
                                  <w:tcW w:w="10205" w:type="dxa"/>
                                  <w:tcBorders/>
                                  <w:shd w:fill="FF7334" w:val="clear"/>
                                  <w:vAlign w:val="center"/>
                                </w:tcPr>
                                <w:p>
                                  <w:pPr>
                                    <w:pStyle w:val="TableContents"/>
                                    <w:bidi w:val="0"/>
                                    <w:spacing w:before="0" w:after="283"/>
                                    <w:jc w:val="left"/>
                                    <w:rPr>
                                      <w:rFonts w:ascii="Arial" w:hAnsi="Arial"/>
                                      <w:color w:val="FFFFFF"/>
                                      <w:sz w:val="20"/>
                                    </w:rPr>
                                  </w:pPr>
                                  <w:r>
                                    <w:rPr>
                                      <w:rFonts w:ascii="Arial" w:hAnsi="Arial"/>
                                      <w:color w:val="FFFFFF"/>
                                      <w:sz w:val="20"/>
                                    </w:rPr>
                                    <w:t>Upon analyzing information from Yaperas, we discovered that women exhibit a much lower takeup of credit than men. We studied the causes and identified numerous adoption barriers, such as lack of trust. The need for a different value proposition was clear.</w:t>
                                  </w:r>
                                </w:p>
                              </w:tc>
                            </w:tr>
                            <w:tr>
                              <w:trPr/>
                              <w:tc>
                                <w:tcPr>
                                  <w:tcW w:w="10205" w:type="dxa"/>
                                  <w:tcBorders/>
                                  <w:shd w:fill="FF7334" w:val="clear"/>
                                  <w:vAlign w:val="center"/>
                                </w:tcPr>
                                <w:p>
                                  <w:pPr>
                                    <w:pStyle w:val="TableContents"/>
                                    <w:bidi w:val="0"/>
                                    <w:spacing w:before="0" w:after="283"/>
                                    <w:jc w:val="left"/>
                                    <w:rPr>
                                      <w:rFonts w:ascii="Arial" w:hAnsi="Arial"/>
                                      <w:color w:val="FFFFFF"/>
                                      <w:sz w:val="20"/>
                                    </w:rPr>
                                  </w:pPr>
                                  <w:r>
                                    <w:rPr>
                                      <w:rFonts w:ascii="Arial" w:hAnsi="Arial"/>
                                      <w:color w:val="FFFFFF"/>
                                      <w:sz w:val="20"/>
                                    </w:rPr>
                                    <w:t>Thus, Yape developed a strategy to position credit specifically as a tool for growth by drawing on testimonials, speaking in a more urban dialect (rather than the language of banking), and delivering simple messages on popular channels (TikTok, Instagram). The outcome was improved female uptake,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Taking this same approach, BCP’s Consumer Studies team created the Equity Roundtable, a space for dialog and participation that provided a voice for a diverse range of women around the country, with the aim of co-creating initiatives based on their financial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2.1.4. Simplicity, transparency, and the client experience</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As trust is the foundation for constructing solid and long-term relationships with our clients, Credicorp aims to build solutions, communications, and channels that are simple, transparent, and respond to user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 xml:space="preserve">2.1.4.1. Case study </w:t>
                            </w:r>
                            <w:r>
                              <w:rPr>
                                <w:rFonts w:ascii="Arial" w:hAnsi="Arial"/>
                                <w:b/>
                                <w:i w:val="false"/>
                                <w:caps w:val="false"/>
                                <w:smallCaps w:val="false"/>
                                <w:color w:val="FE5000"/>
                                <w:sz w:val="20"/>
                              </w:rPr>
                              <w:t>Prima AFP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Having identified the specific needs of its members, Prima AFP launched an improved, more straightforward, and easier-to-read pension entitlement statement (Mi Estado Prima) in July 2022. In 2023, these benefits continue to materialise, reflected in an increase in openings and number of sessions, as well as high levels of customer perceptions of understanding and usefulness.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79.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2.1.3.2. Digitization and data contribute to closing gaps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 xml:space="preserve">Our </w:t>
                      </w:r>
                      <w:r>
                        <w:rPr>
                          <w:rFonts w:ascii="Arial" w:hAnsi="Arial"/>
                          <w:b/>
                          <w:i w:val="false"/>
                          <w:caps w:val="false"/>
                          <w:smallCaps w:val="false"/>
                          <w:color w:val="FE5000"/>
                          <w:sz w:val="20"/>
                        </w:rPr>
                        <w:t>Yape digital wallet</w:t>
                      </w:r>
                      <w:r>
                        <w:rPr>
                          <w:rFonts w:ascii="Arial" w:hAnsi="Arial"/>
                          <w:b w:val="false"/>
                          <w:i w:val="false"/>
                          <w:caps w:val="false"/>
                          <w:smallCaps w:val="false"/>
                          <w:sz w:val="20"/>
                        </w:rPr>
                        <w:t xml:space="preserve"> is a powerful tool for women’s financial inclusion: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7334" w:val="clear"/>
                        <w:tblLayout w:type="fixed"/>
                        <w:tblCellMar>
                          <w:top w:w="0" w:type="dxa"/>
                          <w:left w:w="0" w:type="dxa"/>
                          <w:bottom w:w="0" w:type="dxa"/>
                          <w:right w:w="0" w:type="dxa"/>
                        </w:tblCellMar>
                      </w:tblPr>
                      <w:tblGrid>
                        <w:gridCol w:w="10205"/>
                      </w:tblGrid>
                      <w:tr>
                        <w:trPr/>
                        <w:tc>
                          <w:tcPr>
                            <w:tcW w:w="10205" w:type="dxa"/>
                            <w:tcBorders/>
                            <w:shd w:fill="FF7334" w:val="clear"/>
                            <w:vAlign w:val="center"/>
                          </w:tcPr>
                          <w:p>
                            <w:pPr>
                              <w:pStyle w:val="TableContents"/>
                              <w:bidi w:val="0"/>
                              <w:spacing w:before="0" w:after="283"/>
                              <w:jc w:val="left"/>
                              <w:rPr>
                                <w:rFonts w:ascii="Arial" w:hAnsi="Arial"/>
                                <w:color w:val="FFFFFF"/>
                                <w:sz w:val="20"/>
                              </w:rPr>
                            </w:pPr>
                            <w:r>
                              <w:rPr>
                                <w:rFonts w:ascii="Arial" w:hAnsi="Arial"/>
                                <w:color w:val="FFFFFF"/>
                                <w:sz w:val="20"/>
                              </w:rPr>
                              <w:t>Upon analyzing information from Yaperas, we discovered that women exhibit a much lower takeup of credit than men. We studied the causes and identified numerous adoption barriers, such as lack of trust. The need for a different value proposition was clear.</w:t>
                            </w:r>
                          </w:p>
                        </w:tc>
                      </w:tr>
                      <w:tr>
                        <w:trPr/>
                        <w:tc>
                          <w:tcPr>
                            <w:tcW w:w="10205" w:type="dxa"/>
                            <w:tcBorders/>
                            <w:shd w:fill="FF7334" w:val="clear"/>
                            <w:vAlign w:val="center"/>
                          </w:tcPr>
                          <w:p>
                            <w:pPr>
                              <w:pStyle w:val="TableContents"/>
                              <w:bidi w:val="0"/>
                              <w:spacing w:before="0" w:after="283"/>
                              <w:jc w:val="left"/>
                              <w:rPr>
                                <w:rFonts w:ascii="Arial" w:hAnsi="Arial"/>
                                <w:color w:val="FFFFFF"/>
                                <w:sz w:val="20"/>
                              </w:rPr>
                            </w:pPr>
                            <w:r>
                              <w:rPr>
                                <w:rFonts w:ascii="Arial" w:hAnsi="Arial"/>
                                <w:color w:val="FFFFFF"/>
                                <w:sz w:val="20"/>
                              </w:rPr>
                              <w:t>Thus, Yape developed a strategy to position credit specifically as a tool for growth by drawing on testimonials, speaking in a more urban dialect (rather than the language of banking), and delivering simple messages on popular channels (TikTok, Instagram). The outcome was improved female uptake,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Taking this same approach, BCP’s Consumer Studies team created the Equity Roundtable, a space for dialog and participation that provided a voice for a diverse range of women around the country, with the aim of co-creating initiatives based on their financial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2.1.4. Simplicity, transparency, and the client experience</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As trust is the foundation for constructing solid and long-term relationships with our clients, Credicorp aims to build solutions, communications, and channels that are simple, transparent, and respond to user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 xml:space="preserve">2.1.4.1. Case study </w:t>
                      </w:r>
                      <w:r>
                        <w:rPr>
                          <w:rFonts w:ascii="Arial" w:hAnsi="Arial"/>
                          <w:b/>
                          <w:i w:val="false"/>
                          <w:caps w:val="false"/>
                          <w:smallCaps w:val="false"/>
                          <w:color w:val="FE5000"/>
                          <w:sz w:val="20"/>
                        </w:rPr>
                        <w:t>Prima AFP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Having identified the specific needs of its members, Prima AFP launched an improved, more straightforward, and easier-to-read pension entitlement statement (Mi Estado Prima) in July 2022. In 2023, these benefits continue to materialise, reflected in an increase in openings and number of sessions, as well as high levels of customer perceptions of understanding and usefulness.</w:t>
                      </w:r>
                    </w:p>
                  </w:txbxContent>
                </v:textbox>
                <w10:wrap type="topAndBottom"/>
              </v:rect>
            </w:pict>
          </mc:Fallback>
        </mc:AlternateContent>
      </w:r>
      <w:r>
        <mc:AlternateContent>
          <mc:Choice Requires="wps">
            <w:drawing>
              <wp:anchor behindDoc="0" distT="0" distB="0" distL="0" distR="0" simplePos="0" locked="0" layoutInCell="1" allowOverlap="1" relativeHeight="267">
                <wp:simplePos x="0" y="0"/>
                <wp:positionH relativeFrom="column">
                  <wp:align>right</wp:align>
                </wp:positionH>
                <wp:positionV relativeFrom="line">
                  <wp:posOffset>635</wp:posOffset>
                </wp:positionV>
                <wp:extent cx="3110230" cy="6732270"/>
                <wp:effectExtent l="0" t="0" r="0" b="0"/>
                <wp:wrapTopAndBottom/>
                <wp:docPr id="138" name="Frame43"/>
                <a:graphic xmlns:a="http://schemas.openxmlformats.org/drawingml/2006/main">
                  <a:graphicData uri="http://schemas.microsoft.com/office/word/2010/wordprocessingShape">
                    <wps:wsp>
                      <wps:cNvSpPr txBox="1"/>
                      <wps:spPr>
                        <a:xfrm>
                          <a:off x="0" y="0"/>
                          <a:ext cx="3110230" cy="6732270"/>
                        </a:xfrm>
                        <a:prstGeom prst="rect"/>
                        <a:solidFill>
                          <a:srgbClr val="FFFFFF"/>
                        </a:solidFill>
                      </wps:spPr>
                      <wps:txbx>
                        <w:txbxContent>
                          <w:tbl>
                            <w:tblPr>
                              <w:tblW w:w="8329" w:type="dxa"/>
                              <w:jc w:val="left"/>
                              <w:tblInd w:w="-10" w:type="dxa"/>
                              <w:tblLayout w:type="fixed"/>
                              <w:tblCellMar>
                                <w:top w:w="40" w:type="dxa"/>
                                <w:left w:w="28" w:type="dxa"/>
                                <w:bottom w:w="40" w:type="dxa"/>
                                <w:right w:w="0" w:type="dxa"/>
                              </w:tblCellMar>
                            </w:tblPr>
                            <w:tblGrid>
                              <w:gridCol w:w="6497"/>
                              <w:gridCol w:w="833"/>
                              <w:gridCol w:w="999"/>
                            </w:tblGrid>
                            <w:tr>
                              <w:trPr/>
                              <w:tc>
                                <w:tcPr>
                                  <w:tcW w:w="6497" w:type="dxa"/>
                                  <w:tcBorders>
                                    <w:top w:val="single" w:sz="8" w:space="0" w:color="000000"/>
                                    <w:left w:val="single" w:sz="8" w:space="0" w:color="000000"/>
                                    <w:bottom w:val="single" w:sz="8" w:space="0" w:color="000000"/>
                                  </w:tcBorders>
                                  <w:shd w:fill="D9D9D9"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top w:val="single" w:sz="8" w:space="0" w:color="000000"/>
                                    <w:left w:val="single" w:sz="8" w:space="0" w:color="000000"/>
                                    <w:bottom w:val="single" w:sz="8" w:space="0" w:color="000000"/>
                                  </w:tcBorders>
                                  <w:shd w:fill="D9D9D9" w:val="clear"/>
                                  <w:vAlign w:val="center"/>
                                </w:tcPr>
                                <w:p>
                                  <w:pPr>
                                    <w:pStyle w:val="TableContents"/>
                                    <w:bidi w:val="0"/>
                                    <w:spacing w:before="0" w:after="283"/>
                                    <w:jc w:val="center"/>
                                    <w:rPr>
                                      <w:rFonts w:ascii="Arial" w:hAnsi="Arial"/>
                                      <w:b/>
                                      <w:i w:val="false"/>
                                      <w:caps w:val="false"/>
                                      <w:smallCaps w:val="false"/>
                                      <w:sz w:val="20"/>
                                    </w:rPr>
                                  </w:pPr>
                                  <w:r>
                                    <w:rPr>
                                      <w:rFonts w:ascii="Arial" w:hAnsi="Arial"/>
                                      <w:b/>
                                      <w:i w:val="false"/>
                                      <w:caps w:val="false"/>
                                      <w:smallCaps w:val="false"/>
                                      <w:sz w:val="20"/>
                                    </w:rPr>
                                    <w:t>2022*</w:t>
                                  </w:r>
                                </w:p>
                              </w:tc>
                              <w:tc>
                                <w:tcPr>
                                  <w:tcW w:w="999" w:type="dxa"/>
                                  <w:tcBorders>
                                    <w:top w:val="single" w:sz="8" w:space="0" w:color="000000"/>
                                    <w:left w:val="single" w:sz="8" w:space="0" w:color="000000"/>
                                    <w:bottom w:val="single" w:sz="8" w:space="0" w:color="000000"/>
                                    <w:right w:val="single" w:sz="8" w:space="0" w:color="000000"/>
                                  </w:tcBorders>
                                  <w:shd w:fill="D9D9D9" w:val="clear"/>
                                  <w:tcMar>
                                    <w:right w:w="28" w:type="dxa"/>
                                  </w:tcMar>
                                  <w:vAlign w:val="center"/>
                                </w:tcPr>
                                <w:p>
                                  <w:pPr>
                                    <w:pStyle w:val="TableContents"/>
                                    <w:bidi w:val="0"/>
                                    <w:spacing w:before="0" w:after="283"/>
                                    <w:jc w:val="center"/>
                                    <w:rPr>
                                      <w:rFonts w:ascii="Arial" w:hAnsi="Arial"/>
                                      <w:b/>
                                      <w:i w:val="false"/>
                                      <w:caps w:val="false"/>
                                      <w:smallCaps w:val="false"/>
                                      <w:sz w:val="20"/>
                                    </w:rPr>
                                  </w:pPr>
                                  <w:r>
                                    <w:rPr>
                                      <w:rFonts w:ascii="Arial" w:hAnsi="Arial"/>
                                      <w:b/>
                                      <w:i w:val="false"/>
                                      <w:caps w:val="false"/>
                                      <w:smallCaps w:val="false"/>
                                      <w:sz w:val="20"/>
                                    </w:rPr>
                                    <w:t>2023</w:t>
                                  </w:r>
                                </w:p>
                              </w:tc>
                            </w:tr>
                            <w:tr>
                              <w:trPr/>
                              <w:tc>
                                <w:tcPr>
                                  <w:tcW w:w="6497" w:type="dxa"/>
                                  <w:tcBorders>
                                    <w:left w:val="single" w:sz="8" w:space="0" w:color="000000"/>
                                    <w:bottom w:val="single" w:sz="8" w:space="0" w:color="000000"/>
                                  </w:tcBorders>
                                  <w:tcMar>
                                    <w:top w:w="0" w:type="dxa"/>
                                    <w:left w:w="6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Average visits per month Mi Estado Prima (Analytics)</w:t>
                                  </w:r>
                                </w:p>
                              </w:tc>
                              <w:tc>
                                <w:tcPr>
                                  <w:tcW w:w="833"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94,286</w:t>
                                  </w:r>
                                </w:p>
                              </w:tc>
                              <w:tc>
                                <w:tcPr>
                                  <w:tcW w:w="999"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138,683</w:t>
                                  </w:r>
                                </w:p>
                              </w:tc>
                            </w:tr>
                            <w:tr>
                              <w:trPr/>
                              <w:tc>
                                <w:tcPr>
                                  <w:tcW w:w="6497" w:type="dxa"/>
                                  <w:tcBorders>
                                    <w:left w:val="single" w:sz="8" w:space="0" w:color="000000"/>
                                    <w:bottom w:val="single" w:sz="8" w:space="0" w:color="000000"/>
                                  </w:tcBorders>
                                  <w:tcMar>
                                    <w:top w:w="0" w:type="dxa"/>
                                    <w:left w:w="6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 claims for missing or erroneous information</w:t>
                                  </w:r>
                                </w:p>
                              </w:tc>
                              <w:tc>
                                <w:tcPr>
                                  <w:tcW w:w="833"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67</w:t>
                                  </w:r>
                                </w:p>
                              </w:tc>
                              <w:tc>
                                <w:tcPr>
                                  <w:tcW w:w="999"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24*</w:t>
                                  </w:r>
                                </w:p>
                              </w:tc>
                            </w:tr>
                            <w:tr>
                              <w:trPr/>
                              <w:tc>
                                <w:tcPr>
                                  <w:tcW w:w="6497" w:type="dxa"/>
                                  <w:tcBorders>
                                    <w:left w:val="single" w:sz="8" w:space="0" w:color="000000"/>
                                    <w:bottom w:val="single" w:sz="8" w:space="0" w:color="000000"/>
                                  </w:tcBorders>
                                  <w:tcMar>
                                    <w:top w:w="0" w:type="dxa"/>
                                    <w:left w:w="6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Overall satisfaction T2B</w:t>
                                  </w:r>
                                </w:p>
                              </w:tc>
                              <w:tc>
                                <w:tcPr>
                                  <w:tcW w:w="833"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66%</w:t>
                                  </w:r>
                                </w:p>
                              </w:tc>
                              <w:tc>
                                <w:tcPr>
                                  <w:tcW w:w="999"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74%</w:t>
                                  </w:r>
                                </w:p>
                              </w:tc>
                            </w:tr>
                            <w:tr>
                              <w:trPr/>
                              <w:tc>
                                <w:tcPr>
                                  <w:tcW w:w="6497" w:type="dxa"/>
                                  <w:tcBorders>
                                    <w:left w:val="single" w:sz="8" w:space="0" w:color="000000"/>
                                    <w:bottom w:val="single" w:sz="8" w:space="0" w:color="000000"/>
                                  </w:tcBorders>
                                  <w:tcMar>
                                    <w:top w:w="0" w:type="dxa"/>
                                    <w:left w:w="6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Easier to understand T2B</w:t>
                                  </w:r>
                                </w:p>
                              </w:tc>
                              <w:tc>
                                <w:tcPr>
                                  <w:tcW w:w="833"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72%</w:t>
                                  </w:r>
                                </w:p>
                              </w:tc>
                              <w:tc>
                                <w:tcPr>
                                  <w:tcW w:w="999"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80%</w:t>
                                  </w:r>
                                </w:p>
                              </w:tc>
                            </w:tr>
                            <w:tr>
                              <w:trPr/>
                              <w:tc>
                                <w:tcPr>
                                  <w:tcW w:w="6497" w:type="dxa"/>
                                  <w:tcBorders>
                                    <w:left w:val="single" w:sz="8" w:space="0" w:color="000000"/>
                                    <w:bottom w:val="single" w:sz="8" w:space="0" w:color="000000"/>
                                  </w:tcBorders>
                                  <w:tcMar>
                                    <w:top w:w="0" w:type="dxa"/>
                                    <w:left w:w="6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More useful information T2B</w:t>
                                  </w:r>
                                </w:p>
                              </w:tc>
                              <w:tc>
                                <w:tcPr>
                                  <w:tcW w:w="833"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72%</w:t>
                                  </w:r>
                                </w:p>
                              </w:tc>
                              <w:tc>
                                <w:tcPr>
                                  <w:tcW w:w="999"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80%</w:t>
                                  </w:r>
                                </w:p>
                              </w:tc>
                            </w:tr>
                            <w:tr>
                              <w:trPr/>
                              <w:tc>
                                <w:tcPr>
                                  <w:tcW w:w="8329" w:type="dxa"/>
                                  <w:gridSpan w:val="3"/>
                                  <w:tcBorders>
                                    <w:left w:val="single" w:sz="8" w:space="0" w:color="000000"/>
                                    <w:bottom w:val="single" w:sz="8" w:space="0" w:color="000000"/>
                                    <w:right w:val="single" w:sz="8" w:space="0" w:color="000000"/>
                                  </w:tcBorders>
                                  <w:tcMar>
                                    <w:top w:w="0" w:type="dxa"/>
                                    <w:left w:w="60" w:type="dxa"/>
                                    <w:right w:w="28"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*Sent from July 2022 and December 2022 onwards in the same e-mail with the standard EECC.</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2.1.4.2. Case study: Complaint management in BCP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BCP has implemented several initiatives to speed up client complaint response times: 1) we provide tools to front office staff to deliver immediate solutions; 2) we have an expert back office team that analyzes products and case histories to deliver comprehensive solutions; and 3) we deploy specialist teams to resolve the most complex case histories. The result has been a substantial impact on the complaints journey NPS:</w:t>
                            </w:r>
                          </w:p>
                          <w:p>
                            <w:pPr>
                              <w:pStyle w:val="TextBody"/>
                              <w:bidi w:val="0"/>
                              <w:spacing w:before="0" w:after="0"/>
                              <w:ind w:left="0" w:right="0" w:hanging="0"/>
                              <w:jc w:val="both"/>
                              <w:rPr>
                                <w:caps w:val="false"/>
                                <w:smallCaps w:val="false"/>
                              </w:rPr>
                            </w:pPr>
                            <w:r>
                              <w:rPr>
                                <w:caps w:val="false"/>
                                <w:smallCaps w:val="false"/>
                              </w:rPr>
                              <w:t> </w:t>
                            </w:r>
                          </w:p>
                          <w:tbl>
                            <w:tblPr>
                              <w:tblW w:w="5935" w:type="dxa"/>
                              <w:jc w:val="center"/>
                              <w:tblInd w:w="0" w:type="dxa"/>
                              <w:tblLayout w:type="fixed"/>
                              <w:tblCellMar>
                                <w:top w:w="100" w:type="dxa"/>
                                <w:left w:w="100" w:type="dxa"/>
                                <w:bottom w:w="100" w:type="dxa"/>
                                <w:right w:w="100" w:type="dxa"/>
                              </w:tblCellMar>
                            </w:tblPr>
                            <w:tblGrid>
                              <w:gridCol w:w="4400"/>
                              <w:gridCol w:w="1535"/>
                            </w:tblGrid>
                            <w:tr>
                              <w:trPr/>
                              <w:tc>
                                <w:tcPr>
                                  <w:tcW w:w="4400" w:type="dxa"/>
                                  <w:tcBorders>
                                    <w:top w:val="single" w:sz="8" w:space="0" w:color="FE4F00"/>
                                    <w:left w:val="single" w:sz="8" w:space="0" w:color="FE4F00"/>
                                    <w:bottom w:val="single" w:sz="8" w:space="0" w:color="FE4F00"/>
                                    <w:right w:val="single" w:sz="8" w:space="0" w:color="FE4F00"/>
                                  </w:tcBorders>
                                  <w:shd w:fill="FF7334" w:val="clear"/>
                                  <w:vAlign w:val="center"/>
                                </w:tcPr>
                                <w:p>
                                  <w:pPr>
                                    <w:pStyle w:val="TableContents"/>
                                    <w:bidi w:val="0"/>
                                    <w:jc w:val="left"/>
                                    <w:rPr>
                                      <w:rFonts w:ascii="Arial" w:hAnsi="Arial"/>
                                      <w:color w:val="FFFFFF"/>
                                      <w:sz w:val="20"/>
                                    </w:rPr>
                                  </w:pPr>
                                  <w:r>
                                    <w:rPr>
                                      <w:rFonts w:ascii="Arial" w:hAnsi="Arial"/>
                                      <w:b/>
                                      <w:color w:val="FFFFFF"/>
                                      <w:sz w:val="20"/>
                                    </w:rPr>
                                    <w:t xml:space="preserve">80% </w:t>
                                  </w:r>
                                  <w:r>
                                    <w:rPr>
                                      <w:rFonts w:ascii="Arial" w:hAnsi="Arial"/>
                                      <w:color w:val="FFFFFF"/>
                                      <w:sz w:val="20"/>
                                    </w:rPr>
                                    <w:t>of complaints and dectmands serviced within</w:t>
                                  </w:r>
                                </w:p>
                                <w:p>
                                  <w:pPr>
                                    <w:pStyle w:val="TableContents"/>
                                    <w:bidi w:val="0"/>
                                    <w:jc w:val="left"/>
                                    <w:rPr>
                                      <w:rFonts w:ascii="Arial" w:hAnsi="Arial"/>
                                      <w:b/>
                                      <w:color w:val="FFFFFF"/>
                                      <w:sz w:val="20"/>
                                    </w:rPr>
                                  </w:pPr>
                                  <w:r>
                                    <w:rPr>
                                      <w:rFonts w:ascii="Arial" w:hAnsi="Arial"/>
                                      <w:b/>
                                      <w:color w:val="FFFFFF"/>
                                      <w:sz w:val="20"/>
                                    </w:rPr>
                                    <w:t>48 hours</w:t>
                                  </w:r>
                                </w:p>
                                <w:p>
                                  <w:pPr>
                                    <w:pStyle w:val="TableContents"/>
                                    <w:bidi w:val="0"/>
                                    <w:spacing w:before="0" w:after="283"/>
                                    <w:jc w:val="left"/>
                                    <w:rPr>
                                      <w:rFonts w:ascii="Arial" w:hAnsi="Arial"/>
                                      <w:color w:val="FFFFFF"/>
                                      <w:sz w:val="20"/>
                                    </w:rPr>
                                  </w:pPr>
                                  <w:r>
                                    <w:rPr>
                                      <w:rFonts w:ascii="Arial" w:hAnsi="Arial"/>
                                      <w:color w:val="FFFFFF"/>
                                      <w:sz w:val="20"/>
                                    </w:rPr>
                                    <w:t>(the regulations stipulate up to 15 working days)</w:t>
                                  </w:r>
                                </w:p>
                              </w:tc>
                              <w:tc>
                                <w:tcPr>
                                  <w:tcW w:w="1535" w:type="dxa"/>
                                  <w:tcBorders>
                                    <w:top w:val="single" w:sz="8" w:space="0" w:color="FE4F00"/>
                                    <w:bottom w:val="single" w:sz="8" w:space="0" w:color="FE4F00"/>
                                    <w:right w:val="single" w:sz="8" w:space="0" w:color="FE4F00"/>
                                  </w:tcBorders>
                                  <w:tcMar>
                                    <w:left w:w="0" w:type="dxa"/>
                                  </w:tcMar>
                                  <w:vAlign w:val="center"/>
                                </w:tcPr>
                                <w:p>
                                  <w:pPr>
                                    <w:pStyle w:val="TableContents"/>
                                    <w:bidi w:val="0"/>
                                    <w:jc w:val="center"/>
                                    <w:rPr>
                                      <w:rFonts w:ascii="Arial" w:hAnsi="Arial"/>
                                      <w:b/>
                                      <w:color w:val="FE4F00"/>
                                      <w:sz w:val="20"/>
                                    </w:rPr>
                                  </w:pPr>
                                  <w:r>
                                    <w:rPr>
                                      <w:rFonts w:ascii="Arial" w:hAnsi="Arial"/>
                                      <w:b/>
                                      <w:color w:val="FE4F00"/>
                                      <w:sz w:val="20"/>
                                    </w:rPr>
                                    <w:t>NPS complaints</w:t>
                                  </w:r>
                                </w:p>
                                <w:p>
                                  <w:pPr>
                                    <w:pStyle w:val="TableContents"/>
                                    <w:bidi w:val="0"/>
                                    <w:jc w:val="center"/>
                                    <w:rPr/>
                                  </w:pPr>
                                  <w:r>
                                    <w:rPr/>
                                    <w:t> </w:t>
                                  </w:r>
                                </w:p>
                                <w:p>
                                  <w:pPr>
                                    <w:pStyle w:val="TableContents"/>
                                    <w:bidi w:val="0"/>
                                    <w:jc w:val="center"/>
                                    <w:rPr>
                                      <w:rFonts w:ascii="Arial" w:hAnsi="Arial"/>
                                      <w:b/>
                                      <w:i w:val="false"/>
                                      <w:caps w:val="false"/>
                                      <w:smallCaps w:val="false"/>
                                      <w:color w:val="FE4F00"/>
                                      <w:sz w:val="20"/>
                                    </w:rPr>
                                  </w:pPr>
                                  <w:r>
                                    <w:rPr>
                                      <w:rFonts w:ascii="Arial" w:hAnsi="Arial"/>
                                      <w:b/>
                                      <w:i w:val="false"/>
                                      <w:caps w:val="false"/>
                                      <w:smallCaps w:val="false"/>
                                      <w:color w:val="FE4F00"/>
                                      <w:sz w:val="20"/>
                                    </w:rPr>
                                    <w:t>+9 point</w:t>
                                  </w:r>
                                </w:p>
                                <w:p>
                                  <w:pPr>
                                    <w:pStyle w:val="TableContents"/>
                                    <w:bidi w:val="0"/>
                                    <w:jc w:val="center"/>
                                    <w:rPr>
                                      <w:rFonts w:ascii="Arial" w:hAnsi="Arial"/>
                                      <w:b/>
                                      <w:i w:val="false"/>
                                      <w:caps w:val="false"/>
                                      <w:smallCaps w:val="false"/>
                                      <w:color w:val="FE4F00"/>
                                      <w:sz w:val="20"/>
                                    </w:rPr>
                                  </w:pPr>
                                  <w:r>
                                    <w:rPr>
                                      <w:rFonts w:ascii="Arial" w:hAnsi="Arial"/>
                                      <w:b/>
                                      <w:i w:val="false"/>
                                      <w:caps w:val="false"/>
                                      <w:smallCaps w:val="false"/>
                                      <w:color w:val="FE4F00"/>
                                      <w:sz w:val="20"/>
                                    </w:rPr>
                                    <w:t>2022    2023</w:t>
                                  </w:r>
                                </w:p>
                                <w:p>
                                  <w:pPr>
                                    <w:pStyle w:val="TableContents"/>
                                    <w:bidi w:val="0"/>
                                    <w:spacing w:before="0" w:after="283"/>
                                    <w:jc w:val="center"/>
                                    <w:rPr>
                                      <w:rFonts w:ascii="Arial" w:hAnsi="Arial"/>
                                      <w:b w:val="false"/>
                                      <w:i w:val="false"/>
                                      <w:caps w:val="false"/>
                                      <w:smallCaps w:val="false"/>
                                      <w:color w:val="FE4F00"/>
                                      <w:sz w:val="20"/>
                                    </w:rPr>
                                  </w:pPr>
                                  <w:r>
                                    <w:rPr>
                                      <w:rFonts w:ascii="Arial" w:hAnsi="Arial"/>
                                      <w:b/>
                                      <w:i w:val="false"/>
                                      <w:caps w:val="false"/>
                                      <w:smallCaps w:val="false"/>
                                      <w:color w:val="FE4F00"/>
                                      <w:sz w:val="20"/>
                                    </w:rPr>
                                    <w:t>55</w:t>
                                  </w:r>
                                  <w:r>
                                    <w:rPr>
                                      <w:rFonts w:ascii="Arial" w:hAnsi="Arial"/>
                                      <w:b w:val="false"/>
                                      <w:i w:val="false"/>
                                      <w:caps w:val="false"/>
                                      <w:smallCaps w:val="false"/>
                                      <w:color w:val="FE4F00"/>
                                      <w:sz w:val="20"/>
                                    </w:rPr>
                                    <w:t>       </w:t>
                                  </w:r>
                                  <w:r>
                                    <w:rPr>
                                      <w:rFonts w:ascii="Arial" w:hAnsi="Arial"/>
                                      <w:b/>
                                      <w:i w:val="false"/>
                                      <w:caps w:val="false"/>
                                      <w:smallCaps w:val="false"/>
                                      <w:color w:val="FE4F00"/>
                                      <w:sz w:val="20"/>
                                    </w:rPr>
                                    <w:t>64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30.1pt;mso-wrap-distance-left:0pt;mso-wrap-distance-right:0pt;mso-wrap-distance-top:0pt;mso-wrap-distance-bottom:0pt;margin-top:0pt;mso-position-vertical:top;mso-position-vertical-relative:text;margin-left:265.35pt;mso-position-horizontal:right;mso-position-horizontal-relative:text">
                <v:textbox>
                  <w:txbxContent>
                    <w:tbl>
                      <w:tblPr>
                        <w:tblW w:w="8329" w:type="dxa"/>
                        <w:jc w:val="left"/>
                        <w:tblInd w:w="-10" w:type="dxa"/>
                        <w:tblLayout w:type="fixed"/>
                        <w:tblCellMar>
                          <w:top w:w="40" w:type="dxa"/>
                          <w:left w:w="28" w:type="dxa"/>
                          <w:bottom w:w="40" w:type="dxa"/>
                          <w:right w:w="0" w:type="dxa"/>
                        </w:tblCellMar>
                      </w:tblPr>
                      <w:tblGrid>
                        <w:gridCol w:w="6497"/>
                        <w:gridCol w:w="833"/>
                        <w:gridCol w:w="999"/>
                      </w:tblGrid>
                      <w:tr>
                        <w:trPr/>
                        <w:tc>
                          <w:tcPr>
                            <w:tcW w:w="6497" w:type="dxa"/>
                            <w:tcBorders>
                              <w:top w:val="single" w:sz="8" w:space="0" w:color="000000"/>
                              <w:left w:val="single" w:sz="8" w:space="0" w:color="000000"/>
                              <w:bottom w:val="single" w:sz="8" w:space="0" w:color="000000"/>
                            </w:tcBorders>
                            <w:shd w:fill="D9D9D9"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top w:val="single" w:sz="8" w:space="0" w:color="000000"/>
                              <w:left w:val="single" w:sz="8" w:space="0" w:color="000000"/>
                              <w:bottom w:val="single" w:sz="8" w:space="0" w:color="000000"/>
                            </w:tcBorders>
                            <w:shd w:fill="D9D9D9" w:val="clear"/>
                            <w:vAlign w:val="center"/>
                          </w:tcPr>
                          <w:p>
                            <w:pPr>
                              <w:pStyle w:val="TableContents"/>
                              <w:bidi w:val="0"/>
                              <w:spacing w:before="0" w:after="283"/>
                              <w:jc w:val="center"/>
                              <w:rPr>
                                <w:rFonts w:ascii="Arial" w:hAnsi="Arial"/>
                                <w:b/>
                                <w:i w:val="false"/>
                                <w:caps w:val="false"/>
                                <w:smallCaps w:val="false"/>
                                <w:sz w:val="20"/>
                              </w:rPr>
                            </w:pPr>
                            <w:r>
                              <w:rPr>
                                <w:rFonts w:ascii="Arial" w:hAnsi="Arial"/>
                                <w:b/>
                                <w:i w:val="false"/>
                                <w:caps w:val="false"/>
                                <w:smallCaps w:val="false"/>
                                <w:sz w:val="20"/>
                              </w:rPr>
                              <w:t>2022*</w:t>
                            </w:r>
                          </w:p>
                        </w:tc>
                        <w:tc>
                          <w:tcPr>
                            <w:tcW w:w="999" w:type="dxa"/>
                            <w:tcBorders>
                              <w:top w:val="single" w:sz="8" w:space="0" w:color="000000"/>
                              <w:left w:val="single" w:sz="8" w:space="0" w:color="000000"/>
                              <w:bottom w:val="single" w:sz="8" w:space="0" w:color="000000"/>
                              <w:right w:val="single" w:sz="8" w:space="0" w:color="000000"/>
                            </w:tcBorders>
                            <w:shd w:fill="D9D9D9" w:val="clear"/>
                            <w:tcMar>
                              <w:right w:w="28" w:type="dxa"/>
                            </w:tcMar>
                            <w:vAlign w:val="center"/>
                          </w:tcPr>
                          <w:p>
                            <w:pPr>
                              <w:pStyle w:val="TableContents"/>
                              <w:bidi w:val="0"/>
                              <w:spacing w:before="0" w:after="283"/>
                              <w:jc w:val="center"/>
                              <w:rPr>
                                <w:rFonts w:ascii="Arial" w:hAnsi="Arial"/>
                                <w:b/>
                                <w:i w:val="false"/>
                                <w:caps w:val="false"/>
                                <w:smallCaps w:val="false"/>
                                <w:sz w:val="20"/>
                              </w:rPr>
                            </w:pPr>
                            <w:r>
                              <w:rPr>
                                <w:rFonts w:ascii="Arial" w:hAnsi="Arial"/>
                                <w:b/>
                                <w:i w:val="false"/>
                                <w:caps w:val="false"/>
                                <w:smallCaps w:val="false"/>
                                <w:sz w:val="20"/>
                              </w:rPr>
                              <w:t>2023</w:t>
                            </w:r>
                          </w:p>
                        </w:tc>
                      </w:tr>
                      <w:tr>
                        <w:trPr/>
                        <w:tc>
                          <w:tcPr>
                            <w:tcW w:w="6497" w:type="dxa"/>
                            <w:tcBorders>
                              <w:left w:val="single" w:sz="8" w:space="0" w:color="000000"/>
                              <w:bottom w:val="single" w:sz="8" w:space="0" w:color="000000"/>
                            </w:tcBorders>
                            <w:tcMar>
                              <w:top w:w="0" w:type="dxa"/>
                              <w:left w:w="6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Average visits per month Mi Estado Prima (Analytics)</w:t>
                            </w:r>
                          </w:p>
                        </w:tc>
                        <w:tc>
                          <w:tcPr>
                            <w:tcW w:w="833"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94,286</w:t>
                            </w:r>
                          </w:p>
                        </w:tc>
                        <w:tc>
                          <w:tcPr>
                            <w:tcW w:w="999"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138,683</w:t>
                            </w:r>
                          </w:p>
                        </w:tc>
                      </w:tr>
                      <w:tr>
                        <w:trPr/>
                        <w:tc>
                          <w:tcPr>
                            <w:tcW w:w="6497" w:type="dxa"/>
                            <w:tcBorders>
                              <w:left w:val="single" w:sz="8" w:space="0" w:color="000000"/>
                              <w:bottom w:val="single" w:sz="8" w:space="0" w:color="000000"/>
                            </w:tcBorders>
                            <w:tcMar>
                              <w:top w:w="0" w:type="dxa"/>
                              <w:left w:w="6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 claims for missing or erroneous information</w:t>
                            </w:r>
                          </w:p>
                        </w:tc>
                        <w:tc>
                          <w:tcPr>
                            <w:tcW w:w="833"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67</w:t>
                            </w:r>
                          </w:p>
                        </w:tc>
                        <w:tc>
                          <w:tcPr>
                            <w:tcW w:w="999"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24*</w:t>
                            </w:r>
                          </w:p>
                        </w:tc>
                      </w:tr>
                      <w:tr>
                        <w:trPr/>
                        <w:tc>
                          <w:tcPr>
                            <w:tcW w:w="6497" w:type="dxa"/>
                            <w:tcBorders>
                              <w:left w:val="single" w:sz="8" w:space="0" w:color="000000"/>
                              <w:bottom w:val="single" w:sz="8" w:space="0" w:color="000000"/>
                            </w:tcBorders>
                            <w:tcMar>
                              <w:top w:w="0" w:type="dxa"/>
                              <w:left w:w="6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Overall satisfaction T2B</w:t>
                            </w:r>
                          </w:p>
                        </w:tc>
                        <w:tc>
                          <w:tcPr>
                            <w:tcW w:w="833"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66%</w:t>
                            </w:r>
                          </w:p>
                        </w:tc>
                        <w:tc>
                          <w:tcPr>
                            <w:tcW w:w="999"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74%</w:t>
                            </w:r>
                          </w:p>
                        </w:tc>
                      </w:tr>
                      <w:tr>
                        <w:trPr/>
                        <w:tc>
                          <w:tcPr>
                            <w:tcW w:w="6497" w:type="dxa"/>
                            <w:tcBorders>
                              <w:left w:val="single" w:sz="8" w:space="0" w:color="000000"/>
                              <w:bottom w:val="single" w:sz="8" w:space="0" w:color="000000"/>
                            </w:tcBorders>
                            <w:tcMar>
                              <w:top w:w="0" w:type="dxa"/>
                              <w:left w:w="6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Easier to understand T2B</w:t>
                            </w:r>
                          </w:p>
                        </w:tc>
                        <w:tc>
                          <w:tcPr>
                            <w:tcW w:w="833"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72%</w:t>
                            </w:r>
                          </w:p>
                        </w:tc>
                        <w:tc>
                          <w:tcPr>
                            <w:tcW w:w="999"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80%</w:t>
                            </w:r>
                          </w:p>
                        </w:tc>
                      </w:tr>
                      <w:tr>
                        <w:trPr/>
                        <w:tc>
                          <w:tcPr>
                            <w:tcW w:w="6497" w:type="dxa"/>
                            <w:tcBorders>
                              <w:left w:val="single" w:sz="8" w:space="0" w:color="000000"/>
                              <w:bottom w:val="single" w:sz="8" w:space="0" w:color="000000"/>
                            </w:tcBorders>
                            <w:tcMar>
                              <w:top w:w="0" w:type="dxa"/>
                              <w:left w:w="6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More useful information T2B</w:t>
                            </w:r>
                          </w:p>
                        </w:tc>
                        <w:tc>
                          <w:tcPr>
                            <w:tcW w:w="833"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72%</w:t>
                            </w:r>
                          </w:p>
                        </w:tc>
                        <w:tc>
                          <w:tcPr>
                            <w:tcW w:w="999"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80%</w:t>
                            </w:r>
                          </w:p>
                        </w:tc>
                      </w:tr>
                      <w:tr>
                        <w:trPr/>
                        <w:tc>
                          <w:tcPr>
                            <w:tcW w:w="8329" w:type="dxa"/>
                            <w:gridSpan w:val="3"/>
                            <w:tcBorders>
                              <w:left w:val="single" w:sz="8" w:space="0" w:color="000000"/>
                              <w:bottom w:val="single" w:sz="8" w:space="0" w:color="000000"/>
                              <w:right w:val="single" w:sz="8" w:space="0" w:color="000000"/>
                            </w:tcBorders>
                            <w:tcMar>
                              <w:top w:w="0" w:type="dxa"/>
                              <w:left w:w="60" w:type="dxa"/>
                              <w:right w:w="28"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*Sent from July 2022 and December 2022 onwards in the same e-mail with the standard EECC.</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2.1.4.2. Case study: Complaint management in BCP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BCP has implemented several initiatives to speed up client complaint response times: 1) we provide tools to front office staff to deliver immediate solutions; 2) we have an expert back office team that analyzes products and case histories to deliver comprehensive solutions; and 3) we deploy specialist teams to resolve the most complex case histories. The result has been a substantial impact on the complaints journey NPS:</w:t>
                      </w:r>
                    </w:p>
                    <w:p>
                      <w:pPr>
                        <w:pStyle w:val="TextBody"/>
                        <w:bidi w:val="0"/>
                        <w:spacing w:before="0" w:after="0"/>
                        <w:ind w:left="0" w:right="0" w:hanging="0"/>
                        <w:jc w:val="both"/>
                        <w:rPr>
                          <w:caps w:val="false"/>
                          <w:smallCaps w:val="false"/>
                        </w:rPr>
                      </w:pPr>
                      <w:r>
                        <w:rPr>
                          <w:caps w:val="false"/>
                          <w:smallCaps w:val="false"/>
                        </w:rPr>
                        <w:t> </w:t>
                      </w:r>
                    </w:p>
                    <w:tbl>
                      <w:tblPr>
                        <w:tblW w:w="5935" w:type="dxa"/>
                        <w:jc w:val="center"/>
                        <w:tblInd w:w="0" w:type="dxa"/>
                        <w:tblLayout w:type="fixed"/>
                        <w:tblCellMar>
                          <w:top w:w="100" w:type="dxa"/>
                          <w:left w:w="100" w:type="dxa"/>
                          <w:bottom w:w="100" w:type="dxa"/>
                          <w:right w:w="100" w:type="dxa"/>
                        </w:tblCellMar>
                      </w:tblPr>
                      <w:tblGrid>
                        <w:gridCol w:w="4400"/>
                        <w:gridCol w:w="1535"/>
                      </w:tblGrid>
                      <w:tr>
                        <w:trPr/>
                        <w:tc>
                          <w:tcPr>
                            <w:tcW w:w="4400" w:type="dxa"/>
                            <w:tcBorders>
                              <w:top w:val="single" w:sz="8" w:space="0" w:color="FE4F00"/>
                              <w:left w:val="single" w:sz="8" w:space="0" w:color="FE4F00"/>
                              <w:bottom w:val="single" w:sz="8" w:space="0" w:color="FE4F00"/>
                              <w:right w:val="single" w:sz="8" w:space="0" w:color="FE4F00"/>
                            </w:tcBorders>
                            <w:shd w:fill="FF7334" w:val="clear"/>
                            <w:vAlign w:val="center"/>
                          </w:tcPr>
                          <w:p>
                            <w:pPr>
                              <w:pStyle w:val="TableContents"/>
                              <w:bidi w:val="0"/>
                              <w:jc w:val="left"/>
                              <w:rPr>
                                <w:rFonts w:ascii="Arial" w:hAnsi="Arial"/>
                                <w:color w:val="FFFFFF"/>
                                <w:sz w:val="20"/>
                              </w:rPr>
                            </w:pPr>
                            <w:r>
                              <w:rPr>
                                <w:rFonts w:ascii="Arial" w:hAnsi="Arial"/>
                                <w:b/>
                                <w:color w:val="FFFFFF"/>
                                <w:sz w:val="20"/>
                              </w:rPr>
                              <w:t xml:space="preserve">80% </w:t>
                            </w:r>
                            <w:r>
                              <w:rPr>
                                <w:rFonts w:ascii="Arial" w:hAnsi="Arial"/>
                                <w:color w:val="FFFFFF"/>
                                <w:sz w:val="20"/>
                              </w:rPr>
                              <w:t>of complaints and dectmands serviced within</w:t>
                            </w:r>
                          </w:p>
                          <w:p>
                            <w:pPr>
                              <w:pStyle w:val="TableContents"/>
                              <w:bidi w:val="0"/>
                              <w:jc w:val="left"/>
                              <w:rPr>
                                <w:rFonts w:ascii="Arial" w:hAnsi="Arial"/>
                                <w:b/>
                                <w:color w:val="FFFFFF"/>
                                <w:sz w:val="20"/>
                              </w:rPr>
                            </w:pPr>
                            <w:r>
                              <w:rPr>
                                <w:rFonts w:ascii="Arial" w:hAnsi="Arial"/>
                                <w:b/>
                                <w:color w:val="FFFFFF"/>
                                <w:sz w:val="20"/>
                              </w:rPr>
                              <w:t>48 hours</w:t>
                            </w:r>
                          </w:p>
                          <w:p>
                            <w:pPr>
                              <w:pStyle w:val="TableContents"/>
                              <w:bidi w:val="0"/>
                              <w:spacing w:before="0" w:after="283"/>
                              <w:jc w:val="left"/>
                              <w:rPr>
                                <w:rFonts w:ascii="Arial" w:hAnsi="Arial"/>
                                <w:color w:val="FFFFFF"/>
                                <w:sz w:val="20"/>
                              </w:rPr>
                            </w:pPr>
                            <w:r>
                              <w:rPr>
                                <w:rFonts w:ascii="Arial" w:hAnsi="Arial"/>
                                <w:color w:val="FFFFFF"/>
                                <w:sz w:val="20"/>
                              </w:rPr>
                              <w:t>(the regulations stipulate up to 15 working days)</w:t>
                            </w:r>
                          </w:p>
                        </w:tc>
                        <w:tc>
                          <w:tcPr>
                            <w:tcW w:w="1535" w:type="dxa"/>
                            <w:tcBorders>
                              <w:top w:val="single" w:sz="8" w:space="0" w:color="FE4F00"/>
                              <w:bottom w:val="single" w:sz="8" w:space="0" w:color="FE4F00"/>
                              <w:right w:val="single" w:sz="8" w:space="0" w:color="FE4F00"/>
                            </w:tcBorders>
                            <w:tcMar>
                              <w:left w:w="0" w:type="dxa"/>
                            </w:tcMar>
                            <w:vAlign w:val="center"/>
                          </w:tcPr>
                          <w:p>
                            <w:pPr>
                              <w:pStyle w:val="TableContents"/>
                              <w:bidi w:val="0"/>
                              <w:jc w:val="center"/>
                              <w:rPr>
                                <w:rFonts w:ascii="Arial" w:hAnsi="Arial"/>
                                <w:b/>
                                <w:color w:val="FE4F00"/>
                                <w:sz w:val="20"/>
                              </w:rPr>
                            </w:pPr>
                            <w:r>
                              <w:rPr>
                                <w:rFonts w:ascii="Arial" w:hAnsi="Arial"/>
                                <w:b/>
                                <w:color w:val="FE4F00"/>
                                <w:sz w:val="20"/>
                              </w:rPr>
                              <w:t>NPS complaints</w:t>
                            </w:r>
                          </w:p>
                          <w:p>
                            <w:pPr>
                              <w:pStyle w:val="TableContents"/>
                              <w:bidi w:val="0"/>
                              <w:jc w:val="center"/>
                              <w:rPr/>
                            </w:pPr>
                            <w:r>
                              <w:rPr/>
                              <w:t> </w:t>
                            </w:r>
                          </w:p>
                          <w:p>
                            <w:pPr>
                              <w:pStyle w:val="TableContents"/>
                              <w:bidi w:val="0"/>
                              <w:jc w:val="center"/>
                              <w:rPr>
                                <w:rFonts w:ascii="Arial" w:hAnsi="Arial"/>
                                <w:b/>
                                <w:i w:val="false"/>
                                <w:caps w:val="false"/>
                                <w:smallCaps w:val="false"/>
                                <w:color w:val="FE4F00"/>
                                <w:sz w:val="20"/>
                              </w:rPr>
                            </w:pPr>
                            <w:r>
                              <w:rPr>
                                <w:rFonts w:ascii="Arial" w:hAnsi="Arial"/>
                                <w:b/>
                                <w:i w:val="false"/>
                                <w:caps w:val="false"/>
                                <w:smallCaps w:val="false"/>
                                <w:color w:val="FE4F00"/>
                                <w:sz w:val="20"/>
                              </w:rPr>
                              <w:t>+9 point</w:t>
                            </w:r>
                          </w:p>
                          <w:p>
                            <w:pPr>
                              <w:pStyle w:val="TableContents"/>
                              <w:bidi w:val="0"/>
                              <w:jc w:val="center"/>
                              <w:rPr>
                                <w:rFonts w:ascii="Arial" w:hAnsi="Arial"/>
                                <w:b/>
                                <w:i w:val="false"/>
                                <w:caps w:val="false"/>
                                <w:smallCaps w:val="false"/>
                                <w:color w:val="FE4F00"/>
                                <w:sz w:val="20"/>
                              </w:rPr>
                            </w:pPr>
                            <w:r>
                              <w:rPr>
                                <w:rFonts w:ascii="Arial" w:hAnsi="Arial"/>
                                <w:b/>
                                <w:i w:val="false"/>
                                <w:caps w:val="false"/>
                                <w:smallCaps w:val="false"/>
                                <w:color w:val="FE4F00"/>
                                <w:sz w:val="20"/>
                              </w:rPr>
                              <w:t>2022    2023</w:t>
                            </w:r>
                          </w:p>
                          <w:p>
                            <w:pPr>
                              <w:pStyle w:val="TableContents"/>
                              <w:bidi w:val="0"/>
                              <w:spacing w:before="0" w:after="283"/>
                              <w:jc w:val="center"/>
                              <w:rPr>
                                <w:rFonts w:ascii="Arial" w:hAnsi="Arial"/>
                                <w:b w:val="false"/>
                                <w:i w:val="false"/>
                                <w:caps w:val="false"/>
                                <w:smallCaps w:val="false"/>
                                <w:color w:val="FE4F00"/>
                                <w:sz w:val="20"/>
                              </w:rPr>
                            </w:pPr>
                            <w:r>
                              <w:rPr>
                                <w:rFonts w:ascii="Arial" w:hAnsi="Arial"/>
                                <w:b/>
                                <w:i w:val="false"/>
                                <w:caps w:val="false"/>
                                <w:smallCaps w:val="false"/>
                                <w:color w:val="FE4F00"/>
                                <w:sz w:val="20"/>
                              </w:rPr>
                              <w:t>55</w:t>
                            </w:r>
                            <w:r>
                              <w:rPr>
                                <w:rFonts w:ascii="Arial" w:hAnsi="Arial"/>
                                <w:b w:val="false"/>
                                <w:i w:val="false"/>
                                <w:caps w:val="false"/>
                                <w:smallCaps w:val="false"/>
                                <w:color w:val="FE4F00"/>
                                <w:sz w:val="20"/>
                              </w:rPr>
                              <w:t>       </w:t>
                            </w:r>
                            <w:r>
                              <w:rPr>
                                <w:rFonts w:ascii="Arial" w:hAnsi="Arial"/>
                                <w:b/>
                                <w:i w:val="false"/>
                                <w:caps w:val="false"/>
                                <w:smallCaps w:val="false"/>
                                <w:color w:val="FE4F00"/>
                                <w:sz w:val="20"/>
                              </w:rPr>
                              <w:t>64</w:t>
                            </w:r>
                          </w:p>
                        </w:tc>
                      </w:tr>
                    </w:tbl>
                    <w:p>
                      <w:pPr>
                        <w:pStyle w:val="TextBody"/>
                        <w:bidi w:val="0"/>
                        <w:spacing w:before="0" w:after="283"/>
                        <w:jc w:val="left"/>
                        <w:rPr/>
                      </w:pPr>
                      <w:r>
                        <w:rPr/>
                      </w:r>
                    </w:p>
                  </w:txbxContent>
                </v:textbox>
                <w10:wrap type="topAndBottom"/>
              </v:rect>
            </w:pict>
          </mc:Fallback>
        </mc:AlternateConten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24</w:t>
      </w:r>
    </w:p>
    <w:p>
      <w:pPr>
        <w:pStyle w:val="HorizontalLine"/>
        <w:pBdr>
          <w:bottom w:val="single" w:sz="12" w:space="0" w:color="808080"/>
        </w:pBdr>
        <w:bidi w:val="0"/>
        <w:spacing w:before="200" w:after="200"/>
        <w:jc w:val="left"/>
        <w:rPr/>
      </w:pPr>
      <w:r>
        <w:rPr/>
      </w:r>
    </w:p>
    <w:p>
      <w:pPr>
        <w:pStyle w:val="TextBody"/>
        <w:bidi w:val="0"/>
        <w:spacing w:before="0" w:after="0"/>
        <w:ind w:left="362" w:right="0" w:hanging="0"/>
        <w:jc w:val="left"/>
        <w:rPr>
          <w:caps w:val="false"/>
          <w:smallCaps w:val="false"/>
        </w:rPr>
      </w:pPr>
      <w:r>
        <w:rPr>
          <w:caps w:val="false"/>
          <w:smallCaps w:val="false"/>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olumn">
                  <wp:align>left</wp:align>
                </wp:positionH>
                <wp:positionV relativeFrom="line">
                  <wp:posOffset>635</wp:posOffset>
                </wp:positionV>
                <wp:extent cx="3110230" cy="6438265"/>
                <wp:effectExtent l="0" t="0" r="0" b="0"/>
                <wp:wrapTopAndBottom/>
                <wp:docPr id="139" name="Frame44"/>
                <a:graphic xmlns:a="http://schemas.openxmlformats.org/drawingml/2006/main">
                  <a:graphicData uri="http://schemas.microsoft.com/office/word/2010/wordprocessingShape">
                    <wps:wsp>
                      <wps:cNvSpPr txBox="1"/>
                      <wps:spPr>
                        <a:xfrm>
                          <a:off x="0" y="0"/>
                          <a:ext cx="3110230" cy="6438265"/>
                        </a:xfrm>
                        <a:prstGeom prst="rect"/>
                        <a:solidFill>
                          <a:srgbClr val="FFFFFF"/>
                        </a:solidFill>
                      </wps:spPr>
                      <wps:txbx>
                        <w:txbxContent>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2.1.4.3. Client satisfaction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At Credicorp, offering the best experience to our clients is a strategic ambition and priority. To measure performance and strengthen relationships, our companies use the Net Promoter Score (NPS) as a long-term indicator of how loyal clients are and whether they will recommend us. The 2023 results of our main subsidiary, </w:t>
                            </w:r>
                            <w:r>
                              <w:rPr>
                                <w:rFonts w:ascii="Arial" w:hAnsi="Arial"/>
                                <w:b/>
                                <w:i w:val="false"/>
                                <w:caps w:val="false"/>
                                <w:smallCaps w:val="false"/>
                                <w:sz w:val="20"/>
                              </w:rPr>
                              <w:t>BCP Peru</w:t>
                            </w:r>
                            <w:r>
                              <w:rPr>
                                <w:rFonts w:ascii="Arial" w:hAnsi="Arial"/>
                                <w:b w:val="false"/>
                                <w:i w:val="false"/>
                                <w:caps w:val="false"/>
                                <w:smallCaps w:val="false"/>
                                <w:sz w:val="20"/>
                              </w:rPr>
                              <w:t xml:space="preserve">, is a good example: its consolidated NPS was </w:t>
                            </w:r>
                            <w:r>
                              <w:rPr>
                                <w:rFonts w:ascii="Arial" w:hAnsi="Arial"/>
                                <w:b/>
                                <w:i w:val="false"/>
                                <w:caps w:val="false"/>
                                <w:smallCaps w:val="false"/>
                                <w:sz w:val="20"/>
                              </w:rPr>
                              <w:t>54</w:t>
                            </w:r>
                            <w:r>
                              <w:rPr>
                                <w:rFonts w:ascii="Arial" w:hAnsi="Arial"/>
                                <w:b w:val="false"/>
                                <w:i w:val="false"/>
                                <w:caps w:val="false"/>
                                <w:smallCaps w:val="false"/>
                                <w:sz w:val="20"/>
                              </w:rPr>
                              <w:t>.</w:t>
                            </w:r>
                          </w:p>
                          <w:p>
                            <w:pPr>
                              <w:pStyle w:val="TextBody"/>
                              <w:bidi w:val="0"/>
                              <w:spacing w:before="0" w:after="0"/>
                              <w:ind w:left="362" w:right="0" w:hanging="0"/>
                              <w:jc w:val="both"/>
                              <w:rPr>
                                <w:caps w:val="false"/>
                                <w:smallCaps w:val="false"/>
                              </w:rPr>
                            </w:pPr>
                            <w:r>
                              <w:rPr>
                                <w:caps w:val="false"/>
                                <w:smallCaps w:val="false"/>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2381250" cy="895350"/>
                                  <wp:effectExtent l="0" t="0" r="0" b="0"/>
                                  <wp:docPr id="14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67" descr=""/>
                                          <pic:cNvPicPr>
                                            <a:picLocks noChangeAspect="1" noChangeArrowheads="1"/>
                                          </pic:cNvPicPr>
                                        </pic:nvPicPr>
                                        <pic:blipFill>
                                          <a:blip r:embed="rId97"/>
                                          <a:stretch>
                                            <a:fillRect/>
                                          </a:stretch>
                                        </pic:blipFill>
                                        <pic:spPr bwMode="auto">
                                          <a:xfrm>
                                            <a:off x="0" y="0"/>
                                            <a:ext cx="2381250" cy="895350"/>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362" w:right="0" w:hanging="0"/>
                              <w:jc w:val="both"/>
                              <w:rPr>
                                <w:rFonts w:ascii="Arial" w:hAnsi="Arial"/>
                                <w:b w:val="false"/>
                                <w:i w:val="false"/>
                                <w:caps w:val="false"/>
                                <w:smallCaps w:val="false"/>
                                <w:sz w:val="20"/>
                              </w:rPr>
                            </w:pPr>
                            <w:r>
                              <w:rPr>
                                <w:rFonts w:ascii="Arial" w:hAnsi="Arial"/>
                                <w:b w:val="false"/>
                                <w:i w:val="false"/>
                                <w:caps w:val="false"/>
                                <w:smallCaps w:val="false"/>
                                <w:sz w:val="20"/>
                              </w:rPr>
                              <w:t>BCP continues to progress in improving the client experience by innovating in its physical infrastructure as well as in the use of products and services. The initiatives include:</w:t>
                            </w:r>
                          </w:p>
                          <w:p>
                            <w:pPr>
                              <w:pStyle w:val="TextBody"/>
                              <w:bidi w:val="0"/>
                              <w:spacing w:before="0" w:after="0"/>
                              <w:ind w:left="362"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326"/>
                              <w:gridCol w:w="4518"/>
                            </w:tblGrid>
                            <w:tr>
                              <w:trPr/>
                              <w:tc>
                                <w:tcPr>
                                  <w:tcW w:w="5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pPr>
                                  <w:r>
                                    <w:rPr/>
                                    <w:drawing>
                                      <wp:inline distT="0" distB="0" distL="0" distR="0">
                                        <wp:extent cx="142875" cy="104775"/>
                                        <wp:effectExtent l="0" t="0" r="0" b="0"/>
                                        <wp:docPr id="14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68" descr=""/>
                                                <pic:cNvPicPr>
                                                  <a:picLocks noChangeAspect="1" noChangeArrowheads="1"/>
                                                </pic:cNvPicPr>
                                              </pic:nvPicPr>
                                              <pic:blipFill>
                                                <a:blip r:embed="rId98"/>
                                                <a:stretch>
                                                  <a:fillRect/>
                                                </a:stretch>
                                              </pic:blipFill>
                                              <pic:spPr bwMode="auto">
                                                <a:xfrm>
                                                  <a:off x="0" y="0"/>
                                                  <a:ext cx="142875" cy="104775"/>
                                                </a:xfrm>
                                                <a:prstGeom prst="rect">
                                                  <a:avLst/>
                                                </a:prstGeom>
                                              </pic:spPr>
                                            </pic:pic>
                                          </a:graphicData>
                                        </a:graphic>
                                      </wp:inline>
                                    </w:drawing>
                                  </w:r>
                                </w:p>
                              </w:tc>
                              <w:tc>
                                <w:tcPr>
                                  <w:tcW w:w="4518" w:type="dxa"/>
                                  <w:tcBorders/>
                                  <w:vAlign w:val="center"/>
                                </w:tcPr>
                                <w:p>
                                  <w:pPr>
                                    <w:pStyle w:val="TableContents"/>
                                    <w:bidi w:val="0"/>
                                    <w:spacing w:before="0" w:after="283"/>
                                    <w:jc w:val="both"/>
                                    <w:rPr>
                                      <w:rFonts w:ascii="Arial" w:hAnsi="Arial"/>
                                      <w:sz w:val="20"/>
                                    </w:rPr>
                                  </w:pPr>
                                  <w:r>
                                    <w:rPr>
                                      <w:rFonts w:ascii="Arial" w:hAnsi="Arial"/>
                                      <w:sz w:val="20"/>
                                    </w:rPr>
                                    <w:t>A new physical layout for agencies.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
                              <w:gridCol w:w="173"/>
                              <w:gridCol w:w="4697"/>
                            </w:tblGrid>
                            <w:tr>
                              <w:trPr/>
                              <w:tc>
                                <w:tcPr>
                                  <w:tcW w:w="2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color w:val="FB6305"/>
                                    </w:rPr>
                                  </w:pPr>
                                  <w:r>
                                    <w:rPr>
                                      <w:color w:val="FB6305"/>
                                    </w:rPr>
                                    <w:drawing>
                                      <wp:inline distT="0" distB="0" distL="0" distR="0">
                                        <wp:extent cx="142875" cy="104775"/>
                                        <wp:effectExtent l="0" t="0" r="0" b="0"/>
                                        <wp:docPr id="142"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69" descr=""/>
                                                <pic:cNvPicPr>
                                                  <a:picLocks noChangeAspect="1" noChangeArrowheads="1"/>
                                                </pic:cNvPicPr>
                                              </pic:nvPicPr>
                                              <pic:blipFill>
                                                <a:blip r:embed="rId99"/>
                                                <a:stretch>
                                                  <a:fillRect/>
                                                </a:stretch>
                                              </pic:blipFill>
                                              <pic:spPr bwMode="auto">
                                                <a:xfrm>
                                                  <a:off x="0" y="0"/>
                                                  <a:ext cx="142875" cy="104775"/>
                                                </a:xfrm>
                                                <a:prstGeom prst="rect">
                                                  <a:avLst/>
                                                </a:prstGeom>
                                              </pic:spPr>
                                            </pic:pic>
                                          </a:graphicData>
                                        </a:graphic>
                                      </wp:inline>
                                    </w:drawing>
                                  </w:r>
                                </w:p>
                              </w:tc>
                              <w:tc>
                                <w:tcPr>
                                  <w:tcW w:w="4697" w:type="dxa"/>
                                  <w:tcBorders/>
                                  <w:vAlign w:val="center"/>
                                </w:tcPr>
                                <w:p>
                                  <w:pPr>
                                    <w:pStyle w:val="TableContents"/>
                                    <w:bidi w:val="0"/>
                                    <w:spacing w:before="0" w:after="283"/>
                                    <w:jc w:val="both"/>
                                    <w:rPr>
                                      <w:rFonts w:ascii="Arial" w:hAnsi="Arial"/>
                                      <w:sz w:val="20"/>
                                    </w:rPr>
                                  </w:pPr>
                                  <w:r>
                                    <w:rPr>
                                      <w:rFonts w:ascii="Arial" w:hAnsi="Arial"/>
                                      <w:sz w:val="20"/>
                                    </w:rPr>
                                    <w:t>Measures to ensure digital channels have optimal operational stability.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
                              <w:gridCol w:w="160"/>
                              <w:gridCol w:w="4711"/>
                            </w:tblGrid>
                            <w:tr>
                              <w:trPr/>
                              <w:tc>
                                <w:tcPr>
                                  <w:tcW w:w="2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color w:val="FB6305"/>
                                    </w:rPr>
                                  </w:pPr>
                                  <w:r>
                                    <w:rPr>
                                      <w:color w:val="FB6305"/>
                                    </w:rPr>
                                    <w:drawing>
                                      <wp:inline distT="0" distB="0" distL="0" distR="0">
                                        <wp:extent cx="142875" cy="104775"/>
                                        <wp:effectExtent l="0" t="0" r="0" b="0"/>
                                        <wp:docPr id="14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70" descr=""/>
                                                <pic:cNvPicPr>
                                                  <a:picLocks noChangeAspect="1" noChangeArrowheads="1"/>
                                                </pic:cNvPicPr>
                                              </pic:nvPicPr>
                                              <pic:blipFill>
                                                <a:blip r:embed="rId100"/>
                                                <a:stretch>
                                                  <a:fillRect/>
                                                </a:stretch>
                                              </pic:blipFill>
                                              <pic:spPr bwMode="auto">
                                                <a:xfrm>
                                                  <a:off x="0" y="0"/>
                                                  <a:ext cx="142875" cy="104775"/>
                                                </a:xfrm>
                                                <a:prstGeom prst="rect">
                                                  <a:avLst/>
                                                </a:prstGeom>
                                              </pic:spPr>
                                            </pic:pic>
                                          </a:graphicData>
                                        </a:graphic>
                                      </wp:inline>
                                    </w:drawing>
                                  </w:r>
                                </w:p>
                              </w:tc>
                              <w:tc>
                                <w:tcPr>
                                  <w:tcW w:w="4711" w:type="dxa"/>
                                  <w:tcBorders/>
                                  <w:vAlign w:val="center"/>
                                </w:tcPr>
                                <w:p>
                                  <w:pPr>
                                    <w:pStyle w:val="TableContents"/>
                                    <w:bidi w:val="0"/>
                                    <w:spacing w:before="0" w:after="283"/>
                                    <w:jc w:val="both"/>
                                    <w:rPr>
                                      <w:rFonts w:ascii="Arial" w:hAnsi="Arial"/>
                                      <w:sz w:val="20"/>
                                    </w:rPr>
                                  </w:pPr>
                                  <w:r>
                                    <w:rPr>
                                      <w:rFonts w:ascii="Arial" w:hAnsi="Arial"/>
                                      <w:sz w:val="20"/>
                                    </w:rPr>
                                    <w:t>A fraud-focused approach that attacks the root causes of client complaints.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6"/>
                              <w:gridCol w:w="218"/>
                              <w:gridCol w:w="4644"/>
                            </w:tblGrid>
                            <w:tr>
                              <w:trPr/>
                              <w:tc>
                                <w:tcPr>
                                  <w:tcW w:w="3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color w:val="FB6305"/>
                                    </w:rPr>
                                  </w:pPr>
                                  <w:r>
                                    <w:rPr>
                                      <w:color w:val="FB6305"/>
                                    </w:rPr>
                                    <w:drawing>
                                      <wp:inline distT="0" distB="0" distL="0" distR="0">
                                        <wp:extent cx="142875" cy="104775"/>
                                        <wp:effectExtent l="0" t="0" r="0" b="0"/>
                                        <wp:docPr id="14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71" descr=""/>
                                                <pic:cNvPicPr>
                                                  <a:picLocks noChangeAspect="1" noChangeArrowheads="1"/>
                                                </pic:cNvPicPr>
                                              </pic:nvPicPr>
                                              <pic:blipFill>
                                                <a:blip r:embed="rId101"/>
                                                <a:stretch>
                                                  <a:fillRect/>
                                                </a:stretch>
                                              </pic:blipFill>
                                              <pic:spPr bwMode="auto">
                                                <a:xfrm>
                                                  <a:off x="0" y="0"/>
                                                  <a:ext cx="142875" cy="104775"/>
                                                </a:xfrm>
                                                <a:prstGeom prst="rect">
                                                  <a:avLst/>
                                                </a:prstGeom>
                                              </pic:spPr>
                                            </pic:pic>
                                          </a:graphicData>
                                        </a:graphic>
                                      </wp:inline>
                                    </w:drawing>
                                  </w:r>
                                </w:p>
                              </w:tc>
                              <w:tc>
                                <w:tcPr>
                                  <w:tcW w:w="4644" w:type="dxa"/>
                                  <w:tcBorders/>
                                  <w:vAlign w:val="center"/>
                                </w:tcPr>
                                <w:p>
                                  <w:pPr>
                                    <w:pStyle w:val="TableContents"/>
                                    <w:bidi w:val="0"/>
                                    <w:spacing w:before="0" w:after="283"/>
                                    <w:jc w:val="both"/>
                                    <w:rPr>
                                      <w:rFonts w:ascii="Arial" w:hAnsi="Arial"/>
                                      <w:sz w:val="20"/>
                                    </w:rPr>
                                  </w:pPr>
                                  <w:r>
                                    <w:rPr>
                                      <w:rFonts w:ascii="Arial" w:hAnsi="Arial"/>
                                      <w:sz w:val="20"/>
                                    </w:rPr>
                                    <w:t>An enhanced web-based appointment booking system.</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52"/>
                              <w:gridCol w:w="4604"/>
                            </w:tblGrid>
                            <w:tr>
                              <w:trPr/>
                              <w:tc>
                                <w:tcPr>
                                  <w:tcW w:w="4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color w:val="FB6305"/>
                                    </w:rPr>
                                  </w:pPr>
                                  <w:r>
                                    <w:rPr>
                                      <w:color w:val="FB6305"/>
                                    </w:rPr>
                                    <w:drawing>
                                      <wp:inline distT="0" distB="0" distL="0" distR="0">
                                        <wp:extent cx="142875" cy="104775"/>
                                        <wp:effectExtent l="0" t="0" r="0" b="0"/>
                                        <wp:docPr id="14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72" descr=""/>
                                                <pic:cNvPicPr>
                                                  <a:picLocks noChangeAspect="1" noChangeArrowheads="1"/>
                                                </pic:cNvPicPr>
                                              </pic:nvPicPr>
                                              <pic:blipFill>
                                                <a:blip r:embed="rId102"/>
                                                <a:stretch>
                                                  <a:fillRect/>
                                                </a:stretch>
                                              </pic:blipFill>
                                              <pic:spPr bwMode="auto">
                                                <a:xfrm>
                                                  <a:off x="0" y="0"/>
                                                  <a:ext cx="142875" cy="104775"/>
                                                </a:xfrm>
                                                <a:prstGeom prst="rect">
                                                  <a:avLst/>
                                                </a:prstGeom>
                                              </pic:spPr>
                                            </pic:pic>
                                          </a:graphicData>
                                        </a:graphic>
                                      </wp:inline>
                                    </w:drawing>
                                  </w:r>
                                </w:p>
                              </w:tc>
                              <w:tc>
                                <w:tcPr>
                                  <w:tcW w:w="4604" w:type="dxa"/>
                                  <w:tcBorders/>
                                  <w:vAlign w:val="center"/>
                                </w:tcPr>
                                <w:p>
                                  <w:pPr>
                                    <w:pStyle w:val="TableContents"/>
                                    <w:bidi w:val="0"/>
                                    <w:spacing w:before="0" w:after="283"/>
                                    <w:jc w:val="both"/>
                                    <w:rPr>
                                      <w:rFonts w:ascii="Arial" w:hAnsi="Arial"/>
                                      <w:sz w:val="20"/>
                                    </w:rPr>
                                  </w:pPr>
                                  <w:r>
                                    <w:rPr>
                                      <w:rFonts w:ascii="Arial" w:hAnsi="Arial"/>
                                      <w:sz w:val="20"/>
                                    </w:rPr>
                                    <w:t>A streamlined process for credit card requests.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06.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2.1.4.3. Client satisfaction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At Credicorp, offering the best experience to our clients is a strategic ambition and priority. To measure performance and strengthen relationships, our companies use the Net Promoter Score (NPS) as a long-term indicator of how loyal clients are and whether they will recommend us. The 2023 results of our main subsidiary, </w:t>
                      </w:r>
                      <w:r>
                        <w:rPr>
                          <w:rFonts w:ascii="Arial" w:hAnsi="Arial"/>
                          <w:b/>
                          <w:i w:val="false"/>
                          <w:caps w:val="false"/>
                          <w:smallCaps w:val="false"/>
                          <w:sz w:val="20"/>
                        </w:rPr>
                        <w:t>BCP Peru</w:t>
                      </w:r>
                      <w:r>
                        <w:rPr>
                          <w:rFonts w:ascii="Arial" w:hAnsi="Arial"/>
                          <w:b w:val="false"/>
                          <w:i w:val="false"/>
                          <w:caps w:val="false"/>
                          <w:smallCaps w:val="false"/>
                          <w:sz w:val="20"/>
                        </w:rPr>
                        <w:t xml:space="preserve">, is a good example: its consolidated NPS was </w:t>
                      </w:r>
                      <w:r>
                        <w:rPr>
                          <w:rFonts w:ascii="Arial" w:hAnsi="Arial"/>
                          <w:b/>
                          <w:i w:val="false"/>
                          <w:caps w:val="false"/>
                          <w:smallCaps w:val="false"/>
                          <w:sz w:val="20"/>
                        </w:rPr>
                        <w:t>54</w:t>
                      </w:r>
                      <w:r>
                        <w:rPr>
                          <w:rFonts w:ascii="Arial" w:hAnsi="Arial"/>
                          <w:b w:val="false"/>
                          <w:i w:val="false"/>
                          <w:caps w:val="false"/>
                          <w:smallCaps w:val="false"/>
                          <w:sz w:val="20"/>
                        </w:rPr>
                        <w:t>.</w:t>
                      </w:r>
                    </w:p>
                    <w:p>
                      <w:pPr>
                        <w:pStyle w:val="TextBody"/>
                        <w:bidi w:val="0"/>
                        <w:spacing w:before="0" w:after="0"/>
                        <w:ind w:left="362" w:right="0" w:hanging="0"/>
                        <w:jc w:val="both"/>
                        <w:rPr>
                          <w:caps w:val="false"/>
                          <w:smallCaps w:val="false"/>
                        </w:rPr>
                      </w:pPr>
                      <w:r>
                        <w:rPr>
                          <w:caps w:val="false"/>
                          <w:smallCaps w:val="false"/>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2381250" cy="895350"/>
                            <wp:effectExtent l="0" t="0" r="0" b="0"/>
                            <wp:docPr id="146"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67" descr=""/>
                                    <pic:cNvPicPr>
                                      <a:picLocks noChangeAspect="1" noChangeArrowheads="1"/>
                                    </pic:cNvPicPr>
                                  </pic:nvPicPr>
                                  <pic:blipFill>
                                    <a:blip r:embed="rId103"/>
                                    <a:stretch>
                                      <a:fillRect/>
                                    </a:stretch>
                                  </pic:blipFill>
                                  <pic:spPr bwMode="auto">
                                    <a:xfrm>
                                      <a:off x="0" y="0"/>
                                      <a:ext cx="2381250" cy="895350"/>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362" w:right="0" w:hanging="0"/>
                        <w:jc w:val="both"/>
                        <w:rPr>
                          <w:rFonts w:ascii="Arial" w:hAnsi="Arial"/>
                          <w:b w:val="false"/>
                          <w:i w:val="false"/>
                          <w:caps w:val="false"/>
                          <w:smallCaps w:val="false"/>
                          <w:sz w:val="20"/>
                        </w:rPr>
                      </w:pPr>
                      <w:r>
                        <w:rPr>
                          <w:rFonts w:ascii="Arial" w:hAnsi="Arial"/>
                          <w:b w:val="false"/>
                          <w:i w:val="false"/>
                          <w:caps w:val="false"/>
                          <w:smallCaps w:val="false"/>
                          <w:sz w:val="20"/>
                        </w:rPr>
                        <w:t>BCP continues to progress in improving the client experience by innovating in its physical infrastructure as well as in the use of products and services. The initiatives include:</w:t>
                      </w:r>
                    </w:p>
                    <w:p>
                      <w:pPr>
                        <w:pStyle w:val="TextBody"/>
                        <w:bidi w:val="0"/>
                        <w:spacing w:before="0" w:after="0"/>
                        <w:ind w:left="362"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326"/>
                        <w:gridCol w:w="4518"/>
                      </w:tblGrid>
                      <w:tr>
                        <w:trPr/>
                        <w:tc>
                          <w:tcPr>
                            <w:tcW w:w="5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pPr>
                            <w:r>
                              <w:rPr/>
                              <w:drawing>
                                <wp:inline distT="0" distB="0" distL="0" distR="0">
                                  <wp:extent cx="142875" cy="104775"/>
                                  <wp:effectExtent l="0" t="0" r="0" b="0"/>
                                  <wp:docPr id="147"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68" descr=""/>
                                          <pic:cNvPicPr>
                                            <a:picLocks noChangeAspect="1" noChangeArrowheads="1"/>
                                          </pic:cNvPicPr>
                                        </pic:nvPicPr>
                                        <pic:blipFill>
                                          <a:blip r:embed="rId104"/>
                                          <a:stretch>
                                            <a:fillRect/>
                                          </a:stretch>
                                        </pic:blipFill>
                                        <pic:spPr bwMode="auto">
                                          <a:xfrm>
                                            <a:off x="0" y="0"/>
                                            <a:ext cx="142875" cy="104775"/>
                                          </a:xfrm>
                                          <a:prstGeom prst="rect">
                                            <a:avLst/>
                                          </a:prstGeom>
                                        </pic:spPr>
                                      </pic:pic>
                                    </a:graphicData>
                                  </a:graphic>
                                </wp:inline>
                              </w:drawing>
                            </w:r>
                          </w:p>
                        </w:tc>
                        <w:tc>
                          <w:tcPr>
                            <w:tcW w:w="4518" w:type="dxa"/>
                            <w:tcBorders/>
                            <w:vAlign w:val="center"/>
                          </w:tcPr>
                          <w:p>
                            <w:pPr>
                              <w:pStyle w:val="TableContents"/>
                              <w:bidi w:val="0"/>
                              <w:spacing w:before="0" w:after="283"/>
                              <w:jc w:val="both"/>
                              <w:rPr>
                                <w:rFonts w:ascii="Arial" w:hAnsi="Arial"/>
                                <w:sz w:val="20"/>
                              </w:rPr>
                            </w:pPr>
                            <w:r>
                              <w:rPr>
                                <w:rFonts w:ascii="Arial" w:hAnsi="Arial"/>
                                <w:sz w:val="20"/>
                              </w:rPr>
                              <w:t>A new physical layout for agencies.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
                        <w:gridCol w:w="173"/>
                        <w:gridCol w:w="4697"/>
                      </w:tblGrid>
                      <w:tr>
                        <w:trPr/>
                        <w:tc>
                          <w:tcPr>
                            <w:tcW w:w="2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color w:val="FB6305"/>
                              </w:rPr>
                            </w:pPr>
                            <w:r>
                              <w:rPr>
                                <w:color w:val="FB6305"/>
                              </w:rPr>
                              <w:drawing>
                                <wp:inline distT="0" distB="0" distL="0" distR="0">
                                  <wp:extent cx="142875" cy="104775"/>
                                  <wp:effectExtent l="0" t="0" r="0" b="0"/>
                                  <wp:docPr id="148"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69" descr=""/>
                                          <pic:cNvPicPr>
                                            <a:picLocks noChangeAspect="1" noChangeArrowheads="1"/>
                                          </pic:cNvPicPr>
                                        </pic:nvPicPr>
                                        <pic:blipFill>
                                          <a:blip r:embed="rId105"/>
                                          <a:stretch>
                                            <a:fillRect/>
                                          </a:stretch>
                                        </pic:blipFill>
                                        <pic:spPr bwMode="auto">
                                          <a:xfrm>
                                            <a:off x="0" y="0"/>
                                            <a:ext cx="142875" cy="104775"/>
                                          </a:xfrm>
                                          <a:prstGeom prst="rect">
                                            <a:avLst/>
                                          </a:prstGeom>
                                        </pic:spPr>
                                      </pic:pic>
                                    </a:graphicData>
                                  </a:graphic>
                                </wp:inline>
                              </w:drawing>
                            </w:r>
                          </w:p>
                        </w:tc>
                        <w:tc>
                          <w:tcPr>
                            <w:tcW w:w="4697" w:type="dxa"/>
                            <w:tcBorders/>
                            <w:vAlign w:val="center"/>
                          </w:tcPr>
                          <w:p>
                            <w:pPr>
                              <w:pStyle w:val="TableContents"/>
                              <w:bidi w:val="0"/>
                              <w:spacing w:before="0" w:after="283"/>
                              <w:jc w:val="both"/>
                              <w:rPr>
                                <w:rFonts w:ascii="Arial" w:hAnsi="Arial"/>
                                <w:sz w:val="20"/>
                              </w:rPr>
                            </w:pPr>
                            <w:r>
                              <w:rPr>
                                <w:rFonts w:ascii="Arial" w:hAnsi="Arial"/>
                                <w:sz w:val="20"/>
                              </w:rPr>
                              <w:t>Measures to ensure digital channels have optimal operational stability.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
                        <w:gridCol w:w="160"/>
                        <w:gridCol w:w="4711"/>
                      </w:tblGrid>
                      <w:tr>
                        <w:trPr/>
                        <w:tc>
                          <w:tcPr>
                            <w:tcW w:w="2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color w:val="FB6305"/>
                              </w:rPr>
                            </w:pPr>
                            <w:r>
                              <w:rPr>
                                <w:color w:val="FB6305"/>
                              </w:rPr>
                              <w:drawing>
                                <wp:inline distT="0" distB="0" distL="0" distR="0">
                                  <wp:extent cx="142875" cy="104775"/>
                                  <wp:effectExtent l="0" t="0" r="0" b="0"/>
                                  <wp:docPr id="149"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70" descr=""/>
                                          <pic:cNvPicPr>
                                            <a:picLocks noChangeAspect="1" noChangeArrowheads="1"/>
                                          </pic:cNvPicPr>
                                        </pic:nvPicPr>
                                        <pic:blipFill>
                                          <a:blip r:embed="rId106"/>
                                          <a:stretch>
                                            <a:fillRect/>
                                          </a:stretch>
                                        </pic:blipFill>
                                        <pic:spPr bwMode="auto">
                                          <a:xfrm>
                                            <a:off x="0" y="0"/>
                                            <a:ext cx="142875" cy="104775"/>
                                          </a:xfrm>
                                          <a:prstGeom prst="rect">
                                            <a:avLst/>
                                          </a:prstGeom>
                                        </pic:spPr>
                                      </pic:pic>
                                    </a:graphicData>
                                  </a:graphic>
                                </wp:inline>
                              </w:drawing>
                            </w:r>
                          </w:p>
                        </w:tc>
                        <w:tc>
                          <w:tcPr>
                            <w:tcW w:w="4711" w:type="dxa"/>
                            <w:tcBorders/>
                            <w:vAlign w:val="center"/>
                          </w:tcPr>
                          <w:p>
                            <w:pPr>
                              <w:pStyle w:val="TableContents"/>
                              <w:bidi w:val="0"/>
                              <w:spacing w:before="0" w:after="283"/>
                              <w:jc w:val="both"/>
                              <w:rPr>
                                <w:rFonts w:ascii="Arial" w:hAnsi="Arial"/>
                                <w:sz w:val="20"/>
                              </w:rPr>
                            </w:pPr>
                            <w:r>
                              <w:rPr>
                                <w:rFonts w:ascii="Arial" w:hAnsi="Arial"/>
                                <w:sz w:val="20"/>
                              </w:rPr>
                              <w:t>A fraud-focused approach that attacks the root causes of client complaints.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6"/>
                        <w:gridCol w:w="218"/>
                        <w:gridCol w:w="4644"/>
                      </w:tblGrid>
                      <w:tr>
                        <w:trPr/>
                        <w:tc>
                          <w:tcPr>
                            <w:tcW w:w="3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color w:val="FB6305"/>
                              </w:rPr>
                            </w:pPr>
                            <w:r>
                              <w:rPr>
                                <w:color w:val="FB6305"/>
                              </w:rPr>
                              <w:drawing>
                                <wp:inline distT="0" distB="0" distL="0" distR="0">
                                  <wp:extent cx="142875" cy="104775"/>
                                  <wp:effectExtent l="0" t="0" r="0" b="0"/>
                                  <wp:docPr id="150"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71" descr=""/>
                                          <pic:cNvPicPr>
                                            <a:picLocks noChangeAspect="1" noChangeArrowheads="1"/>
                                          </pic:cNvPicPr>
                                        </pic:nvPicPr>
                                        <pic:blipFill>
                                          <a:blip r:embed="rId107"/>
                                          <a:stretch>
                                            <a:fillRect/>
                                          </a:stretch>
                                        </pic:blipFill>
                                        <pic:spPr bwMode="auto">
                                          <a:xfrm>
                                            <a:off x="0" y="0"/>
                                            <a:ext cx="142875" cy="104775"/>
                                          </a:xfrm>
                                          <a:prstGeom prst="rect">
                                            <a:avLst/>
                                          </a:prstGeom>
                                        </pic:spPr>
                                      </pic:pic>
                                    </a:graphicData>
                                  </a:graphic>
                                </wp:inline>
                              </w:drawing>
                            </w:r>
                          </w:p>
                        </w:tc>
                        <w:tc>
                          <w:tcPr>
                            <w:tcW w:w="4644" w:type="dxa"/>
                            <w:tcBorders/>
                            <w:vAlign w:val="center"/>
                          </w:tcPr>
                          <w:p>
                            <w:pPr>
                              <w:pStyle w:val="TableContents"/>
                              <w:bidi w:val="0"/>
                              <w:spacing w:before="0" w:after="283"/>
                              <w:jc w:val="both"/>
                              <w:rPr>
                                <w:rFonts w:ascii="Arial" w:hAnsi="Arial"/>
                                <w:sz w:val="20"/>
                              </w:rPr>
                            </w:pPr>
                            <w:r>
                              <w:rPr>
                                <w:rFonts w:ascii="Arial" w:hAnsi="Arial"/>
                                <w:sz w:val="20"/>
                              </w:rPr>
                              <w:t>An enhanced web-based appointment booking system.</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52"/>
                        <w:gridCol w:w="4604"/>
                      </w:tblGrid>
                      <w:tr>
                        <w:trPr/>
                        <w:tc>
                          <w:tcPr>
                            <w:tcW w:w="4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color w:val="FB6305"/>
                              </w:rPr>
                            </w:pPr>
                            <w:r>
                              <w:rPr>
                                <w:color w:val="FB6305"/>
                              </w:rPr>
                              <w:drawing>
                                <wp:inline distT="0" distB="0" distL="0" distR="0">
                                  <wp:extent cx="142875" cy="104775"/>
                                  <wp:effectExtent l="0" t="0" r="0" b="0"/>
                                  <wp:docPr id="151"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72" descr=""/>
                                          <pic:cNvPicPr>
                                            <a:picLocks noChangeAspect="1" noChangeArrowheads="1"/>
                                          </pic:cNvPicPr>
                                        </pic:nvPicPr>
                                        <pic:blipFill>
                                          <a:blip r:embed="rId108"/>
                                          <a:stretch>
                                            <a:fillRect/>
                                          </a:stretch>
                                        </pic:blipFill>
                                        <pic:spPr bwMode="auto">
                                          <a:xfrm>
                                            <a:off x="0" y="0"/>
                                            <a:ext cx="142875" cy="104775"/>
                                          </a:xfrm>
                                          <a:prstGeom prst="rect">
                                            <a:avLst/>
                                          </a:prstGeom>
                                        </pic:spPr>
                                      </pic:pic>
                                    </a:graphicData>
                                  </a:graphic>
                                </wp:inline>
                              </w:drawing>
                            </w:r>
                          </w:p>
                        </w:tc>
                        <w:tc>
                          <w:tcPr>
                            <w:tcW w:w="4604" w:type="dxa"/>
                            <w:tcBorders/>
                            <w:vAlign w:val="center"/>
                          </w:tcPr>
                          <w:p>
                            <w:pPr>
                              <w:pStyle w:val="TableContents"/>
                              <w:bidi w:val="0"/>
                              <w:spacing w:before="0" w:after="283"/>
                              <w:jc w:val="both"/>
                              <w:rPr>
                                <w:rFonts w:ascii="Arial" w:hAnsi="Arial"/>
                                <w:sz w:val="20"/>
                              </w:rPr>
                            </w:pPr>
                            <w:r>
                              <w:rPr>
                                <w:rFonts w:ascii="Arial" w:hAnsi="Arial"/>
                                <w:sz w:val="20"/>
                              </w:rPr>
                              <w:t>A streamlined process for credit card requests.</w:t>
                            </w:r>
                          </w:p>
                        </w:tc>
                      </w:tr>
                    </w:tbl>
                    <w:p>
                      <w:pPr>
                        <w:pStyle w:val="TextBody"/>
                        <w:bidi w:val="0"/>
                        <w:spacing w:before="0" w:after="283"/>
                        <w:jc w:val="left"/>
                        <w:rPr/>
                      </w:pPr>
                      <w:r>
                        <w:rPr/>
                      </w:r>
                    </w:p>
                  </w:txbxContent>
                </v:textbox>
                <w10:wrap type="topAndBottom"/>
              </v:rect>
            </w:pict>
          </mc:Fallback>
        </mc:AlternateContent>
      </w:r>
      <w:r>
        <mc:AlternateContent>
          <mc:Choice Requires="wps">
            <w:drawing>
              <wp:anchor behindDoc="0" distT="0" distB="0" distL="0" distR="0" simplePos="0" locked="0" layoutInCell="1" allowOverlap="1" relativeHeight="56">
                <wp:simplePos x="0" y="0"/>
                <wp:positionH relativeFrom="column">
                  <wp:align>right</wp:align>
                </wp:positionH>
                <wp:positionV relativeFrom="line">
                  <wp:posOffset>635</wp:posOffset>
                </wp:positionV>
                <wp:extent cx="3110230" cy="6082030"/>
                <wp:effectExtent l="0" t="0" r="0" b="0"/>
                <wp:wrapTopAndBottom/>
                <wp:docPr id="152" name="Frame45"/>
                <a:graphic xmlns:a="http://schemas.openxmlformats.org/drawingml/2006/main">
                  <a:graphicData uri="http://schemas.microsoft.com/office/word/2010/wordprocessingShape">
                    <wps:wsp>
                      <wps:cNvSpPr txBox="1"/>
                      <wps:spPr>
                        <a:xfrm>
                          <a:off x="0" y="0"/>
                          <a:ext cx="3110230" cy="6082030"/>
                        </a:xfrm>
                        <a:prstGeom prst="rect"/>
                        <a:solidFill>
                          <a:srgbClr val="FFFFFF"/>
                        </a:solidFill>
                      </wps:spPr>
                      <wps:txbx>
                        <w:txbxContent>
                          <w:p>
                            <w:pPr>
                              <w:pStyle w:val="TextBody"/>
                              <w:bidi w:val="0"/>
                              <w:spacing w:before="0" w:after="0"/>
                              <w:ind w:left="360" w:right="0" w:hanging="0"/>
                              <w:jc w:val="left"/>
                              <w:rPr>
                                <w:rFonts w:ascii="Arial" w:hAnsi="Arial"/>
                                <w:b w:val="false"/>
                                <w:i w:val="false"/>
                                <w:caps w:val="false"/>
                                <w:smallCaps w:val="false"/>
                                <w:sz w:val="20"/>
                              </w:rPr>
                            </w:pPr>
                            <w:r>
                              <w:rPr>
                                <w:rFonts w:ascii="Arial" w:hAnsi="Arial"/>
                                <w:b w:val="false"/>
                                <w:i w:val="false"/>
                                <w:caps w:val="false"/>
                                <w:smallCaps w:val="false"/>
                                <w:sz w:val="20"/>
                              </w:rPr>
                              <w:t>Other group companies have also rolled out initiatives to lift their NPS performance: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Arial" w:hAnsi="Arial"/>
                                <w:b w:val="false"/>
                                <w:i w:val="false"/>
                                <w:caps w:val="false"/>
                                <w:smallCaps w:val="false"/>
                                <w:sz w:val="20"/>
                              </w:rPr>
                            </w:pPr>
                            <w:r>
                              <w:rPr>
                                <w:rFonts w:ascii="Arial" w:hAnsi="Arial"/>
                                <w:b/>
                                <w:i w:val="false"/>
                                <w:caps w:val="false"/>
                                <w:smallCaps w:val="false"/>
                                <w:sz w:val="20"/>
                              </w:rPr>
                              <w:t>Mibanco Perú:</w:t>
                            </w:r>
                            <w:r>
                              <w:rPr>
                                <w:rFonts w:ascii="Arial" w:hAnsi="Arial"/>
                                <w:b w:val="false"/>
                                <w:i w:val="false"/>
                                <w:caps w:val="false"/>
                                <w:smallCaps w:val="false"/>
                                <w:sz w:val="20"/>
                              </w:rPr>
                              <w:t> </w:t>
                            </w:r>
                          </w:p>
                          <w:tbl>
                            <w:tblPr>
                              <w:tblW w:w="5000" w:type="pct"/>
                              <w:jc w:val="left"/>
                              <w:tblInd w:w="0" w:type="dxa"/>
                              <w:tblLayout w:type="fixed"/>
                              <w:tblCellMar>
                                <w:top w:w="0" w:type="dxa"/>
                                <w:left w:w="0" w:type="dxa"/>
                                <w:bottom w:w="0" w:type="dxa"/>
                                <w:right w:w="0" w:type="dxa"/>
                              </w:tblCellMar>
                            </w:tblPr>
                            <w:tblGrid>
                              <w:gridCol w:w="18"/>
                              <w:gridCol w:w="108"/>
                              <w:gridCol w:w="4772"/>
                            </w:tblGrid>
                            <w:tr>
                              <w:trPr/>
                              <w:tc>
                                <w:tcPr>
                                  <w:tcW w:w="18"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color w:val="FB6305"/>
                                    </w:rPr>
                                  </w:pPr>
                                  <w:r>
                                    <w:rPr>
                                      <w:color w:val="FB6305"/>
                                    </w:rPr>
                                    <w:drawing>
                                      <wp:inline distT="0" distB="0" distL="0" distR="0">
                                        <wp:extent cx="142875" cy="104775"/>
                                        <wp:effectExtent l="0" t="0" r="0" b="0"/>
                                        <wp:docPr id="15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73" descr=""/>
                                                <pic:cNvPicPr>
                                                  <a:picLocks noChangeAspect="1" noChangeArrowheads="1"/>
                                                </pic:cNvPicPr>
                                              </pic:nvPicPr>
                                              <pic:blipFill>
                                                <a:blip r:embed="rId109"/>
                                                <a:stretch>
                                                  <a:fillRect/>
                                                </a:stretch>
                                              </pic:blipFill>
                                              <pic:spPr bwMode="auto">
                                                <a:xfrm>
                                                  <a:off x="0" y="0"/>
                                                  <a:ext cx="142875" cy="104775"/>
                                                </a:xfrm>
                                                <a:prstGeom prst="rect">
                                                  <a:avLst/>
                                                </a:prstGeom>
                                              </pic:spPr>
                                            </pic:pic>
                                          </a:graphicData>
                                        </a:graphic>
                                      </wp:inline>
                                    </w:drawing>
                                  </w:r>
                                </w:p>
                              </w:tc>
                              <w:tc>
                                <w:tcPr>
                                  <w:tcW w:w="4772" w:type="dxa"/>
                                  <w:tcBorders/>
                                  <w:vAlign w:val="center"/>
                                </w:tcPr>
                                <w:p>
                                  <w:pPr>
                                    <w:pStyle w:val="TableContents"/>
                                    <w:bidi w:val="0"/>
                                    <w:spacing w:before="0" w:after="283"/>
                                    <w:jc w:val="both"/>
                                    <w:rPr>
                                      <w:rFonts w:ascii="Arial" w:hAnsi="Arial"/>
                                      <w:sz w:val="20"/>
                                    </w:rPr>
                                  </w:pPr>
                                  <w:r>
                                    <w:rPr>
                                      <w:rFonts w:ascii="Arial" w:hAnsi="Arial"/>
                                      <w:sz w:val="20"/>
                                    </w:rPr>
                                    <w:t>New service models for the three main target markets (micro, small, and medium businesses) focused on the needs and expectations of each client type.</w:t>
                                  </w:r>
                                </w:p>
                              </w:tc>
                            </w:tr>
                          </w:tbl>
                          <w:tbl>
                            <w:tblPr>
                              <w:tblW w:w="5000" w:type="pct"/>
                              <w:jc w:val="left"/>
                              <w:tblInd w:w="0" w:type="dxa"/>
                              <w:tblLayout w:type="fixed"/>
                              <w:tblCellMar>
                                <w:top w:w="0" w:type="dxa"/>
                                <w:left w:w="0" w:type="dxa"/>
                                <w:bottom w:w="0" w:type="dxa"/>
                                <w:right w:w="0" w:type="dxa"/>
                              </w:tblCellMar>
                            </w:tblPr>
                            <w:tblGrid>
                              <w:gridCol w:w="18"/>
                              <w:gridCol w:w="108"/>
                              <w:gridCol w:w="4772"/>
                            </w:tblGrid>
                            <w:tr>
                              <w:trPr/>
                              <w:tc>
                                <w:tcPr>
                                  <w:tcW w:w="18"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pPr>
                                  <w:r>
                                    <w:rPr/>
                                    <w:drawing>
                                      <wp:inline distT="0" distB="0" distL="0" distR="0">
                                        <wp:extent cx="142875" cy="104775"/>
                                        <wp:effectExtent l="0" t="0" r="0" b="0"/>
                                        <wp:docPr id="15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74" descr=""/>
                                                <pic:cNvPicPr>
                                                  <a:picLocks noChangeAspect="1" noChangeArrowheads="1"/>
                                                </pic:cNvPicPr>
                                              </pic:nvPicPr>
                                              <pic:blipFill>
                                                <a:blip r:embed="rId110"/>
                                                <a:stretch>
                                                  <a:fillRect/>
                                                </a:stretch>
                                              </pic:blipFill>
                                              <pic:spPr bwMode="auto">
                                                <a:xfrm>
                                                  <a:off x="0" y="0"/>
                                                  <a:ext cx="142875" cy="104775"/>
                                                </a:xfrm>
                                                <a:prstGeom prst="rect">
                                                  <a:avLst/>
                                                </a:prstGeom>
                                              </pic:spPr>
                                            </pic:pic>
                                          </a:graphicData>
                                        </a:graphic>
                                      </wp:inline>
                                    </w:drawing>
                                  </w:r>
                                </w:p>
                              </w:tc>
                              <w:tc>
                                <w:tcPr>
                                  <w:tcW w:w="4772" w:type="dxa"/>
                                  <w:tcBorders/>
                                  <w:vAlign w:val="center"/>
                                </w:tcPr>
                                <w:p>
                                  <w:pPr>
                                    <w:pStyle w:val="TableContents"/>
                                    <w:bidi w:val="0"/>
                                    <w:spacing w:before="0" w:after="283"/>
                                    <w:jc w:val="both"/>
                                    <w:rPr>
                                      <w:rFonts w:ascii="Arial" w:hAnsi="Arial"/>
                                      <w:sz w:val="20"/>
                                    </w:rPr>
                                  </w:pPr>
                                  <w:r>
                                    <w:rPr>
                                      <w:rFonts w:ascii="Arial" w:hAnsi="Arial"/>
                                      <w:sz w:val="20"/>
                                    </w:rPr>
                                    <w:t xml:space="preserve">The Introduction Protocol, which describes a business advisor’s first contact with a new client to get the relationship off to the right start. </w:t>
                                  </w:r>
                                </w:p>
                              </w:tc>
                            </w:tr>
                          </w:tbl>
                          <w:tbl>
                            <w:tblPr>
                              <w:tblW w:w="5000" w:type="pct"/>
                              <w:jc w:val="left"/>
                              <w:tblInd w:w="0" w:type="dxa"/>
                              <w:tblLayout w:type="fixed"/>
                              <w:tblCellMar>
                                <w:top w:w="0" w:type="dxa"/>
                                <w:left w:w="0" w:type="dxa"/>
                                <w:bottom w:w="0" w:type="dxa"/>
                                <w:right w:w="0" w:type="dxa"/>
                              </w:tblCellMar>
                            </w:tblPr>
                            <w:tblGrid>
                              <w:gridCol w:w="19"/>
                              <w:gridCol w:w="117"/>
                              <w:gridCol w:w="4762"/>
                            </w:tblGrid>
                            <w:tr>
                              <w:trPr/>
                              <w:tc>
                                <w:tcPr>
                                  <w:tcW w:w="1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pPr>
                                  <w:r>
                                    <w:rPr/>
                                    <w:drawing>
                                      <wp:inline distT="0" distB="0" distL="0" distR="0">
                                        <wp:extent cx="142875" cy="104775"/>
                                        <wp:effectExtent l="0" t="0" r="0" b="0"/>
                                        <wp:docPr id="15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75" descr=""/>
                                                <pic:cNvPicPr>
                                                  <a:picLocks noChangeAspect="1" noChangeArrowheads="1"/>
                                                </pic:cNvPicPr>
                                              </pic:nvPicPr>
                                              <pic:blipFill>
                                                <a:blip r:embed="rId111"/>
                                                <a:stretch>
                                                  <a:fillRect/>
                                                </a:stretch>
                                              </pic:blipFill>
                                              <pic:spPr bwMode="auto">
                                                <a:xfrm>
                                                  <a:off x="0" y="0"/>
                                                  <a:ext cx="142875" cy="104775"/>
                                                </a:xfrm>
                                                <a:prstGeom prst="rect">
                                                  <a:avLst/>
                                                </a:prstGeom>
                                              </pic:spPr>
                                            </pic:pic>
                                          </a:graphicData>
                                        </a:graphic>
                                      </wp:inline>
                                    </w:drawing>
                                  </w:r>
                                </w:p>
                              </w:tc>
                              <w:tc>
                                <w:tcPr>
                                  <w:tcW w:w="4762" w:type="dxa"/>
                                  <w:tcBorders/>
                                  <w:vAlign w:val="center"/>
                                </w:tcPr>
                                <w:p>
                                  <w:pPr>
                                    <w:pStyle w:val="TableContents"/>
                                    <w:bidi w:val="0"/>
                                    <w:spacing w:before="0" w:after="283"/>
                                    <w:jc w:val="both"/>
                                    <w:rPr>
                                      <w:rFonts w:ascii="Arial" w:hAnsi="Arial"/>
                                      <w:sz w:val="20"/>
                                    </w:rPr>
                                  </w:pPr>
                                  <w:r>
                                    <w:rPr>
                                      <w:rFonts w:ascii="Arial" w:hAnsi="Arial"/>
                                      <w:sz w:val="20"/>
                                    </w:rPr>
                                    <w:t xml:space="preserve">The NPS indicator on the agenda of monthly committee meetings for business leaders and support staff.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Arial" w:hAnsi="Arial"/>
                                <w:b/>
                                <w:i w:val="false"/>
                                <w:caps w:val="false"/>
                                <w:smallCaps w:val="false"/>
                                <w:sz w:val="20"/>
                              </w:rPr>
                            </w:pPr>
                            <w:r>
                              <w:rPr>
                                <w:rFonts w:ascii="Arial" w:hAnsi="Arial"/>
                                <w:b/>
                                <w:i w:val="false"/>
                                <w:caps w:val="false"/>
                                <w:smallCaps w:val="false"/>
                                <w:sz w:val="20"/>
                              </w:rPr>
                              <w:t xml:space="preserve">Mibanco Colombia </w:t>
                            </w:r>
                          </w:p>
                          <w:tbl>
                            <w:tblPr>
                              <w:tblW w:w="5000" w:type="pct"/>
                              <w:jc w:val="left"/>
                              <w:tblInd w:w="0" w:type="dxa"/>
                              <w:tblLayout w:type="fixed"/>
                              <w:tblCellMar>
                                <w:top w:w="0" w:type="dxa"/>
                                <w:left w:w="0" w:type="dxa"/>
                                <w:bottom w:w="0" w:type="dxa"/>
                                <w:right w:w="0" w:type="dxa"/>
                              </w:tblCellMar>
                            </w:tblPr>
                            <w:tblGrid>
                              <w:gridCol w:w="30"/>
                              <w:gridCol w:w="181"/>
                              <w:gridCol w:w="4687"/>
                            </w:tblGrid>
                            <w:tr>
                              <w:trPr/>
                              <w:tc>
                                <w:tcPr>
                                  <w:tcW w:w="3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drawing>
                                      <wp:inline distT="0" distB="0" distL="0" distR="0">
                                        <wp:extent cx="142875" cy="104775"/>
                                        <wp:effectExtent l="0" t="0" r="0" b="0"/>
                                        <wp:docPr id="15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76" descr=""/>
                                                <pic:cNvPicPr>
                                                  <a:picLocks noChangeAspect="1" noChangeArrowheads="1"/>
                                                </pic:cNvPicPr>
                                              </pic:nvPicPr>
                                              <pic:blipFill>
                                                <a:blip r:embed="rId112"/>
                                                <a:stretch>
                                                  <a:fillRect/>
                                                </a:stretch>
                                              </pic:blipFill>
                                              <pic:spPr bwMode="auto">
                                                <a:xfrm>
                                                  <a:off x="0" y="0"/>
                                                  <a:ext cx="142875" cy="104775"/>
                                                </a:xfrm>
                                                <a:prstGeom prst="rect">
                                                  <a:avLst/>
                                                </a:prstGeom>
                                              </pic:spPr>
                                            </pic:pic>
                                          </a:graphicData>
                                        </a:graphic>
                                      </wp:inline>
                                    </w:drawing>
                                  </w:r>
                                </w:p>
                              </w:tc>
                              <w:tc>
                                <w:tcPr>
                                  <w:tcW w:w="4687" w:type="dxa"/>
                                  <w:tcBorders/>
                                  <w:vAlign w:val="center"/>
                                </w:tcPr>
                                <w:p>
                                  <w:pPr>
                                    <w:pStyle w:val="TableContents"/>
                                    <w:bidi w:val="0"/>
                                    <w:spacing w:before="0" w:after="283"/>
                                    <w:jc w:val="both"/>
                                    <w:rPr>
                                      <w:rFonts w:ascii="Arial" w:hAnsi="Arial"/>
                                      <w:sz w:val="20"/>
                                    </w:rPr>
                                  </w:pPr>
                                  <w:r>
                                    <w:rPr>
                                      <w:rFonts w:ascii="Arial" w:hAnsi="Arial"/>
                                      <w:sz w:val="20"/>
                                    </w:rPr>
                                    <w:t>Mystery shopper via telephone calls, in addition to in-person visits.</w:t>
                                  </w:r>
                                </w:p>
                              </w:tc>
                            </w:tr>
                          </w:tbl>
                          <w:tbl>
                            <w:tblPr>
                              <w:tblW w:w="5000" w:type="pct"/>
                              <w:jc w:val="left"/>
                              <w:tblInd w:w="0" w:type="dxa"/>
                              <w:tblLayout w:type="fixed"/>
                              <w:tblCellMar>
                                <w:top w:w="0" w:type="dxa"/>
                                <w:left w:w="0" w:type="dxa"/>
                                <w:bottom w:w="0" w:type="dxa"/>
                                <w:right w:w="0" w:type="dxa"/>
                              </w:tblCellMar>
                            </w:tblPr>
                            <w:tblGrid>
                              <w:gridCol w:w="18"/>
                              <w:gridCol w:w="108"/>
                              <w:gridCol w:w="4772"/>
                            </w:tblGrid>
                            <w:tr>
                              <w:trPr/>
                              <w:tc>
                                <w:tcPr>
                                  <w:tcW w:w="18"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pPr>
                                  <w:r>
                                    <w:rPr/>
                                    <w:drawing>
                                      <wp:inline distT="0" distB="0" distL="0" distR="0">
                                        <wp:extent cx="142875" cy="104775"/>
                                        <wp:effectExtent l="0" t="0" r="0" b="0"/>
                                        <wp:docPr id="15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77" descr=""/>
                                                <pic:cNvPicPr>
                                                  <a:picLocks noChangeAspect="1" noChangeArrowheads="1"/>
                                                </pic:cNvPicPr>
                                              </pic:nvPicPr>
                                              <pic:blipFill>
                                                <a:blip r:embed="rId113"/>
                                                <a:stretch>
                                                  <a:fillRect/>
                                                </a:stretch>
                                              </pic:blipFill>
                                              <pic:spPr bwMode="auto">
                                                <a:xfrm>
                                                  <a:off x="0" y="0"/>
                                                  <a:ext cx="142875" cy="104775"/>
                                                </a:xfrm>
                                                <a:prstGeom prst="rect">
                                                  <a:avLst/>
                                                </a:prstGeom>
                                              </pic:spPr>
                                            </pic:pic>
                                          </a:graphicData>
                                        </a:graphic>
                                      </wp:inline>
                                    </w:drawing>
                                  </w:r>
                                </w:p>
                              </w:tc>
                              <w:tc>
                                <w:tcPr>
                                  <w:tcW w:w="4772" w:type="dxa"/>
                                  <w:tcBorders/>
                                  <w:vAlign w:val="center"/>
                                </w:tcPr>
                                <w:p>
                                  <w:pPr>
                                    <w:pStyle w:val="TableContents"/>
                                    <w:bidi w:val="0"/>
                                    <w:spacing w:before="0" w:after="283"/>
                                    <w:jc w:val="both"/>
                                    <w:rPr>
                                      <w:rFonts w:ascii="Arial" w:hAnsi="Arial"/>
                                      <w:sz w:val="20"/>
                                    </w:rPr>
                                  </w:pPr>
                                  <w:r>
                                    <w:rPr>
                                      <w:rFonts w:ascii="Arial" w:hAnsi="Arial"/>
                                      <w:sz w:val="20"/>
                                    </w:rPr>
                                    <w:t>Continual service protocol updates in the form of preventive collection and remote disbursement scripts, speech for the WhatsApp channel, and the web page chatbot.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Arial" w:hAnsi="Arial"/>
                                <w:b w:val="false"/>
                                <w:i w:val="false"/>
                                <w:caps w:val="false"/>
                                <w:smallCaps w:val="false"/>
                                <w:sz w:val="20"/>
                              </w:rPr>
                            </w:pPr>
                            <w:r>
                              <w:rPr>
                                <w:rFonts w:ascii="Arial" w:hAnsi="Arial"/>
                                <w:b/>
                                <w:i w:val="false"/>
                                <w:caps w:val="false"/>
                                <w:smallCaps w:val="false"/>
                                <w:sz w:val="20"/>
                              </w:rPr>
                              <w:t xml:space="preserve">Prima AFP </w:t>
                            </w:r>
                            <w:r>
                              <w:rPr>
                                <w:rFonts w:ascii="Arial" w:hAnsi="Arial"/>
                                <w:b w:val="false"/>
                                <w:i w:val="false"/>
                                <w:caps w:val="false"/>
                                <w:smallCaps w:val="false"/>
                                <w:sz w:val="20"/>
                              </w:rPr>
                              <w:t> </w:t>
                            </w:r>
                          </w:p>
                          <w:tbl>
                            <w:tblPr>
                              <w:tblW w:w="5000" w:type="pct"/>
                              <w:jc w:val="left"/>
                              <w:tblInd w:w="0" w:type="dxa"/>
                              <w:tblLayout w:type="fixed"/>
                              <w:tblCellMar>
                                <w:top w:w="0" w:type="dxa"/>
                                <w:left w:w="0" w:type="dxa"/>
                                <w:bottom w:w="0" w:type="dxa"/>
                                <w:right w:w="0" w:type="dxa"/>
                              </w:tblCellMar>
                            </w:tblPr>
                            <w:tblGrid>
                              <w:gridCol w:w="18"/>
                              <w:gridCol w:w="108"/>
                              <w:gridCol w:w="4772"/>
                            </w:tblGrid>
                            <w:tr>
                              <w:trPr/>
                              <w:tc>
                                <w:tcPr>
                                  <w:tcW w:w="18"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pPr>
                                  <w:r>
                                    <w:rPr/>
                                    <w:drawing>
                                      <wp:inline distT="0" distB="0" distL="0" distR="0">
                                        <wp:extent cx="142875" cy="104775"/>
                                        <wp:effectExtent l="0" t="0" r="0" b="0"/>
                                        <wp:docPr id="15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78" descr=""/>
                                                <pic:cNvPicPr>
                                                  <a:picLocks noChangeAspect="1" noChangeArrowheads="1"/>
                                                </pic:cNvPicPr>
                                              </pic:nvPicPr>
                                              <pic:blipFill>
                                                <a:blip r:embed="rId114"/>
                                                <a:stretch>
                                                  <a:fillRect/>
                                                </a:stretch>
                                              </pic:blipFill>
                                              <pic:spPr bwMode="auto">
                                                <a:xfrm>
                                                  <a:off x="0" y="0"/>
                                                  <a:ext cx="142875" cy="104775"/>
                                                </a:xfrm>
                                                <a:prstGeom prst="rect">
                                                  <a:avLst/>
                                                </a:prstGeom>
                                              </pic:spPr>
                                            </pic:pic>
                                          </a:graphicData>
                                        </a:graphic>
                                      </wp:inline>
                                    </w:drawing>
                                  </w:r>
                                </w:p>
                              </w:tc>
                              <w:tc>
                                <w:tcPr>
                                  <w:tcW w:w="4772" w:type="dxa"/>
                                  <w:tcBorders/>
                                  <w:vAlign w:val="center"/>
                                </w:tcPr>
                                <w:p>
                                  <w:pPr>
                                    <w:pStyle w:val="TableContents"/>
                                    <w:bidi w:val="0"/>
                                    <w:spacing w:before="0" w:after="283"/>
                                    <w:jc w:val="both"/>
                                    <w:rPr>
                                      <w:rFonts w:ascii="Arial" w:hAnsi="Arial"/>
                                      <w:sz w:val="20"/>
                                    </w:rPr>
                                  </w:pPr>
                                  <w:r>
                                    <w:rPr>
                                      <w:rFonts w:ascii="Arial" w:hAnsi="Arial"/>
                                      <w:sz w:val="20"/>
                                    </w:rPr>
                                    <w:t xml:space="preserve">Ongoing communication through available channels on profitability results and economic environment (during the months of negative profitability) </w:t>
                                  </w:r>
                                </w:p>
                              </w:tc>
                            </w:tr>
                          </w:tbl>
                          <w:tbl>
                            <w:tblPr>
                              <w:tblW w:w="5000" w:type="pct"/>
                              <w:jc w:val="left"/>
                              <w:tblInd w:w="0" w:type="dxa"/>
                              <w:tblLayout w:type="fixed"/>
                              <w:tblCellMar>
                                <w:top w:w="0" w:type="dxa"/>
                                <w:left w:w="0" w:type="dxa"/>
                                <w:bottom w:w="0" w:type="dxa"/>
                                <w:right w:w="0" w:type="dxa"/>
                              </w:tblCellMar>
                            </w:tblPr>
                            <w:tblGrid>
                              <w:gridCol w:w="25"/>
                              <w:gridCol w:w="151"/>
                              <w:gridCol w:w="4722"/>
                            </w:tblGrid>
                            <w:tr>
                              <w:trPr/>
                              <w:tc>
                                <w:tcPr>
                                  <w:tcW w:w="2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drawing>
                                      <wp:inline distT="0" distB="0" distL="0" distR="0">
                                        <wp:extent cx="142875" cy="104775"/>
                                        <wp:effectExtent l="0" t="0" r="0" b="0"/>
                                        <wp:docPr id="15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79" descr=""/>
                                                <pic:cNvPicPr>
                                                  <a:picLocks noChangeAspect="1" noChangeArrowheads="1"/>
                                                </pic:cNvPicPr>
                                              </pic:nvPicPr>
                                              <pic:blipFill>
                                                <a:blip r:embed="rId115"/>
                                                <a:stretch>
                                                  <a:fillRect/>
                                                </a:stretch>
                                              </pic:blipFill>
                                              <pic:spPr bwMode="auto">
                                                <a:xfrm>
                                                  <a:off x="0" y="0"/>
                                                  <a:ext cx="142875" cy="104775"/>
                                                </a:xfrm>
                                                <a:prstGeom prst="rect">
                                                  <a:avLst/>
                                                </a:prstGeom>
                                              </pic:spPr>
                                            </pic:pic>
                                          </a:graphicData>
                                        </a:graphic>
                                      </wp:inline>
                                    </w:drawing>
                                  </w:r>
                                </w:p>
                              </w:tc>
                              <w:tc>
                                <w:tcPr>
                                  <w:tcW w:w="4722" w:type="dxa"/>
                                  <w:tcBorders/>
                                  <w:vAlign w:val="center"/>
                                </w:tcPr>
                                <w:p>
                                  <w:pPr>
                                    <w:pStyle w:val="TableContents"/>
                                    <w:bidi w:val="0"/>
                                    <w:spacing w:before="0" w:after="283"/>
                                    <w:jc w:val="both"/>
                                    <w:rPr>
                                      <w:rFonts w:ascii="Arial" w:hAnsi="Arial"/>
                                      <w:sz w:val="20"/>
                                    </w:rPr>
                                  </w:pPr>
                                  <w:r>
                                    <w:rPr>
                                      <w:rFonts w:ascii="Arial" w:hAnsi="Arial"/>
                                      <w:sz w:val="20"/>
                                    </w:rPr>
                                    <w:t xml:space="preserve">Focus on communicating main attributes: profitability and backing by Credicorp. </w:t>
                                  </w:r>
                                </w:p>
                              </w:tc>
                            </w:tr>
                          </w:tbl>
                          <w:tbl>
                            <w:tblPr>
                              <w:tblW w:w="5000" w:type="pct"/>
                              <w:jc w:val="left"/>
                              <w:tblInd w:w="0" w:type="dxa"/>
                              <w:tblLayout w:type="fixed"/>
                              <w:tblCellMar>
                                <w:top w:w="0" w:type="dxa"/>
                                <w:left w:w="0" w:type="dxa"/>
                                <w:bottom w:w="0" w:type="dxa"/>
                                <w:right w:w="0" w:type="dxa"/>
                              </w:tblCellMar>
                            </w:tblPr>
                            <w:tblGrid>
                              <w:gridCol w:w="31"/>
                              <w:gridCol w:w="189"/>
                              <w:gridCol w:w="4678"/>
                            </w:tblGrid>
                            <w:tr>
                              <w:trPr/>
                              <w:tc>
                                <w:tcPr>
                                  <w:tcW w:w="3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drawing>
                                      <wp:inline distT="0" distB="0" distL="0" distR="0">
                                        <wp:extent cx="142875" cy="104775"/>
                                        <wp:effectExtent l="0" t="0" r="0" b="0"/>
                                        <wp:docPr id="16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80" descr=""/>
                                                <pic:cNvPicPr>
                                                  <a:picLocks noChangeAspect="1" noChangeArrowheads="1"/>
                                                </pic:cNvPicPr>
                                              </pic:nvPicPr>
                                              <pic:blipFill>
                                                <a:blip r:embed="rId116"/>
                                                <a:stretch>
                                                  <a:fillRect/>
                                                </a:stretch>
                                              </pic:blipFill>
                                              <pic:spPr bwMode="auto">
                                                <a:xfrm>
                                                  <a:off x="0" y="0"/>
                                                  <a:ext cx="142875" cy="104775"/>
                                                </a:xfrm>
                                                <a:prstGeom prst="rect">
                                                  <a:avLst/>
                                                </a:prstGeom>
                                              </pic:spPr>
                                            </pic:pic>
                                          </a:graphicData>
                                        </a:graphic>
                                      </wp:inline>
                                    </w:drawing>
                                  </w:r>
                                </w:p>
                              </w:tc>
                              <w:tc>
                                <w:tcPr>
                                  <w:tcW w:w="4678" w:type="dxa"/>
                                  <w:tcBorders/>
                                  <w:vAlign w:val="center"/>
                                </w:tcPr>
                                <w:p>
                                  <w:pPr>
                                    <w:pStyle w:val="TableContents"/>
                                    <w:bidi w:val="0"/>
                                    <w:spacing w:before="0" w:after="283"/>
                                    <w:jc w:val="both"/>
                                    <w:rPr>
                                      <w:rFonts w:ascii="Arial" w:hAnsi="Arial"/>
                                      <w:sz w:val="20"/>
                                    </w:rPr>
                                  </w:pPr>
                                  <w:r>
                                    <w:rPr>
                                      <w:rFonts w:ascii="Arial" w:hAnsi="Arial"/>
                                      <w:sz w:val="20"/>
                                    </w:rPr>
                                    <w:t>Better communications focused on transparency and simplicity.</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78.9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360" w:right="0" w:hanging="0"/>
                        <w:jc w:val="left"/>
                        <w:rPr>
                          <w:rFonts w:ascii="Arial" w:hAnsi="Arial"/>
                          <w:b w:val="false"/>
                          <w:i w:val="false"/>
                          <w:caps w:val="false"/>
                          <w:smallCaps w:val="false"/>
                          <w:sz w:val="20"/>
                        </w:rPr>
                      </w:pPr>
                      <w:r>
                        <w:rPr>
                          <w:rFonts w:ascii="Arial" w:hAnsi="Arial"/>
                          <w:b w:val="false"/>
                          <w:i w:val="false"/>
                          <w:caps w:val="false"/>
                          <w:smallCaps w:val="false"/>
                          <w:sz w:val="20"/>
                        </w:rPr>
                        <w:t>Other group companies have also rolled out initiatives to lift their NPS performance: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Arial" w:hAnsi="Arial"/>
                          <w:b w:val="false"/>
                          <w:i w:val="false"/>
                          <w:caps w:val="false"/>
                          <w:smallCaps w:val="false"/>
                          <w:sz w:val="20"/>
                        </w:rPr>
                      </w:pPr>
                      <w:r>
                        <w:rPr>
                          <w:rFonts w:ascii="Arial" w:hAnsi="Arial"/>
                          <w:b/>
                          <w:i w:val="false"/>
                          <w:caps w:val="false"/>
                          <w:smallCaps w:val="false"/>
                          <w:sz w:val="20"/>
                        </w:rPr>
                        <w:t>Mibanco Perú:</w:t>
                      </w:r>
                      <w:r>
                        <w:rPr>
                          <w:rFonts w:ascii="Arial" w:hAnsi="Arial"/>
                          <w:b w:val="false"/>
                          <w:i w:val="false"/>
                          <w:caps w:val="false"/>
                          <w:smallCaps w:val="false"/>
                          <w:sz w:val="20"/>
                        </w:rPr>
                        <w:t> </w:t>
                      </w:r>
                    </w:p>
                    <w:tbl>
                      <w:tblPr>
                        <w:tblW w:w="5000" w:type="pct"/>
                        <w:jc w:val="left"/>
                        <w:tblInd w:w="0" w:type="dxa"/>
                        <w:tblLayout w:type="fixed"/>
                        <w:tblCellMar>
                          <w:top w:w="0" w:type="dxa"/>
                          <w:left w:w="0" w:type="dxa"/>
                          <w:bottom w:w="0" w:type="dxa"/>
                          <w:right w:w="0" w:type="dxa"/>
                        </w:tblCellMar>
                      </w:tblPr>
                      <w:tblGrid>
                        <w:gridCol w:w="18"/>
                        <w:gridCol w:w="108"/>
                        <w:gridCol w:w="4772"/>
                      </w:tblGrid>
                      <w:tr>
                        <w:trPr/>
                        <w:tc>
                          <w:tcPr>
                            <w:tcW w:w="18"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color w:val="FB6305"/>
                              </w:rPr>
                            </w:pPr>
                            <w:r>
                              <w:rPr>
                                <w:color w:val="FB6305"/>
                              </w:rPr>
                              <w:drawing>
                                <wp:inline distT="0" distB="0" distL="0" distR="0">
                                  <wp:extent cx="142875" cy="104775"/>
                                  <wp:effectExtent l="0" t="0" r="0" b="0"/>
                                  <wp:docPr id="161"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73" descr=""/>
                                          <pic:cNvPicPr>
                                            <a:picLocks noChangeAspect="1" noChangeArrowheads="1"/>
                                          </pic:cNvPicPr>
                                        </pic:nvPicPr>
                                        <pic:blipFill>
                                          <a:blip r:embed="rId117"/>
                                          <a:stretch>
                                            <a:fillRect/>
                                          </a:stretch>
                                        </pic:blipFill>
                                        <pic:spPr bwMode="auto">
                                          <a:xfrm>
                                            <a:off x="0" y="0"/>
                                            <a:ext cx="142875" cy="104775"/>
                                          </a:xfrm>
                                          <a:prstGeom prst="rect">
                                            <a:avLst/>
                                          </a:prstGeom>
                                        </pic:spPr>
                                      </pic:pic>
                                    </a:graphicData>
                                  </a:graphic>
                                </wp:inline>
                              </w:drawing>
                            </w:r>
                          </w:p>
                        </w:tc>
                        <w:tc>
                          <w:tcPr>
                            <w:tcW w:w="4772" w:type="dxa"/>
                            <w:tcBorders/>
                            <w:vAlign w:val="center"/>
                          </w:tcPr>
                          <w:p>
                            <w:pPr>
                              <w:pStyle w:val="TableContents"/>
                              <w:bidi w:val="0"/>
                              <w:spacing w:before="0" w:after="283"/>
                              <w:jc w:val="both"/>
                              <w:rPr>
                                <w:rFonts w:ascii="Arial" w:hAnsi="Arial"/>
                                <w:sz w:val="20"/>
                              </w:rPr>
                            </w:pPr>
                            <w:r>
                              <w:rPr>
                                <w:rFonts w:ascii="Arial" w:hAnsi="Arial"/>
                                <w:sz w:val="20"/>
                              </w:rPr>
                              <w:t>New service models for the three main target markets (micro, small, and medium businesses) focused on the needs and expectations of each client type.</w:t>
                            </w:r>
                          </w:p>
                        </w:tc>
                      </w:tr>
                    </w:tbl>
                    <w:tbl>
                      <w:tblPr>
                        <w:tblW w:w="5000" w:type="pct"/>
                        <w:jc w:val="left"/>
                        <w:tblInd w:w="0" w:type="dxa"/>
                        <w:tblLayout w:type="fixed"/>
                        <w:tblCellMar>
                          <w:top w:w="0" w:type="dxa"/>
                          <w:left w:w="0" w:type="dxa"/>
                          <w:bottom w:w="0" w:type="dxa"/>
                          <w:right w:w="0" w:type="dxa"/>
                        </w:tblCellMar>
                      </w:tblPr>
                      <w:tblGrid>
                        <w:gridCol w:w="18"/>
                        <w:gridCol w:w="108"/>
                        <w:gridCol w:w="4772"/>
                      </w:tblGrid>
                      <w:tr>
                        <w:trPr/>
                        <w:tc>
                          <w:tcPr>
                            <w:tcW w:w="18"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pPr>
                            <w:r>
                              <w:rPr/>
                              <w:drawing>
                                <wp:inline distT="0" distB="0" distL="0" distR="0">
                                  <wp:extent cx="142875" cy="104775"/>
                                  <wp:effectExtent l="0" t="0" r="0" b="0"/>
                                  <wp:docPr id="162"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74" descr=""/>
                                          <pic:cNvPicPr>
                                            <a:picLocks noChangeAspect="1" noChangeArrowheads="1"/>
                                          </pic:cNvPicPr>
                                        </pic:nvPicPr>
                                        <pic:blipFill>
                                          <a:blip r:embed="rId118"/>
                                          <a:stretch>
                                            <a:fillRect/>
                                          </a:stretch>
                                        </pic:blipFill>
                                        <pic:spPr bwMode="auto">
                                          <a:xfrm>
                                            <a:off x="0" y="0"/>
                                            <a:ext cx="142875" cy="104775"/>
                                          </a:xfrm>
                                          <a:prstGeom prst="rect">
                                            <a:avLst/>
                                          </a:prstGeom>
                                        </pic:spPr>
                                      </pic:pic>
                                    </a:graphicData>
                                  </a:graphic>
                                </wp:inline>
                              </w:drawing>
                            </w:r>
                          </w:p>
                        </w:tc>
                        <w:tc>
                          <w:tcPr>
                            <w:tcW w:w="4772" w:type="dxa"/>
                            <w:tcBorders/>
                            <w:vAlign w:val="center"/>
                          </w:tcPr>
                          <w:p>
                            <w:pPr>
                              <w:pStyle w:val="TableContents"/>
                              <w:bidi w:val="0"/>
                              <w:spacing w:before="0" w:after="283"/>
                              <w:jc w:val="both"/>
                              <w:rPr>
                                <w:rFonts w:ascii="Arial" w:hAnsi="Arial"/>
                                <w:sz w:val="20"/>
                              </w:rPr>
                            </w:pPr>
                            <w:r>
                              <w:rPr>
                                <w:rFonts w:ascii="Arial" w:hAnsi="Arial"/>
                                <w:sz w:val="20"/>
                              </w:rPr>
                              <w:t xml:space="preserve">The Introduction Protocol, which describes a business advisor’s first contact with a new client to get the relationship off to the right start. </w:t>
                            </w:r>
                          </w:p>
                        </w:tc>
                      </w:tr>
                    </w:tbl>
                    <w:tbl>
                      <w:tblPr>
                        <w:tblW w:w="5000" w:type="pct"/>
                        <w:jc w:val="left"/>
                        <w:tblInd w:w="0" w:type="dxa"/>
                        <w:tblLayout w:type="fixed"/>
                        <w:tblCellMar>
                          <w:top w:w="0" w:type="dxa"/>
                          <w:left w:w="0" w:type="dxa"/>
                          <w:bottom w:w="0" w:type="dxa"/>
                          <w:right w:w="0" w:type="dxa"/>
                        </w:tblCellMar>
                      </w:tblPr>
                      <w:tblGrid>
                        <w:gridCol w:w="19"/>
                        <w:gridCol w:w="117"/>
                        <w:gridCol w:w="4762"/>
                      </w:tblGrid>
                      <w:tr>
                        <w:trPr/>
                        <w:tc>
                          <w:tcPr>
                            <w:tcW w:w="1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pPr>
                            <w:r>
                              <w:rPr/>
                              <w:drawing>
                                <wp:inline distT="0" distB="0" distL="0" distR="0">
                                  <wp:extent cx="142875" cy="104775"/>
                                  <wp:effectExtent l="0" t="0" r="0" b="0"/>
                                  <wp:docPr id="163"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75" descr=""/>
                                          <pic:cNvPicPr>
                                            <a:picLocks noChangeAspect="1" noChangeArrowheads="1"/>
                                          </pic:cNvPicPr>
                                        </pic:nvPicPr>
                                        <pic:blipFill>
                                          <a:blip r:embed="rId119"/>
                                          <a:stretch>
                                            <a:fillRect/>
                                          </a:stretch>
                                        </pic:blipFill>
                                        <pic:spPr bwMode="auto">
                                          <a:xfrm>
                                            <a:off x="0" y="0"/>
                                            <a:ext cx="142875" cy="104775"/>
                                          </a:xfrm>
                                          <a:prstGeom prst="rect">
                                            <a:avLst/>
                                          </a:prstGeom>
                                        </pic:spPr>
                                      </pic:pic>
                                    </a:graphicData>
                                  </a:graphic>
                                </wp:inline>
                              </w:drawing>
                            </w:r>
                          </w:p>
                        </w:tc>
                        <w:tc>
                          <w:tcPr>
                            <w:tcW w:w="4762" w:type="dxa"/>
                            <w:tcBorders/>
                            <w:vAlign w:val="center"/>
                          </w:tcPr>
                          <w:p>
                            <w:pPr>
                              <w:pStyle w:val="TableContents"/>
                              <w:bidi w:val="0"/>
                              <w:spacing w:before="0" w:after="283"/>
                              <w:jc w:val="both"/>
                              <w:rPr>
                                <w:rFonts w:ascii="Arial" w:hAnsi="Arial"/>
                                <w:sz w:val="20"/>
                              </w:rPr>
                            </w:pPr>
                            <w:r>
                              <w:rPr>
                                <w:rFonts w:ascii="Arial" w:hAnsi="Arial"/>
                                <w:sz w:val="20"/>
                              </w:rPr>
                              <w:t xml:space="preserve">The NPS indicator on the agenda of monthly committee meetings for business leaders and support staff.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Arial" w:hAnsi="Arial"/>
                          <w:b/>
                          <w:i w:val="false"/>
                          <w:caps w:val="false"/>
                          <w:smallCaps w:val="false"/>
                          <w:sz w:val="20"/>
                        </w:rPr>
                      </w:pPr>
                      <w:r>
                        <w:rPr>
                          <w:rFonts w:ascii="Arial" w:hAnsi="Arial"/>
                          <w:b/>
                          <w:i w:val="false"/>
                          <w:caps w:val="false"/>
                          <w:smallCaps w:val="false"/>
                          <w:sz w:val="20"/>
                        </w:rPr>
                        <w:t xml:space="preserve">Mibanco Colombia </w:t>
                      </w:r>
                    </w:p>
                    <w:tbl>
                      <w:tblPr>
                        <w:tblW w:w="5000" w:type="pct"/>
                        <w:jc w:val="left"/>
                        <w:tblInd w:w="0" w:type="dxa"/>
                        <w:tblLayout w:type="fixed"/>
                        <w:tblCellMar>
                          <w:top w:w="0" w:type="dxa"/>
                          <w:left w:w="0" w:type="dxa"/>
                          <w:bottom w:w="0" w:type="dxa"/>
                          <w:right w:w="0" w:type="dxa"/>
                        </w:tblCellMar>
                      </w:tblPr>
                      <w:tblGrid>
                        <w:gridCol w:w="30"/>
                        <w:gridCol w:w="181"/>
                        <w:gridCol w:w="4687"/>
                      </w:tblGrid>
                      <w:tr>
                        <w:trPr/>
                        <w:tc>
                          <w:tcPr>
                            <w:tcW w:w="3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drawing>
                                <wp:inline distT="0" distB="0" distL="0" distR="0">
                                  <wp:extent cx="142875" cy="104775"/>
                                  <wp:effectExtent l="0" t="0" r="0" b="0"/>
                                  <wp:docPr id="164"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76" descr=""/>
                                          <pic:cNvPicPr>
                                            <a:picLocks noChangeAspect="1" noChangeArrowheads="1"/>
                                          </pic:cNvPicPr>
                                        </pic:nvPicPr>
                                        <pic:blipFill>
                                          <a:blip r:embed="rId120"/>
                                          <a:stretch>
                                            <a:fillRect/>
                                          </a:stretch>
                                        </pic:blipFill>
                                        <pic:spPr bwMode="auto">
                                          <a:xfrm>
                                            <a:off x="0" y="0"/>
                                            <a:ext cx="142875" cy="104775"/>
                                          </a:xfrm>
                                          <a:prstGeom prst="rect">
                                            <a:avLst/>
                                          </a:prstGeom>
                                        </pic:spPr>
                                      </pic:pic>
                                    </a:graphicData>
                                  </a:graphic>
                                </wp:inline>
                              </w:drawing>
                            </w:r>
                          </w:p>
                        </w:tc>
                        <w:tc>
                          <w:tcPr>
                            <w:tcW w:w="4687" w:type="dxa"/>
                            <w:tcBorders/>
                            <w:vAlign w:val="center"/>
                          </w:tcPr>
                          <w:p>
                            <w:pPr>
                              <w:pStyle w:val="TableContents"/>
                              <w:bidi w:val="0"/>
                              <w:spacing w:before="0" w:after="283"/>
                              <w:jc w:val="both"/>
                              <w:rPr>
                                <w:rFonts w:ascii="Arial" w:hAnsi="Arial"/>
                                <w:sz w:val="20"/>
                              </w:rPr>
                            </w:pPr>
                            <w:r>
                              <w:rPr>
                                <w:rFonts w:ascii="Arial" w:hAnsi="Arial"/>
                                <w:sz w:val="20"/>
                              </w:rPr>
                              <w:t>Mystery shopper via telephone calls, in addition to in-person visits.</w:t>
                            </w:r>
                          </w:p>
                        </w:tc>
                      </w:tr>
                    </w:tbl>
                    <w:tbl>
                      <w:tblPr>
                        <w:tblW w:w="5000" w:type="pct"/>
                        <w:jc w:val="left"/>
                        <w:tblInd w:w="0" w:type="dxa"/>
                        <w:tblLayout w:type="fixed"/>
                        <w:tblCellMar>
                          <w:top w:w="0" w:type="dxa"/>
                          <w:left w:w="0" w:type="dxa"/>
                          <w:bottom w:w="0" w:type="dxa"/>
                          <w:right w:w="0" w:type="dxa"/>
                        </w:tblCellMar>
                      </w:tblPr>
                      <w:tblGrid>
                        <w:gridCol w:w="18"/>
                        <w:gridCol w:w="108"/>
                        <w:gridCol w:w="4772"/>
                      </w:tblGrid>
                      <w:tr>
                        <w:trPr/>
                        <w:tc>
                          <w:tcPr>
                            <w:tcW w:w="18"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pPr>
                            <w:r>
                              <w:rPr/>
                              <w:drawing>
                                <wp:inline distT="0" distB="0" distL="0" distR="0">
                                  <wp:extent cx="142875" cy="104775"/>
                                  <wp:effectExtent l="0" t="0" r="0" b="0"/>
                                  <wp:docPr id="165"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77" descr=""/>
                                          <pic:cNvPicPr>
                                            <a:picLocks noChangeAspect="1" noChangeArrowheads="1"/>
                                          </pic:cNvPicPr>
                                        </pic:nvPicPr>
                                        <pic:blipFill>
                                          <a:blip r:embed="rId121"/>
                                          <a:stretch>
                                            <a:fillRect/>
                                          </a:stretch>
                                        </pic:blipFill>
                                        <pic:spPr bwMode="auto">
                                          <a:xfrm>
                                            <a:off x="0" y="0"/>
                                            <a:ext cx="142875" cy="104775"/>
                                          </a:xfrm>
                                          <a:prstGeom prst="rect">
                                            <a:avLst/>
                                          </a:prstGeom>
                                        </pic:spPr>
                                      </pic:pic>
                                    </a:graphicData>
                                  </a:graphic>
                                </wp:inline>
                              </w:drawing>
                            </w:r>
                          </w:p>
                        </w:tc>
                        <w:tc>
                          <w:tcPr>
                            <w:tcW w:w="4772" w:type="dxa"/>
                            <w:tcBorders/>
                            <w:vAlign w:val="center"/>
                          </w:tcPr>
                          <w:p>
                            <w:pPr>
                              <w:pStyle w:val="TableContents"/>
                              <w:bidi w:val="0"/>
                              <w:spacing w:before="0" w:after="283"/>
                              <w:jc w:val="both"/>
                              <w:rPr>
                                <w:rFonts w:ascii="Arial" w:hAnsi="Arial"/>
                                <w:sz w:val="20"/>
                              </w:rPr>
                            </w:pPr>
                            <w:r>
                              <w:rPr>
                                <w:rFonts w:ascii="Arial" w:hAnsi="Arial"/>
                                <w:sz w:val="20"/>
                              </w:rPr>
                              <w:t>Continual service protocol updates in the form of preventive collection and remote disbursement scripts, speech for the WhatsApp channel, and the web page chatbot.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Arial" w:hAnsi="Arial"/>
                          <w:b w:val="false"/>
                          <w:i w:val="false"/>
                          <w:caps w:val="false"/>
                          <w:smallCaps w:val="false"/>
                          <w:sz w:val="20"/>
                        </w:rPr>
                      </w:pPr>
                      <w:r>
                        <w:rPr>
                          <w:rFonts w:ascii="Arial" w:hAnsi="Arial"/>
                          <w:b/>
                          <w:i w:val="false"/>
                          <w:caps w:val="false"/>
                          <w:smallCaps w:val="false"/>
                          <w:sz w:val="20"/>
                        </w:rPr>
                        <w:t xml:space="preserve">Prima AFP </w:t>
                      </w:r>
                      <w:r>
                        <w:rPr>
                          <w:rFonts w:ascii="Arial" w:hAnsi="Arial"/>
                          <w:b w:val="false"/>
                          <w:i w:val="false"/>
                          <w:caps w:val="false"/>
                          <w:smallCaps w:val="false"/>
                          <w:sz w:val="20"/>
                        </w:rPr>
                        <w:t> </w:t>
                      </w:r>
                    </w:p>
                    <w:tbl>
                      <w:tblPr>
                        <w:tblW w:w="5000" w:type="pct"/>
                        <w:jc w:val="left"/>
                        <w:tblInd w:w="0" w:type="dxa"/>
                        <w:tblLayout w:type="fixed"/>
                        <w:tblCellMar>
                          <w:top w:w="0" w:type="dxa"/>
                          <w:left w:w="0" w:type="dxa"/>
                          <w:bottom w:w="0" w:type="dxa"/>
                          <w:right w:w="0" w:type="dxa"/>
                        </w:tblCellMar>
                      </w:tblPr>
                      <w:tblGrid>
                        <w:gridCol w:w="18"/>
                        <w:gridCol w:w="108"/>
                        <w:gridCol w:w="4772"/>
                      </w:tblGrid>
                      <w:tr>
                        <w:trPr/>
                        <w:tc>
                          <w:tcPr>
                            <w:tcW w:w="18"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pPr>
                            <w:r>
                              <w:rPr/>
                              <w:drawing>
                                <wp:inline distT="0" distB="0" distL="0" distR="0">
                                  <wp:extent cx="142875" cy="104775"/>
                                  <wp:effectExtent l="0" t="0" r="0" b="0"/>
                                  <wp:docPr id="166"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78" descr=""/>
                                          <pic:cNvPicPr>
                                            <a:picLocks noChangeAspect="1" noChangeArrowheads="1"/>
                                          </pic:cNvPicPr>
                                        </pic:nvPicPr>
                                        <pic:blipFill>
                                          <a:blip r:embed="rId122"/>
                                          <a:stretch>
                                            <a:fillRect/>
                                          </a:stretch>
                                        </pic:blipFill>
                                        <pic:spPr bwMode="auto">
                                          <a:xfrm>
                                            <a:off x="0" y="0"/>
                                            <a:ext cx="142875" cy="104775"/>
                                          </a:xfrm>
                                          <a:prstGeom prst="rect">
                                            <a:avLst/>
                                          </a:prstGeom>
                                        </pic:spPr>
                                      </pic:pic>
                                    </a:graphicData>
                                  </a:graphic>
                                </wp:inline>
                              </w:drawing>
                            </w:r>
                          </w:p>
                        </w:tc>
                        <w:tc>
                          <w:tcPr>
                            <w:tcW w:w="4772" w:type="dxa"/>
                            <w:tcBorders/>
                            <w:vAlign w:val="center"/>
                          </w:tcPr>
                          <w:p>
                            <w:pPr>
                              <w:pStyle w:val="TableContents"/>
                              <w:bidi w:val="0"/>
                              <w:spacing w:before="0" w:after="283"/>
                              <w:jc w:val="both"/>
                              <w:rPr>
                                <w:rFonts w:ascii="Arial" w:hAnsi="Arial"/>
                                <w:sz w:val="20"/>
                              </w:rPr>
                            </w:pPr>
                            <w:r>
                              <w:rPr>
                                <w:rFonts w:ascii="Arial" w:hAnsi="Arial"/>
                                <w:sz w:val="20"/>
                              </w:rPr>
                              <w:t xml:space="preserve">Ongoing communication through available channels on profitability results and economic environment (during the months of negative profitability) </w:t>
                            </w:r>
                          </w:p>
                        </w:tc>
                      </w:tr>
                    </w:tbl>
                    <w:tbl>
                      <w:tblPr>
                        <w:tblW w:w="5000" w:type="pct"/>
                        <w:jc w:val="left"/>
                        <w:tblInd w:w="0" w:type="dxa"/>
                        <w:tblLayout w:type="fixed"/>
                        <w:tblCellMar>
                          <w:top w:w="0" w:type="dxa"/>
                          <w:left w:w="0" w:type="dxa"/>
                          <w:bottom w:w="0" w:type="dxa"/>
                          <w:right w:w="0" w:type="dxa"/>
                        </w:tblCellMar>
                      </w:tblPr>
                      <w:tblGrid>
                        <w:gridCol w:w="25"/>
                        <w:gridCol w:w="151"/>
                        <w:gridCol w:w="4722"/>
                      </w:tblGrid>
                      <w:tr>
                        <w:trPr/>
                        <w:tc>
                          <w:tcPr>
                            <w:tcW w:w="2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drawing>
                                <wp:inline distT="0" distB="0" distL="0" distR="0">
                                  <wp:extent cx="142875" cy="104775"/>
                                  <wp:effectExtent l="0" t="0" r="0" b="0"/>
                                  <wp:docPr id="167"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79" descr=""/>
                                          <pic:cNvPicPr>
                                            <a:picLocks noChangeAspect="1" noChangeArrowheads="1"/>
                                          </pic:cNvPicPr>
                                        </pic:nvPicPr>
                                        <pic:blipFill>
                                          <a:blip r:embed="rId123"/>
                                          <a:stretch>
                                            <a:fillRect/>
                                          </a:stretch>
                                        </pic:blipFill>
                                        <pic:spPr bwMode="auto">
                                          <a:xfrm>
                                            <a:off x="0" y="0"/>
                                            <a:ext cx="142875" cy="104775"/>
                                          </a:xfrm>
                                          <a:prstGeom prst="rect">
                                            <a:avLst/>
                                          </a:prstGeom>
                                        </pic:spPr>
                                      </pic:pic>
                                    </a:graphicData>
                                  </a:graphic>
                                </wp:inline>
                              </w:drawing>
                            </w:r>
                          </w:p>
                        </w:tc>
                        <w:tc>
                          <w:tcPr>
                            <w:tcW w:w="4722" w:type="dxa"/>
                            <w:tcBorders/>
                            <w:vAlign w:val="center"/>
                          </w:tcPr>
                          <w:p>
                            <w:pPr>
                              <w:pStyle w:val="TableContents"/>
                              <w:bidi w:val="0"/>
                              <w:spacing w:before="0" w:after="283"/>
                              <w:jc w:val="both"/>
                              <w:rPr>
                                <w:rFonts w:ascii="Arial" w:hAnsi="Arial"/>
                                <w:sz w:val="20"/>
                              </w:rPr>
                            </w:pPr>
                            <w:r>
                              <w:rPr>
                                <w:rFonts w:ascii="Arial" w:hAnsi="Arial"/>
                                <w:sz w:val="20"/>
                              </w:rPr>
                              <w:t xml:space="preserve">Focus on communicating main attributes: profitability and backing by Credicorp. </w:t>
                            </w:r>
                          </w:p>
                        </w:tc>
                      </w:tr>
                    </w:tbl>
                    <w:tbl>
                      <w:tblPr>
                        <w:tblW w:w="5000" w:type="pct"/>
                        <w:jc w:val="left"/>
                        <w:tblInd w:w="0" w:type="dxa"/>
                        <w:tblLayout w:type="fixed"/>
                        <w:tblCellMar>
                          <w:top w:w="0" w:type="dxa"/>
                          <w:left w:w="0" w:type="dxa"/>
                          <w:bottom w:w="0" w:type="dxa"/>
                          <w:right w:w="0" w:type="dxa"/>
                        </w:tblCellMar>
                      </w:tblPr>
                      <w:tblGrid>
                        <w:gridCol w:w="31"/>
                        <w:gridCol w:w="189"/>
                        <w:gridCol w:w="4678"/>
                      </w:tblGrid>
                      <w:tr>
                        <w:trPr/>
                        <w:tc>
                          <w:tcPr>
                            <w:tcW w:w="3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drawing>
                                <wp:inline distT="0" distB="0" distL="0" distR="0">
                                  <wp:extent cx="142875" cy="104775"/>
                                  <wp:effectExtent l="0" t="0" r="0" b="0"/>
                                  <wp:docPr id="168"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80" descr=""/>
                                          <pic:cNvPicPr>
                                            <a:picLocks noChangeAspect="1" noChangeArrowheads="1"/>
                                          </pic:cNvPicPr>
                                        </pic:nvPicPr>
                                        <pic:blipFill>
                                          <a:blip r:embed="rId124"/>
                                          <a:stretch>
                                            <a:fillRect/>
                                          </a:stretch>
                                        </pic:blipFill>
                                        <pic:spPr bwMode="auto">
                                          <a:xfrm>
                                            <a:off x="0" y="0"/>
                                            <a:ext cx="142875" cy="104775"/>
                                          </a:xfrm>
                                          <a:prstGeom prst="rect">
                                            <a:avLst/>
                                          </a:prstGeom>
                                        </pic:spPr>
                                      </pic:pic>
                                    </a:graphicData>
                                  </a:graphic>
                                </wp:inline>
                              </w:drawing>
                            </w:r>
                          </w:p>
                        </w:tc>
                        <w:tc>
                          <w:tcPr>
                            <w:tcW w:w="4678" w:type="dxa"/>
                            <w:tcBorders/>
                            <w:vAlign w:val="center"/>
                          </w:tcPr>
                          <w:p>
                            <w:pPr>
                              <w:pStyle w:val="TableContents"/>
                              <w:bidi w:val="0"/>
                              <w:spacing w:before="0" w:after="283"/>
                              <w:jc w:val="both"/>
                              <w:rPr>
                                <w:rFonts w:ascii="Arial" w:hAnsi="Arial"/>
                                <w:sz w:val="20"/>
                              </w:rPr>
                            </w:pPr>
                            <w:r>
                              <w:rPr>
                                <w:rFonts w:ascii="Arial" w:hAnsi="Arial"/>
                                <w:sz w:val="20"/>
                              </w:rPr>
                              <w:t>Better communications focused on transparency and simplicity.</w:t>
                            </w:r>
                          </w:p>
                        </w:tc>
                      </w:tr>
                    </w:tbl>
                    <w:p>
                      <w:pPr>
                        <w:pStyle w:val="TextBody"/>
                        <w:bidi w:val="0"/>
                        <w:spacing w:before="0" w:after="283"/>
                        <w:jc w:val="left"/>
                        <w:rPr/>
                      </w:pPr>
                      <w:r>
                        <w:rPr/>
                      </w:r>
                    </w:p>
                  </w:txbxContent>
                </v:textbox>
                <w10:wrap type="topAndBottom"/>
              </v:rect>
            </w:pict>
          </mc:Fallback>
        </mc:AlternateConten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25</w:t>
      </w:r>
    </w:p>
    <w:p>
      <w:pPr>
        <w:pStyle w:val="HorizontalLine"/>
        <w:pBdr>
          <w:bottom w:val="single" w:sz="12" w:space="0" w:color="808080"/>
        </w:pBdr>
        <w:bidi w:val="0"/>
        <w:spacing w:before="200" w:after="200"/>
        <w:jc w:val="left"/>
        <w:rPr/>
      </w:pPr>
      <w:r>
        <w:rPr/>
      </w:r>
    </w:p>
    <w:p>
      <w:pPr>
        <w:pStyle w:val="TextBody"/>
        <w:bidi w:val="0"/>
        <w:spacing w:before="0" w:after="0"/>
        <w:ind w:left="0" w:right="780" w:hanging="0"/>
        <w:jc w:val="left"/>
        <w:rPr>
          <w:caps w:val="false"/>
          <w:smallCaps w:val="false"/>
          <w:color w:val="FE5000"/>
        </w:rPr>
      </w:pPr>
      <w:r>
        <w:rPr>
          <w:caps w:val="false"/>
          <w:smallCaps w:val="false"/>
          <w:color w:val="FE5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olumn">
                  <wp:align>right</wp:align>
                </wp:positionH>
                <wp:positionV relativeFrom="line">
                  <wp:posOffset>635</wp:posOffset>
                </wp:positionV>
                <wp:extent cx="3110230" cy="8210550"/>
                <wp:effectExtent l="0" t="0" r="0" b="0"/>
                <wp:wrapTopAndBottom/>
                <wp:docPr id="169" name="Frame49"/>
                <a:graphic xmlns:a="http://schemas.openxmlformats.org/drawingml/2006/main">
                  <a:graphicData uri="http://schemas.microsoft.com/office/word/2010/wordprocessingShape">
                    <wps:wsp>
                      <wps:cNvSpPr txBox="1"/>
                      <wps:spPr>
                        <a:xfrm>
                          <a:off x="0" y="0"/>
                          <a:ext cx="3110230" cy="8210550"/>
                        </a:xfrm>
                        <a:prstGeom prst="rect"/>
                        <a:solidFill>
                          <a:srgbClr val="FFFFFF"/>
                        </a:solidFill>
                      </wps:spPr>
                      <wps:txbx>
                        <w:txbxContent>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Through streamed management, we ensure our employees have the right conditions to reach their full potential and then excel and become the best version of themselves.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3810000" cy="1495425"/>
                                  <wp:effectExtent l="0" t="0" r="0" b="0"/>
                                  <wp:docPr id="170"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81" descr=""/>
                                          <pic:cNvPicPr>
                                            <a:picLocks noChangeAspect="1" noChangeArrowheads="1"/>
                                          </pic:cNvPicPr>
                                        </pic:nvPicPr>
                                        <pic:blipFill>
                                          <a:blip r:embed="rId125"/>
                                          <a:stretch>
                                            <a:fillRect/>
                                          </a:stretch>
                                        </pic:blipFill>
                                        <pic:spPr bwMode="auto">
                                          <a:xfrm>
                                            <a:off x="0" y="0"/>
                                            <a:ext cx="3810000" cy="149542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86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2.2.1. Leadership management and development: Credicorp corporate talent management</w:t>
                            </w:r>
                          </w:p>
                          <w:p>
                            <w:pPr>
                              <w:pStyle w:val="TextBody"/>
                              <w:bidi w:val="0"/>
                              <w:spacing w:before="0" w:after="0"/>
                              <w:ind w:left="0" w:right="860" w:hanging="0"/>
                              <w:jc w:val="left"/>
                              <w:rPr>
                                <w:caps w:val="false"/>
                                <w:smallCaps w:val="false"/>
                                <w:color w:val="FE5000"/>
                              </w:rPr>
                            </w:pPr>
                            <w:r>
                              <w:rPr>
                                <w:caps w:val="false"/>
                                <w:smallCaps w:val="false"/>
                                <w:color w:val="FE5000"/>
                              </w:rPr>
                              <w:t> </w:t>
                            </w:r>
                          </w:p>
                          <w:p>
                            <w:pPr>
                              <w:pStyle w:val="TextBody"/>
                              <w:bidi w:val="0"/>
                              <w:spacing w:before="0" w:after="0"/>
                              <w:ind w:left="0" w:right="380" w:hanging="0"/>
                              <w:jc w:val="left"/>
                              <w:rPr>
                                <w:rFonts w:ascii="Arial" w:hAnsi="Arial"/>
                                <w:b w:val="false"/>
                                <w:i w:val="false"/>
                                <w:caps w:val="false"/>
                                <w:smallCaps w:val="false"/>
                                <w:sz w:val="20"/>
                              </w:rPr>
                            </w:pPr>
                            <w:r>
                              <w:rPr>
                                <w:rFonts w:ascii="Arial" w:hAnsi="Arial"/>
                                <w:b w:val="false"/>
                                <w:i w:val="false"/>
                                <w:caps w:val="false"/>
                                <w:smallCaps w:val="false"/>
                                <w:sz w:val="20"/>
                              </w:rPr>
                              <w:t>Management for the executive segment follows a corporate approach resting on four pillars: </w:t>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4700" w:type="dxa"/>
                              <w:jc w:val="left"/>
                              <w:tblInd w:w="0" w:type="dxa"/>
                              <w:tblLayout w:type="fixed"/>
                              <w:tblCellMar>
                                <w:top w:w="0" w:type="dxa"/>
                                <w:left w:w="0" w:type="dxa"/>
                                <w:bottom w:w="0" w:type="dxa"/>
                                <w:right w:w="0" w:type="dxa"/>
                              </w:tblCellMar>
                            </w:tblPr>
                            <w:tblGrid>
                              <w:gridCol w:w="1070"/>
                              <w:gridCol w:w="60"/>
                              <w:gridCol w:w="1130"/>
                              <w:gridCol w:w="60"/>
                              <w:gridCol w:w="1160"/>
                              <w:gridCol w:w="60"/>
                              <w:gridCol w:w="1160"/>
                            </w:tblGrid>
                            <w:tr>
                              <w:trPr/>
                              <w:tc>
                                <w:tcPr>
                                  <w:tcW w:w="1070" w:type="dxa"/>
                                  <w:tcBorders/>
                                  <w:shd w:fill="000000" w:val="cle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0" w:type="dxa"/>
                                  <w:tcBorders/>
                                  <w:shd w:fill="000000" w:val="cle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tcBorders/>
                                  <w:shd w:fill="000000" w:val="cle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tcBorders/>
                                  <w:shd w:fill="000000" w:val="clear"/>
                                  <w:vAlign w:val="center"/>
                                </w:tcPr>
                                <w:p>
                                  <w:pPr>
                                    <w:pStyle w:val="TableContents"/>
                                    <w:bidi w:val="0"/>
                                    <w:spacing w:before="0" w:after="283"/>
                                    <w:jc w:val="center"/>
                                    <w:rPr/>
                                  </w:pPr>
                                  <w:r>
                                    <w:rPr/>
                                    <w:t> </w:t>
                                  </w:r>
                                </w:p>
                              </w:tc>
                            </w:tr>
                            <w:tr>
                              <w:trPr/>
                              <w:tc>
                                <w:tcPr>
                                  <w:tcW w:w="1070" w:type="dxa"/>
                                  <w:tcBorders/>
                                  <w:shd w:fill="000000" w:val="clear"/>
                                  <w:vAlign w:val="center"/>
                                </w:tcPr>
                                <w:p>
                                  <w:pPr>
                                    <w:pStyle w:val="TableContents"/>
                                    <w:bidi w:val="0"/>
                                    <w:spacing w:before="0" w:after="283"/>
                                    <w:jc w:val="center"/>
                                    <w:rPr>
                                      <w:rFonts w:ascii="Arial" w:hAnsi="Arial"/>
                                      <w:color w:val="FFFFFF"/>
                                      <w:sz w:val="20"/>
                                    </w:rPr>
                                  </w:pPr>
                                  <w:r>
                                    <w:rPr>
                                      <w:rFonts w:ascii="Arial" w:hAnsi="Arial"/>
                                      <w:color w:val="FFFFFF"/>
                                      <w:sz w:val="20"/>
                                    </w:rPr>
                                    <w:t>Attraction &amp;</w:t>
                                  </w:r>
                                </w:p>
                              </w:tc>
                              <w:tc>
                                <w:tcPr>
                                  <w:tcW w:w="60" w:type="dxa"/>
                                  <w:tcBorders/>
                                  <w:vAlign w:val="center"/>
                                </w:tcPr>
                                <w:p>
                                  <w:pPr>
                                    <w:pStyle w:val="TableContents"/>
                                    <w:bidi w:val="0"/>
                                    <w:spacing w:before="0" w:after="283"/>
                                    <w:jc w:val="center"/>
                                    <w:rPr/>
                                  </w:pPr>
                                  <w:r>
                                    <w:rPr/>
                                    <w:t> </w:t>
                                  </w:r>
                                </w:p>
                              </w:tc>
                              <w:tc>
                                <w:tcPr>
                                  <w:tcW w:w="1130" w:type="dxa"/>
                                  <w:tcBorders/>
                                  <w:shd w:fill="000000" w:val="clear"/>
                                  <w:vAlign w:val="center"/>
                                </w:tcPr>
                                <w:p>
                                  <w:pPr>
                                    <w:pStyle w:val="TableContents"/>
                                    <w:bidi w:val="0"/>
                                    <w:spacing w:before="0" w:after="283"/>
                                    <w:jc w:val="center"/>
                                    <w:rPr>
                                      <w:rFonts w:ascii="Arial" w:hAnsi="Arial"/>
                                      <w:color w:val="FFFFFF"/>
                                      <w:sz w:val="20"/>
                                    </w:rPr>
                                  </w:pPr>
                                  <w:r>
                                    <w:rPr>
                                      <w:rFonts w:ascii="Arial" w:hAnsi="Arial"/>
                                      <w:color w:val="FFFFFF"/>
                                      <w:sz w:val="20"/>
                                    </w:rPr>
                                    <w:t>Performance</w:t>
                                  </w:r>
                                </w:p>
                              </w:tc>
                              <w:tc>
                                <w:tcPr>
                                  <w:tcW w:w="60" w:type="dxa"/>
                                  <w:tcBorders/>
                                  <w:vAlign w:val="center"/>
                                </w:tcPr>
                                <w:p>
                                  <w:pPr>
                                    <w:pStyle w:val="TableContents"/>
                                    <w:bidi w:val="0"/>
                                    <w:spacing w:before="0" w:after="283"/>
                                    <w:jc w:val="center"/>
                                    <w:rPr/>
                                  </w:pPr>
                                  <w:r>
                                    <w:rPr/>
                                    <w:t> </w:t>
                                  </w:r>
                                </w:p>
                              </w:tc>
                              <w:tc>
                                <w:tcPr>
                                  <w:tcW w:w="1160" w:type="dxa"/>
                                  <w:tcBorders/>
                                  <w:shd w:fill="000000" w:val="clear"/>
                                  <w:vAlign w:val="center"/>
                                </w:tcPr>
                                <w:p>
                                  <w:pPr>
                                    <w:pStyle w:val="TableContents"/>
                                    <w:bidi w:val="0"/>
                                    <w:spacing w:before="0" w:after="283"/>
                                    <w:jc w:val="center"/>
                                    <w:rPr>
                                      <w:rFonts w:ascii="Arial" w:hAnsi="Arial"/>
                                      <w:color w:val="FFFFFF"/>
                                      <w:sz w:val="20"/>
                                    </w:rPr>
                                  </w:pPr>
                                  <w:r>
                                    <w:rPr>
                                      <w:rFonts w:ascii="Arial" w:hAnsi="Arial"/>
                                      <w:color w:val="FFFFFF"/>
                                      <w:sz w:val="20"/>
                                    </w:rPr>
                                    <w:t>Development</w:t>
                                  </w:r>
                                </w:p>
                              </w:tc>
                              <w:tc>
                                <w:tcPr>
                                  <w:tcW w:w="60" w:type="dxa"/>
                                  <w:tcBorders/>
                                  <w:vAlign w:val="center"/>
                                </w:tcPr>
                                <w:p>
                                  <w:pPr>
                                    <w:pStyle w:val="TableContents"/>
                                    <w:bidi w:val="0"/>
                                    <w:spacing w:before="0" w:after="283"/>
                                    <w:jc w:val="center"/>
                                    <w:rPr/>
                                  </w:pPr>
                                  <w:r>
                                    <w:rPr/>
                                    <w:t> </w:t>
                                  </w:r>
                                </w:p>
                              </w:tc>
                              <w:tc>
                                <w:tcPr>
                                  <w:tcW w:w="1160" w:type="dxa"/>
                                  <w:tcBorders/>
                                  <w:shd w:fill="000000" w:val="clear"/>
                                  <w:vAlign w:val="center"/>
                                </w:tcPr>
                                <w:p>
                                  <w:pPr>
                                    <w:pStyle w:val="TableContents"/>
                                    <w:bidi w:val="0"/>
                                    <w:spacing w:before="0" w:after="283"/>
                                    <w:jc w:val="center"/>
                                    <w:rPr>
                                      <w:rFonts w:ascii="Arial" w:hAnsi="Arial"/>
                                      <w:color w:val="FFFFFF"/>
                                      <w:sz w:val="20"/>
                                    </w:rPr>
                                  </w:pPr>
                                  <w:r>
                                    <w:rPr>
                                      <w:rFonts w:ascii="Arial" w:hAnsi="Arial"/>
                                      <w:color w:val="FFFFFF"/>
                                      <w:sz w:val="20"/>
                                    </w:rPr>
                                    <w:t>Best Top</w:t>
                                  </w:r>
                                </w:p>
                              </w:tc>
                            </w:tr>
                            <w:tr>
                              <w:trPr/>
                              <w:tc>
                                <w:tcPr>
                                  <w:tcW w:w="1070" w:type="dxa"/>
                                  <w:tcBorders/>
                                  <w:shd w:fill="000000" w:val="clear"/>
                                  <w:vAlign w:val="center"/>
                                </w:tcPr>
                                <w:p>
                                  <w:pPr>
                                    <w:pStyle w:val="TableContents"/>
                                    <w:bidi w:val="0"/>
                                    <w:spacing w:before="0" w:after="283"/>
                                    <w:jc w:val="center"/>
                                    <w:rPr>
                                      <w:rFonts w:ascii="Arial" w:hAnsi="Arial"/>
                                      <w:color w:val="FFFFFF"/>
                                      <w:sz w:val="20"/>
                                    </w:rPr>
                                  </w:pPr>
                                  <w:r>
                                    <w:rPr>
                                      <w:rFonts w:ascii="Arial" w:hAnsi="Arial"/>
                                      <w:color w:val="FFFFFF"/>
                                      <w:sz w:val="20"/>
                                    </w:rPr>
                                    <w:t>Employer</w:t>
                                  </w:r>
                                </w:p>
                              </w:tc>
                              <w:tc>
                                <w:tcPr>
                                  <w:tcW w:w="60" w:type="dxa"/>
                                  <w:tcBorders/>
                                  <w:vAlign w:val="center"/>
                                </w:tcPr>
                                <w:p>
                                  <w:pPr>
                                    <w:pStyle w:val="TableContents"/>
                                    <w:bidi w:val="0"/>
                                    <w:spacing w:before="0" w:after="283"/>
                                    <w:jc w:val="center"/>
                                    <w:rPr/>
                                  </w:pPr>
                                  <w:r>
                                    <w:rPr/>
                                    <w:t> </w:t>
                                  </w:r>
                                </w:p>
                              </w:tc>
                              <w:tc>
                                <w:tcPr>
                                  <w:tcW w:w="1130" w:type="dxa"/>
                                  <w:tcBorders/>
                                  <w:shd w:fill="000000" w:val="clear"/>
                                  <w:vAlign w:val="center"/>
                                </w:tcPr>
                                <w:p>
                                  <w:pPr>
                                    <w:pStyle w:val="TableContents"/>
                                    <w:bidi w:val="0"/>
                                    <w:spacing w:before="0" w:after="283"/>
                                    <w:jc w:val="center"/>
                                    <w:rPr>
                                      <w:rFonts w:ascii="Arial" w:hAnsi="Arial"/>
                                      <w:color w:val="FFFFFF"/>
                                      <w:sz w:val="20"/>
                                    </w:rPr>
                                  </w:pPr>
                                  <w:r>
                                    <w:rPr>
                                      <w:rFonts w:ascii="Arial" w:hAnsi="Arial"/>
                                      <w:color w:val="FFFFFF"/>
                                      <w:sz w:val="20"/>
                                    </w:rPr>
                                    <w:t>&amp; Total</w:t>
                                  </w:r>
                                </w:p>
                              </w:tc>
                              <w:tc>
                                <w:tcPr>
                                  <w:tcW w:w="60" w:type="dxa"/>
                                  <w:tcBorders/>
                                  <w:vAlign w:val="center"/>
                                </w:tcPr>
                                <w:p>
                                  <w:pPr>
                                    <w:pStyle w:val="TableContents"/>
                                    <w:bidi w:val="0"/>
                                    <w:spacing w:before="0" w:after="283"/>
                                    <w:jc w:val="center"/>
                                    <w:rPr/>
                                  </w:pPr>
                                  <w:r>
                                    <w:rPr/>
                                    <w:t> </w:t>
                                  </w:r>
                                </w:p>
                              </w:tc>
                              <w:tc>
                                <w:tcPr>
                                  <w:tcW w:w="1160" w:type="dxa"/>
                                  <w:tcBorders/>
                                  <w:shd w:fill="000000" w:val="clear"/>
                                  <w:vAlign w:val="center"/>
                                </w:tcPr>
                                <w:p>
                                  <w:pPr>
                                    <w:pStyle w:val="TableContents"/>
                                    <w:bidi w:val="0"/>
                                    <w:spacing w:before="0" w:after="283"/>
                                    <w:jc w:val="center"/>
                                    <w:rPr>
                                      <w:rFonts w:ascii="Arial" w:hAnsi="Arial"/>
                                      <w:color w:val="FFFFFF"/>
                                      <w:sz w:val="20"/>
                                    </w:rPr>
                                  </w:pPr>
                                  <w:r>
                                    <w:rPr>
                                      <w:rFonts w:ascii="Arial" w:hAnsi="Arial"/>
                                      <w:color w:val="FFFFFF"/>
                                      <w:sz w:val="20"/>
                                    </w:rPr>
                                    <w:t>&amp; Leadership</w:t>
                                  </w:r>
                                </w:p>
                              </w:tc>
                              <w:tc>
                                <w:tcPr>
                                  <w:tcW w:w="60" w:type="dxa"/>
                                  <w:tcBorders/>
                                  <w:vAlign w:val="center"/>
                                </w:tcPr>
                                <w:p>
                                  <w:pPr>
                                    <w:pStyle w:val="TableContents"/>
                                    <w:bidi w:val="0"/>
                                    <w:spacing w:before="0" w:after="283"/>
                                    <w:jc w:val="center"/>
                                    <w:rPr/>
                                  </w:pPr>
                                  <w:r>
                                    <w:rPr/>
                                    <w:t> </w:t>
                                  </w:r>
                                </w:p>
                              </w:tc>
                              <w:tc>
                                <w:tcPr>
                                  <w:tcW w:w="1160" w:type="dxa"/>
                                  <w:tcBorders/>
                                  <w:shd w:fill="000000" w:val="clear"/>
                                  <w:vAlign w:val="center"/>
                                </w:tcPr>
                                <w:p>
                                  <w:pPr>
                                    <w:pStyle w:val="TableContents"/>
                                    <w:bidi w:val="0"/>
                                    <w:spacing w:before="0" w:after="283"/>
                                    <w:jc w:val="center"/>
                                    <w:rPr>
                                      <w:rFonts w:ascii="Arial" w:hAnsi="Arial"/>
                                      <w:color w:val="FFFFFF"/>
                                      <w:sz w:val="20"/>
                                    </w:rPr>
                                  </w:pPr>
                                  <w:r>
                                    <w:rPr>
                                      <w:rFonts w:ascii="Arial" w:hAnsi="Arial"/>
                                      <w:color w:val="FFFFFF"/>
                                      <w:sz w:val="20"/>
                                    </w:rPr>
                                    <w:t>Management</w:t>
                                  </w:r>
                                </w:p>
                              </w:tc>
                            </w:tr>
                            <w:tr>
                              <w:trPr/>
                              <w:tc>
                                <w:tcPr>
                                  <w:tcW w:w="1070" w:type="dxa"/>
                                  <w:tcBorders/>
                                  <w:shd w:fill="000000" w:val="clear"/>
                                  <w:vAlign w:val="center"/>
                                </w:tcPr>
                                <w:p>
                                  <w:pPr>
                                    <w:pStyle w:val="TableContents"/>
                                    <w:bidi w:val="0"/>
                                    <w:spacing w:before="0" w:after="283"/>
                                    <w:jc w:val="center"/>
                                    <w:rPr>
                                      <w:rFonts w:ascii="Arial" w:hAnsi="Arial"/>
                                      <w:color w:val="FFFFFF"/>
                                      <w:sz w:val="20"/>
                                    </w:rPr>
                                  </w:pPr>
                                  <w:r>
                                    <w:rPr>
                                      <w:rFonts w:ascii="Arial" w:hAnsi="Arial"/>
                                      <w:color w:val="FFFFFF"/>
                                      <w:sz w:val="20"/>
                                    </w:rPr>
                                    <w:t>Brand</w:t>
                                  </w:r>
                                </w:p>
                              </w:tc>
                              <w:tc>
                                <w:tcPr>
                                  <w:tcW w:w="60" w:type="dxa"/>
                                  <w:tcBorders/>
                                  <w:vAlign w:val="center"/>
                                </w:tcPr>
                                <w:p>
                                  <w:pPr>
                                    <w:pStyle w:val="TableContents"/>
                                    <w:bidi w:val="0"/>
                                    <w:spacing w:before="0" w:after="283"/>
                                    <w:jc w:val="center"/>
                                    <w:rPr/>
                                  </w:pPr>
                                  <w:r>
                                    <w:rPr/>
                                    <w:t> </w:t>
                                  </w:r>
                                </w:p>
                              </w:tc>
                              <w:tc>
                                <w:tcPr>
                                  <w:tcW w:w="1130" w:type="dxa"/>
                                  <w:tcBorders/>
                                  <w:shd w:fill="000000" w:val="clear"/>
                                  <w:vAlign w:val="center"/>
                                </w:tcPr>
                                <w:p>
                                  <w:pPr>
                                    <w:pStyle w:val="TableContents"/>
                                    <w:bidi w:val="0"/>
                                    <w:spacing w:before="0" w:after="283"/>
                                    <w:jc w:val="center"/>
                                    <w:rPr>
                                      <w:rFonts w:ascii="Arial" w:hAnsi="Arial"/>
                                      <w:color w:val="FFFFFF"/>
                                      <w:sz w:val="20"/>
                                    </w:rPr>
                                  </w:pPr>
                                  <w:r>
                                    <w:rPr>
                                      <w:rFonts w:ascii="Arial" w:hAnsi="Arial"/>
                                      <w:color w:val="FFFFFF"/>
                                      <w:sz w:val="20"/>
                                    </w:rPr>
                                    <w:t>Rewards</w:t>
                                  </w:r>
                                </w:p>
                              </w:tc>
                              <w:tc>
                                <w:tcPr>
                                  <w:tcW w:w="60" w:type="dxa"/>
                                  <w:tcBorders/>
                                  <w:vAlign w:val="center"/>
                                </w:tcPr>
                                <w:p>
                                  <w:pPr>
                                    <w:pStyle w:val="TableContents"/>
                                    <w:bidi w:val="0"/>
                                    <w:spacing w:before="0" w:after="283"/>
                                    <w:jc w:val="center"/>
                                    <w:rPr/>
                                  </w:pPr>
                                  <w:r>
                                    <w:rPr/>
                                    <w:t> </w:t>
                                  </w:r>
                                </w:p>
                              </w:tc>
                              <w:tc>
                                <w:tcPr>
                                  <w:tcW w:w="1160" w:type="dxa"/>
                                  <w:tcBorders/>
                                  <w:shd w:fill="000000" w:val="cle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tcBorders/>
                                  <w:shd w:fill="000000" w:val="clear"/>
                                  <w:vAlign w:val="center"/>
                                </w:tcPr>
                                <w:p>
                                  <w:pPr>
                                    <w:pStyle w:val="TableContents"/>
                                    <w:bidi w:val="0"/>
                                    <w:spacing w:before="0" w:after="283"/>
                                    <w:jc w:val="center"/>
                                    <w:rPr/>
                                  </w:pPr>
                                  <w:r>
                                    <w:rPr/>
                                    <w:t> </w:t>
                                  </w:r>
                                </w:p>
                              </w:tc>
                            </w:tr>
                            <w:tr>
                              <w:trPr/>
                              <w:tc>
                                <w:tcPr>
                                  <w:tcW w:w="1070" w:type="dxa"/>
                                  <w:tcBorders/>
                                  <w:shd w:fill="000000" w:val="cle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0" w:type="dxa"/>
                                  <w:tcBorders/>
                                  <w:shd w:fill="000000" w:val="cle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tcBorders/>
                                  <w:shd w:fill="000000" w:val="cle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tcBorders/>
                                  <w:shd w:fill="000000" w:val="cle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2.2.1.1. Attraction and the Credicorp employer brand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Our proactive recruitment approach aims to identify the right professionals for both existing positions and future senior roles. We have developed a long-term vision that enables us to meet immediate needs while building a strong and diverse team that is aligned with our strategic priorities going forward.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As we reinforce our “Passion for Talent” mindset, we are strengthening our leadership training to manage the attraction, recruitment, and selection processes so these identify and attract highly qualified professionals.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46.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Through streamed management, we ensure our employees have the right conditions to reach their full potential and then excel and become the best version of themselves.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3810000" cy="1495425"/>
                            <wp:effectExtent l="0" t="0" r="0" b="0"/>
                            <wp:docPr id="17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81" descr=""/>
                                    <pic:cNvPicPr>
                                      <a:picLocks noChangeAspect="1" noChangeArrowheads="1"/>
                                    </pic:cNvPicPr>
                                  </pic:nvPicPr>
                                  <pic:blipFill>
                                    <a:blip r:embed="rId126"/>
                                    <a:stretch>
                                      <a:fillRect/>
                                    </a:stretch>
                                  </pic:blipFill>
                                  <pic:spPr bwMode="auto">
                                    <a:xfrm>
                                      <a:off x="0" y="0"/>
                                      <a:ext cx="3810000" cy="149542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86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2.2.1. Leadership management and development: Credicorp corporate talent management</w:t>
                      </w:r>
                    </w:p>
                    <w:p>
                      <w:pPr>
                        <w:pStyle w:val="TextBody"/>
                        <w:bidi w:val="0"/>
                        <w:spacing w:before="0" w:after="0"/>
                        <w:ind w:left="0" w:right="860" w:hanging="0"/>
                        <w:jc w:val="left"/>
                        <w:rPr>
                          <w:caps w:val="false"/>
                          <w:smallCaps w:val="false"/>
                          <w:color w:val="FE5000"/>
                        </w:rPr>
                      </w:pPr>
                      <w:r>
                        <w:rPr>
                          <w:caps w:val="false"/>
                          <w:smallCaps w:val="false"/>
                          <w:color w:val="FE5000"/>
                        </w:rPr>
                        <w:t> </w:t>
                      </w:r>
                    </w:p>
                    <w:p>
                      <w:pPr>
                        <w:pStyle w:val="TextBody"/>
                        <w:bidi w:val="0"/>
                        <w:spacing w:before="0" w:after="0"/>
                        <w:ind w:left="0" w:right="380" w:hanging="0"/>
                        <w:jc w:val="left"/>
                        <w:rPr>
                          <w:rFonts w:ascii="Arial" w:hAnsi="Arial"/>
                          <w:b w:val="false"/>
                          <w:i w:val="false"/>
                          <w:caps w:val="false"/>
                          <w:smallCaps w:val="false"/>
                          <w:sz w:val="20"/>
                        </w:rPr>
                      </w:pPr>
                      <w:r>
                        <w:rPr>
                          <w:rFonts w:ascii="Arial" w:hAnsi="Arial"/>
                          <w:b w:val="false"/>
                          <w:i w:val="false"/>
                          <w:caps w:val="false"/>
                          <w:smallCaps w:val="false"/>
                          <w:sz w:val="20"/>
                        </w:rPr>
                        <w:t>Management for the executive segment follows a corporate approach resting on four pillars: </w:t>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4700" w:type="dxa"/>
                        <w:jc w:val="left"/>
                        <w:tblInd w:w="0" w:type="dxa"/>
                        <w:tblLayout w:type="fixed"/>
                        <w:tblCellMar>
                          <w:top w:w="0" w:type="dxa"/>
                          <w:left w:w="0" w:type="dxa"/>
                          <w:bottom w:w="0" w:type="dxa"/>
                          <w:right w:w="0" w:type="dxa"/>
                        </w:tblCellMar>
                      </w:tblPr>
                      <w:tblGrid>
                        <w:gridCol w:w="1070"/>
                        <w:gridCol w:w="60"/>
                        <w:gridCol w:w="1130"/>
                        <w:gridCol w:w="60"/>
                        <w:gridCol w:w="1160"/>
                        <w:gridCol w:w="60"/>
                        <w:gridCol w:w="1160"/>
                      </w:tblGrid>
                      <w:tr>
                        <w:trPr/>
                        <w:tc>
                          <w:tcPr>
                            <w:tcW w:w="1070" w:type="dxa"/>
                            <w:tcBorders/>
                            <w:shd w:fill="000000" w:val="cle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0" w:type="dxa"/>
                            <w:tcBorders/>
                            <w:shd w:fill="000000" w:val="cle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tcBorders/>
                            <w:shd w:fill="000000" w:val="cle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tcBorders/>
                            <w:shd w:fill="000000" w:val="clear"/>
                            <w:vAlign w:val="center"/>
                          </w:tcPr>
                          <w:p>
                            <w:pPr>
                              <w:pStyle w:val="TableContents"/>
                              <w:bidi w:val="0"/>
                              <w:spacing w:before="0" w:after="283"/>
                              <w:jc w:val="center"/>
                              <w:rPr/>
                            </w:pPr>
                            <w:r>
                              <w:rPr/>
                              <w:t> </w:t>
                            </w:r>
                          </w:p>
                        </w:tc>
                      </w:tr>
                      <w:tr>
                        <w:trPr/>
                        <w:tc>
                          <w:tcPr>
                            <w:tcW w:w="1070" w:type="dxa"/>
                            <w:tcBorders/>
                            <w:shd w:fill="000000" w:val="clear"/>
                            <w:vAlign w:val="center"/>
                          </w:tcPr>
                          <w:p>
                            <w:pPr>
                              <w:pStyle w:val="TableContents"/>
                              <w:bidi w:val="0"/>
                              <w:spacing w:before="0" w:after="283"/>
                              <w:jc w:val="center"/>
                              <w:rPr>
                                <w:rFonts w:ascii="Arial" w:hAnsi="Arial"/>
                                <w:color w:val="FFFFFF"/>
                                <w:sz w:val="20"/>
                              </w:rPr>
                            </w:pPr>
                            <w:r>
                              <w:rPr>
                                <w:rFonts w:ascii="Arial" w:hAnsi="Arial"/>
                                <w:color w:val="FFFFFF"/>
                                <w:sz w:val="20"/>
                              </w:rPr>
                              <w:t>Attraction &amp;</w:t>
                            </w:r>
                          </w:p>
                        </w:tc>
                        <w:tc>
                          <w:tcPr>
                            <w:tcW w:w="60" w:type="dxa"/>
                            <w:tcBorders/>
                            <w:vAlign w:val="center"/>
                          </w:tcPr>
                          <w:p>
                            <w:pPr>
                              <w:pStyle w:val="TableContents"/>
                              <w:bidi w:val="0"/>
                              <w:spacing w:before="0" w:after="283"/>
                              <w:jc w:val="center"/>
                              <w:rPr/>
                            </w:pPr>
                            <w:r>
                              <w:rPr/>
                              <w:t> </w:t>
                            </w:r>
                          </w:p>
                        </w:tc>
                        <w:tc>
                          <w:tcPr>
                            <w:tcW w:w="1130" w:type="dxa"/>
                            <w:tcBorders/>
                            <w:shd w:fill="000000" w:val="clear"/>
                            <w:vAlign w:val="center"/>
                          </w:tcPr>
                          <w:p>
                            <w:pPr>
                              <w:pStyle w:val="TableContents"/>
                              <w:bidi w:val="0"/>
                              <w:spacing w:before="0" w:after="283"/>
                              <w:jc w:val="center"/>
                              <w:rPr>
                                <w:rFonts w:ascii="Arial" w:hAnsi="Arial"/>
                                <w:color w:val="FFFFFF"/>
                                <w:sz w:val="20"/>
                              </w:rPr>
                            </w:pPr>
                            <w:r>
                              <w:rPr>
                                <w:rFonts w:ascii="Arial" w:hAnsi="Arial"/>
                                <w:color w:val="FFFFFF"/>
                                <w:sz w:val="20"/>
                              </w:rPr>
                              <w:t>Performance</w:t>
                            </w:r>
                          </w:p>
                        </w:tc>
                        <w:tc>
                          <w:tcPr>
                            <w:tcW w:w="60" w:type="dxa"/>
                            <w:tcBorders/>
                            <w:vAlign w:val="center"/>
                          </w:tcPr>
                          <w:p>
                            <w:pPr>
                              <w:pStyle w:val="TableContents"/>
                              <w:bidi w:val="0"/>
                              <w:spacing w:before="0" w:after="283"/>
                              <w:jc w:val="center"/>
                              <w:rPr/>
                            </w:pPr>
                            <w:r>
                              <w:rPr/>
                              <w:t> </w:t>
                            </w:r>
                          </w:p>
                        </w:tc>
                        <w:tc>
                          <w:tcPr>
                            <w:tcW w:w="1160" w:type="dxa"/>
                            <w:tcBorders/>
                            <w:shd w:fill="000000" w:val="clear"/>
                            <w:vAlign w:val="center"/>
                          </w:tcPr>
                          <w:p>
                            <w:pPr>
                              <w:pStyle w:val="TableContents"/>
                              <w:bidi w:val="0"/>
                              <w:spacing w:before="0" w:after="283"/>
                              <w:jc w:val="center"/>
                              <w:rPr>
                                <w:rFonts w:ascii="Arial" w:hAnsi="Arial"/>
                                <w:color w:val="FFFFFF"/>
                                <w:sz w:val="20"/>
                              </w:rPr>
                            </w:pPr>
                            <w:r>
                              <w:rPr>
                                <w:rFonts w:ascii="Arial" w:hAnsi="Arial"/>
                                <w:color w:val="FFFFFF"/>
                                <w:sz w:val="20"/>
                              </w:rPr>
                              <w:t>Development</w:t>
                            </w:r>
                          </w:p>
                        </w:tc>
                        <w:tc>
                          <w:tcPr>
                            <w:tcW w:w="60" w:type="dxa"/>
                            <w:tcBorders/>
                            <w:vAlign w:val="center"/>
                          </w:tcPr>
                          <w:p>
                            <w:pPr>
                              <w:pStyle w:val="TableContents"/>
                              <w:bidi w:val="0"/>
                              <w:spacing w:before="0" w:after="283"/>
                              <w:jc w:val="center"/>
                              <w:rPr/>
                            </w:pPr>
                            <w:r>
                              <w:rPr/>
                              <w:t> </w:t>
                            </w:r>
                          </w:p>
                        </w:tc>
                        <w:tc>
                          <w:tcPr>
                            <w:tcW w:w="1160" w:type="dxa"/>
                            <w:tcBorders/>
                            <w:shd w:fill="000000" w:val="clear"/>
                            <w:vAlign w:val="center"/>
                          </w:tcPr>
                          <w:p>
                            <w:pPr>
                              <w:pStyle w:val="TableContents"/>
                              <w:bidi w:val="0"/>
                              <w:spacing w:before="0" w:after="283"/>
                              <w:jc w:val="center"/>
                              <w:rPr>
                                <w:rFonts w:ascii="Arial" w:hAnsi="Arial"/>
                                <w:color w:val="FFFFFF"/>
                                <w:sz w:val="20"/>
                              </w:rPr>
                            </w:pPr>
                            <w:r>
                              <w:rPr>
                                <w:rFonts w:ascii="Arial" w:hAnsi="Arial"/>
                                <w:color w:val="FFFFFF"/>
                                <w:sz w:val="20"/>
                              </w:rPr>
                              <w:t>Best Top</w:t>
                            </w:r>
                          </w:p>
                        </w:tc>
                      </w:tr>
                      <w:tr>
                        <w:trPr/>
                        <w:tc>
                          <w:tcPr>
                            <w:tcW w:w="1070" w:type="dxa"/>
                            <w:tcBorders/>
                            <w:shd w:fill="000000" w:val="clear"/>
                            <w:vAlign w:val="center"/>
                          </w:tcPr>
                          <w:p>
                            <w:pPr>
                              <w:pStyle w:val="TableContents"/>
                              <w:bidi w:val="0"/>
                              <w:spacing w:before="0" w:after="283"/>
                              <w:jc w:val="center"/>
                              <w:rPr>
                                <w:rFonts w:ascii="Arial" w:hAnsi="Arial"/>
                                <w:color w:val="FFFFFF"/>
                                <w:sz w:val="20"/>
                              </w:rPr>
                            </w:pPr>
                            <w:r>
                              <w:rPr>
                                <w:rFonts w:ascii="Arial" w:hAnsi="Arial"/>
                                <w:color w:val="FFFFFF"/>
                                <w:sz w:val="20"/>
                              </w:rPr>
                              <w:t>Employer</w:t>
                            </w:r>
                          </w:p>
                        </w:tc>
                        <w:tc>
                          <w:tcPr>
                            <w:tcW w:w="60" w:type="dxa"/>
                            <w:tcBorders/>
                            <w:vAlign w:val="center"/>
                          </w:tcPr>
                          <w:p>
                            <w:pPr>
                              <w:pStyle w:val="TableContents"/>
                              <w:bidi w:val="0"/>
                              <w:spacing w:before="0" w:after="283"/>
                              <w:jc w:val="center"/>
                              <w:rPr/>
                            </w:pPr>
                            <w:r>
                              <w:rPr/>
                              <w:t> </w:t>
                            </w:r>
                          </w:p>
                        </w:tc>
                        <w:tc>
                          <w:tcPr>
                            <w:tcW w:w="1130" w:type="dxa"/>
                            <w:tcBorders/>
                            <w:shd w:fill="000000" w:val="clear"/>
                            <w:vAlign w:val="center"/>
                          </w:tcPr>
                          <w:p>
                            <w:pPr>
                              <w:pStyle w:val="TableContents"/>
                              <w:bidi w:val="0"/>
                              <w:spacing w:before="0" w:after="283"/>
                              <w:jc w:val="center"/>
                              <w:rPr>
                                <w:rFonts w:ascii="Arial" w:hAnsi="Arial"/>
                                <w:color w:val="FFFFFF"/>
                                <w:sz w:val="20"/>
                              </w:rPr>
                            </w:pPr>
                            <w:r>
                              <w:rPr>
                                <w:rFonts w:ascii="Arial" w:hAnsi="Arial"/>
                                <w:color w:val="FFFFFF"/>
                                <w:sz w:val="20"/>
                              </w:rPr>
                              <w:t>&amp; Total</w:t>
                            </w:r>
                          </w:p>
                        </w:tc>
                        <w:tc>
                          <w:tcPr>
                            <w:tcW w:w="60" w:type="dxa"/>
                            <w:tcBorders/>
                            <w:vAlign w:val="center"/>
                          </w:tcPr>
                          <w:p>
                            <w:pPr>
                              <w:pStyle w:val="TableContents"/>
                              <w:bidi w:val="0"/>
                              <w:spacing w:before="0" w:after="283"/>
                              <w:jc w:val="center"/>
                              <w:rPr/>
                            </w:pPr>
                            <w:r>
                              <w:rPr/>
                              <w:t> </w:t>
                            </w:r>
                          </w:p>
                        </w:tc>
                        <w:tc>
                          <w:tcPr>
                            <w:tcW w:w="1160" w:type="dxa"/>
                            <w:tcBorders/>
                            <w:shd w:fill="000000" w:val="clear"/>
                            <w:vAlign w:val="center"/>
                          </w:tcPr>
                          <w:p>
                            <w:pPr>
                              <w:pStyle w:val="TableContents"/>
                              <w:bidi w:val="0"/>
                              <w:spacing w:before="0" w:after="283"/>
                              <w:jc w:val="center"/>
                              <w:rPr>
                                <w:rFonts w:ascii="Arial" w:hAnsi="Arial"/>
                                <w:color w:val="FFFFFF"/>
                                <w:sz w:val="20"/>
                              </w:rPr>
                            </w:pPr>
                            <w:r>
                              <w:rPr>
                                <w:rFonts w:ascii="Arial" w:hAnsi="Arial"/>
                                <w:color w:val="FFFFFF"/>
                                <w:sz w:val="20"/>
                              </w:rPr>
                              <w:t>&amp; Leadership</w:t>
                            </w:r>
                          </w:p>
                        </w:tc>
                        <w:tc>
                          <w:tcPr>
                            <w:tcW w:w="60" w:type="dxa"/>
                            <w:tcBorders/>
                            <w:vAlign w:val="center"/>
                          </w:tcPr>
                          <w:p>
                            <w:pPr>
                              <w:pStyle w:val="TableContents"/>
                              <w:bidi w:val="0"/>
                              <w:spacing w:before="0" w:after="283"/>
                              <w:jc w:val="center"/>
                              <w:rPr/>
                            </w:pPr>
                            <w:r>
                              <w:rPr/>
                              <w:t> </w:t>
                            </w:r>
                          </w:p>
                        </w:tc>
                        <w:tc>
                          <w:tcPr>
                            <w:tcW w:w="1160" w:type="dxa"/>
                            <w:tcBorders/>
                            <w:shd w:fill="000000" w:val="clear"/>
                            <w:vAlign w:val="center"/>
                          </w:tcPr>
                          <w:p>
                            <w:pPr>
                              <w:pStyle w:val="TableContents"/>
                              <w:bidi w:val="0"/>
                              <w:spacing w:before="0" w:after="283"/>
                              <w:jc w:val="center"/>
                              <w:rPr>
                                <w:rFonts w:ascii="Arial" w:hAnsi="Arial"/>
                                <w:color w:val="FFFFFF"/>
                                <w:sz w:val="20"/>
                              </w:rPr>
                            </w:pPr>
                            <w:r>
                              <w:rPr>
                                <w:rFonts w:ascii="Arial" w:hAnsi="Arial"/>
                                <w:color w:val="FFFFFF"/>
                                <w:sz w:val="20"/>
                              </w:rPr>
                              <w:t>Management</w:t>
                            </w:r>
                          </w:p>
                        </w:tc>
                      </w:tr>
                      <w:tr>
                        <w:trPr/>
                        <w:tc>
                          <w:tcPr>
                            <w:tcW w:w="1070" w:type="dxa"/>
                            <w:tcBorders/>
                            <w:shd w:fill="000000" w:val="clear"/>
                            <w:vAlign w:val="center"/>
                          </w:tcPr>
                          <w:p>
                            <w:pPr>
                              <w:pStyle w:val="TableContents"/>
                              <w:bidi w:val="0"/>
                              <w:spacing w:before="0" w:after="283"/>
                              <w:jc w:val="center"/>
                              <w:rPr>
                                <w:rFonts w:ascii="Arial" w:hAnsi="Arial"/>
                                <w:color w:val="FFFFFF"/>
                                <w:sz w:val="20"/>
                              </w:rPr>
                            </w:pPr>
                            <w:r>
                              <w:rPr>
                                <w:rFonts w:ascii="Arial" w:hAnsi="Arial"/>
                                <w:color w:val="FFFFFF"/>
                                <w:sz w:val="20"/>
                              </w:rPr>
                              <w:t>Brand</w:t>
                            </w:r>
                          </w:p>
                        </w:tc>
                        <w:tc>
                          <w:tcPr>
                            <w:tcW w:w="60" w:type="dxa"/>
                            <w:tcBorders/>
                            <w:vAlign w:val="center"/>
                          </w:tcPr>
                          <w:p>
                            <w:pPr>
                              <w:pStyle w:val="TableContents"/>
                              <w:bidi w:val="0"/>
                              <w:spacing w:before="0" w:after="283"/>
                              <w:jc w:val="center"/>
                              <w:rPr/>
                            </w:pPr>
                            <w:r>
                              <w:rPr/>
                              <w:t> </w:t>
                            </w:r>
                          </w:p>
                        </w:tc>
                        <w:tc>
                          <w:tcPr>
                            <w:tcW w:w="1130" w:type="dxa"/>
                            <w:tcBorders/>
                            <w:shd w:fill="000000" w:val="clear"/>
                            <w:vAlign w:val="center"/>
                          </w:tcPr>
                          <w:p>
                            <w:pPr>
                              <w:pStyle w:val="TableContents"/>
                              <w:bidi w:val="0"/>
                              <w:spacing w:before="0" w:after="283"/>
                              <w:jc w:val="center"/>
                              <w:rPr>
                                <w:rFonts w:ascii="Arial" w:hAnsi="Arial"/>
                                <w:color w:val="FFFFFF"/>
                                <w:sz w:val="20"/>
                              </w:rPr>
                            </w:pPr>
                            <w:r>
                              <w:rPr>
                                <w:rFonts w:ascii="Arial" w:hAnsi="Arial"/>
                                <w:color w:val="FFFFFF"/>
                                <w:sz w:val="20"/>
                              </w:rPr>
                              <w:t>Rewards</w:t>
                            </w:r>
                          </w:p>
                        </w:tc>
                        <w:tc>
                          <w:tcPr>
                            <w:tcW w:w="60" w:type="dxa"/>
                            <w:tcBorders/>
                            <w:vAlign w:val="center"/>
                          </w:tcPr>
                          <w:p>
                            <w:pPr>
                              <w:pStyle w:val="TableContents"/>
                              <w:bidi w:val="0"/>
                              <w:spacing w:before="0" w:after="283"/>
                              <w:jc w:val="center"/>
                              <w:rPr/>
                            </w:pPr>
                            <w:r>
                              <w:rPr/>
                              <w:t> </w:t>
                            </w:r>
                          </w:p>
                        </w:tc>
                        <w:tc>
                          <w:tcPr>
                            <w:tcW w:w="1160" w:type="dxa"/>
                            <w:tcBorders/>
                            <w:shd w:fill="000000" w:val="cle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tcBorders/>
                            <w:shd w:fill="000000" w:val="clear"/>
                            <w:vAlign w:val="center"/>
                          </w:tcPr>
                          <w:p>
                            <w:pPr>
                              <w:pStyle w:val="TableContents"/>
                              <w:bidi w:val="0"/>
                              <w:spacing w:before="0" w:after="283"/>
                              <w:jc w:val="center"/>
                              <w:rPr/>
                            </w:pPr>
                            <w:r>
                              <w:rPr/>
                              <w:t> </w:t>
                            </w:r>
                          </w:p>
                        </w:tc>
                      </w:tr>
                      <w:tr>
                        <w:trPr/>
                        <w:tc>
                          <w:tcPr>
                            <w:tcW w:w="1070" w:type="dxa"/>
                            <w:tcBorders/>
                            <w:shd w:fill="000000" w:val="cle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0" w:type="dxa"/>
                            <w:tcBorders/>
                            <w:shd w:fill="000000" w:val="cle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tcBorders/>
                            <w:shd w:fill="000000" w:val="cle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tcBorders/>
                            <w:shd w:fill="000000" w:val="cle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2.2.1.1. Attraction and the Credicorp employer brand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Our proactive recruitment approach aims to identify the right professionals for both existing positions and future senior roles. We have developed a long-term vision that enables us to meet immediate needs while building a strong and diverse team that is aligned with our strategic priorities going forward.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As we reinforce our “Passion for Talent” mindset, we are strengthening our leadership training to manage the attraction, recruitment, and selection processes so these identify and attract highly qualified professionals.</w:t>
                      </w:r>
                    </w:p>
                  </w:txbxContent>
                </v:textbox>
                <w10:wrap type="topAndBottom"/>
              </v:rect>
            </w:pict>
          </mc:Fallback>
        </mc:AlternateContent>
      </w:r>
      <w:r>
        <mc:AlternateContent>
          <mc:Choice Requires="wps">
            <w:drawing>
              <wp:anchor behindDoc="0" distT="0" distB="0" distL="0" distR="0" simplePos="0" locked="0" layoutInCell="1" allowOverlap="1" relativeHeight="268">
                <wp:simplePos x="0" y="0"/>
                <wp:positionH relativeFrom="column">
                  <wp:align>left</wp:align>
                </wp:positionH>
                <wp:positionV relativeFrom="line">
                  <wp:posOffset>635</wp:posOffset>
                </wp:positionV>
                <wp:extent cx="3110230" cy="9560560"/>
                <wp:effectExtent l="0" t="0" r="0" b="0"/>
                <wp:wrapTopAndBottom/>
                <wp:docPr id="172" name="Frame46"/>
                <a:graphic xmlns:a="http://schemas.openxmlformats.org/drawingml/2006/main">
                  <a:graphicData uri="http://schemas.microsoft.com/office/word/2010/wordprocessingShape">
                    <wps:wsp>
                      <wps:cNvSpPr txBox="1"/>
                      <wps:spPr>
                        <a:xfrm>
                          <a:off x="0" y="0"/>
                          <a:ext cx="3110230" cy="9560560"/>
                        </a:xfrm>
                        <a:prstGeom prst="rect"/>
                        <a:solidFill>
                          <a:srgbClr val="FFFFFF"/>
                        </a:solidFill>
                      </wps:spPr>
                      <wps:txbx>
                        <w:txbxContent>
                          <w:p>
                            <w:pPr>
                              <w:pStyle w:val="TextBody"/>
                              <w:bidi w:val="0"/>
                              <w:spacing w:before="0" w:after="0"/>
                              <w:ind w:left="0" w:right="78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2.2. THE SOCIAL IMPACT OF OUR OPERATIONS: EMPLOYEE MANAGEMENT</w:t>
                            </w:r>
                          </w:p>
                          <w:p>
                            <w:pPr>
                              <w:pStyle w:val="TextBody"/>
                              <w:bidi w:val="0"/>
                              <w:spacing w:before="0" w:after="0"/>
                              <w:ind w:left="0" w:right="780" w:hanging="0"/>
                              <w:jc w:val="left"/>
                              <w:rPr>
                                <w:caps w:val="false"/>
                                <w:smallCaps w:val="false"/>
                                <w:color w:val="FE5000"/>
                              </w:rPr>
                            </w:pPr>
                            <w:r>
                              <w:rPr>
                                <w:caps w:val="false"/>
                                <w:smallCaps w:val="false"/>
                                <w:color w:val="FE5000"/>
                              </w:rPr>
                              <w:t> </w:t>
                            </w:r>
                          </w:p>
                          <w:p>
                            <w:pPr>
                              <w:pStyle w:val="TextBody"/>
                              <w:bidi w:val="0"/>
                              <w:spacing w:before="0" w:after="0"/>
                              <w:ind w:left="0" w:right="420" w:hanging="0"/>
                              <w:jc w:val="left"/>
                              <w:rPr>
                                <w:rFonts w:ascii="Arial" w:hAnsi="Arial"/>
                                <w:b w:val="false"/>
                                <w:i w:val="false"/>
                                <w:caps w:val="false"/>
                                <w:smallCaps w:val="false"/>
                                <w:sz w:val="20"/>
                              </w:rPr>
                            </w:pPr>
                            <w:r>
                              <w:rPr>
                                <w:rFonts w:ascii="Arial" w:hAnsi="Arial"/>
                                <w:b w:val="false"/>
                                <w:i w:val="false"/>
                                <w:caps w:val="false"/>
                                <w:smallCaps w:val="false"/>
                                <w:sz w:val="20"/>
                              </w:rPr>
                              <w:t>Employment and talent management, inclusion of diversity and equal opportunities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GRI 3-3, 404-2, 405-1, 405-2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Credicorp’s ability to positively impact society starts with the employees of its own companies. Our most valuable asset is our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Arial" w:hAnsi="Arial"/>
                                <w:b/>
                                <w:i w:val="false"/>
                                <w:caps w:val="false"/>
                                <w:smallCaps w:val="false"/>
                                <w:color w:val="FE5000"/>
                                <w:sz w:val="48"/>
                              </w:rPr>
                            </w:pPr>
                            <w:r>
                              <w:rPr>
                                <w:rFonts w:ascii="Arial" w:hAnsi="Arial"/>
                                <w:b/>
                                <w:i w:val="false"/>
                                <w:caps w:val="false"/>
                                <w:smallCaps w:val="false"/>
                                <w:color w:val="FE5000"/>
                                <w:sz w:val="48"/>
                              </w:rPr>
                              <w:t>+37 thousand employees in 6 countries</w:t>
                            </w:r>
                          </w:p>
                          <w:p>
                            <w:pPr>
                              <w:pStyle w:val="TextBody"/>
                              <w:bidi w:val="0"/>
                              <w:spacing w:before="0" w:after="0"/>
                              <w:ind w:left="2380" w:right="400" w:hanging="1982"/>
                              <w:jc w:val="left"/>
                              <w:rPr>
                                <w:caps w:val="false"/>
                                <w:smallCaps w:val="false"/>
                                <w:color w:val="FE5000"/>
                              </w:rPr>
                            </w:pPr>
                            <w:r>
                              <w:rPr>
                                <w:caps w:val="false"/>
                                <w:smallCaps w:val="false"/>
                                <w:color w:val="FE5000"/>
                              </w:rPr>
                              <w:t> </w:t>
                            </w:r>
                          </w:p>
                          <w:p>
                            <w:pPr>
                              <w:pStyle w:val="TextBody"/>
                              <w:bidi w:val="0"/>
                              <w:spacing w:before="0" w:after="0"/>
                              <w:jc w:val="center"/>
                              <w:rPr>
                                <w:rFonts w:ascii="Arial" w:hAnsi="Arial"/>
                                <w:b/>
                                <w:i w:val="false"/>
                                <w:caps w:val="false"/>
                                <w:smallCaps w:val="false"/>
                                <w:color w:val="FE5000"/>
                                <w:sz w:val="30"/>
                              </w:rPr>
                            </w:pPr>
                            <w:r>
                              <w:rPr>
                                <w:rFonts w:ascii="Arial" w:hAnsi="Arial"/>
                                <w:b/>
                                <w:i w:val="false"/>
                                <w:caps w:val="false"/>
                                <w:smallCaps w:val="false"/>
                                <w:color w:val="FE5000"/>
                                <w:sz w:val="30"/>
                              </w:rPr>
                              <w:t>Solid governance and the highest management standards</w:t>
                            </w:r>
                          </w:p>
                          <w:p>
                            <w:pPr>
                              <w:pStyle w:val="TextBody"/>
                              <w:bidi w:val="0"/>
                              <w:spacing w:before="0" w:after="0"/>
                              <w:ind w:left="2700" w:right="400" w:hanging="2311"/>
                              <w:jc w:val="left"/>
                              <w:rPr>
                                <w:caps w:val="false"/>
                                <w:smallCaps w:val="false"/>
                                <w:color w:val="FE5000"/>
                              </w:rPr>
                            </w:pPr>
                            <w:r>
                              <w:rPr>
                                <w:caps w:val="false"/>
                                <w:smallCaps w:val="false"/>
                                <w:color w:val="FE5000"/>
                              </w:rPr>
                              <w:t> </w:t>
                            </w:r>
                          </w:p>
                          <w:p>
                            <w:pPr>
                              <w:pStyle w:val="TextBody"/>
                              <w:bidi w:val="0"/>
                              <w:spacing w:before="0" w:after="0"/>
                              <w:jc w:val="center"/>
                              <w:rPr>
                                <w:rFonts w:ascii="Arial" w:hAnsi="Arial"/>
                                <w:b/>
                                <w:i w:val="false"/>
                                <w:caps w:val="false"/>
                                <w:smallCaps w:val="false"/>
                                <w:sz w:val="20"/>
                              </w:rPr>
                            </w:pPr>
                            <w:r>
                              <w:rPr>
                                <w:rFonts w:ascii="Arial" w:hAnsi="Arial"/>
                                <w:b/>
                                <w:i w:val="false"/>
                                <w:caps w:val="false"/>
                                <w:smallCaps w:val="false"/>
                                <w:sz w:val="20"/>
                              </w:rPr>
                              <w:t>Distribution of our employees by company and country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r>
                          </w:p>
                          <w:p>
                            <w:pPr>
                              <w:pStyle w:val="TextBody"/>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 Subsidiaries outside the scope of the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 One person from Mexico is included.</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5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78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2.2. THE SOCIAL IMPACT OF OUR OPERATIONS: EMPLOYEE MANAGEMENT</w:t>
                      </w:r>
                    </w:p>
                    <w:p>
                      <w:pPr>
                        <w:pStyle w:val="TextBody"/>
                        <w:bidi w:val="0"/>
                        <w:spacing w:before="0" w:after="0"/>
                        <w:ind w:left="0" w:right="780" w:hanging="0"/>
                        <w:jc w:val="left"/>
                        <w:rPr>
                          <w:caps w:val="false"/>
                          <w:smallCaps w:val="false"/>
                          <w:color w:val="FE5000"/>
                        </w:rPr>
                      </w:pPr>
                      <w:r>
                        <w:rPr>
                          <w:caps w:val="false"/>
                          <w:smallCaps w:val="false"/>
                          <w:color w:val="FE5000"/>
                        </w:rPr>
                        <w:t> </w:t>
                      </w:r>
                    </w:p>
                    <w:p>
                      <w:pPr>
                        <w:pStyle w:val="TextBody"/>
                        <w:bidi w:val="0"/>
                        <w:spacing w:before="0" w:after="0"/>
                        <w:ind w:left="0" w:right="420" w:hanging="0"/>
                        <w:jc w:val="left"/>
                        <w:rPr>
                          <w:rFonts w:ascii="Arial" w:hAnsi="Arial"/>
                          <w:b w:val="false"/>
                          <w:i w:val="false"/>
                          <w:caps w:val="false"/>
                          <w:smallCaps w:val="false"/>
                          <w:sz w:val="20"/>
                        </w:rPr>
                      </w:pPr>
                      <w:r>
                        <w:rPr>
                          <w:rFonts w:ascii="Arial" w:hAnsi="Arial"/>
                          <w:b w:val="false"/>
                          <w:i w:val="false"/>
                          <w:caps w:val="false"/>
                          <w:smallCaps w:val="false"/>
                          <w:sz w:val="20"/>
                        </w:rPr>
                        <w:t>Employment and talent management, inclusion of diversity and equal opportunities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GRI 3-3, 404-2, 405-1, 405-2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Credicorp’s ability to positively impact society starts with the employees of its own companies. Our most valuable asset is our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Arial" w:hAnsi="Arial"/>
                          <w:b/>
                          <w:i w:val="false"/>
                          <w:caps w:val="false"/>
                          <w:smallCaps w:val="false"/>
                          <w:color w:val="FE5000"/>
                          <w:sz w:val="48"/>
                        </w:rPr>
                      </w:pPr>
                      <w:r>
                        <w:rPr>
                          <w:rFonts w:ascii="Arial" w:hAnsi="Arial"/>
                          <w:b/>
                          <w:i w:val="false"/>
                          <w:caps w:val="false"/>
                          <w:smallCaps w:val="false"/>
                          <w:color w:val="FE5000"/>
                          <w:sz w:val="48"/>
                        </w:rPr>
                        <w:t>+37 thousand employees in 6 countries</w:t>
                      </w:r>
                    </w:p>
                    <w:p>
                      <w:pPr>
                        <w:pStyle w:val="TextBody"/>
                        <w:bidi w:val="0"/>
                        <w:spacing w:before="0" w:after="0"/>
                        <w:ind w:left="2380" w:right="400" w:hanging="1982"/>
                        <w:jc w:val="left"/>
                        <w:rPr>
                          <w:caps w:val="false"/>
                          <w:smallCaps w:val="false"/>
                          <w:color w:val="FE5000"/>
                        </w:rPr>
                      </w:pPr>
                      <w:r>
                        <w:rPr>
                          <w:caps w:val="false"/>
                          <w:smallCaps w:val="false"/>
                          <w:color w:val="FE5000"/>
                        </w:rPr>
                        <w:t> </w:t>
                      </w:r>
                    </w:p>
                    <w:p>
                      <w:pPr>
                        <w:pStyle w:val="TextBody"/>
                        <w:bidi w:val="0"/>
                        <w:spacing w:before="0" w:after="0"/>
                        <w:jc w:val="center"/>
                        <w:rPr>
                          <w:rFonts w:ascii="Arial" w:hAnsi="Arial"/>
                          <w:b/>
                          <w:i w:val="false"/>
                          <w:caps w:val="false"/>
                          <w:smallCaps w:val="false"/>
                          <w:color w:val="FE5000"/>
                          <w:sz w:val="30"/>
                        </w:rPr>
                      </w:pPr>
                      <w:r>
                        <w:rPr>
                          <w:rFonts w:ascii="Arial" w:hAnsi="Arial"/>
                          <w:b/>
                          <w:i w:val="false"/>
                          <w:caps w:val="false"/>
                          <w:smallCaps w:val="false"/>
                          <w:color w:val="FE5000"/>
                          <w:sz w:val="30"/>
                        </w:rPr>
                        <w:t>Solid governance and the highest management standards</w:t>
                      </w:r>
                    </w:p>
                    <w:p>
                      <w:pPr>
                        <w:pStyle w:val="TextBody"/>
                        <w:bidi w:val="0"/>
                        <w:spacing w:before="0" w:after="0"/>
                        <w:ind w:left="2700" w:right="400" w:hanging="2311"/>
                        <w:jc w:val="left"/>
                        <w:rPr>
                          <w:caps w:val="false"/>
                          <w:smallCaps w:val="false"/>
                          <w:color w:val="FE5000"/>
                        </w:rPr>
                      </w:pPr>
                      <w:r>
                        <w:rPr>
                          <w:caps w:val="false"/>
                          <w:smallCaps w:val="false"/>
                          <w:color w:val="FE5000"/>
                        </w:rPr>
                        <w:t> </w:t>
                      </w:r>
                    </w:p>
                    <w:p>
                      <w:pPr>
                        <w:pStyle w:val="TextBody"/>
                        <w:bidi w:val="0"/>
                        <w:spacing w:before="0" w:after="0"/>
                        <w:jc w:val="center"/>
                        <w:rPr>
                          <w:rFonts w:ascii="Arial" w:hAnsi="Arial"/>
                          <w:b/>
                          <w:i w:val="false"/>
                          <w:caps w:val="false"/>
                          <w:smallCaps w:val="false"/>
                          <w:sz w:val="20"/>
                        </w:rPr>
                      </w:pPr>
                      <w:r>
                        <w:rPr>
                          <w:rFonts w:ascii="Arial" w:hAnsi="Arial"/>
                          <w:b/>
                          <w:i w:val="false"/>
                          <w:caps w:val="false"/>
                          <w:smallCaps w:val="false"/>
                          <w:sz w:val="20"/>
                        </w:rPr>
                        <w:t>Distribution of our employees by company and country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r>
                    </w:p>
                    <w:p>
                      <w:pPr>
                        <w:pStyle w:val="TextBody"/>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 Subsidiaries outside the scope of the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 One person from Mexico is included.</w:t>
                      </w:r>
                    </w:p>
                  </w:txbxContent>
                </v:textbox>
                <w10:wrap type="topAndBottom"/>
              </v:rect>
            </w:pict>
          </mc:Fallback>
        </mc:AlternateContent>
      </w:r>
      <w:r>
        <mc:AlternateContent>
          <mc:Choice Requires="wps">
            <w:drawing>
              <wp:anchor behindDoc="0" distT="0" distB="0" distL="0" distR="0" simplePos="0" locked="0" layoutInCell="1" allowOverlap="1" relativeHeight="269">
                <wp:simplePos x="0" y="0"/>
                <wp:positionH relativeFrom="column">
                  <wp:align>left</wp:align>
                </wp:positionH>
                <wp:positionV relativeFrom="line">
                  <wp:posOffset>635</wp:posOffset>
                </wp:positionV>
                <wp:extent cx="1492885" cy="4386580"/>
                <wp:effectExtent l="0" t="0" r="0" b="0"/>
                <wp:wrapTopAndBottom/>
                <wp:docPr id="173" name="Frame47"/>
                <a:graphic xmlns:a="http://schemas.openxmlformats.org/drawingml/2006/main">
                  <a:graphicData uri="http://schemas.microsoft.com/office/word/2010/wordprocessingShape">
                    <wps:wsp>
                      <wps:cNvSpPr txBox="1"/>
                      <wps:spPr>
                        <a:xfrm>
                          <a:off x="0" y="0"/>
                          <a:ext cx="1492885" cy="4386580"/>
                        </a:xfrm>
                        <a:prstGeom prst="rect"/>
                        <a:solidFill>
                          <a:srgbClr val="FFFFFF"/>
                        </a:solidFill>
                      </wps:spPr>
                      <wps:txbx>
                        <w:txbxContent>
                          <w:tbl>
                            <w:tblPr>
                              <w:tblW w:w="2865" w:type="dxa"/>
                              <w:jc w:val="left"/>
                              <w:tblInd w:w="0" w:type="dxa"/>
                              <w:tblLayout w:type="fixed"/>
                              <w:tblCellMar>
                                <w:top w:w="0" w:type="dxa"/>
                                <w:left w:w="0" w:type="dxa"/>
                                <w:bottom w:w="0" w:type="dxa"/>
                                <w:right w:w="0" w:type="dxa"/>
                              </w:tblCellMar>
                            </w:tblPr>
                            <w:tblGrid>
                              <w:gridCol w:w="1820"/>
                              <w:gridCol w:w="515"/>
                              <w:gridCol w:w="530"/>
                            </w:tblGrid>
                            <w:tr>
                              <w:trPr/>
                              <w:tc>
                                <w:tcPr>
                                  <w:tcW w:w="1820" w:type="dxa"/>
                                  <w:tcBorders/>
                                  <w:shd w:fill="FE4F00" w:val="clear"/>
                                  <w:vAlign w:val="center"/>
                                </w:tcPr>
                                <w:p>
                                  <w:pPr>
                                    <w:pStyle w:val="TableContents"/>
                                    <w:bidi w:val="0"/>
                                    <w:spacing w:before="0" w:after="283"/>
                                    <w:jc w:val="left"/>
                                    <w:rPr>
                                      <w:rFonts w:ascii="Arial" w:hAnsi="Arial"/>
                                      <w:b/>
                                      <w:color w:val="FFFFFF"/>
                                      <w:sz w:val="16"/>
                                    </w:rPr>
                                  </w:pPr>
                                  <w:r>
                                    <w:rPr>
                                      <w:rFonts w:ascii="Arial" w:hAnsi="Arial"/>
                                      <w:b/>
                                      <w:color w:val="FFFFFF"/>
                                      <w:sz w:val="16"/>
                                    </w:rPr>
                                    <w:t>Subsidiary</w:t>
                                  </w:r>
                                </w:p>
                              </w:tc>
                              <w:tc>
                                <w:tcPr>
                                  <w:tcW w:w="515" w:type="dxa"/>
                                  <w:tcBorders/>
                                  <w:shd w:fill="FE4F00" w:val="clear"/>
                                  <w:vAlign w:val="center"/>
                                </w:tcPr>
                                <w:p>
                                  <w:pPr>
                                    <w:pStyle w:val="TableContents"/>
                                    <w:bidi w:val="0"/>
                                    <w:spacing w:before="0" w:after="283"/>
                                    <w:jc w:val="left"/>
                                    <w:rPr>
                                      <w:rFonts w:ascii="Arial" w:hAnsi="Arial"/>
                                      <w:b/>
                                      <w:color w:val="FFFFFF"/>
                                      <w:sz w:val="16"/>
                                    </w:rPr>
                                  </w:pPr>
                                  <w:r>
                                    <w:rPr>
                                      <w:rFonts w:ascii="Arial" w:hAnsi="Arial"/>
                                      <w:b/>
                                      <w:color w:val="FFFFFF"/>
                                      <w:sz w:val="16"/>
                                    </w:rPr>
                                    <w:t>2023**</w:t>
                                  </w:r>
                                </w:p>
                              </w:tc>
                              <w:tc>
                                <w:tcPr>
                                  <w:tcW w:w="530" w:type="dxa"/>
                                  <w:tcBorders/>
                                  <w:shd w:fill="FE4F00" w:val="clear"/>
                                  <w:vAlign w:val="center"/>
                                </w:tcPr>
                                <w:p>
                                  <w:pPr>
                                    <w:pStyle w:val="TableContents"/>
                                    <w:bidi w:val="0"/>
                                    <w:spacing w:before="0" w:after="283"/>
                                    <w:jc w:val="left"/>
                                    <w:rPr>
                                      <w:rFonts w:ascii="Arial" w:hAnsi="Arial"/>
                                      <w:b/>
                                      <w:color w:val="FFFFFF"/>
                                      <w:sz w:val="16"/>
                                    </w:rPr>
                                  </w:pPr>
                                  <w:r>
                                    <w:rPr>
                                      <w:rFonts w:ascii="Arial" w:hAnsi="Arial"/>
                                      <w:b/>
                                      <w:color w:val="FFFFFF"/>
                                      <w:sz w:val="16"/>
                                    </w:rPr>
                                    <w:t>2022</w:t>
                                  </w:r>
                                </w:p>
                              </w:tc>
                            </w:tr>
                            <w:tr>
                              <w:trPr/>
                              <w:tc>
                                <w:tcPr>
                                  <w:tcW w:w="1820" w:type="dxa"/>
                                  <w:tcBorders>
                                    <w:left w:val="single" w:sz="8" w:space="0" w:color="FF976B"/>
                                    <w:bottom w:val="single" w:sz="8" w:space="0" w:color="FF976B"/>
                                  </w:tcBorders>
                                  <w:tcMar>
                                    <w:left w:w="60" w:type="dxa"/>
                                    <w:bottom w:w="40" w:type="dxa"/>
                                  </w:tcMar>
                                  <w:vAlign w:val="center"/>
                                </w:tcPr>
                                <w:p>
                                  <w:pPr>
                                    <w:pStyle w:val="TableContents"/>
                                    <w:bidi w:val="0"/>
                                    <w:spacing w:before="0" w:after="283"/>
                                    <w:jc w:val="left"/>
                                    <w:rPr>
                                      <w:rFonts w:ascii="Arial" w:hAnsi="Arial"/>
                                      <w:sz w:val="16"/>
                                    </w:rPr>
                                  </w:pPr>
                                  <w:r>
                                    <w:rPr>
                                      <w:rFonts w:ascii="Arial" w:hAnsi="Arial"/>
                                      <w:sz w:val="16"/>
                                    </w:rPr>
                                    <w:t>BCP</w:t>
                                  </w:r>
                                </w:p>
                              </w:tc>
                              <w:tc>
                                <w:tcPr>
                                  <w:tcW w:w="515" w:type="dxa"/>
                                  <w:tcBorders>
                                    <w:bottom w:val="single" w:sz="8" w:space="0" w:color="FF976B"/>
                                  </w:tcBorders>
                                  <w:tcMar>
                                    <w:bottom w:w="40" w:type="dxa"/>
                                  </w:tcMar>
                                  <w:vAlign w:val="center"/>
                                </w:tcPr>
                                <w:p>
                                  <w:pPr>
                                    <w:pStyle w:val="TableContents"/>
                                    <w:bidi w:val="0"/>
                                    <w:spacing w:before="0" w:after="283"/>
                                    <w:jc w:val="left"/>
                                    <w:rPr>
                                      <w:rFonts w:ascii="Arial" w:hAnsi="Arial"/>
                                      <w:sz w:val="16"/>
                                    </w:rPr>
                                  </w:pPr>
                                  <w:r>
                                    <w:rPr>
                                      <w:rFonts w:ascii="Arial" w:hAnsi="Arial"/>
                                      <w:sz w:val="16"/>
                                    </w:rPr>
                                    <w:t>17,844</w:t>
                                  </w:r>
                                </w:p>
                              </w:tc>
                              <w:tc>
                                <w:tcPr>
                                  <w:tcW w:w="530" w:type="dxa"/>
                                  <w:tcBorders>
                                    <w:bottom w:val="single" w:sz="8" w:space="0" w:color="FF976B"/>
                                    <w:right w:val="single" w:sz="8" w:space="0" w:color="FF976B"/>
                                  </w:tcBorders>
                                  <w:tcMar>
                                    <w:bottom w:w="40" w:type="dxa"/>
                                    <w:right w:w="60" w:type="dxa"/>
                                  </w:tcMar>
                                  <w:vAlign w:val="center"/>
                                </w:tcPr>
                                <w:p>
                                  <w:pPr>
                                    <w:pStyle w:val="TableContents"/>
                                    <w:bidi w:val="0"/>
                                    <w:spacing w:before="0" w:after="283"/>
                                    <w:jc w:val="left"/>
                                    <w:rPr>
                                      <w:rFonts w:ascii="Arial" w:hAnsi="Arial"/>
                                      <w:sz w:val="16"/>
                                    </w:rPr>
                                  </w:pPr>
                                  <w:r>
                                    <w:rPr>
                                      <w:rFonts w:ascii="Arial" w:hAnsi="Arial"/>
                                      <w:sz w:val="16"/>
                                    </w:rPr>
                                    <w:t>17,695</w:t>
                                  </w:r>
                                </w:p>
                              </w:tc>
                            </w:tr>
                            <w:tr>
                              <w:trPr/>
                              <w:tc>
                                <w:tcPr>
                                  <w:tcW w:w="1820" w:type="dxa"/>
                                  <w:tcBorders>
                                    <w:left w:val="single" w:sz="8" w:space="0" w:color="FF976B"/>
                                    <w:bottom w:val="single" w:sz="8" w:space="0" w:color="FF976B"/>
                                  </w:tcBorders>
                                  <w:tcMar>
                                    <w:left w:w="60" w:type="dxa"/>
                                    <w:bottom w:w="40" w:type="dxa"/>
                                  </w:tcMar>
                                  <w:vAlign w:val="center"/>
                                </w:tcPr>
                                <w:p>
                                  <w:pPr>
                                    <w:pStyle w:val="TableContents"/>
                                    <w:bidi w:val="0"/>
                                    <w:spacing w:before="0" w:after="283"/>
                                    <w:jc w:val="left"/>
                                    <w:rPr>
                                      <w:rFonts w:ascii="Arial" w:hAnsi="Arial"/>
                                      <w:sz w:val="16"/>
                                    </w:rPr>
                                  </w:pPr>
                                  <w:r>
                                    <w:rPr>
                                      <w:rFonts w:ascii="Arial" w:hAnsi="Arial"/>
                                      <w:sz w:val="16"/>
                                    </w:rPr>
                                    <w:t>Pacífico Seguros</w:t>
                                  </w:r>
                                </w:p>
                              </w:tc>
                              <w:tc>
                                <w:tcPr>
                                  <w:tcW w:w="515" w:type="dxa"/>
                                  <w:tcBorders>
                                    <w:bottom w:val="single" w:sz="8" w:space="0" w:color="FF976B"/>
                                  </w:tcBorders>
                                  <w:tcMar>
                                    <w:bottom w:w="40" w:type="dxa"/>
                                  </w:tcMar>
                                  <w:vAlign w:val="center"/>
                                </w:tcPr>
                                <w:p>
                                  <w:pPr>
                                    <w:pStyle w:val="TableContents"/>
                                    <w:bidi w:val="0"/>
                                    <w:spacing w:before="0" w:after="283"/>
                                    <w:jc w:val="left"/>
                                    <w:rPr>
                                      <w:rFonts w:ascii="Arial" w:hAnsi="Arial"/>
                                      <w:sz w:val="16"/>
                                    </w:rPr>
                                  </w:pPr>
                                  <w:r>
                                    <w:rPr>
                                      <w:rFonts w:ascii="Arial" w:hAnsi="Arial"/>
                                      <w:sz w:val="16"/>
                                    </w:rPr>
                                    <w:t>2,601</w:t>
                                  </w:r>
                                </w:p>
                              </w:tc>
                              <w:tc>
                                <w:tcPr>
                                  <w:tcW w:w="530" w:type="dxa"/>
                                  <w:tcBorders>
                                    <w:bottom w:val="single" w:sz="8" w:space="0" w:color="FF976B"/>
                                    <w:right w:val="single" w:sz="8" w:space="0" w:color="FF976B"/>
                                  </w:tcBorders>
                                  <w:tcMar>
                                    <w:bottom w:w="40" w:type="dxa"/>
                                    <w:right w:w="60" w:type="dxa"/>
                                  </w:tcMar>
                                  <w:vAlign w:val="center"/>
                                </w:tcPr>
                                <w:p>
                                  <w:pPr>
                                    <w:pStyle w:val="TableContents"/>
                                    <w:bidi w:val="0"/>
                                    <w:spacing w:before="0" w:after="283"/>
                                    <w:jc w:val="left"/>
                                    <w:rPr>
                                      <w:rFonts w:ascii="Arial" w:hAnsi="Arial"/>
                                      <w:sz w:val="16"/>
                                    </w:rPr>
                                  </w:pPr>
                                  <w:r>
                                    <w:rPr>
                                      <w:rFonts w:ascii="Arial" w:hAnsi="Arial"/>
                                      <w:sz w:val="16"/>
                                    </w:rPr>
                                    <w:t>2,444</w:t>
                                  </w:r>
                                </w:p>
                              </w:tc>
                            </w:tr>
                            <w:tr>
                              <w:trPr/>
                              <w:tc>
                                <w:tcPr>
                                  <w:tcW w:w="1820" w:type="dxa"/>
                                  <w:tcBorders>
                                    <w:left w:val="single" w:sz="8" w:space="0" w:color="FF976B"/>
                                    <w:bottom w:val="single" w:sz="8" w:space="0" w:color="FF976B"/>
                                  </w:tcBorders>
                                  <w:tcMar>
                                    <w:left w:w="60" w:type="dxa"/>
                                    <w:bottom w:w="40" w:type="dxa"/>
                                  </w:tcMar>
                                  <w:vAlign w:val="center"/>
                                </w:tcPr>
                                <w:p>
                                  <w:pPr>
                                    <w:pStyle w:val="TableContents"/>
                                    <w:bidi w:val="0"/>
                                    <w:spacing w:before="0" w:after="283"/>
                                    <w:jc w:val="left"/>
                                    <w:rPr>
                                      <w:rFonts w:ascii="Arial" w:hAnsi="Arial"/>
                                      <w:sz w:val="16"/>
                                    </w:rPr>
                                  </w:pPr>
                                  <w:r>
                                    <w:rPr>
                                      <w:rFonts w:ascii="Arial" w:hAnsi="Arial"/>
                                      <w:sz w:val="16"/>
                                    </w:rPr>
                                    <w:t>Prima AFP</w:t>
                                  </w:r>
                                </w:p>
                              </w:tc>
                              <w:tc>
                                <w:tcPr>
                                  <w:tcW w:w="515" w:type="dxa"/>
                                  <w:tcBorders>
                                    <w:bottom w:val="single" w:sz="8" w:space="0" w:color="FF976B"/>
                                  </w:tcBorders>
                                  <w:tcMar>
                                    <w:bottom w:w="40" w:type="dxa"/>
                                  </w:tcMar>
                                  <w:vAlign w:val="center"/>
                                </w:tcPr>
                                <w:p>
                                  <w:pPr>
                                    <w:pStyle w:val="TableContents"/>
                                    <w:bidi w:val="0"/>
                                    <w:spacing w:before="0" w:after="283"/>
                                    <w:jc w:val="left"/>
                                    <w:rPr>
                                      <w:rFonts w:ascii="Arial" w:hAnsi="Arial"/>
                                      <w:sz w:val="16"/>
                                    </w:rPr>
                                  </w:pPr>
                                  <w:r>
                                    <w:rPr>
                                      <w:rFonts w:ascii="Arial" w:hAnsi="Arial"/>
                                      <w:sz w:val="16"/>
                                    </w:rPr>
                                    <w:t>569</w:t>
                                  </w:r>
                                </w:p>
                              </w:tc>
                              <w:tc>
                                <w:tcPr>
                                  <w:tcW w:w="530" w:type="dxa"/>
                                  <w:tcBorders>
                                    <w:bottom w:val="single" w:sz="8" w:space="0" w:color="FF976B"/>
                                    <w:right w:val="single" w:sz="8" w:space="0" w:color="FF976B"/>
                                  </w:tcBorders>
                                  <w:tcMar>
                                    <w:bottom w:w="40" w:type="dxa"/>
                                    <w:right w:w="60" w:type="dxa"/>
                                  </w:tcMar>
                                  <w:vAlign w:val="center"/>
                                </w:tcPr>
                                <w:p>
                                  <w:pPr>
                                    <w:pStyle w:val="TableContents"/>
                                    <w:bidi w:val="0"/>
                                    <w:spacing w:before="0" w:after="283"/>
                                    <w:jc w:val="left"/>
                                    <w:rPr>
                                      <w:rFonts w:ascii="Arial" w:hAnsi="Arial"/>
                                      <w:sz w:val="16"/>
                                    </w:rPr>
                                  </w:pPr>
                                  <w:r>
                                    <w:rPr>
                                      <w:rFonts w:ascii="Arial" w:hAnsi="Arial"/>
                                      <w:sz w:val="16"/>
                                    </w:rPr>
                                    <w:t>572</w:t>
                                  </w:r>
                                </w:p>
                              </w:tc>
                            </w:tr>
                            <w:tr>
                              <w:trPr/>
                              <w:tc>
                                <w:tcPr>
                                  <w:tcW w:w="1820" w:type="dxa"/>
                                  <w:tcBorders>
                                    <w:left w:val="single" w:sz="8" w:space="0" w:color="FF976B"/>
                                    <w:bottom w:val="single" w:sz="8" w:space="0" w:color="FF976B"/>
                                  </w:tcBorders>
                                  <w:tcMar>
                                    <w:left w:w="60" w:type="dxa"/>
                                    <w:bottom w:w="40" w:type="dxa"/>
                                  </w:tcMar>
                                  <w:vAlign w:val="center"/>
                                </w:tcPr>
                                <w:p>
                                  <w:pPr>
                                    <w:pStyle w:val="TableContents"/>
                                    <w:bidi w:val="0"/>
                                    <w:spacing w:before="0" w:after="283"/>
                                    <w:jc w:val="left"/>
                                    <w:rPr>
                                      <w:rFonts w:ascii="Arial" w:hAnsi="Arial"/>
                                      <w:sz w:val="16"/>
                                    </w:rPr>
                                  </w:pPr>
                                  <w:r>
                                    <w:rPr>
                                      <w:rFonts w:ascii="Arial" w:hAnsi="Arial"/>
                                      <w:sz w:val="16"/>
                                    </w:rPr>
                                    <w:t>Mibanco</w:t>
                                  </w:r>
                                </w:p>
                              </w:tc>
                              <w:tc>
                                <w:tcPr>
                                  <w:tcW w:w="515" w:type="dxa"/>
                                  <w:tcBorders>
                                    <w:bottom w:val="single" w:sz="8" w:space="0" w:color="FF976B"/>
                                  </w:tcBorders>
                                  <w:tcMar>
                                    <w:bottom w:w="40" w:type="dxa"/>
                                  </w:tcMar>
                                  <w:vAlign w:val="center"/>
                                </w:tcPr>
                                <w:p>
                                  <w:pPr>
                                    <w:pStyle w:val="TableContents"/>
                                    <w:bidi w:val="0"/>
                                    <w:spacing w:before="0" w:after="283"/>
                                    <w:jc w:val="left"/>
                                    <w:rPr>
                                      <w:rFonts w:ascii="Arial" w:hAnsi="Arial"/>
                                      <w:sz w:val="16"/>
                                    </w:rPr>
                                  </w:pPr>
                                  <w:r>
                                    <w:rPr>
                                      <w:rFonts w:ascii="Arial" w:hAnsi="Arial"/>
                                      <w:sz w:val="16"/>
                                    </w:rPr>
                                    <w:t>9,842</w:t>
                                  </w:r>
                                </w:p>
                              </w:tc>
                              <w:tc>
                                <w:tcPr>
                                  <w:tcW w:w="530" w:type="dxa"/>
                                  <w:tcBorders>
                                    <w:bottom w:val="single" w:sz="8" w:space="0" w:color="FF976B"/>
                                    <w:right w:val="single" w:sz="8" w:space="0" w:color="FF976B"/>
                                  </w:tcBorders>
                                  <w:tcMar>
                                    <w:bottom w:w="40" w:type="dxa"/>
                                    <w:right w:w="60" w:type="dxa"/>
                                  </w:tcMar>
                                  <w:vAlign w:val="center"/>
                                </w:tcPr>
                                <w:p>
                                  <w:pPr>
                                    <w:pStyle w:val="TableContents"/>
                                    <w:bidi w:val="0"/>
                                    <w:spacing w:before="0" w:after="283"/>
                                    <w:jc w:val="left"/>
                                    <w:rPr>
                                      <w:rFonts w:ascii="Arial" w:hAnsi="Arial"/>
                                      <w:sz w:val="16"/>
                                    </w:rPr>
                                  </w:pPr>
                                  <w:r>
                                    <w:rPr>
                                      <w:rFonts w:ascii="Arial" w:hAnsi="Arial"/>
                                      <w:sz w:val="16"/>
                                    </w:rPr>
                                    <w:t>9,725</w:t>
                                  </w:r>
                                </w:p>
                              </w:tc>
                            </w:tr>
                            <w:tr>
                              <w:trPr/>
                              <w:tc>
                                <w:tcPr>
                                  <w:tcW w:w="1820" w:type="dxa"/>
                                  <w:tcBorders>
                                    <w:left w:val="single" w:sz="8" w:space="0" w:color="FF976B"/>
                                    <w:bottom w:val="single" w:sz="8" w:space="0" w:color="FF976B"/>
                                  </w:tcBorders>
                                  <w:tcMar>
                                    <w:left w:w="60" w:type="dxa"/>
                                    <w:bottom w:w="40" w:type="dxa"/>
                                  </w:tcMar>
                                  <w:vAlign w:val="center"/>
                                </w:tcPr>
                                <w:p>
                                  <w:pPr>
                                    <w:pStyle w:val="TableContents"/>
                                    <w:bidi w:val="0"/>
                                    <w:spacing w:before="0" w:after="283"/>
                                    <w:jc w:val="left"/>
                                    <w:rPr>
                                      <w:rFonts w:ascii="Arial" w:hAnsi="Arial"/>
                                      <w:sz w:val="16"/>
                                    </w:rPr>
                                  </w:pPr>
                                  <w:r>
                                    <w:rPr>
                                      <w:rFonts w:ascii="Arial" w:hAnsi="Arial"/>
                                      <w:sz w:val="16"/>
                                    </w:rPr>
                                    <w:t>Credicorp Capital</w:t>
                                  </w:r>
                                </w:p>
                              </w:tc>
                              <w:tc>
                                <w:tcPr>
                                  <w:tcW w:w="515" w:type="dxa"/>
                                  <w:tcBorders>
                                    <w:bottom w:val="single" w:sz="8" w:space="0" w:color="FF976B"/>
                                  </w:tcBorders>
                                  <w:tcMar>
                                    <w:bottom w:w="40" w:type="dxa"/>
                                  </w:tcMar>
                                  <w:vAlign w:val="center"/>
                                </w:tcPr>
                                <w:p>
                                  <w:pPr>
                                    <w:pStyle w:val="TableContents"/>
                                    <w:bidi w:val="0"/>
                                    <w:spacing w:before="0" w:after="283"/>
                                    <w:jc w:val="left"/>
                                    <w:rPr>
                                      <w:rFonts w:ascii="Arial" w:hAnsi="Arial"/>
                                      <w:sz w:val="16"/>
                                    </w:rPr>
                                  </w:pPr>
                                  <w:r>
                                    <w:rPr>
                                      <w:rFonts w:ascii="Arial" w:hAnsi="Arial"/>
                                      <w:sz w:val="16"/>
                                    </w:rPr>
                                    <w:t>1,929</w:t>
                                  </w:r>
                                </w:p>
                              </w:tc>
                              <w:tc>
                                <w:tcPr>
                                  <w:tcW w:w="530" w:type="dxa"/>
                                  <w:tcBorders>
                                    <w:bottom w:val="single" w:sz="8" w:space="0" w:color="FF976B"/>
                                    <w:right w:val="single" w:sz="8" w:space="0" w:color="FF976B"/>
                                  </w:tcBorders>
                                  <w:tcMar>
                                    <w:bottom w:w="40" w:type="dxa"/>
                                    <w:right w:w="60" w:type="dxa"/>
                                  </w:tcMar>
                                  <w:vAlign w:val="center"/>
                                </w:tcPr>
                                <w:p>
                                  <w:pPr>
                                    <w:pStyle w:val="TableContents"/>
                                    <w:bidi w:val="0"/>
                                    <w:spacing w:before="0" w:after="283"/>
                                    <w:jc w:val="left"/>
                                    <w:rPr>
                                      <w:rFonts w:ascii="Arial" w:hAnsi="Arial"/>
                                      <w:sz w:val="16"/>
                                    </w:rPr>
                                  </w:pPr>
                                  <w:r>
                                    <w:rPr>
                                      <w:rFonts w:ascii="Arial" w:hAnsi="Arial"/>
                                      <w:sz w:val="16"/>
                                    </w:rPr>
                                    <w:t>1,939</w:t>
                                  </w:r>
                                </w:p>
                              </w:tc>
                            </w:tr>
                            <w:tr>
                              <w:trPr/>
                              <w:tc>
                                <w:tcPr>
                                  <w:tcW w:w="1820" w:type="dxa"/>
                                  <w:tcBorders>
                                    <w:left w:val="single" w:sz="8" w:space="0" w:color="FF976B"/>
                                    <w:bottom w:val="single" w:sz="8" w:space="0" w:color="FF976B"/>
                                  </w:tcBorders>
                                  <w:tcMar>
                                    <w:left w:w="60" w:type="dxa"/>
                                    <w:bottom w:w="40" w:type="dxa"/>
                                  </w:tcMar>
                                  <w:vAlign w:val="center"/>
                                </w:tcPr>
                                <w:p>
                                  <w:pPr>
                                    <w:pStyle w:val="TableContents"/>
                                    <w:bidi w:val="0"/>
                                    <w:spacing w:before="0" w:after="283"/>
                                    <w:jc w:val="left"/>
                                    <w:rPr>
                                      <w:rFonts w:ascii="Arial" w:hAnsi="Arial"/>
                                      <w:sz w:val="16"/>
                                    </w:rPr>
                                  </w:pPr>
                                  <w:r>
                                    <w:rPr>
                                      <w:rFonts w:ascii="Arial" w:hAnsi="Arial"/>
                                      <w:sz w:val="16"/>
                                    </w:rPr>
                                    <w:t>BCP Bolivia</w:t>
                                  </w:r>
                                </w:p>
                              </w:tc>
                              <w:tc>
                                <w:tcPr>
                                  <w:tcW w:w="515" w:type="dxa"/>
                                  <w:tcBorders>
                                    <w:bottom w:val="single" w:sz="8" w:space="0" w:color="FF976B"/>
                                  </w:tcBorders>
                                  <w:tcMar>
                                    <w:bottom w:w="40" w:type="dxa"/>
                                  </w:tcMar>
                                  <w:vAlign w:val="center"/>
                                </w:tcPr>
                                <w:p>
                                  <w:pPr>
                                    <w:pStyle w:val="TableContents"/>
                                    <w:bidi w:val="0"/>
                                    <w:spacing w:before="0" w:after="283"/>
                                    <w:jc w:val="left"/>
                                    <w:rPr>
                                      <w:rFonts w:ascii="Arial" w:hAnsi="Arial"/>
                                      <w:sz w:val="16"/>
                                    </w:rPr>
                                  </w:pPr>
                                  <w:r>
                                    <w:rPr>
                                      <w:rFonts w:ascii="Arial" w:hAnsi="Arial"/>
                                      <w:sz w:val="16"/>
                                    </w:rPr>
                                    <w:t>1,803</w:t>
                                  </w:r>
                                </w:p>
                              </w:tc>
                              <w:tc>
                                <w:tcPr>
                                  <w:tcW w:w="530" w:type="dxa"/>
                                  <w:tcBorders>
                                    <w:bottom w:val="single" w:sz="8" w:space="0" w:color="FF976B"/>
                                    <w:right w:val="single" w:sz="8" w:space="0" w:color="FF976B"/>
                                  </w:tcBorders>
                                  <w:tcMar>
                                    <w:bottom w:w="40" w:type="dxa"/>
                                    <w:right w:w="60" w:type="dxa"/>
                                  </w:tcMar>
                                  <w:vAlign w:val="center"/>
                                </w:tcPr>
                                <w:p>
                                  <w:pPr>
                                    <w:pStyle w:val="TableContents"/>
                                    <w:bidi w:val="0"/>
                                    <w:spacing w:before="0" w:after="283"/>
                                    <w:jc w:val="left"/>
                                    <w:rPr>
                                      <w:rFonts w:ascii="Arial" w:hAnsi="Arial"/>
                                      <w:sz w:val="16"/>
                                    </w:rPr>
                                  </w:pPr>
                                  <w:r>
                                    <w:rPr>
                                      <w:rFonts w:ascii="Arial" w:hAnsi="Arial"/>
                                      <w:sz w:val="16"/>
                                    </w:rPr>
                                    <w:t>1,763</w:t>
                                  </w:r>
                                </w:p>
                              </w:tc>
                            </w:tr>
                            <w:tr>
                              <w:trPr/>
                              <w:tc>
                                <w:tcPr>
                                  <w:tcW w:w="1820" w:type="dxa"/>
                                  <w:tcBorders>
                                    <w:left w:val="single" w:sz="8" w:space="0" w:color="FF976B"/>
                                    <w:bottom w:val="single" w:sz="8" w:space="0" w:color="FF976B"/>
                                  </w:tcBorders>
                                  <w:tcMar>
                                    <w:left w:w="60" w:type="dxa"/>
                                    <w:bottom w:w="40" w:type="dxa"/>
                                  </w:tcMar>
                                  <w:vAlign w:val="center"/>
                                </w:tcPr>
                                <w:p>
                                  <w:pPr>
                                    <w:pStyle w:val="TableContents"/>
                                    <w:bidi w:val="0"/>
                                    <w:spacing w:before="0" w:after="283"/>
                                    <w:jc w:val="left"/>
                                    <w:rPr>
                                      <w:rFonts w:ascii="Arial" w:hAnsi="Arial"/>
                                      <w:sz w:val="16"/>
                                    </w:rPr>
                                  </w:pPr>
                                  <w:r>
                                    <w:rPr>
                                      <w:rFonts w:ascii="Arial" w:hAnsi="Arial"/>
                                      <w:sz w:val="16"/>
                                    </w:rPr>
                                    <w:t>Mibanco Colombia</w:t>
                                  </w:r>
                                </w:p>
                              </w:tc>
                              <w:tc>
                                <w:tcPr>
                                  <w:tcW w:w="515" w:type="dxa"/>
                                  <w:tcBorders>
                                    <w:bottom w:val="single" w:sz="8" w:space="0" w:color="FF976B"/>
                                  </w:tcBorders>
                                  <w:tcMar>
                                    <w:bottom w:w="40" w:type="dxa"/>
                                  </w:tcMar>
                                  <w:vAlign w:val="center"/>
                                </w:tcPr>
                                <w:p>
                                  <w:pPr>
                                    <w:pStyle w:val="TableContents"/>
                                    <w:bidi w:val="0"/>
                                    <w:spacing w:before="0" w:after="283"/>
                                    <w:jc w:val="left"/>
                                    <w:rPr>
                                      <w:rFonts w:ascii="Arial" w:hAnsi="Arial"/>
                                      <w:sz w:val="16"/>
                                    </w:rPr>
                                  </w:pPr>
                                  <w:r>
                                    <w:rPr>
                                      <w:rFonts w:ascii="Arial" w:hAnsi="Arial"/>
                                      <w:sz w:val="16"/>
                                    </w:rPr>
                                    <w:t>2,297</w:t>
                                  </w:r>
                                </w:p>
                              </w:tc>
                              <w:tc>
                                <w:tcPr>
                                  <w:tcW w:w="530" w:type="dxa"/>
                                  <w:tcBorders>
                                    <w:bottom w:val="single" w:sz="8" w:space="0" w:color="FF976B"/>
                                    <w:right w:val="single" w:sz="8" w:space="0" w:color="FF976B"/>
                                  </w:tcBorders>
                                  <w:tcMar>
                                    <w:bottom w:w="40" w:type="dxa"/>
                                    <w:right w:w="60" w:type="dxa"/>
                                  </w:tcMar>
                                  <w:vAlign w:val="center"/>
                                </w:tcPr>
                                <w:p>
                                  <w:pPr>
                                    <w:pStyle w:val="TableContents"/>
                                    <w:bidi w:val="0"/>
                                    <w:spacing w:before="0" w:after="283"/>
                                    <w:jc w:val="left"/>
                                    <w:rPr>
                                      <w:rFonts w:ascii="Arial" w:hAnsi="Arial"/>
                                      <w:sz w:val="16"/>
                                    </w:rPr>
                                  </w:pPr>
                                  <w:r>
                                    <w:rPr>
                                      <w:rFonts w:ascii="Arial" w:hAnsi="Arial"/>
                                      <w:sz w:val="16"/>
                                    </w:rPr>
                                    <w:t>2,665</w:t>
                                  </w:r>
                                </w:p>
                              </w:tc>
                            </w:tr>
                            <w:tr>
                              <w:trPr/>
                              <w:tc>
                                <w:tcPr>
                                  <w:tcW w:w="1820" w:type="dxa"/>
                                  <w:tcBorders>
                                    <w:left w:val="single" w:sz="8" w:space="0" w:color="FF976B"/>
                                    <w:bottom w:val="single" w:sz="8" w:space="0" w:color="FF976B"/>
                                  </w:tcBorders>
                                  <w:tcMar>
                                    <w:left w:w="60" w:type="dxa"/>
                                    <w:bottom w:w="40" w:type="dxa"/>
                                  </w:tcMar>
                                  <w:vAlign w:val="center"/>
                                </w:tcPr>
                                <w:p>
                                  <w:pPr>
                                    <w:pStyle w:val="TableContents"/>
                                    <w:bidi w:val="0"/>
                                    <w:spacing w:before="0" w:after="283"/>
                                    <w:jc w:val="left"/>
                                    <w:rPr>
                                      <w:rFonts w:ascii="Arial" w:hAnsi="Arial"/>
                                      <w:sz w:val="16"/>
                                    </w:rPr>
                                  </w:pPr>
                                  <w:r>
                                    <w:rPr>
                                      <w:rFonts w:ascii="Arial" w:hAnsi="Arial"/>
                                      <w:sz w:val="16"/>
                                    </w:rPr>
                                    <w:t>Grupo Crédito</w:t>
                                  </w:r>
                                </w:p>
                              </w:tc>
                              <w:tc>
                                <w:tcPr>
                                  <w:tcW w:w="515" w:type="dxa"/>
                                  <w:tcBorders>
                                    <w:bottom w:val="single" w:sz="8" w:space="0" w:color="FF976B"/>
                                  </w:tcBorders>
                                  <w:tcMar>
                                    <w:bottom w:w="40" w:type="dxa"/>
                                  </w:tcMar>
                                  <w:vAlign w:val="center"/>
                                </w:tcPr>
                                <w:p>
                                  <w:pPr>
                                    <w:pStyle w:val="TableContents"/>
                                    <w:bidi w:val="0"/>
                                    <w:spacing w:before="0" w:after="283"/>
                                    <w:jc w:val="left"/>
                                    <w:rPr>
                                      <w:rFonts w:ascii="Arial" w:hAnsi="Arial"/>
                                      <w:sz w:val="16"/>
                                    </w:rPr>
                                  </w:pPr>
                                  <w:r>
                                    <w:rPr>
                                      <w:rFonts w:ascii="Arial" w:hAnsi="Arial"/>
                                      <w:sz w:val="16"/>
                                    </w:rPr>
                                    <w:t>139</w:t>
                                  </w:r>
                                </w:p>
                              </w:tc>
                              <w:tc>
                                <w:tcPr>
                                  <w:tcW w:w="530" w:type="dxa"/>
                                  <w:tcBorders>
                                    <w:bottom w:val="single" w:sz="8" w:space="0" w:color="FF976B"/>
                                    <w:right w:val="single" w:sz="8" w:space="0" w:color="FF976B"/>
                                  </w:tcBorders>
                                  <w:tcMar>
                                    <w:bottom w:w="40" w:type="dxa"/>
                                    <w:right w:w="60" w:type="dxa"/>
                                  </w:tcMar>
                                  <w:vAlign w:val="center"/>
                                </w:tcPr>
                                <w:p>
                                  <w:pPr>
                                    <w:pStyle w:val="TableContents"/>
                                    <w:bidi w:val="0"/>
                                    <w:spacing w:before="0" w:after="283"/>
                                    <w:jc w:val="left"/>
                                    <w:rPr>
                                      <w:rFonts w:ascii="Arial" w:hAnsi="Arial"/>
                                      <w:sz w:val="16"/>
                                    </w:rPr>
                                  </w:pPr>
                                  <w:r>
                                    <w:rPr>
                                      <w:rFonts w:ascii="Arial" w:hAnsi="Arial"/>
                                      <w:sz w:val="16"/>
                                    </w:rPr>
                                    <w:t>116</w:t>
                                  </w:r>
                                </w:p>
                              </w:tc>
                            </w:tr>
                            <w:tr>
                              <w:trPr/>
                              <w:tc>
                                <w:tcPr>
                                  <w:tcW w:w="1820" w:type="dxa"/>
                                  <w:tcBorders>
                                    <w:left w:val="single" w:sz="8" w:space="0" w:color="FF976B"/>
                                    <w:bottom w:val="single" w:sz="8" w:space="0" w:color="FF976B"/>
                                  </w:tcBorders>
                                  <w:tcMar>
                                    <w:left w:w="60" w:type="dxa"/>
                                    <w:bottom w:w="40" w:type="dxa"/>
                                  </w:tcMar>
                                  <w:vAlign w:val="center"/>
                                </w:tcPr>
                                <w:p>
                                  <w:pPr>
                                    <w:pStyle w:val="TableContents"/>
                                    <w:bidi w:val="0"/>
                                    <w:spacing w:before="0" w:after="283"/>
                                    <w:jc w:val="left"/>
                                    <w:rPr>
                                      <w:rFonts w:ascii="Arial" w:hAnsi="Arial"/>
                                      <w:sz w:val="16"/>
                                    </w:rPr>
                                  </w:pPr>
                                  <w:r>
                                    <w:rPr>
                                      <w:rFonts w:ascii="Arial" w:hAnsi="Arial"/>
                                      <w:sz w:val="16"/>
                                    </w:rPr>
                                    <w:t>BCP Miami*</w:t>
                                  </w:r>
                                </w:p>
                              </w:tc>
                              <w:tc>
                                <w:tcPr>
                                  <w:tcW w:w="515" w:type="dxa"/>
                                  <w:tcBorders>
                                    <w:bottom w:val="single" w:sz="8" w:space="0" w:color="FF976B"/>
                                  </w:tcBorders>
                                  <w:tcMar>
                                    <w:bottom w:w="40" w:type="dxa"/>
                                  </w:tcMar>
                                  <w:vAlign w:val="center"/>
                                </w:tcPr>
                                <w:p>
                                  <w:pPr>
                                    <w:pStyle w:val="TableContents"/>
                                    <w:bidi w:val="0"/>
                                    <w:spacing w:before="0" w:after="283"/>
                                    <w:jc w:val="left"/>
                                    <w:rPr>
                                      <w:rFonts w:ascii="Arial" w:hAnsi="Arial"/>
                                      <w:sz w:val="16"/>
                                    </w:rPr>
                                  </w:pPr>
                                  <w:r>
                                    <w:rPr>
                                      <w:rFonts w:ascii="Arial" w:hAnsi="Arial"/>
                                      <w:sz w:val="16"/>
                                    </w:rPr>
                                    <w:t>44</w:t>
                                  </w:r>
                                </w:p>
                              </w:tc>
                              <w:tc>
                                <w:tcPr>
                                  <w:tcW w:w="530" w:type="dxa"/>
                                  <w:tcBorders>
                                    <w:bottom w:val="single" w:sz="8" w:space="0" w:color="FF976B"/>
                                    <w:right w:val="single" w:sz="8" w:space="0" w:color="FF976B"/>
                                  </w:tcBorders>
                                  <w:tcMar>
                                    <w:bottom w:w="40" w:type="dxa"/>
                                    <w:right w:w="60" w:type="dxa"/>
                                  </w:tcMar>
                                  <w:vAlign w:val="center"/>
                                </w:tcPr>
                                <w:p>
                                  <w:pPr>
                                    <w:pStyle w:val="TableContents"/>
                                    <w:bidi w:val="0"/>
                                    <w:spacing w:before="0" w:after="283"/>
                                    <w:jc w:val="left"/>
                                    <w:rPr>
                                      <w:rFonts w:ascii="Arial" w:hAnsi="Arial"/>
                                      <w:sz w:val="16"/>
                                    </w:rPr>
                                  </w:pPr>
                                  <w:r>
                                    <w:rPr>
                                      <w:rFonts w:ascii="Arial" w:hAnsi="Arial"/>
                                      <w:sz w:val="16"/>
                                    </w:rPr>
                                    <w:t>42</w:t>
                                  </w:r>
                                </w:p>
                              </w:tc>
                            </w:tr>
                            <w:tr>
                              <w:trPr/>
                              <w:tc>
                                <w:tcPr>
                                  <w:tcW w:w="1820" w:type="dxa"/>
                                  <w:tcBorders>
                                    <w:left w:val="single" w:sz="8" w:space="0" w:color="FF976B"/>
                                    <w:bottom w:val="single" w:sz="8" w:space="0" w:color="FF976B"/>
                                  </w:tcBorders>
                                  <w:tcMar>
                                    <w:left w:w="60" w:type="dxa"/>
                                    <w:bottom w:w="40" w:type="dxa"/>
                                  </w:tcMar>
                                  <w:vAlign w:val="center"/>
                                </w:tcPr>
                                <w:p>
                                  <w:pPr>
                                    <w:pStyle w:val="TableContents"/>
                                    <w:bidi w:val="0"/>
                                    <w:spacing w:before="0" w:after="283"/>
                                    <w:jc w:val="left"/>
                                    <w:rPr>
                                      <w:rFonts w:ascii="Arial" w:hAnsi="Arial"/>
                                      <w:sz w:val="16"/>
                                    </w:rPr>
                                  </w:pPr>
                                  <w:r>
                                    <w:rPr>
                                      <w:rFonts w:ascii="Arial" w:hAnsi="Arial"/>
                                      <w:sz w:val="16"/>
                                    </w:rPr>
                                    <w:t>BCP Panamá Agency*</w:t>
                                  </w:r>
                                </w:p>
                              </w:tc>
                              <w:tc>
                                <w:tcPr>
                                  <w:tcW w:w="515" w:type="dxa"/>
                                  <w:tcBorders>
                                    <w:bottom w:val="single" w:sz="8" w:space="0" w:color="FF976B"/>
                                  </w:tcBorders>
                                  <w:tcMar>
                                    <w:bottom w:w="40" w:type="dxa"/>
                                  </w:tcMar>
                                  <w:vAlign w:val="center"/>
                                </w:tcPr>
                                <w:p>
                                  <w:pPr>
                                    <w:pStyle w:val="TableContents"/>
                                    <w:bidi w:val="0"/>
                                    <w:spacing w:before="0" w:after="283"/>
                                    <w:jc w:val="left"/>
                                    <w:rPr>
                                      <w:rFonts w:ascii="Arial" w:hAnsi="Arial"/>
                                      <w:sz w:val="16"/>
                                    </w:rPr>
                                  </w:pPr>
                                  <w:r>
                                    <w:rPr>
                                      <w:rFonts w:ascii="Arial" w:hAnsi="Arial"/>
                                      <w:sz w:val="16"/>
                                    </w:rPr>
                                    <w:t>7</w:t>
                                  </w:r>
                                </w:p>
                              </w:tc>
                              <w:tc>
                                <w:tcPr>
                                  <w:tcW w:w="530" w:type="dxa"/>
                                  <w:tcBorders>
                                    <w:bottom w:val="single" w:sz="8" w:space="0" w:color="FF976B"/>
                                    <w:right w:val="single" w:sz="8" w:space="0" w:color="FF976B"/>
                                  </w:tcBorders>
                                  <w:tcMar>
                                    <w:bottom w:w="40" w:type="dxa"/>
                                    <w:right w:w="60" w:type="dxa"/>
                                  </w:tcMar>
                                  <w:vAlign w:val="center"/>
                                </w:tcPr>
                                <w:p>
                                  <w:pPr>
                                    <w:pStyle w:val="TableContents"/>
                                    <w:bidi w:val="0"/>
                                    <w:spacing w:before="0" w:after="283"/>
                                    <w:jc w:val="left"/>
                                    <w:rPr>
                                      <w:rFonts w:ascii="Arial" w:hAnsi="Arial"/>
                                      <w:sz w:val="16"/>
                                    </w:rPr>
                                  </w:pPr>
                                  <w:r>
                                    <w:rPr>
                                      <w:rFonts w:ascii="Arial" w:hAnsi="Arial"/>
                                      <w:sz w:val="16"/>
                                    </w:rPr>
                                    <w:t>7</w:t>
                                  </w:r>
                                </w:p>
                              </w:tc>
                            </w:tr>
                            <w:tr>
                              <w:trPr/>
                              <w:tc>
                                <w:tcPr>
                                  <w:tcW w:w="1820" w:type="dxa"/>
                                  <w:tcBorders>
                                    <w:left w:val="single" w:sz="8" w:space="0" w:color="FF976B"/>
                                    <w:bottom w:val="single" w:sz="8" w:space="0" w:color="606060"/>
                                  </w:tcBorders>
                                  <w:tcMar>
                                    <w:left w:w="60" w:type="dxa"/>
                                    <w:bottom w:w="40" w:type="dxa"/>
                                  </w:tcMar>
                                  <w:vAlign w:val="center"/>
                                </w:tcPr>
                                <w:p>
                                  <w:pPr>
                                    <w:pStyle w:val="TableContents"/>
                                    <w:bidi w:val="0"/>
                                    <w:spacing w:before="0" w:after="283"/>
                                    <w:jc w:val="left"/>
                                    <w:rPr>
                                      <w:rFonts w:ascii="Arial" w:hAnsi="Arial"/>
                                      <w:b/>
                                      <w:sz w:val="16"/>
                                    </w:rPr>
                                  </w:pPr>
                                  <w:r>
                                    <w:rPr>
                                      <w:rFonts w:ascii="Arial" w:hAnsi="Arial"/>
                                      <w:b/>
                                      <w:sz w:val="16"/>
                                    </w:rPr>
                                    <w:t>Total Grupo Credicorp</w:t>
                                  </w:r>
                                </w:p>
                              </w:tc>
                              <w:tc>
                                <w:tcPr>
                                  <w:tcW w:w="515" w:type="dxa"/>
                                  <w:tcBorders>
                                    <w:bottom w:val="single" w:sz="8" w:space="0" w:color="606060"/>
                                  </w:tcBorders>
                                  <w:tcMar>
                                    <w:bottom w:w="40" w:type="dxa"/>
                                  </w:tcMar>
                                  <w:vAlign w:val="center"/>
                                </w:tcPr>
                                <w:p>
                                  <w:pPr>
                                    <w:pStyle w:val="TableContents"/>
                                    <w:bidi w:val="0"/>
                                    <w:spacing w:before="0" w:after="283"/>
                                    <w:jc w:val="left"/>
                                    <w:rPr>
                                      <w:rFonts w:ascii="Arial" w:hAnsi="Arial"/>
                                      <w:b/>
                                      <w:sz w:val="16"/>
                                    </w:rPr>
                                  </w:pPr>
                                  <w:r>
                                    <w:rPr>
                                      <w:rFonts w:ascii="Arial" w:hAnsi="Arial"/>
                                      <w:b/>
                                      <w:sz w:val="16"/>
                                    </w:rPr>
                                    <w:t>37,076</w:t>
                                  </w:r>
                                </w:p>
                              </w:tc>
                              <w:tc>
                                <w:tcPr>
                                  <w:tcW w:w="530" w:type="dxa"/>
                                  <w:tcBorders>
                                    <w:bottom w:val="single" w:sz="8" w:space="0" w:color="606060"/>
                                    <w:right w:val="single" w:sz="8" w:space="0" w:color="FF976B"/>
                                  </w:tcBorders>
                                  <w:tcMar>
                                    <w:bottom w:w="40" w:type="dxa"/>
                                    <w:right w:w="60" w:type="dxa"/>
                                  </w:tcMar>
                                  <w:vAlign w:val="center"/>
                                </w:tcPr>
                                <w:p>
                                  <w:pPr>
                                    <w:pStyle w:val="TableContents"/>
                                    <w:bidi w:val="0"/>
                                    <w:spacing w:before="0" w:after="283"/>
                                    <w:jc w:val="left"/>
                                    <w:rPr>
                                      <w:rFonts w:ascii="Arial" w:hAnsi="Arial"/>
                                      <w:b/>
                                      <w:sz w:val="16"/>
                                    </w:rPr>
                                  </w:pPr>
                                  <w:r>
                                    <w:rPr>
                                      <w:rFonts w:ascii="Arial" w:hAnsi="Arial"/>
                                      <w:b/>
                                      <w:sz w:val="16"/>
                                    </w:rPr>
                                    <w:t>36,968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117.55pt;height:345.4pt;mso-wrap-distance-left:0pt;mso-wrap-distance-right:0pt;mso-wrap-distance-top:0pt;mso-wrap-distance-bottom:0pt;margin-top:0pt;mso-position-vertical:top;mso-position-vertical-relative:text;margin-left:0pt;mso-position-horizontal:left;mso-position-horizontal-relative:text">
                <v:textbox>
                  <w:txbxContent>
                    <w:tbl>
                      <w:tblPr>
                        <w:tblW w:w="2865" w:type="dxa"/>
                        <w:jc w:val="left"/>
                        <w:tblInd w:w="0" w:type="dxa"/>
                        <w:tblLayout w:type="fixed"/>
                        <w:tblCellMar>
                          <w:top w:w="0" w:type="dxa"/>
                          <w:left w:w="0" w:type="dxa"/>
                          <w:bottom w:w="0" w:type="dxa"/>
                          <w:right w:w="0" w:type="dxa"/>
                        </w:tblCellMar>
                      </w:tblPr>
                      <w:tblGrid>
                        <w:gridCol w:w="1820"/>
                        <w:gridCol w:w="515"/>
                        <w:gridCol w:w="530"/>
                      </w:tblGrid>
                      <w:tr>
                        <w:trPr/>
                        <w:tc>
                          <w:tcPr>
                            <w:tcW w:w="1820" w:type="dxa"/>
                            <w:tcBorders/>
                            <w:shd w:fill="FE4F00" w:val="clear"/>
                            <w:vAlign w:val="center"/>
                          </w:tcPr>
                          <w:p>
                            <w:pPr>
                              <w:pStyle w:val="TableContents"/>
                              <w:bidi w:val="0"/>
                              <w:spacing w:before="0" w:after="283"/>
                              <w:jc w:val="left"/>
                              <w:rPr>
                                <w:rFonts w:ascii="Arial" w:hAnsi="Arial"/>
                                <w:b/>
                                <w:color w:val="FFFFFF"/>
                                <w:sz w:val="16"/>
                              </w:rPr>
                            </w:pPr>
                            <w:r>
                              <w:rPr>
                                <w:rFonts w:ascii="Arial" w:hAnsi="Arial"/>
                                <w:b/>
                                <w:color w:val="FFFFFF"/>
                                <w:sz w:val="16"/>
                              </w:rPr>
                              <w:t>Subsidiary</w:t>
                            </w:r>
                          </w:p>
                        </w:tc>
                        <w:tc>
                          <w:tcPr>
                            <w:tcW w:w="515" w:type="dxa"/>
                            <w:tcBorders/>
                            <w:shd w:fill="FE4F00" w:val="clear"/>
                            <w:vAlign w:val="center"/>
                          </w:tcPr>
                          <w:p>
                            <w:pPr>
                              <w:pStyle w:val="TableContents"/>
                              <w:bidi w:val="0"/>
                              <w:spacing w:before="0" w:after="283"/>
                              <w:jc w:val="left"/>
                              <w:rPr>
                                <w:rFonts w:ascii="Arial" w:hAnsi="Arial"/>
                                <w:b/>
                                <w:color w:val="FFFFFF"/>
                                <w:sz w:val="16"/>
                              </w:rPr>
                            </w:pPr>
                            <w:r>
                              <w:rPr>
                                <w:rFonts w:ascii="Arial" w:hAnsi="Arial"/>
                                <w:b/>
                                <w:color w:val="FFFFFF"/>
                                <w:sz w:val="16"/>
                              </w:rPr>
                              <w:t>2023**</w:t>
                            </w:r>
                          </w:p>
                        </w:tc>
                        <w:tc>
                          <w:tcPr>
                            <w:tcW w:w="530" w:type="dxa"/>
                            <w:tcBorders/>
                            <w:shd w:fill="FE4F00" w:val="clear"/>
                            <w:vAlign w:val="center"/>
                          </w:tcPr>
                          <w:p>
                            <w:pPr>
                              <w:pStyle w:val="TableContents"/>
                              <w:bidi w:val="0"/>
                              <w:spacing w:before="0" w:after="283"/>
                              <w:jc w:val="left"/>
                              <w:rPr>
                                <w:rFonts w:ascii="Arial" w:hAnsi="Arial"/>
                                <w:b/>
                                <w:color w:val="FFFFFF"/>
                                <w:sz w:val="16"/>
                              </w:rPr>
                            </w:pPr>
                            <w:r>
                              <w:rPr>
                                <w:rFonts w:ascii="Arial" w:hAnsi="Arial"/>
                                <w:b/>
                                <w:color w:val="FFFFFF"/>
                                <w:sz w:val="16"/>
                              </w:rPr>
                              <w:t>2022</w:t>
                            </w:r>
                          </w:p>
                        </w:tc>
                      </w:tr>
                      <w:tr>
                        <w:trPr/>
                        <w:tc>
                          <w:tcPr>
                            <w:tcW w:w="1820" w:type="dxa"/>
                            <w:tcBorders>
                              <w:left w:val="single" w:sz="8" w:space="0" w:color="FF976B"/>
                              <w:bottom w:val="single" w:sz="8" w:space="0" w:color="FF976B"/>
                            </w:tcBorders>
                            <w:tcMar>
                              <w:left w:w="60" w:type="dxa"/>
                              <w:bottom w:w="40" w:type="dxa"/>
                            </w:tcMar>
                            <w:vAlign w:val="center"/>
                          </w:tcPr>
                          <w:p>
                            <w:pPr>
                              <w:pStyle w:val="TableContents"/>
                              <w:bidi w:val="0"/>
                              <w:spacing w:before="0" w:after="283"/>
                              <w:jc w:val="left"/>
                              <w:rPr>
                                <w:rFonts w:ascii="Arial" w:hAnsi="Arial"/>
                                <w:sz w:val="16"/>
                              </w:rPr>
                            </w:pPr>
                            <w:r>
                              <w:rPr>
                                <w:rFonts w:ascii="Arial" w:hAnsi="Arial"/>
                                <w:sz w:val="16"/>
                              </w:rPr>
                              <w:t>BCP</w:t>
                            </w:r>
                          </w:p>
                        </w:tc>
                        <w:tc>
                          <w:tcPr>
                            <w:tcW w:w="515" w:type="dxa"/>
                            <w:tcBorders>
                              <w:bottom w:val="single" w:sz="8" w:space="0" w:color="FF976B"/>
                            </w:tcBorders>
                            <w:tcMar>
                              <w:bottom w:w="40" w:type="dxa"/>
                            </w:tcMar>
                            <w:vAlign w:val="center"/>
                          </w:tcPr>
                          <w:p>
                            <w:pPr>
                              <w:pStyle w:val="TableContents"/>
                              <w:bidi w:val="0"/>
                              <w:spacing w:before="0" w:after="283"/>
                              <w:jc w:val="left"/>
                              <w:rPr>
                                <w:rFonts w:ascii="Arial" w:hAnsi="Arial"/>
                                <w:sz w:val="16"/>
                              </w:rPr>
                            </w:pPr>
                            <w:r>
                              <w:rPr>
                                <w:rFonts w:ascii="Arial" w:hAnsi="Arial"/>
                                <w:sz w:val="16"/>
                              </w:rPr>
                              <w:t>17,844</w:t>
                            </w:r>
                          </w:p>
                        </w:tc>
                        <w:tc>
                          <w:tcPr>
                            <w:tcW w:w="530" w:type="dxa"/>
                            <w:tcBorders>
                              <w:bottom w:val="single" w:sz="8" w:space="0" w:color="FF976B"/>
                              <w:right w:val="single" w:sz="8" w:space="0" w:color="FF976B"/>
                            </w:tcBorders>
                            <w:tcMar>
                              <w:bottom w:w="40" w:type="dxa"/>
                              <w:right w:w="60" w:type="dxa"/>
                            </w:tcMar>
                            <w:vAlign w:val="center"/>
                          </w:tcPr>
                          <w:p>
                            <w:pPr>
                              <w:pStyle w:val="TableContents"/>
                              <w:bidi w:val="0"/>
                              <w:spacing w:before="0" w:after="283"/>
                              <w:jc w:val="left"/>
                              <w:rPr>
                                <w:rFonts w:ascii="Arial" w:hAnsi="Arial"/>
                                <w:sz w:val="16"/>
                              </w:rPr>
                            </w:pPr>
                            <w:r>
                              <w:rPr>
                                <w:rFonts w:ascii="Arial" w:hAnsi="Arial"/>
                                <w:sz w:val="16"/>
                              </w:rPr>
                              <w:t>17,695</w:t>
                            </w:r>
                          </w:p>
                        </w:tc>
                      </w:tr>
                      <w:tr>
                        <w:trPr/>
                        <w:tc>
                          <w:tcPr>
                            <w:tcW w:w="1820" w:type="dxa"/>
                            <w:tcBorders>
                              <w:left w:val="single" w:sz="8" w:space="0" w:color="FF976B"/>
                              <w:bottom w:val="single" w:sz="8" w:space="0" w:color="FF976B"/>
                            </w:tcBorders>
                            <w:tcMar>
                              <w:left w:w="60" w:type="dxa"/>
                              <w:bottom w:w="40" w:type="dxa"/>
                            </w:tcMar>
                            <w:vAlign w:val="center"/>
                          </w:tcPr>
                          <w:p>
                            <w:pPr>
                              <w:pStyle w:val="TableContents"/>
                              <w:bidi w:val="0"/>
                              <w:spacing w:before="0" w:after="283"/>
                              <w:jc w:val="left"/>
                              <w:rPr>
                                <w:rFonts w:ascii="Arial" w:hAnsi="Arial"/>
                                <w:sz w:val="16"/>
                              </w:rPr>
                            </w:pPr>
                            <w:r>
                              <w:rPr>
                                <w:rFonts w:ascii="Arial" w:hAnsi="Arial"/>
                                <w:sz w:val="16"/>
                              </w:rPr>
                              <w:t>Pacífico Seguros</w:t>
                            </w:r>
                          </w:p>
                        </w:tc>
                        <w:tc>
                          <w:tcPr>
                            <w:tcW w:w="515" w:type="dxa"/>
                            <w:tcBorders>
                              <w:bottom w:val="single" w:sz="8" w:space="0" w:color="FF976B"/>
                            </w:tcBorders>
                            <w:tcMar>
                              <w:bottom w:w="40" w:type="dxa"/>
                            </w:tcMar>
                            <w:vAlign w:val="center"/>
                          </w:tcPr>
                          <w:p>
                            <w:pPr>
                              <w:pStyle w:val="TableContents"/>
                              <w:bidi w:val="0"/>
                              <w:spacing w:before="0" w:after="283"/>
                              <w:jc w:val="left"/>
                              <w:rPr>
                                <w:rFonts w:ascii="Arial" w:hAnsi="Arial"/>
                                <w:sz w:val="16"/>
                              </w:rPr>
                            </w:pPr>
                            <w:r>
                              <w:rPr>
                                <w:rFonts w:ascii="Arial" w:hAnsi="Arial"/>
                                <w:sz w:val="16"/>
                              </w:rPr>
                              <w:t>2,601</w:t>
                            </w:r>
                          </w:p>
                        </w:tc>
                        <w:tc>
                          <w:tcPr>
                            <w:tcW w:w="530" w:type="dxa"/>
                            <w:tcBorders>
                              <w:bottom w:val="single" w:sz="8" w:space="0" w:color="FF976B"/>
                              <w:right w:val="single" w:sz="8" w:space="0" w:color="FF976B"/>
                            </w:tcBorders>
                            <w:tcMar>
                              <w:bottom w:w="40" w:type="dxa"/>
                              <w:right w:w="60" w:type="dxa"/>
                            </w:tcMar>
                            <w:vAlign w:val="center"/>
                          </w:tcPr>
                          <w:p>
                            <w:pPr>
                              <w:pStyle w:val="TableContents"/>
                              <w:bidi w:val="0"/>
                              <w:spacing w:before="0" w:after="283"/>
                              <w:jc w:val="left"/>
                              <w:rPr>
                                <w:rFonts w:ascii="Arial" w:hAnsi="Arial"/>
                                <w:sz w:val="16"/>
                              </w:rPr>
                            </w:pPr>
                            <w:r>
                              <w:rPr>
                                <w:rFonts w:ascii="Arial" w:hAnsi="Arial"/>
                                <w:sz w:val="16"/>
                              </w:rPr>
                              <w:t>2,444</w:t>
                            </w:r>
                          </w:p>
                        </w:tc>
                      </w:tr>
                      <w:tr>
                        <w:trPr/>
                        <w:tc>
                          <w:tcPr>
                            <w:tcW w:w="1820" w:type="dxa"/>
                            <w:tcBorders>
                              <w:left w:val="single" w:sz="8" w:space="0" w:color="FF976B"/>
                              <w:bottom w:val="single" w:sz="8" w:space="0" w:color="FF976B"/>
                            </w:tcBorders>
                            <w:tcMar>
                              <w:left w:w="60" w:type="dxa"/>
                              <w:bottom w:w="40" w:type="dxa"/>
                            </w:tcMar>
                            <w:vAlign w:val="center"/>
                          </w:tcPr>
                          <w:p>
                            <w:pPr>
                              <w:pStyle w:val="TableContents"/>
                              <w:bidi w:val="0"/>
                              <w:spacing w:before="0" w:after="283"/>
                              <w:jc w:val="left"/>
                              <w:rPr>
                                <w:rFonts w:ascii="Arial" w:hAnsi="Arial"/>
                                <w:sz w:val="16"/>
                              </w:rPr>
                            </w:pPr>
                            <w:r>
                              <w:rPr>
                                <w:rFonts w:ascii="Arial" w:hAnsi="Arial"/>
                                <w:sz w:val="16"/>
                              </w:rPr>
                              <w:t>Prima AFP</w:t>
                            </w:r>
                          </w:p>
                        </w:tc>
                        <w:tc>
                          <w:tcPr>
                            <w:tcW w:w="515" w:type="dxa"/>
                            <w:tcBorders>
                              <w:bottom w:val="single" w:sz="8" w:space="0" w:color="FF976B"/>
                            </w:tcBorders>
                            <w:tcMar>
                              <w:bottom w:w="40" w:type="dxa"/>
                            </w:tcMar>
                            <w:vAlign w:val="center"/>
                          </w:tcPr>
                          <w:p>
                            <w:pPr>
                              <w:pStyle w:val="TableContents"/>
                              <w:bidi w:val="0"/>
                              <w:spacing w:before="0" w:after="283"/>
                              <w:jc w:val="left"/>
                              <w:rPr>
                                <w:rFonts w:ascii="Arial" w:hAnsi="Arial"/>
                                <w:sz w:val="16"/>
                              </w:rPr>
                            </w:pPr>
                            <w:r>
                              <w:rPr>
                                <w:rFonts w:ascii="Arial" w:hAnsi="Arial"/>
                                <w:sz w:val="16"/>
                              </w:rPr>
                              <w:t>569</w:t>
                            </w:r>
                          </w:p>
                        </w:tc>
                        <w:tc>
                          <w:tcPr>
                            <w:tcW w:w="530" w:type="dxa"/>
                            <w:tcBorders>
                              <w:bottom w:val="single" w:sz="8" w:space="0" w:color="FF976B"/>
                              <w:right w:val="single" w:sz="8" w:space="0" w:color="FF976B"/>
                            </w:tcBorders>
                            <w:tcMar>
                              <w:bottom w:w="40" w:type="dxa"/>
                              <w:right w:w="60" w:type="dxa"/>
                            </w:tcMar>
                            <w:vAlign w:val="center"/>
                          </w:tcPr>
                          <w:p>
                            <w:pPr>
                              <w:pStyle w:val="TableContents"/>
                              <w:bidi w:val="0"/>
                              <w:spacing w:before="0" w:after="283"/>
                              <w:jc w:val="left"/>
                              <w:rPr>
                                <w:rFonts w:ascii="Arial" w:hAnsi="Arial"/>
                                <w:sz w:val="16"/>
                              </w:rPr>
                            </w:pPr>
                            <w:r>
                              <w:rPr>
                                <w:rFonts w:ascii="Arial" w:hAnsi="Arial"/>
                                <w:sz w:val="16"/>
                              </w:rPr>
                              <w:t>572</w:t>
                            </w:r>
                          </w:p>
                        </w:tc>
                      </w:tr>
                      <w:tr>
                        <w:trPr/>
                        <w:tc>
                          <w:tcPr>
                            <w:tcW w:w="1820" w:type="dxa"/>
                            <w:tcBorders>
                              <w:left w:val="single" w:sz="8" w:space="0" w:color="FF976B"/>
                              <w:bottom w:val="single" w:sz="8" w:space="0" w:color="FF976B"/>
                            </w:tcBorders>
                            <w:tcMar>
                              <w:left w:w="60" w:type="dxa"/>
                              <w:bottom w:w="40" w:type="dxa"/>
                            </w:tcMar>
                            <w:vAlign w:val="center"/>
                          </w:tcPr>
                          <w:p>
                            <w:pPr>
                              <w:pStyle w:val="TableContents"/>
                              <w:bidi w:val="0"/>
                              <w:spacing w:before="0" w:after="283"/>
                              <w:jc w:val="left"/>
                              <w:rPr>
                                <w:rFonts w:ascii="Arial" w:hAnsi="Arial"/>
                                <w:sz w:val="16"/>
                              </w:rPr>
                            </w:pPr>
                            <w:r>
                              <w:rPr>
                                <w:rFonts w:ascii="Arial" w:hAnsi="Arial"/>
                                <w:sz w:val="16"/>
                              </w:rPr>
                              <w:t>Mibanco</w:t>
                            </w:r>
                          </w:p>
                        </w:tc>
                        <w:tc>
                          <w:tcPr>
                            <w:tcW w:w="515" w:type="dxa"/>
                            <w:tcBorders>
                              <w:bottom w:val="single" w:sz="8" w:space="0" w:color="FF976B"/>
                            </w:tcBorders>
                            <w:tcMar>
                              <w:bottom w:w="40" w:type="dxa"/>
                            </w:tcMar>
                            <w:vAlign w:val="center"/>
                          </w:tcPr>
                          <w:p>
                            <w:pPr>
                              <w:pStyle w:val="TableContents"/>
                              <w:bidi w:val="0"/>
                              <w:spacing w:before="0" w:after="283"/>
                              <w:jc w:val="left"/>
                              <w:rPr>
                                <w:rFonts w:ascii="Arial" w:hAnsi="Arial"/>
                                <w:sz w:val="16"/>
                              </w:rPr>
                            </w:pPr>
                            <w:r>
                              <w:rPr>
                                <w:rFonts w:ascii="Arial" w:hAnsi="Arial"/>
                                <w:sz w:val="16"/>
                              </w:rPr>
                              <w:t>9,842</w:t>
                            </w:r>
                          </w:p>
                        </w:tc>
                        <w:tc>
                          <w:tcPr>
                            <w:tcW w:w="530" w:type="dxa"/>
                            <w:tcBorders>
                              <w:bottom w:val="single" w:sz="8" w:space="0" w:color="FF976B"/>
                              <w:right w:val="single" w:sz="8" w:space="0" w:color="FF976B"/>
                            </w:tcBorders>
                            <w:tcMar>
                              <w:bottom w:w="40" w:type="dxa"/>
                              <w:right w:w="60" w:type="dxa"/>
                            </w:tcMar>
                            <w:vAlign w:val="center"/>
                          </w:tcPr>
                          <w:p>
                            <w:pPr>
                              <w:pStyle w:val="TableContents"/>
                              <w:bidi w:val="0"/>
                              <w:spacing w:before="0" w:after="283"/>
                              <w:jc w:val="left"/>
                              <w:rPr>
                                <w:rFonts w:ascii="Arial" w:hAnsi="Arial"/>
                                <w:sz w:val="16"/>
                              </w:rPr>
                            </w:pPr>
                            <w:r>
                              <w:rPr>
                                <w:rFonts w:ascii="Arial" w:hAnsi="Arial"/>
                                <w:sz w:val="16"/>
                              </w:rPr>
                              <w:t>9,725</w:t>
                            </w:r>
                          </w:p>
                        </w:tc>
                      </w:tr>
                      <w:tr>
                        <w:trPr/>
                        <w:tc>
                          <w:tcPr>
                            <w:tcW w:w="1820" w:type="dxa"/>
                            <w:tcBorders>
                              <w:left w:val="single" w:sz="8" w:space="0" w:color="FF976B"/>
                              <w:bottom w:val="single" w:sz="8" w:space="0" w:color="FF976B"/>
                            </w:tcBorders>
                            <w:tcMar>
                              <w:left w:w="60" w:type="dxa"/>
                              <w:bottom w:w="40" w:type="dxa"/>
                            </w:tcMar>
                            <w:vAlign w:val="center"/>
                          </w:tcPr>
                          <w:p>
                            <w:pPr>
                              <w:pStyle w:val="TableContents"/>
                              <w:bidi w:val="0"/>
                              <w:spacing w:before="0" w:after="283"/>
                              <w:jc w:val="left"/>
                              <w:rPr>
                                <w:rFonts w:ascii="Arial" w:hAnsi="Arial"/>
                                <w:sz w:val="16"/>
                              </w:rPr>
                            </w:pPr>
                            <w:r>
                              <w:rPr>
                                <w:rFonts w:ascii="Arial" w:hAnsi="Arial"/>
                                <w:sz w:val="16"/>
                              </w:rPr>
                              <w:t>Credicorp Capital</w:t>
                            </w:r>
                          </w:p>
                        </w:tc>
                        <w:tc>
                          <w:tcPr>
                            <w:tcW w:w="515" w:type="dxa"/>
                            <w:tcBorders>
                              <w:bottom w:val="single" w:sz="8" w:space="0" w:color="FF976B"/>
                            </w:tcBorders>
                            <w:tcMar>
                              <w:bottom w:w="40" w:type="dxa"/>
                            </w:tcMar>
                            <w:vAlign w:val="center"/>
                          </w:tcPr>
                          <w:p>
                            <w:pPr>
                              <w:pStyle w:val="TableContents"/>
                              <w:bidi w:val="0"/>
                              <w:spacing w:before="0" w:after="283"/>
                              <w:jc w:val="left"/>
                              <w:rPr>
                                <w:rFonts w:ascii="Arial" w:hAnsi="Arial"/>
                                <w:sz w:val="16"/>
                              </w:rPr>
                            </w:pPr>
                            <w:r>
                              <w:rPr>
                                <w:rFonts w:ascii="Arial" w:hAnsi="Arial"/>
                                <w:sz w:val="16"/>
                              </w:rPr>
                              <w:t>1,929</w:t>
                            </w:r>
                          </w:p>
                        </w:tc>
                        <w:tc>
                          <w:tcPr>
                            <w:tcW w:w="530" w:type="dxa"/>
                            <w:tcBorders>
                              <w:bottom w:val="single" w:sz="8" w:space="0" w:color="FF976B"/>
                              <w:right w:val="single" w:sz="8" w:space="0" w:color="FF976B"/>
                            </w:tcBorders>
                            <w:tcMar>
                              <w:bottom w:w="40" w:type="dxa"/>
                              <w:right w:w="60" w:type="dxa"/>
                            </w:tcMar>
                            <w:vAlign w:val="center"/>
                          </w:tcPr>
                          <w:p>
                            <w:pPr>
                              <w:pStyle w:val="TableContents"/>
                              <w:bidi w:val="0"/>
                              <w:spacing w:before="0" w:after="283"/>
                              <w:jc w:val="left"/>
                              <w:rPr>
                                <w:rFonts w:ascii="Arial" w:hAnsi="Arial"/>
                                <w:sz w:val="16"/>
                              </w:rPr>
                            </w:pPr>
                            <w:r>
                              <w:rPr>
                                <w:rFonts w:ascii="Arial" w:hAnsi="Arial"/>
                                <w:sz w:val="16"/>
                              </w:rPr>
                              <w:t>1,939</w:t>
                            </w:r>
                          </w:p>
                        </w:tc>
                      </w:tr>
                      <w:tr>
                        <w:trPr/>
                        <w:tc>
                          <w:tcPr>
                            <w:tcW w:w="1820" w:type="dxa"/>
                            <w:tcBorders>
                              <w:left w:val="single" w:sz="8" w:space="0" w:color="FF976B"/>
                              <w:bottom w:val="single" w:sz="8" w:space="0" w:color="FF976B"/>
                            </w:tcBorders>
                            <w:tcMar>
                              <w:left w:w="60" w:type="dxa"/>
                              <w:bottom w:w="40" w:type="dxa"/>
                            </w:tcMar>
                            <w:vAlign w:val="center"/>
                          </w:tcPr>
                          <w:p>
                            <w:pPr>
                              <w:pStyle w:val="TableContents"/>
                              <w:bidi w:val="0"/>
                              <w:spacing w:before="0" w:after="283"/>
                              <w:jc w:val="left"/>
                              <w:rPr>
                                <w:rFonts w:ascii="Arial" w:hAnsi="Arial"/>
                                <w:sz w:val="16"/>
                              </w:rPr>
                            </w:pPr>
                            <w:r>
                              <w:rPr>
                                <w:rFonts w:ascii="Arial" w:hAnsi="Arial"/>
                                <w:sz w:val="16"/>
                              </w:rPr>
                              <w:t>BCP Bolivia</w:t>
                            </w:r>
                          </w:p>
                        </w:tc>
                        <w:tc>
                          <w:tcPr>
                            <w:tcW w:w="515" w:type="dxa"/>
                            <w:tcBorders>
                              <w:bottom w:val="single" w:sz="8" w:space="0" w:color="FF976B"/>
                            </w:tcBorders>
                            <w:tcMar>
                              <w:bottom w:w="40" w:type="dxa"/>
                            </w:tcMar>
                            <w:vAlign w:val="center"/>
                          </w:tcPr>
                          <w:p>
                            <w:pPr>
                              <w:pStyle w:val="TableContents"/>
                              <w:bidi w:val="0"/>
                              <w:spacing w:before="0" w:after="283"/>
                              <w:jc w:val="left"/>
                              <w:rPr>
                                <w:rFonts w:ascii="Arial" w:hAnsi="Arial"/>
                                <w:sz w:val="16"/>
                              </w:rPr>
                            </w:pPr>
                            <w:r>
                              <w:rPr>
                                <w:rFonts w:ascii="Arial" w:hAnsi="Arial"/>
                                <w:sz w:val="16"/>
                              </w:rPr>
                              <w:t>1,803</w:t>
                            </w:r>
                          </w:p>
                        </w:tc>
                        <w:tc>
                          <w:tcPr>
                            <w:tcW w:w="530" w:type="dxa"/>
                            <w:tcBorders>
                              <w:bottom w:val="single" w:sz="8" w:space="0" w:color="FF976B"/>
                              <w:right w:val="single" w:sz="8" w:space="0" w:color="FF976B"/>
                            </w:tcBorders>
                            <w:tcMar>
                              <w:bottom w:w="40" w:type="dxa"/>
                              <w:right w:w="60" w:type="dxa"/>
                            </w:tcMar>
                            <w:vAlign w:val="center"/>
                          </w:tcPr>
                          <w:p>
                            <w:pPr>
                              <w:pStyle w:val="TableContents"/>
                              <w:bidi w:val="0"/>
                              <w:spacing w:before="0" w:after="283"/>
                              <w:jc w:val="left"/>
                              <w:rPr>
                                <w:rFonts w:ascii="Arial" w:hAnsi="Arial"/>
                                <w:sz w:val="16"/>
                              </w:rPr>
                            </w:pPr>
                            <w:r>
                              <w:rPr>
                                <w:rFonts w:ascii="Arial" w:hAnsi="Arial"/>
                                <w:sz w:val="16"/>
                              </w:rPr>
                              <w:t>1,763</w:t>
                            </w:r>
                          </w:p>
                        </w:tc>
                      </w:tr>
                      <w:tr>
                        <w:trPr/>
                        <w:tc>
                          <w:tcPr>
                            <w:tcW w:w="1820" w:type="dxa"/>
                            <w:tcBorders>
                              <w:left w:val="single" w:sz="8" w:space="0" w:color="FF976B"/>
                              <w:bottom w:val="single" w:sz="8" w:space="0" w:color="FF976B"/>
                            </w:tcBorders>
                            <w:tcMar>
                              <w:left w:w="60" w:type="dxa"/>
                              <w:bottom w:w="40" w:type="dxa"/>
                            </w:tcMar>
                            <w:vAlign w:val="center"/>
                          </w:tcPr>
                          <w:p>
                            <w:pPr>
                              <w:pStyle w:val="TableContents"/>
                              <w:bidi w:val="0"/>
                              <w:spacing w:before="0" w:after="283"/>
                              <w:jc w:val="left"/>
                              <w:rPr>
                                <w:rFonts w:ascii="Arial" w:hAnsi="Arial"/>
                                <w:sz w:val="16"/>
                              </w:rPr>
                            </w:pPr>
                            <w:r>
                              <w:rPr>
                                <w:rFonts w:ascii="Arial" w:hAnsi="Arial"/>
                                <w:sz w:val="16"/>
                              </w:rPr>
                              <w:t>Mibanco Colombia</w:t>
                            </w:r>
                          </w:p>
                        </w:tc>
                        <w:tc>
                          <w:tcPr>
                            <w:tcW w:w="515" w:type="dxa"/>
                            <w:tcBorders>
                              <w:bottom w:val="single" w:sz="8" w:space="0" w:color="FF976B"/>
                            </w:tcBorders>
                            <w:tcMar>
                              <w:bottom w:w="40" w:type="dxa"/>
                            </w:tcMar>
                            <w:vAlign w:val="center"/>
                          </w:tcPr>
                          <w:p>
                            <w:pPr>
                              <w:pStyle w:val="TableContents"/>
                              <w:bidi w:val="0"/>
                              <w:spacing w:before="0" w:after="283"/>
                              <w:jc w:val="left"/>
                              <w:rPr>
                                <w:rFonts w:ascii="Arial" w:hAnsi="Arial"/>
                                <w:sz w:val="16"/>
                              </w:rPr>
                            </w:pPr>
                            <w:r>
                              <w:rPr>
                                <w:rFonts w:ascii="Arial" w:hAnsi="Arial"/>
                                <w:sz w:val="16"/>
                              </w:rPr>
                              <w:t>2,297</w:t>
                            </w:r>
                          </w:p>
                        </w:tc>
                        <w:tc>
                          <w:tcPr>
                            <w:tcW w:w="530" w:type="dxa"/>
                            <w:tcBorders>
                              <w:bottom w:val="single" w:sz="8" w:space="0" w:color="FF976B"/>
                              <w:right w:val="single" w:sz="8" w:space="0" w:color="FF976B"/>
                            </w:tcBorders>
                            <w:tcMar>
                              <w:bottom w:w="40" w:type="dxa"/>
                              <w:right w:w="60" w:type="dxa"/>
                            </w:tcMar>
                            <w:vAlign w:val="center"/>
                          </w:tcPr>
                          <w:p>
                            <w:pPr>
                              <w:pStyle w:val="TableContents"/>
                              <w:bidi w:val="0"/>
                              <w:spacing w:before="0" w:after="283"/>
                              <w:jc w:val="left"/>
                              <w:rPr>
                                <w:rFonts w:ascii="Arial" w:hAnsi="Arial"/>
                                <w:sz w:val="16"/>
                              </w:rPr>
                            </w:pPr>
                            <w:r>
                              <w:rPr>
                                <w:rFonts w:ascii="Arial" w:hAnsi="Arial"/>
                                <w:sz w:val="16"/>
                              </w:rPr>
                              <w:t>2,665</w:t>
                            </w:r>
                          </w:p>
                        </w:tc>
                      </w:tr>
                      <w:tr>
                        <w:trPr/>
                        <w:tc>
                          <w:tcPr>
                            <w:tcW w:w="1820" w:type="dxa"/>
                            <w:tcBorders>
                              <w:left w:val="single" w:sz="8" w:space="0" w:color="FF976B"/>
                              <w:bottom w:val="single" w:sz="8" w:space="0" w:color="FF976B"/>
                            </w:tcBorders>
                            <w:tcMar>
                              <w:left w:w="60" w:type="dxa"/>
                              <w:bottom w:w="40" w:type="dxa"/>
                            </w:tcMar>
                            <w:vAlign w:val="center"/>
                          </w:tcPr>
                          <w:p>
                            <w:pPr>
                              <w:pStyle w:val="TableContents"/>
                              <w:bidi w:val="0"/>
                              <w:spacing w:before="0" w:after="283"/>
                              <w:jc w:val="left"/>
                              <w:rPr>
                                <w:rFonts w:ascii="Arial" w:hAnsi="Arial"/>
                                <w:sz w:val="16"/>
                              </w:rPr>
                            </w:pPr>
                            <w:r>
                              <w:rPr>
                                <w:rFonts w:ascii="Arial" w:hAnsi="Arial"/>
                                <w:sz w:val="16"/>
                              </w:rPr>
                              <w:t>Grupo Crédito</w:t>
                            </w:r>
                          </w:p>
                        </w:tc>
                        <w:tc>
                          <w:tcPr>
                            <w:tcW w:w="515" w:type="dxa"/>
                            <w:tcBorders>
                              <w:bottom w:val="single" w:sz="8" w:space="0" w:color="FF976B"/>
                            </w:tcBorders>
                            <w:tcMar>
                              <w:bottom w:w="40" w:type="dxa"/>
                            </w:tcMar>
                            <w:vAlign w:val="center"/>
                          </w:tcPr>
                          <w:p>
                            <w:pPr>
                              <w:pStyle w:val="TableContents"/>
                              <w:bidi w:val="0"/>
                              <w:spacing w:before="0" w:after="283"/>
                              <w:jc w:val="left"/>
                              <w:rPr>
                                <w:rFonts w:ascii="Arial" w:hAnsi="Arial"/>
                                <w:sz w:val="16"/>
                              </w:rPr>
                            </w:pPr>
                            <w:r>
                              <w:rPr>
                                <w:rFonts w:ascii="Arial" w:hAnsi="Arial"/>
                                <w:sz w:val="16"/>
                              </w:rPr>
                              <w:t>139</w:t>
                            </w:r>
                          </w:p>
                        </w:tc>
                        <w:tc>
                          <w:tcPr>
                            <w:tcW w:w="530" w:type="dxa"/>
                            <w:tcBorders>
                              <w:bottom w:val="single" w:sz="8" w:space="0" w:color="FF976B"/>
                              <w:right w:val="single" w:sz="8" w:space="0" w:color="FF976B"/>
                            </w:tcBorders>
                            <w:tcMar>
                              <w:bottom w:w="40" w:type="dxa"/>
                              <w:right w:w="60" w:type="dxa"/>
                            </w:tcMar>
                            <w:vAlign w:val="center"/>
                          </w:tcPr>
                          <w:p>
                            <w:pPr>
                              <w:pStyle w:val="TableContents"/>
                              <w:bidi w:val="0"/>
                              <w:spacing w:before="0" w:after="283"/>
                              <w:jc w:val="left"/>
                              <w:rPr>
                                <w:rFonts w:ascii="Arial" w:hAnsi="Arial"/>
                                <w:sz w:val="16"/>
                              </w:rPr>
                            </w:pPr>
                            <w:r>
                              <w:rPr>
                                <w:rFonts w:ascii="Arial" w:hAnsi="Arial"/>
                                <w:sz w:val="16"/>
                              </w:rPr>
                              <w:t>116</w:t>
                            </w:r>
                          </w:p>
                        </w:tc>
                      </w:tr>
                      <w:tr>
                        <w:trPr/>
                        <w:tc>
                          <w:tcPr>
                            <w:tcW w:w="1820" w:type="dxa"/>
                            <w:tcBorders>
                              <w:left w:val="single" w:sz="8" w:space="0" w:color="FF976B"/>
                              <w:bottom w:val="single" w:sz="8" w:space="0" w:color="FF976B"/>
                            </w:tcBorders>
                            <w:tcMar>
                              <w:left w:w="60" w:type="dxa"/>
                              <w:bottom w:w="40" w:type="dxa"/>
                            </w:tcMar>
                            <w:vAlign w:val="center"/>
                          </w:tcPr>
                          <w:p>
                            <w:pPr>
                              <w:pStyle w:val="TableContents"/>
                              <w:bidi w:val="0"/>
                              <w:spacing w:before="0" w:after="283"/>
                              <w:jc w:val="left"/>
                              <w:rPr>
                                <w:rFonts w:ascii="Arial" w:hAnsi="Arial"/>
                                <w:sz w:val="16"/>
                              </w:rPr>
                            </w:pPr>
                            <w:r>
                              <w:rPr>
                                <w:rFonts w:ascii="Arial" w:hAnsi="Arial"/>
                                <w:sz w:val="16"/>
                              </w:rPr>
                              <w:t>BCP Miami*</w:t>
                            </w:r>
                          </w:p>
                        </w:tc>
                        <w:tc>
                          <w:tcPr>
                            <w:tcW w:w="515" w:type="dxa"/>
                            <w:tcBorders>
                              <w:bottom w:val="single" w:sz="8" w:space="0" w:color="FF976B"/>
                            </w:tcBorders>
                            <w:tcMar>
                              <w:bottom w:w="40" w:type="dxa"/>
                            </w:tcMar>
                            <w:vAlign w:val="center"/>
                          </w:tcPr>
                          <w:p>
                            <w:pPr>
                              <w:pStyle w:val="TableContents"/>
                              <w:bidi w:val="0"/>
                              <w:spacing w:before="0" w:after="283"/>
                              <w:jc w:val="left"/>
                              <w:rPr>
                                <w:rFonts w:ascii="Arial" w:hAnsi="Arial"/>
                                <w:sz w:val="16"/>
                              </w:rPr>
                            </w:pPr>
                            <w:r>
                              <w:rPr>
                                <w:rFonts w:ascii="Arial" w:hAnsi="Arial"/>
                                <w:sz w:val="16"/>
                              </w:rPr>
                              <w:t>44</w:t>
                            </w:r>
                          </w:p>
                        </w:tc>
                        <w:tc>
                          <w:tcPr>
                            <w:tcW w:w="530" w:type="dxa"/>
                            <w:tcBorders>
                              <w:bottom w:val="single" w:sz="8" w:space="0" w:color="FF976B"/>
                              <w:right w:val="single" w:sz="8" w:space="0" w:color="FF976B"/>
                            </w:tcBorders>
                            <w:tcMar>
                              <w:bottom w:w="40" w:type="dxa"/>
                              <w:right w:w="60" w:type="dxa"/>
                            </w:tcMar>
                            <w:vAlign w:val="center"/>
                          </w:tcPr>
                          <w:p>
                            <w:pPr>
                              <w:pStyle w:val="TableContents"/>
                              <w:bidi w:val="0"/>
                              <w:spacing w:before="0" w:after="283"/>
                              <w:jc w:val="left"/>
                              <w:rPr>
                                <w:rFonts w:ascii="Arial" w:hAnsi="Arial"/>
                                <w:sz w:val="16"/>
                              </w:rPr>
                            </w:pPr>
                            <w:r>
                              <w:rPr>
                                <w:rFonts w:ascii="Arial" w:hAnsi="Arial"/>
                                <w:sz w:val="16"/>
                              </w:rPr>
                              <w:t>42</w:t>
                            </w:r>
                          </w:p>
                        </w:tc>
                      </w:tr>
                      <w:tr>
                        <w:trPr/>
                        <w:tc>
                          <w:tcPr>
                            <w:tcW w:w="1820" w:type="dxa"/>
                            <w:tcBorders>
                              <w:left w:val="single" w:sz="8" w:space="0" w:color="FF976B"/>
                              <w:bottom w:val="single" w:sz="8" w:space="0" w:color="FF976B"/>
                            </w:tcBorders>
                            <w:tcMar>
                              <w:left w:w="60" w:type="dxa"/>
                              <w:bottom w:w="40" w:type="dxa"/>
                            </w:tcMar>
                            <w:vAlign w:val="center"/>
                          </w:tcPr>
                          <w:p>
                            <w:pPr>
                              <w:pStyle w:val="TableContents"/>
                              <w:bidi w:val="0"/>
                              <w:spacing w:before="0" w:after="283"/>
                              <w:jc w:val="left"/>
                              <w:rPr>
                                <w:rFonts w:ascii="Arial" w:hAnsi="Arial"/>
                                <w:sz w:val="16"/>
                              </w:rPr>
                            </w:pPr>
                            <w:r>
                              <w:rPr>
                                <w:rFonts w:ascii="Arial" w:hAnsi="Arial"/>
                                <w:sz w:val="16"/>
                              </w:rPr>
                              <w:t>BCP Panamá Agency*</w:t>
                            </w:r>
                          </w:p>
                        </w:tc>
                        <w:tc>
                          <w:tcPr>
                            <w:tcW w:w="515" w:type="dxa"/>
                            <w:tcBorders>
                              <w:bottom w:val="single" w:sz="8" w:space="0" w:color="FF976B"/>
                            </w:tcBorders>
                            <w:tcMar>
                              <w:bottom w:w="40" w:type="dxa"/>
                            </w:tcMar>
                            <w:vAlign w:val="center"/>
                          </w:tcPr>
                          <w:p>
                            <w:pPr>
                              <w:pStyle w:val="TableContents"/>
                              <w:bidi w:val="0"/>
                              <w:spacing w:before="0" w:after="283"/>
                              <w:jc w:val="left"/>
                              <w:rPr>
                                <w:rFonts w:ascii="Arial" w:hAnsi="Arial"/>
                                <w:sz w:val="16"/>
                              </w:rPr>
                            </w:pPr>
                            <w:r>
                              <w:rPr>
                                <w:rFonts w:ascii="Arial" w:hAnsi="Arial"/>
                                <w:sz w:val="16"/>
                              </w:rPr>
                              <w:t>7</w:t>
                            </w:r>
                          </w:p>
                        </w:tc>
                        <w:tc>
                          <w:tcPr>
                            <w:tcW w:w="530" w:type="dxa"/>
                            <w:tcBorders>
                              <w:bottom w:val="single" w:sz="8" w:space="0" w:color="FF976B"/>
                              <w:right w:val="single" w:sz="8" w:space="0" w:color="FF976B"/>
                            </w:tcBorders>
                            <w:tcMar>
                              <w:bottom w:w="40" w:type="dxa"/>
                              <w:right w:w="60" w:type="dxa"/>
                            </w:tcMar>
                            <w:vAlign w:val="center"/>
                          </w:tcPr>
                          <w:p>
                            <w:pPr>
                              <w:pStyle w:val="TableContents"/>
                              <w:bidi w:val="0"/>
                              <w:spacing w:before="0" w:after="283"/>
                              <w:jc w:val="left"/>
                              <w:rPr>
                                <w:rFonts w:ascii="Arial" w:hAnsi="Arial"/>
                                <w:sz w:val="16"/>
                              </w:rPr>
                            </w:pPr>
                            <w:r>
                              <w:rPr>
                                <w:rFonts w:ascii="Arial" w:hAnsi="Arial"/>
                                <w:sz w:val="16"/>
                              </w:rPr>
                              <w:t>7</w:t>
                            </w:r>
                          </w:p>
                        </w:tc>
                      </w:tr>
                      <w:tr>
                        <w:trPr/>
                        <w:tc>
                          <w:tcPr>
                            <w:tcW w:w="1820" w:type="dxa"/>
                            <w:tcBorders>
                              <w:left w:val="single" w:sz="8" w:space="0" w:color="FF976B"/>
                              <w:bottom w:val="single" w:sz="8" w:space="0" w:color="606060"/>
                            </w:tcBorders>
                            <w:tcMar>
                              <w:left w:w="60" w:type="dxa"/>
                              <w:bottom w:w="40" w:type="dxa"/>
                            </w:tcMar>
                            <w:vAlign w:val="center"/>
                          </w:tcPr>
                          <w:p>
                            <w:pPr>
                              <w:pStyle w:val="TableContents"/>
                              <w:bidi w:val="0"/>
                              <w:spacing w:before="0" w:after="283"/>
                              <w:jc w:val="left"/>
                              <w:rPr>
                                <w:rFonts w:ascii="Arial" w:hAnsi="Arial"/>
                                <w:b/>
                                <w:sz w:val="16"/>
                              </w:rPr>
                            </w:pPr>
                            <w:r>
                              <w:rPr>
                                <w:rFonts w:ascii="Arial" w:hAnsi="Arial"/>
                                <w:b/>
                                <w:sz w:val="16"/>
                              </w:rPr>
                              <w:t>Total Grupo Credicorp</w:t>
                            </w:r>
                          </w:p>
                        </w:tc>
                        <w:tc>
                          <w:tcPr>
                            <w:tcW w:w="515" w:type="dxa"/>
                            <w:tcBorders>
                              <w:bottom w:val="single" w:sz="8" w:space="0" w:color="606060"/>
                            </w:tcBorders>
                            <w:tcMar>
                              <w:bottom w:w="40" w:type="dxa"/>
                            </w:tcMar>
                            <w:vAlign w:val="center"/>
                          </w:tcPr>
                          <w:p>
                            <w:pPr>
                              <w:pStyle w:val="TableContents"/>
                              <w:bidi w:val="0"/>
                              <w:spacing w:before="0" w:after="283"/>
                              <w:jc w:val="left"/>
                              <w:rPr>
                                <w:rFonts w:ascii="Arial" w:hAnsi="Arial"/>
                                <w:b/>
                                <w:sz w:val="16"/>
                              </w:rPr>
                            </w:pPr>
                            <w:r>
                              <w:rPr>
                                <w:rFonts w:ascii="Arial" w:hAnsi="Arial"/>
                                <w:b/>
                                <w:sz w:val="16"/>
                              </w:rPr>
                              <w:t>37,076</w:t>
                            </w:r>
                          </w:p>
                        </w:tc>
                        <w:tc>
                          <w:tcPr>
                            <w:tcW w:w="530" w:type="dxa"/>
                            <w:tcBorders>
                              <w:bottom w:val="single" w:sz="8" w:space="0" w:color="606060"/>
                              <w:right w:val="single" w:sz="8" w:space="0" w:color="FF976B"/>
                            </w:tcBorders>
                            <w:tcMar>
                              <w:bottom w:w="40" w:type="dxa"/>
                              <w:right w:w="60" w:type="dxa"/>
                            </w:tcMar>
                            <w:vAlign w:val="center"/>
                          </w:tcPr>
                          <w:p>
                            <w:pPr>
                              <w:pStyle w:val="TableContents"/>
                              <w:bidi w:val="0"/>
                              <w:spacing w:before="0" w:after="283"/>
                              <w:jc w:val="left"/>
                              <w:rPr>
                                <w:rFonts w:ascii="Arial" w:hAnsi="Arial"/>
                                <w:b/>
                                <w:sz w:val="16"/>
                              </w:rPr>
                            </w:pPr>
                            <w:r>
                              <w:rPr>
                                <w:rFonts w:ascii="Arial" w:hAnsi="Arial"/>
                                <w:b/>
                                <w:sz w:val="16"/>
                              </w:rPr>
                              <w:t>36,968</w:t>
                            </w:r>
                          </w:p>
                        </w:tc>
                      </w:tr>
                    </w:tbl>
                    <w:p>
                      <w:pPr>
                        <w:pStyle w:val="TextBody"/>
                        <w:bidi w:val="0"/>
                        <w:spacing w:before="0" w:after="283"/>
                        <w:jc w:val="left"/>
                        <w:rPr/>
                      </w:pPr>
                      <w:r>
                        <w:rPr/>
                      </w:r>
                    </w:p>
                  </w:txbxContent>
                </v:textbox>
                <w10:wrap type="topAndBottom"/>
              </v:rect>
            </w:pict>
          </mc:Fallback>
        </mc:AlternateContent>
      </w:r>
      <w:r>
        <mc:AlternateContent>
          <mc:Choice Requires="wps">
            <w:drawing>
              <wp:anchor behindDoc="0" distT="0" distB="0" distL="0" distR="0" simplePos="0" locked="0" layoutInCell="1" allowOverlap="1" relativeHeight="270">
                <wp:simplePos x="0" y="0"/>
                <wp:positionH relativeFrom="column">
                  <wp:align>right</wp:align>
                </wp:positionH>
                <wp:positionV relativeFrom="line">
                  <wp:posOffset>635</wp:posOffset>
                </wp:positionV>
                <wp:extent cx="1492885" cy="3398520"/>
                <wp:effectExtent l="0" t="0" r="0" b="0"/>
                <wp:wrapTopAndBottom/>
                <wp:docPr id="174" name="Frame48"/>
                <a:graphic xmlns:a="http://schemas.openxmlformats.org/drawingml/2006/main">
                  <a:graphicData uri="http://schemas.microsoft.com/office/word/2010/wordprocessingShape">
                    <wps:wsp>
                      <wps:cNvSpPr txBox="1"/>
                      <wps:spPr>
                        <a:xfrm>
                          <a:off x="0" y="0"/>
                          <a:ext cx="1492885" cy="3398520"/>
                        </a:xfrm>
                        <a:prstGeom prst="rect"/>
                        <a:solidFill>
                          <a:srgbClr val="FFFFFF"/>
                        </a:solidFill>
                      </wps:spPr>
                      <wps:txbx>
                        <w:txbxContent>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860" w:type="dxa"/>
                              <w:jc w:val="left"/>
                              <w:tblInd w:w="0" w:type="dxa"/>
                              <w:tblLayout w:type="fixed"/>
                              <w:tblCellMar>
                                <w:top w:w="0" w:type="dxa"/>
                                <w:left w:w="0" w:type="dxa"/>
                                <w:bottom w:w="0" w:type="dxa"/>
                                <w:right w:w="0" w:type="dxa"/>
                              </w:tblCellMar>
                            </w:tblPr>
                            <w:tblGrid>
                              <w:gridCol w:w="815"/>
                              <w:gridCol w:w="515"/>
                              <w:gridCol w:w="530"/>
                            </w:tblGrid>
                            <w:tr>
                              <w:trPr/>
                              <w:tc>
                                <w:tcPr>
                                  <w:tcW w:w="815" w:type="dxa"/>
                                  <w:tcBorders/>
                                  <w:shd w:fill="FE4F00" w:val="clear"/>
                                  <w:vAlign w:val="center"/>
                                </w:tcPr>
                                <w:p>
                                  <w:pPr>
                                    <w:pStyle w:val="TableContents"/>
                                    <w:bidi w:val="0"/>
                                    <w:spacing w:before="0" w:after="283"/>
                                    <w:jc w:val="left"/>
                                    <w:rPr>
                                      <w:rFonts w:ascii="Arial" w:hAnsi="Arial"/>
                                      <w:b/>
                                      <w:color w:val="FFFFFF"/>
                                      <w:sz w:val="16"/>
                                    </w:rPr>
                                  </w:pPr>
                                  <w:r>
                                    <w:rPr>
                                      <w:rFonts w:ascii="Arial" w:hAnsi="Arial"/>
                                      <w:b/>
                                      <w:color w:val="FFFFFF"/>
                                      <w:sz w:val="16"/>
                                    </w:rPr>
                                    <w:t>Country</w:t>
                                  </w:r>
                                </w:p>
                              </w:tc>
                              <w:tc>
                                <w:tcPr>
                                  <w:tcW w:w="515" w:type="dxa"/>
                                  <w:tcBorders/>
                                  <w:shd w:fill="FE4F00" w:val="clear"/>
                                  <w:vAlign w:val="center"/>
                                </w:tcPr>
                                <w:p>
                                  <w:pPr>
                                    <w:pStyle w:val="TableContents"/>
                                    <w:bidi w:val="0"/>
                                    <w:spacing w:before="0" w:after="283"/>
                                    <w:jc w:val="left"/>
                                    <w:rPr>
                                      <w:rFonts w:ascii="Arial" w:hAnsi="Arial"/>
                                      <w:b/>
                                      <w:color w:val="FFFFFF"/>
                                      <w:sz w:val="16"/>
                                    </w:rPr>
                                  </w:pPr>
                                  <w:r>
                                    <w:rPr>
                                      <w:rFonts w:ascii="Arial" w:hAnsi="Arial"/>
                                      <w:b/>
                                      <w:color w:val="FFFFFF"/>
                                      <w:sz w:val="16"/>
                                    </w:rPr>
                                    <w:t>2023**</w:t>
                                  </w:r>
                                </w:p>
                              </w:tc>
                              <w:tc>
                                <w:tcPr>
                                  <w:tcW w:w="530" w:type="dxa"/>
                                  <w:tcBorders/>
                                  <w:shd w:fill="FE4F00" w:val="clear"/>
                                  <w:vAlign w:val="center"/>
                                </w:tcPr>
                                <w:p>
                                  <w:pPr>
                                    <w:pStyle w:val="TableContents"/>
                                    <w:bidi w:val="0"/>
                                    <w:spacing w:before="0" w:after="283"/>
                                    <w:jc w:val="left"/>
                                    <w:rPr>
                                      <w:rFonts w:ascii="Arial" w:hAnsi="Arial"/>
                                      <w:b/>
                                      <w:color w:val="FFFFFF"/>
                                      <w:sz w:val="16"/>
                                    </w:rPr>
                                  </w:pPr>
                                  <w:r>
                                    <w:rPr>
                                      <w:rFonts w:ascii="Arial" w:hAnsi="Arial"/>
                                      <w:b/>
                                      <w:color w:val="FFFFFF"/>
                                      <w:sz w:val="16"/>
                                    </w:rPr>
                                    <w:t>2022</w:t>
                                  </w:r>
                                </w:p>
                              </w:tc>
                            </w:tr>
                            <w:tr>
                              <w:trPr/>
                              <w:tc>
                                <w:tcPr>
                                  <w:tcW w:w="815" w:type="dxa"/>
                                  <w:tcBorders>
                                    <w:left w:val="single" w:sz="8" w:space="0" w:color="FF976B"/>
                                    <w:bottom w:val="single" w:sz="8" w:space="0" w:color="FF976B"/>
                                  </w:tcBorders>
                                  <w:tcMar>
                                    <w:left w:w="60" w:type="dxa"/>
                                    <w:bottom w:w="40" w:type="dxa"/>
                                  </w:tcMar>
                                  <w:vAlign w:val="center"/>
                                </w:tcPr>
                                <w:p>
                                  <w:pPr>
                                    <w:pStyle w:val="TableContents"/>
                                    <w:bidi w:val="0"/>
                                    <w:spacing w:before="0" w:after="283"/>
                                    <w:jc w:val="left"/>
                                    <w:rPr>
                                      <w:rFonts w:ascii="Arial" w:hAnsi="Arial"/>
                                      <w:sz w:val="16"/>
                                    </w:rPr>
                                  </w:pPr>
                                  <w:r>
                                    <w:rPr>
                                      <w:rFonts w:ascii="Arial" w:hAnsi="Arial"/>
                                      <w:sz w:val="16"/>
                                    </w:rPr>
                                    <w:t>Peru</w:t>
                                  </w:r>
                                </w:p>
                              </w:tc>
                              <w:tc>
                                <w:tcPr>
                                  <w:tcW w:w="515" w:type="dxa"/>
                                  <w:tcBorders>
                                    <w:bottom w:val="single" w:sz="8" w:space="0" w:color="FF976B"/>
                                  </w:tcBorders>
                                  <w:tcMar>
                                    <w:bottom w:w="40" w:type="dxa"/>
                                  </w:tcMar>
                                  <w:vAlign w:val="center"/>
                                </w:tcPr>
                                <w:p>
                                  <w:pPr>
                                    <w:pStyle w:val="TableContents"/>
                                    <w:bidi w:val="0"/>
                                    <w:spacing w:before="0" w:after="283"/>
                                    <w:jc w:val="left"/>
                                    <w:rPr>
                                      <w:rFonts w:ascii="Arial" w:hAnsi="Arial"/>
                                      <w:sz w:val="16"/>
                                    </w:rPr>
                                  </w:pPr>
                                  <w:r>
                                    <w:rPr>
                                      <w:rFonts w:ascii="Arial" w:hAnsi="Arial"/>
                                      <w:sz w:val="16"/>
                                    </w:rPr>
                                    <w:t>31,520</w:t>
                                  </w:r>
                                </w:p>
                              </w:tc>
                              <w:tc>
                                <w:tcPr>
                                  <w:tcW w:w="530" w:type="dxa"/>
                                  <w:tcBorders>
                                    <w:bottom w:val="single" w:sz="8" w:space="0" w:color="FF976B"/>
                                    <w:right w:val="single" w:sz="8" w:space="0" w:color="FF976B"/>
                                  </w:tcBorders>
                                  <w:tcMar>
                                    <w:bottom w:w="40" w:type="dxa"/>
                                    <w:right w:w="60" w:type="dxa"/>
                                  </w:tcMar>
                                  <w:vAlign w:val="center"/>
                                </w:tcPr>
                                <w:p>
                                  <w:pPr>
                                    <w:pStyle w:val="TableContents"/>
                                    <w:bidi w:val="0"/>
                                    <w:spacing w:before="0" w:after="283"/>
                                    <w:jc w:val="left"/>
                                    <w:rPr>
                                      <w:rFonts w:ascii="Arial" w:hAnsi="Arial"/>
                                      <w:sz w:val="16"/>
                                    </w:rPr>
                                  </w:pPr>
                                  <w:r>
                                    <w:rPr>
                                      <w:rFonts w:ascii="Arial" w:hAnsi="Arial"/>
                                      <w:sz w:val="16"/>
                                    </w:rPr>
                                    <w:t>31,094</w:t>
                                  </w:r>
                                </w:p>
                              </w:tc>
                            </w:tr>
                            <w:tr>
                              <w:trPr/>
                              <w:tc>
                                <w:tcPr>
                                  <w:tcW w:w="815" w:type="dxa"/>
                                  <w:tcBorders>
                                    <w:left w:val="single" w:sz="8" w:space="0" w:color="FF976B"/>
                                    <w:bottom w:val="single" w:sz="8" w:space="0" w:color="FF976B"/>
                                  </w:tcBorders>
                                  <w:tcMar>
                                    <w:left w:w="60" w:type="dxa"/>
                                    <w:bottom w:w="40" w:type="dxa"/>
                                  </w:tcMar>
                                  <w:vAlign w:val="center"/>
                                </w:tcPr>
                                <w:p>
                                  <w:pPr>
                                    <w:pStyle w:val="TableContents"/>
                                    <w:bidi w:val="0"/>
                                    <w:spacing w:before="0" w:after="283"/>
                                    <w:jc w:val="left"/>
                                    <w:rPr>
                                      <w:rFonts w:ascii="Arial" w:hAnsi="Arial"/>
                                      <w:sz w:val="16"/>
                                    </w:rPr>
                                  </w:pPr>
                                  <w:r>
                                    <w:rPr>
                                      <w:rFonts w:ascii="Arial" w:hAnsi="Arial"/>
                                      <w:sz w:val="16"/>
                                    </w:rPr>
                                    <w:t>Bolivia</w:t>
                                  </w:r>
                                </w:p>
                              </w:tc>
                              <w:tc>
                                <w:tcPr>
                                  <w:tcW w:w="515" w:type="dxa"/>
                                  <w:tcBorders>
                                    <w:bottom w:val="single" w:sz="8" w:space="0" w:color="FF976B"/>
                                  </w:tcBorders>
                                  <w:tcMar>
                                    <w:bottom w:w="40" w:type="dxa"/>
                                  </w:tcMar>
                                  <w:vAlign w:val="center"/>
                                </w:tcPr>
                                <w:p>
                                  <w:pPr>
                                    <w:pStyle w:val="TableContents"/>
                                    <w:bidi w:val="0"/>
                                    <w:spacing w:before="0" w:after="283"/>
                                    <w:jc w:val="left"/>
                                    <w:rPr>
                                      <w:rFonts w:ascii="Arial" w:hAnsi="Arial"/>
                                      <w:sz w:val="16"/>
                                    </w:rPr>
                                  </w:pPr>
                                  <w:r>
                                    <w:rPr>
                                      <w:rFonts w:ascii="Arial" w:hAnsi="Arial"/>
                                      <w:sz w:val="16"/>
                                    </w:rPr>
                                    <w:t>1,803</w:t>
                                  </w:r>
                                </w:p>
                              </w:tc>
                              <w:tc>
                                <w:tcPr>
                                  <w:tcW w:w="530" w:type="dxa"/>
                                  <w:tcBorders>
                                    <w:bottom w:val="single" w:sz="8" w:space="0" w:color="FF976B"/>
                                    <w:right w:val="single" w:sz="8" w:space="0" w:color="FF976B"/>
                                  </w:tcBorders>
                                  <w:tcMar>
                                    <w:bottom w:w="40" w:type="dxa"/>
                                    <w:right w:w="60" w:type="dxa"/>
                                  </w:tcMar>
                                  <w:vAlign w:val="center"/>
                                </w:tcPr>
                                <w:p>
                                  <w:pPr>
                                    <w:pStyle w:val="TableContents"/>
                                    <w:bidi w:val="0"/>
                                    <w:spacing w:before="0" w:after="283"/>
                                    <w:jc w:val="left"/>
                                    <w:rPr>
                                      <w:rFonts w:ascii="Arial" w:hAnsi="Arial"/>
                                      <w:sz w:val="16"/>
                                    </w:rPr>
                                  </w:pPr>
                                  <w:r>
                                    <w:rPr>
                                      <w:rFonts w:ascii="Arial" w:hAnsi="Arial"/>
                                      <w:sz w:val="16"/>
                                    </w:rPr>
                                    <w:t>1,763</w:t>
                                  </w:r>
                                </w:p>
                              </w:tc>
                            </w:tr>
                            <w:tr>
                              <w:trPr/>
                              <w:tc>
                                <w:tcPr>
                                  <w:tcW w:w="815" w:type="dxa"/>
                                  <w:tcBorders>
                                    <w:left w:val="single" w:sz="8" w:space="0" w:color="FF976B"/>
                                    <w:bottom w:val="single" w:sz="8" w:space="0" w:color="FF976B"/>
                                  </w:tcBorders>
                                  <w:tcMar>
                                    <w:left w:w="60" w:type="dxa"/>
                                    <w:bottom w:w="40" w:type="dxa"/>
                                  </w:tcMar>
                                  <w:vAlign w:val="center"/>
                                </w:tcPr>
                                <w:p>
                                  <w:pPr>
                                    <w:pStyle w:val="TableContents"/>
                                    <w:bidi w:val="0"/>
                                    <w:spacing w:before="0" w:after="283"/>
                                    <w:jc w:val="left"/>
                                    <w:rPr>
                                      <w:rFonts w:ascii="Arial" w:hAnsi="Arial"/>
                                      <w:sz w:val="16"/>
                                    </w:rPr>
                                  </w:pPr>
                                  <w:r>
                                    <w:rPr>
                                      <w:rFonts w:ascii="Arial" w:hAnsi="Arial"/>
                                      <w:sz w:val="16"/>
                                    </w:rPr>
                                    <w:t>USA</w:t>
                                  </w:r>
                                </w:p>
                              </w:tc>
                              <w:tc>
                                <w:tcPr>
                                  <w:tcW w:w="515" w:type="dxa"/>
                                  <w:tcBorders>
                                    <w:bottom w:val="single" w:sz="8" w:space="0" w:color="FF976B"/>
                                  </w:tcBorders>
                                  <w:tcMar>
                                    <w:bottom w:w="40" w:type="dxa"/>
                                  </w:tcMar>
                                  <w:vAlign w:val="center"/>
                                </w:tcPr>
                                <w:p>
                                  <w:pPr>
                                    <w:pStyle w:val="TableContents"/>
                                    <w:bidi w:val="0"/>
                                    <w:spacing w:before="0" w:after="283"/>
                                    <w:jc w:val="left"/>
                                    <w:rPr>
                                      <w:rFonts w:ascii="Arial" w:hAnsi="Arial"/>
                                      <w:sz w:val="16"/>
                                    </w:rPr>
                                  </w:pPr>
                                  <w:r>
                                    <w:rPr>
                                      <w:rFonts w:ascii="Arial" w:hAnsi="Arial"/>
                                      <w:sz w:val="16"/>
                                    </w:rPr>
                                    <w:t>84</w:t>
                                  </w:r>
                                </w:p>
                              </w:tc>
                              <w:tc>
                                <w:tcPr>
                                  <w:tcW w:w="530" w:type="dxa"/>
                                  <w:tcBorders>
                                    <w:bottom w:val="single" w:sz="8" w:space="0" w:color="FF976B"/>
                                    <w:right w:val="single" w:sz="8" w:space="0" w:color="FF976B"/>
                                  </w:tcBorders>
                                  <w:tcMar>
                                    <w:bottom w:w="40" w:type="dxa"/>
                                    <w:right w:w="60" w:type="dxa"/>
                                  </w:tcMar>
                                  <w:vAlign w:val="center"/>
                                </w:tcPr>
                                <w:p>
                                  <w:pPr>
                                    <w:pStyle w:val="TableContents"/>
                                    <w:bidi w:val="0"/>
                                    <w:spacing w:before="0" w:after="283"/>
                                    <w:jc w:val="left"/>
                                    <w:rPr>
                                      <w:rFonts w:ascii="Arial" w:hAnsi="Arial"/>
                                      <w:sz w:val="16"/>
                                    </w:rPr>
                                  </w:pPr>
                                  <w:r>
                                    <w:rPr>
                                      <w:rFonts w:ascii="Arial" w:hAnsi="Arial"/>
                                      <w:sz w:val="16"/>
                                    </w:rPr>
                                    <w:t>74</w:t>
                                  </w:r>
                                </w:p>
                              </w:tc>
                            </w:tr>
                            <w:tr>
                              <w:trPr/>
                              <w:tc>
                                <w:tcPr>
                                  <w:tcW w:w="815" w:type="dxa"/>
                                  <w:tcBorders>
                                    <w:left w:val="single" w:sz="8" w:space="0" w:color="FF976B"/>
                                    <w:bottom w:val="single" w:sz="8" w:space="0" w:color="FF976B"/>
                                  </w:tcBorders>
                                  <w:tcMar>
                                    <w:left w:w="60" w:type="dxa"/>
                                    <w:bottom w:w="40" w:type="dxa"/>
                                  </w:tcMar>
                                  <w:vAlign w:val="center"/>
                                </w:tcPr>
                                <w:p>
                                  <w:pPr>
                                    <w:pStyle w:val="TableContents"/>
                                    <w:bidi w:val="0"/>
                                    <w:spacing w:before="0" w:after="283"/>
                                    <w:jc w:val="left"/>
                                    <w:rPr>
                                      <w:rFonts w:ascii="Arial" w:hAnsi="Arial"/>
                                      <w:sz w:val="16"/>
                                    </w:rPr>
                                  </w:pPr>
                                  <w:r>
                                    <w:rPr>
                                      <w:rFonts w:ascii="Arial" w:hAnsi="Arial"/>
                                      <w:sz w:val="16"/>
                                    </w:rPr>
                                    <w:t>Colombia</w:t>
                                  </w:r>
                                </w:p>
                              </w:tc>
                              <w:tc>
                                <w:tcPr>
                                  <w:tcW w:w="515" w:type="dxa"/>
                                  <w:tcBorders>
                                    <w:bottom w:val="single" w:sz="8" w:space="0" w:color="FF976B"/>
                                  </w:tcBorders>
                                  <w:tcMar>
                                    <w:bottom w:w="40" w:type="dxa"/>
                                  </w:tcMar>
                                  <w:vAlign w:val="center"/>
                                </w:tcPr>
                                <w:p>
                                  <w:pPr>
                                    <w:pStyle w:val="TableContents"/>
                                    <w:bidi w:val="0"/>
                                    <w:spacing w:before="0" w:after="283"/>
                                    <w:jc w:val="left"/>
                                    <w:rPr>
                                      <w:rFonts w:ascii="Arial" w:hAnsi="Arial"/>
                                      <w:sz w:val="16"/>
                                    </w:rPr>
                                  </w:pPr>
                                  <w:r>
                                    <w:rPr>
                                      <w:rFonts w:ascii="Arial" w:hAnsi="Arial"/>
                                      <w:sz w:val="16"/>
                                    </w:rPr>
                                    <w:t>3,326</w:t>
                                  </w:r>
                                </w:p>
                              </w:tc>
                              <w:tc>
                                <w:tcPr>
                                  <w:tcW w:w="530" w:type="dxa"/>
                                  <w:tcBorders>
                                    <w:bottom w:val="single" w:sz="8" w:space="0" w:color="FF976B"/>
                                    <w:right w:val="single" w:sz="8" w:space="0" w:color="FF976B"/>
                                  </w:tcBorders>
                                  <w:tcMar>
                                    <w:bottom w:w="40" w:type="dxa"/>
                                    <w:right w:w="60" w:type="dxa"/>
                                  </w:tcMar>
                                  <w:vAlign w:val="center"/>
                                </w:tcPr>
                                <w:p>
                                  <w:pPr>
                                    <w:pStyle w:val="TableContents"/>
                                    <w:bidi w:val="0"/>
                                    <w:spacing w:before="0" w:after="283"/>
                                    <w:jc w:val="left"/>
                                    <w:rPr>
                                      <w:rFonts w:ascii="Arial" w:hAnsi="Arial"/>
                                      <w:sz w:val="16"/>
                                    </w:rPr>
                                  </w:pPr>
                                  <w:r>
                                    <w:rPr>
                                      <w:rFonts w:ascii="Arial" w:hAnsi="Arial"/>
                                      <w:sz w:val="16"/>
                                    </w:rPr>
                                    <w:t>3,660</w:t>
                                  </w:r>
                                </w:p>
                              </w:tc>
                            </w:tr>
                            <w:tr>
                              <w:trPr/>
                              <w:tc>
                                <w:tcPr>
                                  <w:tcW w:w="815" w:type="dxa"/>
                                  <w:tcBorders>
                                    <w:left w:val="single" w:sz="8" w:space="0" w:color="FF976B"/>
                                    <w:bottom w:val="single" w:sz="8" w:space="0" w:color="FF976B"/>
                                  </w:tcBorders>
                                  <w:tcMar>
                                    <w:left w:w="60" w:type="dxa"/>
                                    <w:bottom w:w="40" w:type="dxa"/>
                                  </w:tcMar>
                                  <w:vAlign w:val="center"/>
                                </w:tcPr>
                                <w:p>
                                  <w:pPr>
                                    <w:pStyle w:val="TableContents"/>
                                    <w:bidi w:val="0"/>
                                    <w:spacing w:before="0" w:after="283"/>
                                    <w:jc w:val="left"/>
                                    <w:rPr>
                                      <w:rFonts w:ascii="Arial" w:hAnsi="Arial"/>
                                      <w:sz w:val="16"/>
                                    </w:rPr>
                                  </w:pPr>
                                  <w:r>
                                    <w:rPr>
                                      <w:rFonts w:ascii="Arial" w:hAnsi="Arial"/>
                                      <w:sz w:val="16"/>
                                    </w:rPr>
                                    <w:t>Panama</w:t>
                                  </w:r>
                                </w:p>
                              </w:tc>
                              <w:tc>
                                <w:tcPr>
                                  <w:tcW w:w="515" w:type="dxa"/>
                                  <w:tcBorders>
                                    <w:bottom w:val="single" w:sz="8" w:space="0" w:color="FF976B"/>
                                  </w:tcBorders>
                                  <w:tcMar>
                                    <w:bottom w:w="40" w:type="dxa"/>
                                  </w:tcMar>
                                  <w:vAlign w:val="center"/>
                                </w:tcPr>
                                <w:p>
                                  <w:pPr>
                                    <w:pStyle w:val="TableContents"/>
                                    <w:bidi w:val="0"/>
                                    <w:spacing w:before="0" w:after="283"/>
                                    <w:jc w:val="left"/>
                                    <w:rPr>
                                      <w:rFonts w:ascii="Arial" w:hAnsi="Arial"/>
                                      <w:sz w:val="16"/>
                                    </w:rPr>
                                  </w:pPr>
                                  <w:r>
                                    <w:rPr>
                                      <w:rFonts w:ascii="Arial" w:hAnsi="Arial"/>
                                      <w:sz w:val="16"/>
                                    </w:rPr>
                                    <w:t>152</w:t>
                                  </w:r>
                                </w:p>
                              </w:tc>
                              <w:tc>
                                <w:tcPr>
                                  <w:tcW w:w="530" w:type="dxa"/>
                                  <w:tcBorders>
                                    <w:bottom w:val="single" w:sz="8" w:space="0" w:color="FF976B"/>
                                    <w:right w:val="single" w:sz="8" w:space="0" w:color="FF976B"/>
                                  </w:tcBorders>
                                  <w:tcMar>
                                    <w:bottom w:w="40" w:type="dxa"/>
                                    <w:right w:w="60" w:type="dxa"/>
                                  </w:tcMar>
                                  <w:vAlign w:val="center"/>
                                </w:tcPr>
                                <w:p>
                                  <w:pPr>
                                    <w:pStyle w:val="TableContents"/>
                                    <w:bidi w:val="0"/>
                                    <w:spacing w:before="0" w:after="283"/>
                                    <w:jc w:val="left"/>
                                    <w:rPr>
                                      <w:rFonts w:ascii="Arial" w:hAnsi="Arial"/>
                                      <w:sz w:val="16"/>
                                    </w:rPr>
                                  </w:pPr>
                                  <w:r>
                                    <w:rPr>
                                      <w:rFonts w:ascii="Arial" w:hAnsi="Arial"/>
                                      <w:sz w:val="16"/>
                                    </w:rPr>
                                    <w:t>159</w:t>
                                  </w:r>
                                </w:p>
                              </w:tc>
                            </w:tr>
                            <w:tr>
                              <w:trPr/>
                              <w:tc>
                                <w:tcPr>
                                  <w:tcW w:w="815" w:type="dxa"/>
                                  <w:tcBorders>
                                    <w:left w:val="single" w:sz="8" w:space="0" w:color="FF976B"/>
                                    <w:bottom w:val="single" w:sz="8" w:space="0" w:color="FF976B"/>
                                  </w:tcBorders>
                                  <w:tcMar>
                                    <w:left w:w="60" w:type="dxa"/>
                                    <w:bottom w:w="40" w:type="dxa"/>
                                  </w:tcMar>
                                  <w:vAlign w:val="center"/>
                                </w:tcPr>
                                <w:p>
                                  <w:pPr>
                                    <w:pStyle w:val="TableContents"/>
                                    <w:bidi w:val="0"/>
                                    <w:spacing w:before="0" w:after="283"/>
                                    <w:jc w:val="left"/>
                                    <w:rPr>
                                      <w:rFonts w:ascii="Arial" w:hAnsi="Arial"/>
                                      <w:sz w:val="16"/>
                                    </w:rPr>
                                  </w:pPr>
                                  <w:r>
                                    <w:rPr>
                                      <w:rFonts w:ascii="Arial" w:hAnsi="Arial"/>
                                      <w:sz w:val="16"/>
                                    </w:rPr>
                                    <w:t>Chile</w:t>
                                  </w:r>
                                </w:p>
                              </w:tc>
                              <w:tc>
                                <w:tcPr>
                                  <w:tcW w:w="515" w:type="dxa"/>
                                  <w:tcBorders>
                                    <w:bottom w:val="single" w:sz="8" w:space="0" w:color="FF976B"/>
                                  </w:tcBorders>
                                  <w:tcMar>
                                    <w:bottom w:w="40" w:type="dxa"/>
                                  </w:tcMar>
                                  <w:vAlign w:val="center"/>
                                </w:tcPr>
                                <w:p>
                                  <w:pPr>
                                    <w:pStyle w:val="TableContents"/>
                                    <w:bidi w:val="0"/>
                                    <w:spacing w:before="0" w:after="283"/>
                                    <w:jc w:val="left"/>
                                    <w:rPr>
                                      <w:rFonts w:ascii="Arial" w:hAnsi="Arial"/>
                                      <w:sz w:val="16"/>
                                    </w:rPr>
                                  </w:pPr>
                                  <w:r>
                                    <w:rPr>
                                      <w:rFonts w:ascii="Arial" w:hAnsi="Arial"/>
                                      <w:sz w:val="16"/>
                                    </w:rPr>
                                    <w:t>191</w:t>
                                  </w:r>
                                </w:p>
                              </w:tc>
                              <w:tc>
                                <w:tcPr>
                                  <w:tcW w:w="530" w:type="dxa"/>
                                  <w:tcBorders>
                                    <w:bottom w:val="single" w:sz="8" w:space="0" w:color="FF976B"/>
                                    <w:right w:val="single" w:sz="8" w:space="0" w:color="FF976B"/>
                                  </w:tcBorders>
                                  <w:tcMar>
                                    <w:bottom w:w="40" w:type="dxa"/>
                                    <w:right w:w="60" w:type="dxa"/>
                                  </w:tcMar>
                                  <w:vAlign w:val="center"/>
                                </w:tcPr>
                                <w:p>
                                  <w:pPr>
                                    <w:pStyle w:val="TableContents"/>
                                    <w:bidi w:val="0"/>
                                    <w:spacing w:before="0" w:after="283"/>
                                    <w:jc w:val="left"/>
                                    <w:rPr>
                                      <w:rFonts w:ascii="Arial" w:hAnsi="Arial"/>
                                      <w:sz w:val="16"/>
                                    </w:rPr>
                                  </w:pPr>
                                  <w:r>
                                    <w:rPr>
                                      <w:rFonts w:ascii="Arial" w:hAnsi="Arial"/>
                                      <w:sz w:val="16"/>
                                    </w:rPr>
                                    <w:t>218</w:t>
                                  </w:r>
                                </w:p>
                              </w:tc>
                            </w:tr>
                            <w:tr>
                              <w:trPr/>
                              <w:tc>
                                <w:tcPr>
                                  <w:tcW w:w="815" w:type="dxa"/>
                                  <w:tcBorders>
                                    <w:left w:val="single" w:sz="8" w:space="0" w:color="FF976B"/>
                                    <w:bottom w:val="single" w:sz="8" w:space="0" w:color="606060"/>
                                  </w:tcBorders>
                                  <w:tcMar>
                                    <w:left w:w="60" w:type="dxa"/>
                                    <w:bottom w:w="40" w:type="dxa"/>
                                  </w:tcMar>
                                  <w:vAlign w:val="center"/>
                                </w:tcPr>
                                <w:p>
                                  <w:pPr>
                                    <w:pStyle w:val="TableContents"/>
                                    <w:bidi w:val="0"/>
                                    <w:spacing w:before="0" w:after="283"/>
                                    <w:jc w:val="left"/>
                                    <w:rPr>
                                      <w:rFonts w:ascii="Arial" w:hAnsi="Arial"/>
                                      <w:b/>
                                      <w:sz w:val="16"/>
                                    </w:rPr>
                                  </w:pPr>
                                  <w:r>
                                    <w:rPr>
                                      <w:rFonts w:ascii="Arial" w:hAnsi="Arial"/>
                                      <w:b/>
                                      <w:sz w:val="16"/>
                                    </w:rPr>
                                    <w:t>Credicorp</w:t>
                                  </w:r>
                                </w:p>
                              </w:tc>
                              <w:tc>
                                <w:tcPr>
                                  <w:tcW w:w="515" w:type="dxa"/>
                                  <w:tcBorders>
                                    <w:bottom w:val="single" w:sz="8" w:space="0" w:color="606060"/>
                                  </w:tcBorders>
                                  <w:tcMar>
                                    <w:bottom w:w="40" w:type="dxa"/>
                                  </w:tcMar>
                                  <w:vAlign w:val="center"/>
                                </w:tcPr>
                                <w:p>
                                  <w:pPr>
                                    <w:pStyle w:val="TableContents"/>
                                    <w:bidi w:val="0"/>
                                    <w:spacing w:before="0" w:after="283"/>
                                    <w:jc w:val="left"/>
                                    <w:rPr>
                                      <w:rFonts w:ascii="Arial" w:hAnsi="Arial"/>
                                      <w:b/>
                                      <w:sz w:val="16"/>
                                    </w:rPr>
                                  </w:pPr>
                                  <w:r>
                                    <w:rPr>
                                      <w:rFonts w:ascii="Arial" w:hAnsi="Arial"/>
                                      <w:b/>
                                      <w:sz w:val="16"/>
                                    </w:rPr>
                                    <w:t>37,076</w:t>
                                  </w:r>
                                </w:p>
                              </w:tc>
                              <w:tc>
                                <w:tcPr>
                                  <w:tcW w:w="530" w:type="dxa"/>
                                  <w:tcBorders>
                                    <w:bottom w:val="single" w:sz="8" w:space="0" w:color="606060"/>
                                    <w:right w:val="single" w:sz="8" w:space="0" w:color="FF976B"/>
                                  </w:tcBorders>
                                  <w:tcMar>
                                    <w:bottom w:w="40" w:type="dxa"/>
                                    <w:right w:w="60" w:type="dxa"/>
                                  </w:tcMar>
                                  <w:vAlign w:val="center"/>
                                </w:tcPr>
                                <w:p>
                                  <w:pPr>
                                    <w:pStyle w:val="TableContents"/>
                                    <w:bidi w:val="0"/>
                                    <w:spacing w:before="0" w:after="283"/>
                                    <w:jc w:val="left"/>
                                    <w:rPr>
                                      <w:rFonts w:ascii="Arial" w:hAnsi="Arial"/>
                                      <w:b/>
                                      <w:sz w:val="16"/>
                                    </w:rPr>
                                  </w:pPr>
                                  <w:r>
                                    <w:rPr>
                                      <w:rFonts w:ascii="Arial" w:hAnsi="Arial"/>
                                      <w:b/>
                                      <w:sz w:val="16"/>
                                    </w:rPr>
                                    <w:t>36,968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117.55pt;height:267.6pt;mso-wrap-distance-left:0pt;mso-wrap-distance-right:0pt;mso-wrap-distance-top:0pt;mso-wrap-distance-bottom:0pt;margin-top:0pt;mso-position-vertical:top;mso-position-vertical-relative:text;margin-left:127.3pt;mso-position-horizontal:right;mso-position-horizontal-relative:text">
                <v:textbox>
                  <w:txbxContent>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860" w:type="dxa"/>
                        <w:jc w:val="left"/>
                        <w:tblInd w:w="0" w:type="dxa"/>
                        <w:tblLayout w:type="fixed"/>
                        <w:tblCellMar>
                          <w:top w:w="0" w:type="dxa"/>
                          <w:left w:w="0" w:type="dxa"/>
                          <w:bottom w:w="0" w:type="dxa"/>
                          <w:right w:w="0" w:type="dxa"/>
                        </w:tblCellMar>
                      </w:tblPr>
                      <w:tblGrid>
                        <w:gridCol w:w="815"/>
                        <w:gridCol w:w="515"/>
                        <w:gridCol w:w="530"/>
                      </w:tblGrid>
                      <w:tr>
                        <w:trPr/>
                        <w:tc>
                          <w:tcPr>
                            <w:tcW w:w="815" w:type="dxa"/>
                            <w:tcBorders/>
                            <w:shd w:fill="FE4F00" w:val="clear"/>
                            <w:vAlign w:val="center"/>
                          </w:tcPr>
                          <w:p>
                            <w:pPr>
                              <w:pStyle w:val="TableContents"/>
                              <w:bidi w:val="0"/>
                              <w:spacing w:before="0" w:after="283"/>
                              <w:jc w:val="left"/>
                              <w:rPr>
                                <w:rFonts w:ascii="Arial" w:hAnsi="Arial"/>
                                <w:b/>
                                <w:color w:val="FFFFFF"/>
                                <w:sz w:val="16"/>
                              </w:rPr>
                            </w:pPr>
                            <w:r>
                              <w:rPr>
                                <w:rFonts w:ascii="Arial" w:hAnsi="Arial"/>
                                <w:b/>
                                <w:color w:val="FFFFFF"/>
                                <w:sz w:val="16"/>
                              </w:rPr>
                              <w:t>Country</w:t>
                            </w:r>
                          </w:p>
                        </w:tc>
                        <w:tc>
                          <w:tcPr>
                            <w:tcW w:w="515" w:type="dxa"/>
                            <w:tcBorders/>
                            <w:shd w:fill="FE4F00" w:val="clear"/>
                            <w:vAlign w:val="center"/>
                          </w:tcPr>
                          <w:p>
                            <w:pPr>
                              <w:pStyle w:val="TableContents"/>
                              <w:bidi w:val="0"/>
                              <w:spacing w:before="0" w:after="283"/>
                              <w:jc w:val="left"/>
                              <w:rPr>
                                <w:rFonts w:ascii="Arial" w:hAnsi="Arial"/>
                                <w:b/>
                                <w:color w:val="FFFFFF"/>
                                <w:sz w:val="16"/>
                              </w:rPr>
                            </w:pPr>
                            <w:r>
                              <w:rPr>
                                <w:rFonts w:ascii="Arial" w:hAnsi="Arial"/>
                                <w:b/>
                                <w:color w:val="FFFFFF"/>
                                <w:sz w:val="16"/>
                              </w:rPr>
                              <w:t>2023**</w:t>
                            </w:r>
                          </w:p>
                        </w:tc>
                        <w:tc>
                          <w:tcPr>
                            <w:tcW w:w="530" w:type="dxa"/>
                            <w:tcBorders/>
                            <w:shd w:fill="FE4F00" w:val="clear"/>
                            <w:vAlign w:val="center"/>
                          </w:tcPr>
                          <w:p>
                            <w:pPr>
                              <w:pStyle w:val="TableContents"/>
                              <w:bidi w:val="0"/>
                              <w:spacing w:before="0" w:after="283"/>
                              <w:jc w:val="left"/>
                              <w:rPr>
                                <w:rFonts w:ascii="Arial" w:hAnsi="Arial"/>
                                <w:b/>
                                <w:color w:val="FFFFFF"/>
                                <w:sz w:val="16"/>
                              </w:rPr>
                            </w:pPr>
                            <w:r>
                              <w:rPr>
                                <w:rFonts w:ascii="Arial" w:hAnsi="Arial"/>
                                <w:b/>
                                <w:color w:val="FFFFFF"/>
                                <w:sz w:val="16"/>
                              </w:rPr>
                              <w:t>2022</w:t>
                            </w:r>
                          </w:p>
                        </w:tc>
                      </w:tr>
                      <w:tr>
                        <w:trPr/>
                        <w:tc>
                          <w:tcPr>
                            <w:tcW w:w="815" w:type="dxa"/>
                            <w:tcBorders>
                              <w:left w:val="single" w:sz="8" w:space="0" w:color="FF976B"/>
                              <w:bottom w:val="single" w:sz="8" w:space="0" w:color="FF976B"/>
                            </w:tcBorders>
                            <w:tcMar>
                              <w:left w:w="60" w:type="dxa"/>
                              <w:bottom w:w="40" w:type="dxa"/>
                            </w:tcMar>
                            <w:vAlign w:val="center"/>
                          </w:tcPr>
                          <w:p>
                            <w:pPr>
                              <w:pStyle w:val="TableContents"/>
                              <w:bidi w:val="0"/>
                              <w:spacing w:before="0" w:after="283"/>
                              <w:jc w:val="left"/>
                              <w:rPr>
                                <w:rFonts w:ascii="Arial" w:hAnsi="Arial"/>
                                <w:sz w:val="16"/>
                              </w:rPr>
                            </w:pPr>
                            <w:r>
                              <w:rPr>
                                <w:rFonts w:ascii="Arial" w:hAnsi="Arial"/>
                                <w:sz w:val="16"/>
                              </w:rPr>
                              <w:t>Peru</w:t>
                            </w:r>
                          </w:p>
                        </w:tc>
                        <w:tc>
                          <w:tcPr>
                            <w:tcW w:w="515" w:type="dxa"/>
                            <w:tcBorders>
                              <w:bottom w:val="single" w:sz="8" w:space="0" w:color="FF976B"/>
                            </w:tcBorders>
                            <w:tcMar>
                              <w:bottom w:w="40" w:type="dxa"/>
                            </w:tcMar>
                            <w:vAlign w:val="center"/>
                          </w:tcPr>
                          <w:p>
                            <w:pPr>
                              <w:pStyle w:val="TableContents"/>
                              <w:bidi w:val="0"/>
                              <w:spacing w:before="0" w:after="283"/>
                              <w:jc w:val="left"/>
                              <w:rPr>
                                <w:rFonts w:ascii="Arial" w:hAnsi="Arial"/>
                                <w:sz w:val="16"/>
                              </w:rPr>
                            </w:pPr>
                            <w:r>
                              <w:rPr>
                                <w:rFonts w:ascii="Arial" w:hAnsi="Arial"/>
                                <w:sz w:val="16"/>
                              </w:rPr>
                              <w:t>31,520</w:t>
                            </w:r>
                          </w:p>
                        </w:tc>
                        <w:tc>
                          <w:tcPr>
                            <w:tcW w:w="530" w:type="dxa"/>
                            <w:tcBorders>
                              <w:bottom w:val="single" w:sz="8" w:space="0" w:color="FF976B"/>
                              <w:right w:val="single" w:sz="8" w:space="0" w:color="FF976B"/>
                            </w:tcBorders>
                            <w:tcMar>
                              <w:bottom w:w="40" w:type="dxa"/>
                              <w:right w:w="60" w:type="dxa"/>
                            </w:tcMar>
                            <w:vAlign w:val="center"/>
                          </w:tcPr>
                          <w:p>
                            <w:pPr>
                              <w:pStyle w:val="TableContents"/>
                              <w:bidi w:val="0"/>
                              <w:spacing w:before="0" w:after="283"/>
                              <w:jc w:val="left"/>
                              <w:rPr>
                                <w:rFonts w:ascii="Arial" w:hAnsi="Arial"/>
                                <w:sz w:val="16"/>
                              </w:rPr>
                            </w:pPr>
                            <w:r>
                              <w:rPr>
                                <w:rFonts w:ascii="Arial" w:hAnsi="Arial"/>
                                <w:sz w:val="16"/>
                              </w:rPr>
                              <w:t>31,094</w:t>
                            </w:r>
                          </w:p>
                        </w:tc>
                      </w:tr>
                      <w:tr>
                        <w:trPr/>
                        <w:tc>
                          <w:tcPr>
                            <w:tcW w:w="815" w:type="dxa"/>
                            <w:tcBorders>
                              <w:left w:val="single" w:sz="8" w:space="0" w:color="FF976B"/>
                              <w:bottom w:val="single" w:sz="8" w:space="0" w:color="FF976B"/>
                            </w:tcBorders>
                            <w:tcMar>
                              <w:left w:w="60" w:type="dxa"/>
                              <w:bottom w:w="40" w:type="dxa"/>
                            </w:tcMar>
                            <w:vAlign w:val="center"/>
                          </w:tcPr>
                          <w:p>
                            <w:pPr>
                              <w:pStyle w:val="TableContents"/>
                              <w:bidi w:val="0"/>
                              <w:spacing w:before="0" w:after="283"/>
                              <w:jc w:val="left"/>
                              <w:rPr>
                                <w:rFonts w:ascii="Arial" w:hAnsi="Arial"/>
                                <w:sz w:val="16"/>
                              </w:rPr>
                            </w:pPr>
                            <w:r>
                              <w:rPr>
                                <w:rFonts w:ascii="Arial" w:hAnsi="Arial"/>
                                <w:sz w:val="16"/>
                              </w:rPr>
                              <w:t>Bolivia</w:t>
                            </w:r>
                          </w:p>
                        </w:tc>
                        <w:tc>
                          <w:tcPr>
                            <w:tcW w:w="515" w:type="dxa"/>
                            <w:tcBorders>
                              <w:bottom w:val="single" w:sz="8" w:space="0" w:color="FF976B"/>
                            </w:tcBorders>
                            <w:tcMar>
                              <w:bottom w:w="40" w:type="dxa"/>
                            </w:tcMar>
                            <w:vAlign w:val="center"/>
                          </w:tcPr>
                          <w:p>
                            <w:pPr>
                              <w:pStyle w:val="TableContents"/>
                              <w:bidi w:val="0"/>
                              <w:spacing w:before="0" w:after="283"/>
                              <w:jc w:val="left"/>
                              <w:rPr>
                                <w:rFonts w:ascii="Arial" w:hAnsi="Arial"/>
                                <w:sz w:val="16"/>
                              </w:rPr>
                            </w:pPr>
                            <w:r>
                              <w:rPr>
                                <w:rFonts w:ascii="Arial" w:hAnsi="Arial"/>
                                <w:sz w:val="16"/>
                              </w:rPr>
                              <w:t>1,803</w:t>
                            </w:r>
                          </w:p>
                        </w:tc>
                        <w:tc>
                          <w:tcPr>
                            <w:tcW w:w="530" w:type="dxa"/>
                            <w:tcBorders>
                              <w:bottom w:val="single" w:sz="8" w:space="0" w:color="FF976B"/>
                              <w:right w:val="single" w:sz="8" w:space="0" w:color="FF976B"/>
                            </w:tcBorders>
                            <w:tcMar>
                              <w:bottom w:w="40" w:type="dxa"/>
                              <w:right w:w="60" w:type="dxa"/>
                            </w:tcMar>
                            <w:vAlign w:val="center"/>
                          </w:tcPr>
                          <w:p>
                            <w:pPr>
                              <w:pStyle w:val="TableContents"/>
                              <w:bidi w:val="0"/>
                              <w:spacing w:before="0" w:after="283"/>
                              <w:jc w:val="left"/>
                              <w:rPr>
                                <w:rFonts w:ascii="Arial" w:hAnsi="Arial"/>
                                <w:sz w:val="16"/>
                              </w:rPr>
                            </w:pPr>
                            <w:r>
                              <w:rPr>
                                <w:rFonts w:ascii="Arial" w:hAnsi="Arial"/>
                                <w:sz w:val="16"/>
                              </w:rPr>
                              <w:t>1,763</w:t>
                            </w:r>
                          </w:p>
                        </w:tc>
                      </w:tr>
                      <w:tr>
                        <w:trPr/>
                        <w:tc>
                          <w:tcPr>
                            <w:tcW w:w="815" w:type="dxa"/>
                            <w:tcBorders>
                              <w:left w:val="single" w:sz="8" w:space="0" w:color="FF976B"/>
                              <w:bottom w:val="single" w:sz="8" w:space="0" w:color="FF976B"/>
                            </w:tcBorders>
                            <w:tcMar>
                              <w:left w:w="60" w:type="dxa"/>
                              <w:bottom w:w="40" w:type="dxa"/>
                            </w:tcMar>
                            <w:vAlign w:val="center"/>
                          </w:tcPr>
                          <w:p>
                            <w:pPr>
                              <w:pStyle w:val="TableContents"/>
                              <w:bidi w:val="0"/>
                              <w:spacing w:before="0" w:after="283"/>
                              <w:jc w:val="left"/>
                              <w:rPr>
                                <w:rFonts w:ascii="Arial" w:hAnsi="Arial"/>
                                <w:sz w:val="16"/>
                              </w:rPr>
                            </w:pPr>
                            <w:r>
                              <w:rPr>
                                <w:rFonts w:ascii="Arial" w:hAnsi="Arial"/>
                                <w:sz w:val="16"/>
                              </w:rPr>
                              <w:t>USA</w:t>
                            </w:r>
                          </w:p>
                        </w:tc>
                        <w:tc>
                          <w:tcPr>
                            <w:tcW w:w="515" w:type="dxa"/>
                            <w:tcBorders>
                              <w:bottom w:val="single" w:sz="8" w:space="0" w:color="FF976B"/>
                            </w:tcBorders>
                            <w:tcMar>
                              <w:bottom w:w="40" w:type="dxa"/>
                            </w:tcMar>
                            <w:vAlign w:val="center"/>
                          </w:tcPr>
                          <w:p>
                            <w:pPr>
                              <w:pStyle w:val="TableContents"/>
                              <w:bidi w:val="0"/>
                              <w:spacing w:before="0" w:after="283"/>
                              <w:jc w:val="left"/>
                              <w:rPr>
                                <w:rFonts w:ascii="Arial" w:hAnsi="Arial"/>
                                <w:sz w:val="16"/>
                              </w:rPr>
                            </w:pPr>
                            <w:r>
                              <w:rPr>
                                <w:rFonts w:ascii="Arial" w:hAnsi="Arial"/>
                                <w:sz w:val="16"/>
                              </w:rPr>
                              <w:t>84</w:t>
                            </w:r>
                          </w:p>
                        </w:tc>
                        <w:tc>
                          <w:tcPr>
                            <w:tcW w:w="530" w:type="dxa"/>
                            <w:tcBorders>
                              <w:bottom w:val="single" w:sz="8" w:space="0" w:color="FF976B"/>
                              <w:right w:val="single" w:sz="8" w:space="0" w:color="FF976B"/>
                            </w:tcBorders>
                            <w:tcMar>
                              <w:bottom w:w="40" w:type="dxa"/>
                              <w:right w:w="60" w:type="dxa"/>
                            </w:tcMar>
                            <w:vAlign w:val="center"/>
                          </w:tcPr>
                          <w:p>
                            <w:pPr>
                              <w:pStyle w:val="TableContents"/>
                              <w:bidi w:val="0"/>
                              <w:spacing w:before="0" w:after="283"/>
                              <w:jc w:val="left"/>
                              <w:rPr>
                                <w:rFonts w:ascii="Arial" w:hAnsi="Arial"/>
                                <w:sz w:val="16"/>
                              </w:rPr>
                            </w:pPr>
                            <w:r>
                              <w:rPr>
                                <w:rFonts w:ascii="Arial" w:hAnsi="Arial"/>
                                <w:sz w:val="16"/>
                              </w:rPr>
                              <w:t>74</w:t>
                            </w:r>
                          </w:p>
                        </w:tc>
                      </w:tr>
                      <w:tr>
                        <w:trPr/>
                        <w:tc>
                          <w:tcPr>
                            <w:tcW w:w="815" w:type="dxa"/>
                            <w:tcBorders>
                              <w:left w:val="single" w:sz="8" w:space="0" w:color="FF976B"/>
                              <w:bottom w:val="single" w:sz="8" w:space="0" w:color="FF976B"/>
                            </w:tcBorders>
                            <w:tcMar>
                              <w:left w:w="60" w:type="dxa"/>
                              <w:bottom w:w="40" w:type="dxa"/>
                            </w:tcMar>
                            <w:vAlign w:val="center"/>
                          </w:tcPr>
                          <w:p>
                            <w:pPr>
                              <w:pStyle w:val="TableContents"/>
                              <w:bidi w:val="0"/>
                              <w:spacing w:before="0" w:after="283"/>
                              <w:jc w:val="left"/>
                              <w:rPr>
                                <w:rFonts w:ascii="Arial" w:hAnsi="Arial"/>
                                <w:sz w:val="16"/>
                              </w:rPr>
                            </w:pPr>
                            <w:r>
                              <w:rPr>
                                <w:rFonts w:ascii="Arial" w:hAnsi="Arial"/>
                                <w:sz w:val="16"/>
                              </w:rPr>
                              <w:t>Colombia</w:t>
                            </w:r>
                          </w:p>
                        </w:tc>
                        <w:tc>
                          <w:tcPr>
                            <w:tcW w:w="515" w:type="dxa"/>
                            <w:tcBorders>
                              <w:bottom w:val="single" w:sz="8" w:space="0" w:color="FF976B"/>
                            </w:tcBorders>
                            <w:tcMar>
                              <w:bottom w:w="40" w:type="dxa"/>
                            </w:tcMar>
                            <w:vAlign w:val="center"/>
                          </w:tcPr>
                          <w:p>
                            <w:pPr>
                              <w:pStyle w:val="TableContents"/>
                              <w:bidi w:val="0"/>
                              <w:spacing w:before="0" w:after="283"/>
                              <w:jc w:val="left"/>
                              <w:rPr>
                                <w:rFonts w:ascii="Arial" w:hAnsi="Arial"/>
                                <w:sz w:val="16"/>
                              </w:rPr>
                            </w:pPr>
                            <w:r>
                              <w:rPr>
                                <w:rFonts w:ascii="Arial" w:hAnsi="Arial"/>
                                <w:sz w:val="16"/>
                              </w:rPr>
                              <w:t>3,326</w:t>
                            </w:r>
                          </w:p>
                        </w:tc>
                        <w:tc>
                          <w:tcPr>
                            <w:tcW w:w="530" w:type="dxa"/>
                            <w:tcBorders>
                              <w:bottom w:val="single" w:sz="8" w:space="0" w:color="FF976B"/>
                              <w:right w:val="single" w:sz="8" w:space="0" w:color="FF976B"/>
                            </w:tcBorders>
                            <w:tcMar>
                              <w:bottom w:w="40" w:type="dxa"/>
                              <w:right w:w="60" w:type="dxa"/>
                            </w:tcMar>
                            <w:vAlign w:val="center"/>
                          </w:tcPr>
                          <w:p>
                            <w:pPr>
                              <w:pStyle w:val="TableContents"/>
                              <w:bidi w:val="0"/>
                              <w:spacing w:before="0" w:after="283"/>
                              <w:jc w:val="left"/>
                              <w:rPr>
                                <w:rFonts w:ascii="Arial" w:hAnsi="Arial"/>
                                <w:sz w:val="16"/>
                              </w:rPr>
                            </w:pPr>
                            <w:r>
                              <w:rPr>
                                <w:rFonts w:ascii="Arial" w:hAnsi="Arial"/>
                                <w:sz w:val="16"/>
                              </w:rPr>
                              <w:t>3,660</w:t>
                            </w:r>
                          </w:p>
                        </w:tc>
                      </w:tr>
                      <w:tr>
                        <w:trPr/>
                        <w:tc>
                          <w:tcPr>
                            <w:tcW w:w="815" w:type="dxa"/>
                            <w:tcBorders>
                              <w:left w:val="single" w:sz="8" w:space="0" w:color="FF976B"/>
                              <w:bottom w:val="single" w:sz="8" w:space="0" w:color="FF976B"/>
                            </w:tcBorders>
                            <w:tcMar>
                              <w:left w:w="60" w:type="dxa"/>
                              <w:bottom w:w="40" w:type="dxa"/>
                            </w:tcMar>
                            <w:vAlign w:val="center"/>
                          </w:tcPr>
                          <w:p>
                            <w:pPr>
                              <w:pStyle w:val="TableContents"/>
                              <w:bidi w:val="0"/>
                              <w:spacing w:before="0" w:after="283"/>
                              <w:jc w:val="left"/>
                              <w:rPr>
                                <w:rFonts w:ascii="Arial" w:hAnsi="Arial"/>
                                <w:sz w:val="16"/>
                              </w:rPr>
                            </w:pPr>
                            <w:r>
                              <w:rPr>
                                <w:rFonts w:ascii="Arial" w:hAnsi="Arial"/>
                                <w:sz w:val="16"/>
                              </w:rPr>
                              <w:t>Panama</w:t>
                            </w:r>
                          </w:p>
                        </w:tc>
                        <w:tc>
                          <w:tcPr>
                            <w:tcW w:w="515" w:type="dxa"/>
                            <w:tcBorders>
                              <w:bottom w:val="single" w:sz="8" w:space="0" w:color="FF976B"/>
                            </w:tcBorders>
                            <w:tcMar>
                              <w:bottom w:w="40" w:type="dxa"/>
                            </w:tcMar>
                            <w:vAlign w:val="center"/>
                          </w:tcPr>
                          <w:p>
                            <w:pPr>
                              <w:pStyle w:val="TableContents"/>
                              <w:bidi w:val="0"/>
                              <w:spacing w:before="0" w:after="283"/>
                              <w:jc w:val="left"/>
                              <w:rPr>
                                <w:rFonts w:ascii="Arial" w:hAnsi="Arial"/>
                                <w:sz w:val="16"/>
                              </w:rPr>
                            </w:pPr>
                            <w:r>
                              <w:rPr>
                                <w:rFonts w:ascii="Arial" w:hAnsi="Arial"/>
                                <w:sz w:val="16"/>
                              </w:rPr>
                              <w:t>152</w:t>
                            </w:r>
                          </w:p>
                        </w:tc>
                        <w:tc>
                          <w:tcPr>
                            <w:tcW w:w="530" w:type="dxa"/>
                            <w:tcBorders>
                              <w:bottom w:val="single" w:sz="8" w:space="0" w:color="FF976B"/>
                              <w:right w:val="single" w:sz="8" w:space="0" w:color="FF976B"/>
                            </w:tcBorders>
                            <w:tcMar>
                              <w:bottom w:w="40" w:type="dxa"/>
                              <w:right w:w="60" w:type="dxa"/>
                            </w:tcMar>
                            <w:vAlign w:val="center"/>
                          </w:tcPr>
                          <w:p>
                            <w:pPr>
                              <w:pStyle w:val="TableContents"/>
                              <w:bidi w:val="0"/>
                              <w:spacing w:before="0" w:after="283"/>
                              <w:jc w:val="left"/>
                              <w:rPr>
                                <w:rFonts w:ascii="Arial" w:hAnsi="Arial"/>
                                <w:sz w:val="16"/>
                              </w:rPr>
                            </w:pPr>
                            <w:r>
                              <w:rPr>
                                <w:rFonts w:ascii="Arial" w:hAnsi="Arial"/>
                                <w:sz w:val="16"/>
                              </w:rPr>
                              <w:t>159</w:t>
                            </w:r>
                          </w:p>
                        </w:tc>
                      </w:tr>
                      <w:tr>
                        <w:trPr/>
                        <w:tc>
                          <w:tcPr>
                            <w:tcW w:w="815" w:type="dxa"/>
                            <w:tcBorders>
                              <w:left w:val="single" w:sz="8" w:space="0" w:color="FF976B"/>
                              <w:bottom w:val="single" w:sz="8" w:space="0" w:color="FF976B"/>
                            </w:tcBorders>
                            <w:tcMar>
                              <w:left w:w="60" w:type="dxa"/>
                              <w:bottom w:w="40" w:type="dxa"/>
                            </w:tcMar>
                            <w:vAlign w:val="center"/>
                          </w:tcPr>
                          <w:p>
                            <w:pPr>
                              <w:pStyle w:val="TableContents"/>
                              <w:bidi w:val="0"/>
                              <w:spacing w:before="0" w:after="283"/>
                              <w:jc w:val="left"/>
                              <w:rPr>
                                <w:rFonts w:ascii="Arial" w:hAnsi="Arial"/>
                                <w:sz w:val="16"/>
                              </w:rPr>
                            </w:pPr>
                            <w:r>
                              <w:rPr>
                                <w:rFonts w:ascii="Arial" w:hAnsi="Arial"/>
                                <w:sz w:val="16"/>
                              </w:rPr>
                              <w:t>Chile</w:t>
                            </w:r>
                          </w:p>
                        </w:tc>
                        <w:tc>
                          <w:tcPr>
                            <w:tcW w:w="515" w:type="dxa"/>
                            <w:tcBorders>
                              <w:bottom w:val="single" w:sz="8" w:space="0" w:color="FF976B"/>
                            </w:tcBorders>
                            <w:tcMar>
                              <w:bottom w:w="40" w:type="dxa"/>
                            </w:tcMar>
                            <w:vAlign w:val="center"/>
                          </w:tcPr>
                          <w:p>
                            <w:pPr>
                              <w:pStyle w:val="TableContents"/>
                              <w:bidi w:val="0"/>
                              <w:spacing w:before="0" w:after="283"/>
                              <w:jc w:val="left"/>
                              <w:rPr>
                                <w:rFonts w:ascii="Arial" w:hAnsi="Arial"/>
                                <w:sz w:val="16"/>
                              </w:rPr>
                            </w:pPr>
                            <w:r>
                              <w:rPr>
                                <w:rFonts w:ascii="Arial" w:hAnsi="Arial"/>
                                <w:sz w:val="16"/>
                              </w:rPr>
                              <w:t>191</w:t>
                            </w:r>
                          </w:p>
                        </w:tc>
                        <w:tc>
                          <w:tcPr>
                            <w:tcW w:w="530" w:type="dxa"/>
                            <w:tcBorders>
                              <w:bottom w:val="single" w:sz="8" w:space="0" w:color="FF976B"/>
                              <w:right w:val="single" w:sz="8" w:space="0" w:color="FF976B"/>
                            </w:tcBorders>
                            <w:tcMar>
                              <w:bottom w:w="40" w:type="dxa"/>
                              <w:right w:w="60" w:type="dxa"/>
                            </w:tcMar>
                            <w:vAlign w:val="center"/>
                          </w:tcPr>
                          <w:p>
                            <w:pPr>
                              <w:pStyle w:val="TableContents"/>
                              <w:bidi w:val="0"/>
                              <w:spacing w:before="0" w:after="283"/>
                              <w:jc w:val="left"/>
                              <w:rPr>
                                <w:rFonts w:ascii="Arial" w:hAnsi="Arial"/>
                                <w:sz w:val="16"/>
                              </w:rPr>
                            </w:pPr>
                            <w:r>
                              <w:rPr>
                                <w:rFonts w:ascii="Arial" w:hAnsi="Arial"/>
                                <w:sz w:val="16"/>
                              </w:rPr>
                              <w:t>218</w:t>
                            </w:r>
                          </w:p>
                        </w:tc>
                      </w:tr>
                      <w:tr>
                        <w:trPr/>
                        <w:tc>
                          <w:tcPr>
                            <w:tcW w:w="815" w:type="dxa"/>
                            <w:tcBorders>
                              <w:left w:val="single" w:sz="8" w:space="0" w:color="FF976B"/>
                              <w:bottom w:val="single" w:sz="8" w:space="0" w:color="606060"/>
                            </w:tcBorders>
                            <w:tcMar>
                              <w:left w:w="60" w:type="dxa"/>
                              <w:bottom w:w="40" w:type="dxa"/>
                            </w:tcMar>
                            <w:vAlign w:val="center"/>
                          </w:tcPr>
                          <w:p>
                            <w:pPr>
                              <w:pStyle w:val="TableContents"/>
                              <w:bidi w:val="0"/>
                              <w:spacing w:before="0" w:after="283"/>
                              <w:jc w:val="left"/>
                              <w:rPr>
                                <w:rFonts w:ascii="Arial" w:hAnsi="Arial"/>
                                <w:b/>
                                <w:sz w:val="16"/>
                              </w:rPr>
                            </w:pPr>
                            <w:r>
                              <w:rPr>
                                <w:rFonts w:ascii="Arial" w:hAnsi="Arial"/>
                                <w:b/>
                                <w:sz w:val="16"/>
                              </w:rPr>
                              <w:t>Credicorp</w:t>
                            </w:r>
                          </w:p>
                        </w:tc>
                        <w:tc>
                          <w:tcPr>
                            <w:tcW w:w="515" w:type="dxa"/>
                            <w:tcBorders>
                              <w:bottom w:val="single" w:sz="8" w:space="0" w:color="606060"/>
                            </w:tcBorders>
                            <w:tcMar>
                              <w:bottom w:w="40" w:type="dxa"/>
                            </w:tcMar>
                            <w:vAlign w:val="center"/>
                          </w:tcPr>
                          <w:p>
                            <w:pPr>
                              <w:pStyle w:val="TableContents"/>
                              <w:bidi w:val="0"/>
                              <w:spacing w:before="0" w:after="283"/>
                              <w:jc w:val="left"/>
                              <w:rPr>
                                <w:rFonts w:ascii="Arial" w:hAnsi="Arial"/>
                                <w:b/>
                                <w:sz w:val="16"/>
                              </w:rPr>
                            </w:pPr>
                            <w:r>
                              <w:rPr>
                                <w:rFonts w:ascii="Arial" w:hAnsi="Arial"/>
                                <w:b/>
                                <w:sz w:val="16"/>
                              </w:rPr>
                              <w:t>37,076</w:t>
                            </w:r>
                          </w:p>
                        </w:tc>
                        <w:tc>
                          <w:tcPr>
                            <w:tcW w:w="530" w:type="dxa"/>
                            <w:tcBorders>
                              <w:bottom w:val="single" w:sz="8" w:space="0" w:color="606060"/>
                              <w:right w:val="single" w:sz="8" w:space="0" w:color="FF976B"/>
                            </w:tcBorders>
                            <w:tcMar>
                              <w:bottom w:w="40" w:type="dxa"/>
                              <w:right w:w="60" w:type="dxa"/>
                            </w:tcMar>
                            <w:vAlign w:val="center"/>
                          </w:tcPr>
                          <w:p>
                            <w:pPr>
                              <w:pStyle w:val="TableContents"/>
                              <w:bidi w:val="0"/>
                              <w:spacing w:before="0" w:after="283"/>
                              <w:jc w:val="left"/>
                              <w:rPr>
                                <w:rFonts w:ascii="Arial" w:hAnsi="Arial"/>
                                <w:b/>
                                <w:sz w:val="16"/>
                              </w:rPr>
                            </w:pPr>
                            <w:r>
                              <w:rPr>
                                <w:rFonts w:ascii="Arial" w:hAnsi="Arial"/>
                                <w:b/>
                                <w:sz w:val="16"/>
                              </w:rPr>
                              <w:t>36,968</w:t>
                            </w:r>
                          </w:p>
                        </w:tc>
                      </w:tr>
                    </w:tbl>
                    <w:p>
                      <w:pPr>
                        <w:pStyle w:val="TextBody"/>
                        <w:bidi w:val="0"/>
                        <w:spacing w:before="0" w:after="283"/>
                        <w:jc w:val="left"/>
                        <w:rPr/>
                      </w:pPr>
                      <w:r>
                        <w:rPr/>
                      </w:r>
                    </w:p>
                  </w:txbxContent>
                </v:textbox>
                <w10:wrap type="topAndBottom"/>
              </v:rect>
            </w:pict>
          </mc:Fallback>
        </mc:AlternateConten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26</w:t>
      </w:r>
    </w:p>
    <w:p>
      <w:pPr>
        <w:pStyle w:val="HorizontalLine"/>
        <w:pBdr>
          <w:bottom w:val="single" w:sz="12" w:space="0" w:color="808080"/>
        </w:pBdr>
        <w:bidi w:val="0"/>
        <w:spacing w:before="200" w:after="200"/>
        <w:jc w:val="left"/>
        <w:rPr/>
      </w:pPr>
      <w:r>
        <w:rPr/>
      </w:r>
    </w:p>
    <w:p>
      <w:pPr>
        <w:pStyle w:val="TextBody"/>
        <w:bidi w:val="0"/>
        <w:spacing w:before="0" w:after="0"/>
        <w:ind w:left="0" w:right="260" w:hanging="0"/>
        <w:jc w:val="both"/>
        <w:rPr>
          <w:caps w:val="false"/>
          <w:smallCaps w:val="false"/>
        </w:rPr>
      </w:pPr>
      <w:r>
        <w:rPr>
          <w:caps w:val="false"/>
          <w:smallCaps w:val="false"/>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3110230" cy="7522845"/>
                <wp:effectExtent l="0" t="0" r="0" b="0"/>
                <wp:wrapTopAndBottom/>
                <wp:docPr id="175" name="Frame50"/>
                <a:graphic xmlns:a="http://schemas.openxmlformats.org/drawingml/2006/main">
                  <a:graphicData uri="http://schemas.microsoft.com/office/word/2010/wordprocessingShape">
                    <wps:wsp>
                      <wps:cNvSpPr txBox="1"/>
                      <wps:spPr>
                        <a:xfrm>
                          <a:off x="0" y="0"/>
                          <a:ext cx="3110230" cy="7522845"/>
                        </a:xfrm>
                        <a:prstGeom prst="rect"/>
                        <a:solidFill>
                          <a:srgbClr val="FFFFFF"/>
                        </a:solidFill>
                      </wps:spPr>
                      <wps:txbx>
                        <w:txbxContent>
                          <w:p>
                            <w:pPr>
                              <w:pStyle w:val="TextBody"/>
                              <w:bidi w:val="0"/>
                              <w:spacing w:before="0" w:after="0"/>
                              <w:ind w:left="0" w:right="260" w:hanging="0"/>
                              <w:jc w:val="both"/>
                              <w:rPr>
                                <w:rFonts w:ascii="Arial" w:hAnsi="Arial"/>
                                <w:b w:val="false"/>
                                <w:i w:val="false"/>
                                <w:caps w:val="false"/>
                                <w:smallCaps w:val="false"/>
                                <w:sz w:val="20"/>
                              </w:rPr>
                            </w:pPr>
                            <w:r>
                              <w:rPr>
                                <w:rFonts w:ascii="Arial" w:hAnsi="Arial"/>
                                <w:b w:val="false"/>
                                <w:i w:val="false"/>
                                <w:caps w:val="false"/>
                                <w:smallCaps w:val="false"/>
                                <w:sz w:val="20"/>
                              </w:rPr>
                              <w:t>In December 2022, we officially launched our corporate Employer Brand initiative:</w:t>
                            </w:r>
                          </w:p>
                          <w:p>
                            <w:pPr>
                              <w:pStyle w:val="TextBody"/>
                              <w:bidi w:val="0"/>
                              <w:spacing w:before="0" w:after="0"/>
                              <w:ind w:left="0" w:right="260" w:hanging="0"/>
                              <w:jc w:val="both"/>
                              <w:rPr>
                                <w:caps w:val="false"/>
                                <w:smallCaps w:val="false"/>
                              </w:rPr>
                            </w:pPr>
                            <w:r>
                              <w:rPr>
                                <w:caps w:val="false"/>
                                <w:smallCaps w:val="false"/>
                              </w:rPr>
                              <w:t> </w:t>
                            </w:r>
                          </w:p>
                          <w:p>
                            <w:pPr>
                              <w:pStyle w:val="TextBody"/>
                              <w:bidi w:val="0"/>
                              <w:spacing w:before="0" w:after="0"/>
                              <w:jc w:val="center"/>
                              <w:rPr>
                                <w:rFonts w:ascii="Arial" w:hAnsi="Arial"/>
                                <w:b/>
                                <w:i w:val="false"/>
                                <w:caps w:val="false"/>
                                <w:smallCaps w:val="false"/>
                                <w:color w:val="FE5000"/>
                                <w:sz w:val="24"/>
                              </w:rPr>
                            </w:pPr>
                            <w:r>
                              <w:rPr>
                                <w:rFonts w:ascii="Arial" w:hAnsi="Arial"/>
                                <w:b/>
                                <w:i w:val="false"/>
                                <w:caps w:val="false"/>
                                <w:smallCaps w:val="false"/>
                                <w:color w:val="FE5000"/>
                                <w:sz w:val="24"/>
                              </w:rPr>
                              <w:t>Pillars of the Credicorp employer brand</w:t>
                            </w:r>
                          </w:p>
                          <w:p>
                            <w:pPr>
                              <w:pStyle w:val="TextBody"/>
                              <w:bidi w:val="0"/>
                              <w:spacing w:before="0" w:after="0"/>
                              <w:ind w:left="1360" w:right="0" w:hanging="0"/>
                              <w:jc w:val="left"/>
                              <w:rPr>
                                <w:caps w:val="false"/>
                                <w:smallCaps w:val="false"/>
                                <w:color w:val="FE5000"/>
                              </w:rPr>
                            </w:pPr>
                            <w:r>
                              <w:rPr>
                                <w:caps w:val="false"/>
                                <w:smallCaps w:val="false"/>
                                <w:color w:val="FE5000"/>
                              </w:rPr>
                              <w:t> </w:t>
                            </w:r>
                          </w:p>
                          <w:tbl>
                            <w:tblPr>
                              <w:tblW w:w="4990" w:type="dxa"/>
                              <w:jc w:val="left"/>
                              <w:tblInd w:w="0" w:type="dxa"/>
                              <w:tblLayout w:type="fixed"/>
                              <w:tblCellMar>
                                <w:top w:w="0" w:type="dxa"/>
                                <w:left w:w="0" w:type="dxa"/>
                                <w:bottom w:w="0" w:type="dxa"/>
                                <w:right w:w="0" w:type="dxa"/>
                              </w:tblCellMar>
                            </w:tblPr>
                            <w:tblGrid>
                              <w:gridCol w:w="240"/>
                              <w:gridCol w:w="2195"/>
                              <w:gridCol w:w="60"/>
                              <w:gridCol w:w="225"/>
                              <w:gridCol w:w="2195"/>
                              <w:gridCol w:w="75"/>
                            </w:tblGrid>
                            <w:tr>
                              <w:trPr/>
                              <w:tc>
                                <w:tcPr>
                                  <w:tcW w:w="240" w:type="dxa"/>
                                  <w:tcBorders/>
                                  <w:vAlign w:val="center"/>
                                </w:tcPr>
                                <w:p>
                                  <w:pPr>
                                    <w:pStyle w:val="TableContents"/>
                                    <w:bidi w:val="0"/>
                                    <w:spacing w:before="0" w:after="283"/>
                                    <w:jc w:val="left"/>
                                    <w:rPr/>
                                  </w:pPr>
                                  <w:r>
                                    <w:rPr/>
                                    <w:drawing>
                                      <wp:inline distT="0" distB="0" distL="0" distR="0">
                                        <wp:extent cx="142875" cy="104775"/>
                                        <wp:effectExtent l="0" t="0" r="0" b="0"/>
                                        <wp:docPr id="176"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82" descr=""/>
                                                <pic:cNvPicPr>
                                                  <a:picLocks noChangeAspect="1" noChangeArrowheads="1"/>
                                                </pic:cNvPicPr>
                                              </pic:nvPicPr>
                                              <pic:blipFill>
                                                <a:blip r:embed="rId127"/>
                                                <a:stretch>
                                                  <a:fillRect/>
                                                </a:stretch>
                                              </pic:blipFill>
                                              <pic:spPr bwMode="auto">
                                                <a:xfrm>
                                                  <a:off x="0" y="0"/>
                                                  <a:ext cx="142875" cy="104775"/>
                                                </a:xfrm>
                                                <a:prstGeom prst="rect">
                                                  <a:avLst/>
                                                </a:prstGeom>
                                              </pic:spPr>
                                            </pic:pic>
                                          </a:graphicData>
                                        </a:graphic>
                                      </wp:inline>
                                    </w:drawing>
                                  </w:r>
                                </w:p>
                              </w:tc>
                              <w:tc>
                                <w:tcPr>
                                  <w:tcW w:w="2195" w:type="dxa"/>
                                  <w:tcBorders>
                                    <w:bottom w:val="single" w:sz="8" w:space="0" w:color="FE4F00"/>
                                  </w:tcBorders>
                                  <w:tcMar>
                                    <w:bottom w:w="28" w:type="dxa"/>
                                  </w:tcMar>
                                  <w:vAlign w:val="center"/>
                                </w:tcPr>
                                <w:p>
                                  <w:pPr>
                                    <w:pStyle w:val="TableContents"/>
                                    <w:bidi w:val="0"/>
                                    <w:spacing w:before="0" w:after="283"/>
                                    <w:jc w:val="left"/>
                                    <w:rPr>
                                      <w:rFonts w:ascii="Arial" w:hAnsi="Arial"/>
                                      <w:b/>
                                      <w:i w:val="false"/>
                                      <w:caps w:val="false"/>
                                      <w:smallCaps w:val="false"/>
                                      <w:sz w:val="18"/>
                                    </w:rPr>
                                  </w:pPr>
                                  <w:r>
                                    <w:rPr>
                                      <w:rFonts w:ascii="Arial" w:hAnsi="Arial"/>
                                      <w:b/>
                                      <w:i w:val="false"/>
                                      <w:caps w:val="false"/>
                                      <w:smallCaps w:val="false"/>
                                      <w:sz w:val="18"/>
                                    </w:rPr>
                                    <w:t>Be your own best version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5" w:type="dxa"/>
                                  <w:tcBorders/>
                                  <w:vAlign w:val="center"/>
                                </w:tcPr>
                                <w:p>
                                  <w:pPr>
                                    <w:pStyle w:val="TableContents"/>
                                    <w:bidi w:val="0"/>
                                    <w:spacing w:before="0" w:after="283"/>
                                    <w:jc w:val="left"/>
                                    <w:rPr/>
                                  </w:pPr>
                                  <w:r>
                                    <w:rPr/>
                                    <w:drawing>
                                      <wp:inline distT="0" distB="0" distL="0" distR="0">
                                        <wp:extent cx="142875" cy="104775"/>
                                        <wp:effectExtent l="0" t="0" r="0" b="0"/>
                                        <wp:docPr id="177"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83" descr=""/>
                                                <pic:cNvPicPr>
                                                  <a:picLocks noChangeAspect="1" noChangeArrowheads="1"/>
                                                </pic:cNvPicPr>
                                              </pic:nvPicPr>
                                              <pic:blipFill>
                                                <a:blip r:embed="rId128"/>
                                                <a:stretch>
                                                  <a:fillRect/>
                                                </a:stretch>
                                              </pic:blipFill>
                                              <pic:spPr bwMode="auto">
                                                <a:xfrm>
                                                  <a:off x="0" y="0"/>
                                                  <a:ext cx="142875" cy="104775"/>
                                                </a:xfrm>
                                                <a:prstGeom prst="rect">
                                                  <a:avLst/>
                                                </a:prstGeom>
                                              </pic:spPr>
                                            </pic:pic>
                                          </a:graphicData>
                                        </a:graphic>
                                      </wp:inline>
                                    </w:drawing>
                                  </w:r>
                                </w:p>
                              </w:tc>
                              <w:tc>
                                <w:tcPr>
                                  <w:tcW w:w="2195" w:type="dxa"/>
                                  <w:tcBorders>
                                    <w:bottom w:val="single" w:sz="8" w:space="0" w:color="FE4F00"/>
                                  </w:tcBorders>
                                  <w:tcMar>
                                    <w:bottom w:w="28" w:type="dxa"/>
                                  </w:tcMar>
                                  <w:vAlign w:val="center"/>
                                </w:tcPr>
                                <w:p>
                                  <w:pPr>
                                    <w:pStyle w:val="TableContents"/>
                                    <w:bidi w:val="0"/>
                                    <w:spacing w:before="0" w:after="283"/>
                                    <w:jc w:val="left"/>
                                    <w:rPr>
                                      <w:rFonts w:ascii="Arial" w:hAnsi="Arial"/>
                                      <w:b/>
                                      <w:sz w:val="18"/>
                                    </w:rPr>
                                  </w:pPr>
                                  <w:r>
                                    <w:rPr>
                                      <w:rFonts w:ascii="Arial" w:hAnsi="Arial"/>
                                      <w:b/>
                                      <w:sz w:val="18"/>
                                    </w:rPr>
                                    <w:t>A positive impact, always</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3310" w:type="dxa"/>
                              <w:jc w:val="left"/>
                              <w:tblInd w:w="0" w:type="dxa"/>
                              <w:tblLayout w:type="fixed"/>
                              <w:tblCellMar>
                                <w:top w:w="0" w:type="dxa"/>
                                <w:left w:w="0" w:type="dxa"/>
                                <w:bottom w:w="0" w:type="dxa"/>
                                <w:right w:w="0" w:type="dxa"/>
                              </w:tblCellMar>
                            </w:tblPr>
                            <w:tblGrid>
                              <w:gridCol w:w="240"/>
                              <w:gridCol w:w="995"/>
                              <w:gridCol w:w="60"/>
                              <w:gridCol w:w="225"/>
                              <w:gridCol w:w="1715"/>
                              <w:gridCol w:w="75"/>
                            </w:tblGrid>
                            <w:tr>
                              <w:trPr/>
                              <w:tc>
                                <w:tcPr>
                                  <w:tcW w:w="240" w:type="dxa"/>
                                  <w:tcBorders/>
                                  <w:vAlign w:val="center"/>
                                </w:tcPr>
                                <w:p>
                                  <w:pPr>
                                    <w:pStyle w:val="TableContents"/>
                                    <w:bidi w:val="0"/>
                                    <w:spacing w:before="0" w:after="283"/>
                                    <w:jc w:val="left"/>
                                    <w:rPr/>
                                  </w:pPr>
                                  <w:r>
                                    <w:rPr/>
                                    <w:drawing>
                                      <wp:inline distT="0" distB="0" distL="0" distR="0">
                                        <wp:extent cx="142875" cy="104775"/>
                                        <wp:effectExtent l="0" t="0" r="0" b="0"/>
                                        <wp:docPr id="178"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84" descr=""/>
                                                <pic:cNvPicPr>
                                                  <a:picLocks noChangeAspect="1" noChangeArrowheads="1"/>
                                                </pic:cNvPicPr>
                                              </pic:nvPicPr>
                                              <pic:blipFill>
                                                <a:blip r:embed="rId129"/>
                                                <a:stretch>
                                                  <a:fillRect/>
                                                </a:stretch>
                                              </pic:blipFill>
                                              <pic:spPr bwMode="auto">
                                                <a:xfrm>
                                                  <a:off x="0" y="0"/>
                                                  <a:ext cx="142875" cy="104775"/>
                                                </a:xfrm>
                                                <a:prstGeom prst="rect">
                                                  <a:avLst/>
                                                </a:prstGeom>
                                              </pic:spPr>
                                            </pic:pic>
                                          </a:graphicData>
                                        </a:graphic>
                                      </wp:inline>
                                    </w:drawing>
                                  </w:r>
                                </w:p>
                              </w:tc>
                              <w:tc>
                                <w:tcPr>
                                  <w:tcW w:w="995" w:type="dxa"/>
                                  <w:tcBorders>
                                    <w:bottom w:val="single" w:sz="8" w:space="0" w:color="FE4F00"/>
                                  </w:tcBorders>
                                  <w:tcMar>
                                    <w:bottom w:w="28" w:type="dxa"/>
                                  </w:tcMar>
                                  <w:vAlign w:val="center"/>
                                </w:tcPr>
                                <w:p>
                                  <w:pPr>
                                    <w:pStyle w:val="TableContents"/>
                                    <w:bidi w:val="0"/>
                                    <w:spacing w:before="0" w:after="283"/>
                                    <w:jc w:val="left"/>
                                    <w:rPr>
                                      <w:rFonts w:ascii="Arial" w:hAnsi="Arial"/>
                                      <w:b/>
                                      <w:sz w:val="18"/>
                                    </w:rPr>
                                  </w:pPr>
                                  <w:r>
                                    <w:rPr>
                                      <w:rFonts w:ascii="Arial" w:hAnsi="Arial"/>
                                      <w:b/>
                                      <w:sz w:val="18"/>
                                    </w:rPr>
                                    <w:t>People first</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drawing>
                                      <wp:inline distT="0" distB="0" distL="0" distR="0">
                                        <wp:extent cx="142875" cy="104775"/>
                                        <wp:effectExtent l="0" t="0" r="0" b="0"/>
                                        <wp:docPr id="179"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85" descr=""/>
                                                <pic:cNvPicPr>
                                                  <a:picLocks noChangeAspect="1" noChangeArrowheads="1"/>
                                                </pic:cNvPicPr>
                                              </pic:nvPicPr>
                                              <pic:blipFill>
                                                <a:blip r:embed="rId130"/>
                                                <a:stretch>
                                                  <a:fillRect/>
                                                </a:stretch>
                                              </pic:blipFill>
                                              <pic:spPr bwMode="auto">
                                                <a:xfrm>
                                                  <a:off x="0" y="0"/>
                                                  <a:ext cx="142875" cy="104775"/>
                                                </a:xfrm>
                                                <a:prstGeom prst="rect">
                                                  <a:avLst/>
                                                </a:prstGeom>
                                              </pic:spPr>
                                            </pic:pic>
                                          </a:graphicData>
                                        </a:graphic>
                                      </wp:inline>
                                    </w:drawing>
                                  </w:r>
                                </w:p>
                              </w:tc>
                              <w:tc>
                                <w:tcPr>
                                  <w:tcW w:w="1715" w:type="dxa"/>
                                  <w:tcBorders>
                                    <w:bottom w:val="single" w:sz="8" w:space="0" w:color="FE4F00"/>
                                  </w:tcBorders>
                                  <w:tcMar>
                                    <w:bottom w:w="28" w:type="dxa"/>
                                  </w:tcMar>
                                  <w:vAlign w:val="center"/>
                                </w:tcPr>
                                <w:p>
                                  <w:pPr>
                                    <w:pStyle w:val="TableContents"/>
                                    <w:bidi w:val="0"/>
                                    <w:spacing w:before="0" w:after="283"/>
                                    <w:jc w:val="left"/>
                                    <w:rPr>
                                      <w:rFonts w:ascii="Arial" w:hAnsi="Arial"/>
                                      <w:b/>
                                      <w:sz w:val="18"/>
                                    </w:rPr>
                                  </w:pPr>
                                  <w:r>
                                    <w:rPr>
                                      <w:rFonts w:ascii="Arial" w:hAnsi="Arial"/>
                                      <w:b/>
                                      <w:sz w:val="18"/>
                                    </w:rPr>
                                    <w:t>An innovator’s DNA</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260" w:hanging="0"/>
                              <w:jc w:val="both"/>
                              <w:rPr>
                                <w:rFonts w:ascii="Arial" w:hAnsi="Arial"/>
                                <w:b w:val="false"/>
                                <w:i w:val="false"/>
                                <w:caps w:val="false"/>
                                <w:smallCaps w:val="false"/>
                                <w:sz w:val="20"/>
                              </w:rPr>
                            </w:pPr>
                            <w:r>
                              <w:rPr>
                                <w:rFonts w:ascii="Arial" w:hAnsi="Arial"/>
                                <w:b w:val="false"/>
                                <w:i w:val="false"/>
                                <w:caps w:val="false"/>
                                <w:smallCaps w:val="false"/>
                                <w:sz w:val="20"/>
                              </w:rPr>
                              <w:t>We aspire to position ourselves by 2026 among the five leading employer brands in the region, especially in Peru, Chile, and Colombia. The central focus of this initiative is to attract diverse profiles and look beyond the finance industry.</w:t>
                            </w:r>
                          </w:p>
                          <w:p>
                            <w:pPr>
                              <w:pStyle w:val="TextBody"/>
                              <w:bidi w:val="0"/>
                              <w:spacing w:before="0" w:after="0"/>
                              <w:ind w:left="0" w:right="260" w:hanging="0"/>
                              <w:jc w:val="both"/>
                              <w:rPr>
                                <w:caps w:val="false"/>
                                <w:smallCaps w:val="false"/>
                              </w:rPr>
                            </w:pPr>
                            <w:r>
                              <w:rPr>
                                <w:caps w:val="false"/>
                                <w:smallCaps w:val="false"/>
                              </w:rPr>
                              <w:t> </w:t>
                            </w:r>
                          </w:p>
                          <w:p>
                            <w:pPr>
                              <w:pStyle w:val="TextBody"/>
                              <w:bidi w:val="0"/>
                              <w:spacing w:before="0" w:after="0"/>
                              <w:jc w:val="center"/>
                              <w:rPr>
                                <w:rFonts w:ascii="Arial" w:hAnsi="Arial"/>
                                <w:b/>
                                <w:i w:val="false"/>
                                <w:caps w:val="false"/>
                                <w:smallCaps w:val="false"/>
                                <w:color w:val="FE5000"/>
                                <w:sz w:val="36"/>
                              </w:rPr>
                            </w:pPr>
                            <w:r>
                              <w:rPr>
                                <w:rFonts w:ascii="Arial" w:hAnsi="Arial"/>
                                <w:b/>
                                <w:i w:val="false"/>
                                <w:caps w:val="false"/>
                                <w:smallCaps w:val="false"/>
                                <w:color w:val="FE5000"/>
                                <w:sz w:val="36"/>
                              </w:rPr>
                              <w:t>The best place for the best</w:t>
                            </w:r>
                          </w:p>
                          <w:p>
                            <w:pPr>
                              <w:pStyle w:val="TextBody"/>
                              <w:bidi w:val="0"/>
                              <w:spacing w:before="0" w:after="0"/>
                              <w:ind w:left="1340" w:right="0" w:hanging="0"/>
                              <w:jc w:val="left"/>
                              <w:rPr>
                                <w:caps w:val="false"/>
                                <w:smallCaps w:val="false"/>
                                <w:color w:val="FE5000"/>
                              </w:rPr>
                            </w:pPr>
                            <w:r>
                              <w:rPr>
                                <w:caps w:val="false"/>
                                <w:smallCaps w:val="false"/>
                                <w:color w:val="FE5000"/>
                              </w:rPr>
                              <w:t> </w:t>
                            </w:r>
                          </w:p>
                          <w:p>
                            <w:pPr>
                              <w:pStyle w:val="TextBody"/>
                              <w:bidi w:val="0"/>
                              <w:spacing w:before="0" w:after="0"/>
                              <w:ind w:left="0" w:right="260" w:hanging="0"/>
                              <w:jc w:val="both"/>
                              <w:rPr>
                                <w:rFonts w:ascii="Arial" w:hAnsi="Arial"/>
                                <w:b w:val="false"/>
                                <w:i w:val="false"/>
                                <w:caps w:val="false"/>
                                <w:smallCaps w:val="false"/>
                                <w:sz w:val="20"/>
                              </w:rPr>
                            </w:pPr>
                            <w:r>
                              <w:rPr>
                                <w:rFonts w:ascii="Arial" w:hAnsi="Arial"/>
                                <w:b w:val="false"/>
                                <w:i w:val="false"/>
                                <w:caps w:val="false"/>
                                <w:smallCaps w:val="false"/>
                                <w:sz w:val="20"/>
                              </w:rPr>
                              <w:t>Our companies can leverage the Credicorp brand as an umbrella brand to strengthen their value proposition, highlighting the Group’s cohesion and the mobility available within it.</w:t>
                            </w:r>
                          </w:p>
                          <w:p>
                            <w:pPr>
                              <w:pStyle w:val="TextBody"/>
                              <w:bidi w:val="0"/>
                              <w:spacing w:before="0" w:after="0"/>
                              <w:ind w:left="0" w:right="26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2.2.1.2. Total performance and reward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260" w:hanging="0"/>
                              <w:jc w:val="both"/>
                              <w:rPr>
                                <w:rFonts w:ascii="Arial" w:hAnsi="Arial"/>
                                <w:b w:val="false"/>
                                <w:i w:val="false"/>
                                <w:caps w:val="false"/>
                                <w:smallCaps w:val="false"/>
                                <w:sz w:val="20"/>
                              </w:rPr>
                            </w:pPr>
                            <w:r>
                              <w:rPr>
                                <w:rFonts w:ascii="Arial" w:hAnsi="Arial"/>
                                <w:b w:val="false"/>
                                <w:i w:val="false"/>
                                <w:caps w:val="false"/>
                                <w:smallCaps w:val="false"/>
                                <w:sz w:val="20"/>
                              </w:rPr>
                              <w:t>Under this pillar, we aim to align our management of the executive segment with the interests of the organization. We have put in place clear indicators that ensure performance-based compensation.</w:t>
                            </w:r>
                          </w:p>
                          <w:p>
                            <w:pPr>
                              <w:pStyle w:val="TextBody"/>
                              <w:bidi w:val="0"/>
                              <w:spacing w:before="0" w:after="0"/>
                              <w:ind w:left="0" w:right="260" w:hanging="0"/>
                              <w:jc w:val="both"/>
                              <w:rPr>
                                <w:caps w:val="false"/>
                                <w:smallCaps w:val="false"/>
                              </w:rPr>
                            </w:pPr>
                            <w:r>
                              <w:rPr>
                                <w:caps w:val="false"/>
                                <w:smallCaps w:val="false"/>
                              </w:rPr>
                              <w:t> </w:t>
                            </w:r>
                          </w:p>
                          <w:p>
                            <w:pPr>
                              <w:pStyle w:val="TextBody"/>
                              <w:bidi w:val="0"/>
                              <w:spacing w:before="0" w:after="0"/>
                              <w:ind w:left="0" w:right="260" w:hanging="0"/>
                              <w:jc w:val="both"/>
                              <w:rPr>
                                <w:rFonts w:ascii="Arial" w:hAnsi="Arial"/>
                                <w:b w:val="false"/>
                                <w:i w:val="false"/>
                                <w:caps w:val="false"/>
                                <w:smallCaps w:val="false"/>
                                <w:sz w:val="20"/>
                              </w:rPr>
                            </w:pPr>
                            <w:r>
                              <w:rPr>
                                <w:rFonts w:ascii="Arial" w:hAnsi="Arial"/>
                                <w:b w:val="false"/>
                                <w:i w:val="false"/>
                                <w:caps w:val="false"/>
                                <w:smallCaps w:val="false"/>
                                <w:sz w:val="20"/>
                              </w:rPr>
                              <w:t>The approach contained in our senior leaders compensation strategy looks both to the short and long terms. Our leaders are incentivized by meeting immediate and individual results and also by the value generated by the company in the long term. Many of our leaders have chosen to receive company shares as part of their package, demonstrating their commitment to the organization’s future successes and challenges.</w:t>
                            </w:r>
                          </w:p>
                          <w:p>
                            <w:pPr>
                              <w:pStyle w:val="TextBody"/>
                              <w:bidi w:val="0"/>
                              <w:spacing w:before="0" w:after="0"/>
                              <w:ind w:left="0" w:right="260" w:hanging="0"/>
                              <w:jc w:val="both"/>
                              <w:rPr>
                                <w:caps w:val="false"/>
                                <w:smallCaps w:val="false"/>
                              </w:rPr>
                            </w:pPr>
                            <w:r>
                              <w:rPr>
                                <w:caps w:val="false"/>
                                <w:smallCaps w:val="false"/>
                              </w:rPr>
                              <w:t> </w:t>
                            </w:r>
                          </w:p>
                          <w:p>
                            <w:pPr>
                              <w:pStyle w:val="TextBody"/>
                              <w:bidi w:val="0"/>
                              <w:spacing w:before="0" w:after="0"/>
                              <w:ind w:left="0" w:right="260" w:hanging="0"/>
                              <w:jc w:val="both"/>
                              <w:rPr>
                                <w:rFonts w:ascii="Arial" w:hAnsi="Arial"/>
                                <w:b w:val="false"/>
                                <w:i w:val="false"/>
                                <w:caps w:val="false"/>
                                <w:smallCaps w:val="false"/>
                                <w:sz w:val="20"/>
                              </w:rPr>
                            </w:pPr>
                            <w:r>
                              <w:rPr>
                                <w:rFonts w:ascii="Arial" w:hAnsi="Arial"/>
                                <w:b w:val="false"/>
                                <w:i w:val="false"/>
                                <w:caps w:val="false"/>
                                <w:smallCaps w:val="false"/>
                                <w:sz w:val="20"/>
                              </w:rPr>
                              <w:t>The broad guidelines contained in the executive segment compensation strategy are defined by the Compensation and Nominations Committee of Credicorp’s board. The Committee also evaluates and recommends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9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260" w:hanging="0"/>
                        <w:jc w:val="both"/>
                        <w:rPr>
                          <w:rFonts w:ascii="Arial" w:hAnsi="Arial"/>
                          <w:b w:val="false"/>
                          <w:i w:val="false"/>
                          <w:caps w:val="false"/>
                          <w:smallCaps w:val="false"/>
                          <w:sz w:val="20"/>
                        </w:rPr>
                      </w:pPr>
                      <w:r>
                        <w:rPr>
                          <w:rFonts w:ascii="Arial" w:hAnsi="Arial"/>
                          <w:b w:val="false"/>
                          <w:i w:val="false"/>
                          <w:caps w:val="false"/>
                          <w:smallCaps w:val="false"/>
                          <w:sz w:val="20"/>
                        </w:rPr>
                        <w:t>In December 2022, we officially launched our corporate Employer Brand initiative:</w:t>
                      </w:r>
                    </w:p>
                    <w:p>
                      <w:pPr>
                        <w:pStyle w:val="TextBody"/>
                        <w:bidi w:val="0"/>
                        <w:spacing w:before="0" w:after="0"/>
                        <w:ind w:left="0" w:right="260" w:hanging="0"/>
                        <w:jc w:val="both"/>
                        <w:rPr>
                          <w:caps w:val="false"/>
                          <w:smallCaps w:val="false"/>
                        </w:rPr>
                      </w:pPr>
                      <w:r>
                        <w:rPr>
                          <w:caps w:val="false"/>
                          <w:smallCaps w:val="false"/>
                        </w:rPr>
                        <w:t> </w:t>
                      </w:r>
                    </w:p>
                    <w:p>
                      <w:pPr>
                        <w:pStyle w:val="TextBody"/>
                        <w:bidi w:val="0"/>
                        <w:spacing w:before="0" w:after="0"/>
                        <w:jc w:val="center"/>
                        <w:rPr>
                          <w:rFonts w:ascii="Arial" w:hAnsi="Arial"/>
                          <w:b/>
                          <w:i w:val="false"/>
                          <w:caps w:val="false"/>
                          <w:smallCaps w:val="false"/>
                          <w:color w:val="FE5000"/>
                          <w:sz w:val="24"/>
                        </w:rPr>
                      </w:pPr>
                      <w:r>
                        <w:rPr>
                          <w:rFonts w:ascii="Arial" w:hAnsi="Arial"/>
                          <w:b/>
                          <w:i w:val="false"/>
                          <w:caps w:val="false"/>
                          <w:smallCaps w:val="false"/>
                          <w:color w:val="FE5000"/>
                          <w:sz w:val="24"/>
                        </w:rPr>
                        <w:t>Pillars of the Credicorp employer brand</w:t>
                      </w:r>
                    </w:p>
                    <w:p>
                      <w:pPr>
                        <w:pStyle w:val="TextBody"/>
                        <w:bidi w:val="0"/>
                        <w:spacing w:before="0" w:after="0"/>
                        <w:ind w:left="1360" w:right="0" w:hanging="0"/>
                        <w:jc w:val="left"/>
                        <w:rPr>
                          <w:caps w:val="false"/>
                          <w:smallCaps w:val="false"/>
                          <w:color w:val="FE5000"/>
                        </w:rPr>
                      </w:pPr>
                      <w:r>
                        <w:rPr>
                          <w:caps w:val="false"/>
                          <w:smallCaps w:val="false"/>
                          <w:color w:val="FE5000"/>
                        </w:rPr>
                        <w:t> </w:t>
                      </w:r>
                    </w:p>
                    <w:tbl>
                      <w:tblPr>
                        <w:tblW w:w="4990" w:type="dxa"/>
                        <w:jc w:val="left"/>
                        <w:tblInd w:w="0" w:type="dxa"/>
                        <w:tblLayout w:type="fixed"/>
                        <w:tblCellMar>
                          <w:top w:w="0" w:type="dxa"/>
                          <w:left w:w="0" w:type="dxa"/>
                          <w:bottom w:w="0" w:type="dxa"/>
                          <w:right w:w="0" w:type="dxa"/>
                        </w:tblCellMar>
                      </w:tblPr>
                      <w:tblGrid>
                        <w:gridCol w:w="240"/>
                        <w:gridCol w:w="2195"/>
                        <w:gridCol w:w="60"/>
                        <w:gridCol w:w="225"/>
                        <w:gridCol w:w="2195"/>
                        <w:gridCol w:w="75"/>
                      </w:tblGrid>
                      <w:tr>
                        <w:trPr/>
                        <w:tc>
                          <w:tcPr>
                            <w:tcW w:w="240" w:type="dxa"/>
                            <w:tcBorders/>
                            <w:vAlign w:val="center"/>
                          </w:tcPr>
                          <w:p>
                            <w:pPr>
                              <w:pStyle w:val="TableContents"/>
                              <w:bidi w:val="0"/>
                              <w:spacing w:before="0" w:after="283"/>
                              <w:jc w:val="left"/>
                              <w:rPr/>
                            </w:pPr>
                            <w:r>
                              <w:rPr/>
                              <w:drawing>
                                <wp:inline distT="0" distB="0" distL="0" distR="0">
                                  <wp:extent cx="142875" cy="104775"/>
                                  <wp:effectExtent l="0" t="0" r="0" b="0"/>
                                  <wp:docPr id="180"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82" descr=""/>
                                          <pic:cNvPicPr>
                                            <a:picLocks noChangeAspect="1" noChangeArrowheads="1"/>
                                          </pic:cNvPicPr>
                                        </pic:nvPicPr>
                                        <pic:blipFill>
                                          <a:blip r:embed="rId131"/>
                                          <a:stretch>
                                            <a:fillRect/>
                                          </a:stretch>
                                        </pic:blipFill>
                                        <pic:spPr bwMode="auto">
                                          <a:xfrm>
                                            <a:off x="0" y="0"/>
                                            <a:ext cx="142875" cy="104775"/>
                                          </a:xfrm>
                                          <a:prstGeom prst="rect">
                                            <a:avLst/>
                                          </a:prstGeom>
                                        </pic:spPr>
                                      </pic:pic>
                                    </a:graphicData>
                                  </a:graphic>
                                </wp:inline>
                              </w:drawing>
                            </w:r>
                          </w:p>
                        </w:tc>
                        <w:tc>
                          <w:tcPr>
                            <w:tcW w:w="2195" w:type="dxa"/>
                            <w:tcBorders>
                              <w:bottom w:val="single" w:sz="8" w:space="0" w:color="FE4F00"/>
                            </w:tcBorders>
                            <w:tcMar>
                              <w:bottom w:w="28" w:type="dxa"/>
                            </w:tcMar>
                            <w:vAlign w:val="center"/>
                          </w:tcPr>
                          <w:p>
                            <w:pPr>
                              <w:pStyle w:val="TableContents"/>
                              <w:bidi w:val="0"/>
                              <w:spacing w:before="0" w:after="283"/>
                              <w:jc w:val="left"/>
                              <w:rPr>
                                <w:rFonts w:ascii="Arial" w:hAnsi="Arial"/>
                                <w:b/>
                                <w:i w:val="false"/>
                                <w:caps w:val="false"/>
                                <w:smallCaps w:val="false"/>
                                <w:sz w:val="18"/>
                              </w:rPr>
                            </w:pPr>
                            <w:r>
                              <w:rPr>
                                <w:rFonts w:ascii="Arial" w:hAnsi="Arial"/>
                                <w:b/>
                                <w:i w:val="false"/>
                                <w:caps w:val="false"/>
                                <w:smallCaps w:val="false"/>
                                <w:sz w:val="18"/>
                              </w:rPr>
                              <w:t>Be your own best version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5" w:type="dxa"/>
                            <w:tcBorders/>
                            <w:vAlign w:val="center"/>
                          </w:tcPr>
                          <w:p>
                            <w:pPr>
                              <w:pStyle w:val="TableContents"/>
                              <w:bidi w:val="0"/>
                              <w:spacing w:before="0" w:after="283"/>
                              <w:jc w:val="left"/>
                              <w:rPr/>
                            </w:pPr>
                            <w:r>
                              <w:rPr/>
                              <w:drawing>
                                <wp:inline distT="0" distB="0" distL="0" distR="0">
                                  <wp:extent cx="142875" cy="104775"/>
                                  <wp:effectExtent l="0" t="0" r="0" b="0"/>
                                  <wp:docPr id="181"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83" descr=""/>
                                          <pic:cNvPicPr>
                                            <a:picLocks noChangeAspect="1" noChangeArrowheads="1"/>
                                          </pic:cNvPicPr>
                                        </pic:nvPicPr>
                                        <pic:blipFill>
                                          <a:blip r:embed="rId132"/>
                                          <a:stretch>
                                            <a:fillRect/>
                                          </a:stretch>
                                        </pic:blipFill>
                                        <pic:spPr bwMode="auto">
                                          <a:xfrm>
                                            <a:off x="0" y="0"/>
                                            <a:ext cx="142875" cy="104775"/>
                                          </a:xfrm>
                                          <a:prstGeom prst="rect">
                                            <a:avLst/>
                                          </a:prstGeom>
                                        </pic:spPr>
                                      </pic:pic>
                                    </a:graphicData>
                                  </a:graphic>
                                </wp:inline>
                              </w:drawing>
                            </w:r>
                          </w:p>
                        </w:tc>
                        <w:tc>
                          <w:tcPr>
                            <w:tcW w:w="2195" w:type="dxa"/>
                            <w:tcBorders>
                              <w:bottom w:val="single" w:sz="8" w:space="0" w:color="FE4F00"/>
                            </w:tcBorders>
                            <w:tcMar>
                              <w:bottom w:w="28" w:type="dxa"/>
                            </w:tcMar>
                            <w:vAlign w:val="center"/>
                          </w:tcPr>
                          <w:p>
                            <w:pPr>
                              <w:pStyle w:val="TableContents"/>
                              <w:bidi w:val="0"/>
                              <w:spacing w:before="0" w:after="283"/>
                              <w:jc w:val="left"/>
                              <w:rPr>
                                <w:rFonts w:ascii="Arial" w:hAnsi="Arial"/>
                                <w:b/>
                                <w:sz w:val="18"/>
                              </w:rPr>
                            </w:pPr>
                            <w:r>
                              <w:rPr>
                                <w:rFonts w:ascii="Arial" w:hAnsi="Arial"/>
                                <w:b/>
                                <w:sz w:val="18"/>
                              </w:rPr>
                              <w:t>A positive impact, always</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3310" w:type="dxa"/>
                        <w:jc w:val="left"/>
                        <w:tblInd w:w="0" w:type="dxa"/>
                        <w:tblLayout w:type="fixed"/>
                        <w:tblCellMar>
                          <w:top w:w="0" w:type="dxa"/>
                          <w:left w:w="0" w:type="dxa"/>
                          <w:bottom w:w="0" w:type="dxa"/>
                          <w:right w:w="0" w:type="dxa"/>
                        </w:tblCellMar>
                      </w:tblPr>
                      <w:tblGrid>
                        <w:gridCol w:w="240"/>
                        <w:gridCol w:w="995"/>
                        <w:gridCol w:w="60"/>
                        <w:gridCol w:w="225"/>
                        <w:gridCol w:w="1715"/>
                        <w:gridCol w:w="75"/>
                      </w:tblGrid>
                      <w:tr>
                        <w:trPr/>
                        <w:tc>
                          <w:tcPr>
                            <w:tcW w:w="240" w:type="dxa"/>
                            <w:tcBorders/>
                            <w:vAlign w:val="center"/>
                          </w:tcPr>
                          <w:p>
                            <w:pPr>
                              <w:pStyle w:val="TableContents"/>
                              <w:bidi w:val="0"/>
                              <w:spacing w:before="0" w:after="283"/>
                              <w:jc w:val="left"/>
                              <w:rPr/>
                            </w:pPr>
                            <w:r>
                              <w:rPr/>
                              <w:drawing>
                                <wp:inline distT="0" distB="0" distL="0" distR="0">
                                  <wp:extent cx="142875" cy="104775"/>
                                  <wp:effectExtent l="0" t="0" r="0" b="0"/>
                                  <wp:docPr id="182"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84" descr=""/>
                                          <pic:cNvPicPr>
                                            <a:picLocks noChangeAspect="1" noChangeArrowheads="1"/>
                                          </pic:cNvPicPr>
                                        </pic:nvPicPr>
                                        <pic:blipFill>
                                          <a:blip r:embed="rId133"/>
                                          <a:stretch>
                                            <a:fillRect/>
                                          </a:stretch>
                                        </pic:blipFill>
                                        <pic:spPr bwMode="auto">
                                          <a:xfrm>
                                            <a:off x="0" y="0"/>
                                            <a:ext cx="142875" cy="104775"/>
                                          </a:xfrm>
                                          <a:prstGeom prst="rect">
                                            <a:avLst/>
                                          </a:prstGeom>
                                        </pic:spPr>
                                      </pic:pic>
                                    </a:graphicData>
                                  </a:graphic>
                                </wp:inline>
                              </w:drawing>
                            </w:r>
                          </w:p>
                        </w:tc>
                        <w:tc>
                          <w:tcPr>
                            <w:tcW w:w="995" w:type="dxa"/>
                            <w:tcBorders>
                              <w:bottom w:val="single" w:sz="8" w:space="0" w:color="FE4F00"/>
                            </w:tcBorders>
                            <w:tcMar>
                              <w:bottom w:w="28" w:type="dxa"/>
                            </w:tcMar>
                            <w:vAlign w:val="center"/>
                          </w:tcPr>
                          <w:p>
                            <w:pPr>
                              <w:pStyle w:val="TableContents"/>
                              <w:bidi w:val="0"/>
                              <w:spacing w:before="0" w:after="283"/>
                              <w:jc w:val="left"/>
                              <w:rPr>
                                <w:rFonts w:ascii="Arial" w:hAnsi="Arial"/>
                                <w:b/>
                                <w:sz w:val="18"/>
                              </w:rPr>
                            </w:pPr>
                            <w:r>
                              <w:rPr>
                                <w:rFonts w:ascii="Arial" w:hAnsi="Arial"/>
                                <w:b/>
                                <w:sz w:val="18"/>
                              </w:rPr>
                              <w:t>People first</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drawing>
                                <wp:inline distT="0" distB="0" distL="0" distR="0">
                                  <wp:extent cx="142875" cy="104775"/>
                                  <wp:effectExtent l="0" t="0" r="0" b="0"/>
                                  <wp:docPr id="183"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85" descr=""/>
                                          <pic:cNvPicPr>
                                            <a:picLocks noChangeAspect="1" noChangeArrowheads="1"/>
                                          </pic:cNvPicPr>
                                        </pic:nvPicPr>
                                        <pic:blipFill>
                                          <a:blip r:embed="rId134"/>
                                          <a:stretch>
                                            <a:fillRect/>
                                          </a:stretch>
                                        </pic:blipFill>
                                        <pic:spPr bwMode="auto">
                                          <a:xfrm>
                                            <a:off x="0" y="0"/>
                                            <a:ext cx="142875" cy="104775"/>
                                          </a:xfrm>
                                          <a:prstGeom prst="rect">
                                            <a:avLst/>
                                          </a:prstGeom>
                                        </pic:spPr>
                                      </pic:pic>
                                    </a:graphicData>
                                  </a:graphic>
                                </wp:inline>
                              </w:drawing>
                            </w:r>
                          </w:p>
                        </w:tc>
                        <w:tc>
                          <w:tcPr>
                            <w:tcW w:w="1715" w:type="dxa"/>
                            <w:tcBorders>
                              <w:bottom w:val="single" w:sz="8" w:space="0" w:color="FE4F00"/>
                            </w:tcBorders>
                            <w:tcMar>
                              <w:bottom w:w="28" w:type="dxa"/>
                            </w:tcMar>
                            <w:vAlign w:val="center"/>
                          </w:tcPr>
                          <w:p>
                            <w:pPr>
                              <w:pStyle w:val="TableContents"/>
                              <w:bidi w:val="0"/>
                              <w:spacing w:before="0" w:after="283"/>
                              <w:jc w:val="left"/>
                              <w:rPr>
                                <w:rFonts w:ascii="Arial" w:hAnsi="Arial"/>
                                <w:b/>
                                <w:sz w:val="18"/>
                              </w:rPr>
                            </w:pPr>
                            <w:r>
                              <w:rPr>
                                <w:rFonts w:ascii="Arial" w:hAnsi="Arial"/>
                                <w:b/>
                                <w:sz w:val="18"/>
                              </w:rPr>
                              <w:t>An innovator’s DNA</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260" w:hanging="0"/>
                        <w:jc w:val="both"/>
                        <w:rPr>
                          <w:rFonts w:ascii="Arial" w:hAnsi="Arial"/>
                          <w:b w:val="false"/>
                          <w:i w:val="false"/>
                          <w:caps w:val="false"/>
                          <w:smallCaps w:val="false"/>
                          <w:sz w:val="20"/>
                        </w:rPr>
                      </w:pPr>
                      <w:r>
                        <w:rPr>
                          <w:rFonts w:ascii="Arial" w:hAnsi="Arial"/>
                          <w:b w:val="false"/>
                          <w:i w:val="false"/>
                          <w:caps w:val="false"/>
                          <w:smallCaps w:val="false"/>
                          <w:sz w:val="20"/>
                        </w:rPr>
                        <w:t>We aspire to position ourselves by 2026 among the five leading employer brands in the region, especially in Peru, Chile, and Colombia. The central focus of this initiative is to attract diverse profiles and look beyond the finance industry.</w:t>
                      </w:r>
                    </w:p>
                    <w:p>
                      <w:pPr>
                        <w:pStyle w:val="TextBody"/>
                        <w:bidi w:val="0"/>
                        <w:spacing w:before="0" w:after="0"/>
                        <w:ind w:left="0" w:right="260" w:hanging="0"/>
                        <w:jc w:val="both"/>
                        <w:rPr>
                          <w:caps w:val="false"/>
                          <w:smallCaps w:val="false"/>
                        </w:rPr>
                      </w:pPr>
                      <w:r>
                        <w:rPr>
                          <w:caps w:val="false"/>
                          <w:smallCaps w:val="false"/>
                        </w:rPr>
                        <w:t> </w:t>
                      </w:r>
                    </w:p>
                    <w:p>
                      <w:pPr>
                        <w:pStyle w:val="TextBody"/>
                        <w:bidi w:val="0"/>
                        <w:spacing w:before="0" w:after="0"/>
                        <w:jc w:val="center"/>
                        <w:rPr>
                          <w:rFonts w:ascii="Arial" w:hAnsi="Arial"/>
                          <w:b/>
                          <w:i w:val="false"/>
                          <w:caps w:val="false"/>
                          <w:smallCaps w:val="false"/>
                          <w:color w:val="FE5000"/>
                          <w:sz w:val="36"/>
                        </w:rPr>
                      </w:pPr>
                      <w:r>
                        <w:rPr>
                          <w:rFonts w:ascii="Arial" w:hAnsi="Arial"/>
                          <w:b/>
                          <w:i w:val="false"/>
                          <w:caps w:val="false"/>
                          <w:smallCaps w:val="false"/>
                          <w:color w:val="FE5000"/>
                          <w:sz w:val="36"/>
                        </w:rPr>
                        <w:t>The best place for the best</w:t>
                      </w:r>
                    </w:p>
                    <w:p>
                      <w:pPr>
                        <w:pStyle w:val="TextBody"/>
                        <w:bidi w:val="0"/>
                        <w:spacing w:before="0" w:after="0"/>
                        <w:ind w:left="1340" w:right="0" w:hanging="0"/>
                        <w:jc w:val="left"/>
                        <w:rPr>
                          <w:caps w:val="false"/>
                          <w:smallCaps w:val="false"/>
                          <w:color w:val="FE5000"/>
                        </w:rPr>
                      </w:pPr>
                      <w:r>
                        <w:rPr>
                          <w:caps w:val="false"/>
                          <w:smallCaps w:val="false"/>
                          <w:color w:val="FE5000"/>
                        </w:rPr>
                        <w:t> </w:t>
                      </w:r>
                    </w:p>
                    <w:p>
                      <w:pPr>
                        <w:pStyle w:val="TextBody"/>
                        <w:bidi w:val="0"/>
                        <w:spacing w:before="0" w:after="0"/>
                        <w:ind w:left="0" w:right="260" w:hanging="0"/>
                        <w:jc w:val="both"/>
                        <w:rPr>
                          <w:rFonts w:ascii="Arial" w:hAnsi="Arial"/>
                          <w:b w:val="false"/>
                          <w:i w:val="false"/>
                          <w:caps w:val="false"/>
                          <w:smallCaps w:val="false"/>
                          <w:sz w:val="20"/>
                        </w:rPr>
                      </w:pPr>
                      <w:r>
                        <w:rPr>
                          <w:rFonts w:ascii="Arial" w:hAnsi="Arial"/>
                          <w:b w:val="false"/>
                          <w:i w:val="false"/>
                          <w:caps w:val="false"/>
                          <w:smallCaps w:val="false"/>
                          <w:sz w:val="20"/>
                        </w:rPr>
                        <w:t>Our companies can leverage the Credicorp brand as an umbrella brand to strengthen their value proposition, highlighting the Group’s cohesion and the mobility available within it.</w:t>
                      </w:r>
                    </w:p>
                    <w:p>
                      <w:pPr>
                        <w:pStyle w:val="TextBody"/>
                        <w:bidi w:val="0"/>
                        <w:spacing w:before="0" w:after="0"/>
                        <w:ind w:left="0" w:right="26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2.2.1.2. Total performance and reward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260" w:hanging="0"/>
                        <w:jc w:val="both"/>
                        <w:rPr>
                          <w:rFonts w:ascii="Arial" w:hAnsi="Arial"/>
                          <w:b w:val="false"/>
                          <w:i w:val="false"/>
                          <w:caps w:val="false"/>
                          <w:smallCaps w:val="false"/>
                          <w:sz w:val="20"/>
                        </w:rPr>
                      </w:pPr>
                      <w:r>
                        <w:rPr>
                          <w:rFonts w:ascii="Arial" w:hAnsi="Arial"/>
                          <w:b w:val="false"/>
                          <w:i w:val="false"/>
                          <w:caps w:val="false"/>
                          <w:smallCaps w:val="false"/>
                          <w:sz w:val="20"/>
                        </w:rPr>
                        <w:t>Under this pillar, we aim to align our management of the executive segment with the interests of the organization. We have put in place clear indicators that ensure performance-based compensation.</w:t>
                      </w:r>
                    </w:p>
                    <w:p>
                      <w:pPr>
                        <w:pStyle w:val="TextBody"/>
                        <w:bidi w:val="0"/>
                        <w:spacing w:before="0" w:after="0"/>
                        <w:ind w:left="0" w:right="260" w:hanging="0"/>
                        <w:jc w:val="both"/>
                        <w:rPr>
                          <w:caps w:val="false"/>
                          <w:smallCaps w:val="false"/>
                        </w:rPr>
                      </w:pPr>
                      <w:r>
                        <w:rPr>
                          <w:caps w:val="false"/>
                          <w:smallCaps w:val="false"/>
                        </w:rPr>
                        <w:t> </w:t>
                      </w:r>
                    </w:p>
                    <w:p>
                      <w:pPr>
                        <w:pStyle w:val="TextBody"/>
                        <w:bidi w:val="0"/>
                        <w:spacing w:before="0" w:after="0"/>
                        <w:ind w:left="0" w:right="260" w:hanging="0"/>
                        <w:jc w:val="both"/>
                        <w:rPr>
                          <w:rFonts w:ascii="Arial" w:hAnsi="Arial"/>
                          <w:b w:val="false"/>
                          <w:i w:val="false"/>
                          <w:caps w:val="false"/>
                          <w:smallCaps w:val="false"/>
                          <w:sz w:val="20"/>
                        </w:rPr>
                      </w:pPr>
                      <w:r>
                        <w:rPr>
                          <w:rFonts w:ascii="Arial" w:hAnsi="Arial"/>
                          <w:b w:val="false"/>
                          <w:i w:val="false"/>
                          <w:caps w:val="false"/>
                          <w:smallCaps w:val="false"/>
                          <w:sz w:val="20"/>
                        </w:rPr>
                        <w:t>The approach contained in our senior leaders compensation strategy looks both to the short and long terms. Our leaders are incentivized by meeting immediate and individual results and also by the value generated by the company in the long term. Many of our leaders have chosen to receive company shares as part of their package, demonstrating their commitment to the organization’s future successes and challenges.</w:t>
                      </w:r>
                    </w:p>
                    <w:p>
                      <w:pPr>
                        <w:pStyle w:val="TextBody"/>
                        <w:bidi w:val="0"/>
                        <w:spacing w:before="0" w:after="0"/>
                        <w:ind w:left="0" w:right="260" w:hanging="0"/>
                        <w:jc w:val="both"/>
                        <w:rPr>
                          <w:caps w:val="false"/>
                          <w:smallCaps w:val="false"/>
                        </w:rPr>
                      </w:pPr>
                      <w:r>
                        <w:rPr>
                          <w:caps w:val="false"/>
                          <w:smallCaps w:val="false"/>
                        </w:rPr>
                        <w:t> </w:t>
                      </w:r>
                    </w:p>
                    <w:p>
                      <w:pPr>
                        <w:pStyle w:val="TextBody"/>
                        <w:bidi w:val="0"/>
                        <w:spacing w:before="0" w:after="0"/>
                        <w:ind w:left="0" w:right="260" w:hanging="0"/>
                        <w:jc w:val="both"/>
                        <w:rPr>
                          <w:rFonts w:ascii="Arial" w:hAnsi="Arial"/>
                          <w:b w:val="false"/>
                          <w:i w:val="false"/>
                          <w:caps w:val="false"/>
                          <w:smallCaps w:val="false"/>
                          <w:sz w:val="20"/>
                        </w:rPr>
                      </w:pPr>
                      <w:r>
                        <w:rPr>
                          <w:rFonts w:ascii="Arial" w:hAnsi="Arial"/>
                          <w:b w:val="false"/>
                          <w:i w:val="false"/>
                          <w:caps w:val="false"/>
                          <w:smallCaps w:val="false"/>
                          <w:sz w:val="20"/>
                        </w:rPr>
                        <w:t>The broad guidelines contained in the executive segment compensation strategy are defined by the Compensation and Nominations Committee of Credicorp’s board. The Committee also evaluates and recommends</w:t>
                      </w:r>
                    </w:p>
                  </w:txbxContent>
                </v:textbox>
                <w10:wrap type="topAndBottom"/>
              </v:rect>
            </w:pict>
          </mc:Fallback>
        </mc:AlternateContent>
      </w:r>
      <w:r>
        <mc:AlternateContent>
          <mc:Choice Requires="wps">
            <w:drawing>
              <wp:anchor behindDoc="0" distT="0" distB="0" distL="0" distR="0" simplePos="0" locked="0" layoutInCell="1" allowOverlap="1" relativeHeight="271">
                <wp:simplePos x="0" y="0"/>
                <wp:positionH relativeFrom="column">
                  <wp:align>right</wp:align>
                </wp:positionH>
                <wp:positionV relativeFrom="line">
                  <wp:posOffset>635</wp:posOffset>
                </wp:positionV>
                <wp:extent cx="3110230" cy="6484620"/>
                <wp:effectExtent l="0" t="0" r="0" b="0"/>
                <wp:wrapTopAndBottom/>
                <wp:docPr id="184" name="Frame51"/>
                <a:graphic xmlns:a="http://schemas.openxmlformats.org/drawingml/2006/main">
                  <a:graphicData uri="http://schemas.microsoft.com/office/word/2010/wordprocessingShape">
                    <wps:wsp>
                      <wps:cNvSpPr txBox="1"/>
                      <wps:spPr>
                        <a:xfrm>
                          <a:off x="0" y="0"/>
                          <a:ext cx="3110230" cy="6484620"/>
                        </a:xfrm>
                        <a:prstGeom prst="rect"/>
                        <a:solidFill>
                          <a:srgbClr val="FFFFFF"/>
                        </a:solidFill>
                      </wps:spPr>
                      <wps:txbx>
                        <w:txbxContent>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nominations and in the last two years has been focusing on performance and succession planning.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 are aiming for compensation and performance criteria to be standard across the entire organization to ensure objective and homogeneous assessment that guarantees equity. These criteria stem from decision-making taken by consensus, a reflection of the Group’s culture and how we do things at Credicorp.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Further details on the compensation model are contained in Section 4.2 Compensation Model for the Board and Executive Management of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2.2.1.3. Development and leadership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 have created an upskilling and reskilling model that drives each leader to take responsibility for their own development. The Credicorp Learning Community is a space for generating knowledge and sharing it among leaders of the Group's companies, supporting them in developing the technological-digital and leadership capabilities that our business objectives and purpose demand. The program operates through what we call Learning Seasons, the first of which (on data and analytics) saw 97% of leaders attain the two highest knowledge grades. The next season, on cybersecurity, was launched in early November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2.2.1.4. Best Top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Our proactive approach to developing future leaders also includes identifying them from among our current employees and tracking how we tap this exceptional talent and potential.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Each year, in conjunction with the heads of each area, our Credicorp Corporate Talent Management team undertakes a structured process to identify and assess young talent within the organization. This crosscutting process includes all the Group’s companies and draws on a methodology and specific profiles aligned with our strategy. We manage this group in an</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10.6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nominations and in the last two years has been focusing on performance and succession planning.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 are aiming for compensation and performance criteria to be standard across the entire organization to ensure objective and homogeneous assessment that guarantees equity. These criteria stem from decision-making taken by consensus, a reflection of the Group’s culture and how we do things at Credicorp.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Further details on the compensation model are contained in Section 4.2 Compensation Model for the Board and Executive Management of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2.2.1.3. Development and leadership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 have created an upskilling and reskilling model that drives each leader to take responsibility for their own development. The Credicorp Learning Community is a space for generating knowledge and sharing it among leaders of the Group's companies, supporting them in developing the technological-digital and leadership capabilities that our business objectives and purpose demand. The program operates through what we call Learning Seasons, the first of which (on data and analytics) saw 97% of leaders attain the two highest knowledge grades. The next season, on cybersecurity, was launched in early November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2.2.1.4. Best Top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Our proactive approach to developing future leaders also includes identifying them from among our current employees and tracking how we tap this exceptional talent and potential.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Each year, in conjunction with the heads of each area, our Credicorp Corporate Talent Management team undertakes a structured process to identify and assess young talent within the organization. This crosscutting process includes all the Group’s companies and draws on a methodology and specific profiles aligned with our strategy. We manage this group in an</w:t>
                      </w:r>
                    </w:p>
                  </w:txbxContent>
                </v:textbox>
                <w10:wrap type="topAndBottom"/>
              </v:rect>
            </w:pict>
          </mc:Fallback>
        </mc:AlternateConten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27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olumn">
                  <wp:align>left</wp:align>
                </wp:positionH>
                <wp:positionV relativeFrom="line">
                  <wp:posOffset>635</wp:posOffset>
                </wp:positionV>
                <wp:extent cx="3110230" cy="6459855"/>
                <wp:effectExtent l="0" t="0" r="0" b="0"/>
                <wp:wrapTopAndBottom/>
                <wp:docPr id="185" name="Frame52"/>
                <a:graphic xmlns:a="http://schemas.openxmlformats.org/drawingml/2006/main">
                  <a:graphicData uri="http://schemas.microsoft.com/office/word/2010/wordprocessingShape">
                    <wps:wsp>
                      <wps:cNvSpPr txBox="1"/>
                      <wps:spPr>
                        <a:xfrm>
                          <a:off x="0" y="0"/>
                          <a:ext cx="3110230" cy="6459855"/>
                        </a:xfrm>
                        <a:prstGeom prst="rect"/>
                        <a:solidFill>
                          <a:srgbClr val="FFFFFF"/>
                        </a:solidFill>
                      </wps:spPr>
                      <wps:txbx>
                        <w:txbxContent>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integrated manner, supporting its development and promoting its continuous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Through this process, we discover the capabilities, profile, and potential of these individuals so we can place them in critical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Arial" w:hAnsi="Arial"/>
                                <w:b/>
                                <w:i w:val="false"/>
                                <w:caps w:val="false"/>
                                <w:smallCaps w:val="false"/>
                                <w:color w:val="FE5000"/>
                                <w:sz w:val="36"/>
                              </w:rPr>
                            </w:pPr>
                            <w:r>
                              <w:rPr>
                                <w:rFonts w:ascii="Arial" w:hAnsi="Arial"/>
                                <w:b/>
                                <w:i w:val="false"/>
                                <w:caps w:val="false"/>
                                <w:smallCaps w:val="false"/>
                                <w:color w:val="FE5000"/>
                                <w:sz w:val="36"/>
                              </w:rPr>
                              <w:t>Place the right people in the right place for the right things to happen.</w:t>
                            </w:r>
                          </w:p>
                          <w:p>
                            <w:pPr>
                              <w:pStyle w:val="TextBody"/>
                              <w:bidi w:val="0"/>
                              <w:spacing w:before="0" w:after="0"/>
                              <w:ind w:left="1320" w:right="120" w:hanging="1200"/>
                              <w:jc w:val="left"/>
                              <w:rPr>
                                <w:caps w:val="false"/>
                                <w:smallCaps w:val="false"/>
                                <w:color w:val="FE5000"/>
                              </w:rPr>
                            </w:pPr>
                            <w:r>
                              <w:rPr>
                                <w:caps w:val="false"/>
                                <w:smallCaps w:val="false"/>
                                <w:color w:val="FE5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Our succession strategy provides another means for having strong and empowered leaders who can guide the organization to continued success. It covers two time horizons (three and five years) which allow us to deliver operational continuity and stability in the business as we guide the organization toward continuous success. We are currently working to extend its reach so that we can maintain a steady flow of leaders able to take on high-impact roles regardless of changes in the business landscape.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48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2.2.2. Employee management and development: The Human Management and Development Division</w:t>
                            </w:r>
                          </w:p>
                          <w:p>
                            <w:pPr>
                              <w:pStyle w:val="TextBody"/>
                              <w:bidi w:val="0"/>
                              <w:spacing w:before="0" w:after="0"/>
                              <w:ind w:left="0" w:right="48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parallel to the strategy developed for Credicorp’s executive segment, we manage the comprehensive development of all our employees using our Human Management and Development Division’s four strategic pillars: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810000" cy="847725"/>
                                  <wp:effectExtent l="0" t="0" r="0" b="0"/>
                                  <wp:docPr id="1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86" descr=""/>
                                          <pic:cNvPicPr>
                                            <a:picLocks noChangeAspect="1" noChangeArrowheads="1"/>
                                          </pic:cNvPicPr>
                                        </pic:nvPicPr>
                                        <pic:blipFill>
                                          <a:blip r:embed="rId135"/>
                                          <a:stretch>
                                            <a:fillRect/>
                                          </a:stretch>
                                        </pic:blipFill>
                                        <pic:spPr bwMode="auto">
                                          <a:xfrm>
                                            <a:off x="0" y="0"/>
                                            <a:ext cx="3810000" cy="847725"/>
                                          </a:xfrm>
                                          <a:prstGeom prst="rect">
                                            <a:avLst/>
                                          </a:prstGeom>
                                        </pic:spPr>
                                      </pic:pic>
                                    </a:graphicData>
                                  </a:graphic>
                                </wp:inline>
                              </w:drawing>
                            </w:r>
                            <w:r>
                              <w:rPr>
                                <w:caps w:val="false"/>
                                <w:smallCaps w:val="false"/>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0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integrated manner, supporting its development and promoting its continuous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Through this process, we discover the capabilities, profile, and potential of these individuals so we can place them in critical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Arial" w:hAnsi="Arial"/>
                          <w:b/>
                          <w:i w:val="false"/>
                          <w:caps w:val="false"/>
                          <w:smallCaps w:val="false"/>
                          <w:color w:val="FE5000"/>
                          <w:sz w:val="36"/>
                        </w:rPr>
                      </w:pPr>
                      <w:r>
                        <w:rPr>
                          <w:rFonts w:ascii="Arial" w:hAnsi="Arial"/>
                          <w:b/>
                          <w:i w:val="false"/>
                          <w:caps w:val="false"/>
                          <w:smallCaps w:val="false"/>
                          <w:color w:val="FE5000"/>
                          <w:sz w:val="36"/>
                        </w:rPr>
                        <w:t>Place the right people in the right place for the right things to happen.</w:t>
                      </w:r>
                    </w:p>
                    <w:p>
                      <w:pPr>
                        <w:pStyle w:val="TextBody"/>
                        <w:bidi w:val="0"/>
                        <w:spacing w:before="0" w:after="0"/>
                        <w:ind w:left="1320" w:right="120" w:hanging="1200"/>
                        <w:jc w:val="left"/>
                        <w:rPr>
                          <w:caps w:val="false"/>
                          <w:smallCaps w:val="false"/>
                          <w:color w:val="FE5000"/>
                        </w:rPr>
                      </w:pPr>
                      <w:r>
                        <w:rPr>
                          <w:caps w:val="false"/>
                          <w:smallCaps w:val="false"/>
                          <w:color w:val="FE5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Our succession strategy provides another means for having strong and empowered leaders who can guide the organization to continued success. It covers two time horizons (three and five years) which allow us to deliver operational continuity and stability in the business as we guide the organization toward continuous success. We are currently working to extend its reach so that we can maintain a steady flow of leaders able to take on high-impact roles regardless of changes in the business landscape.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48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2.2.2. Employee management and development: The Human Management and Development Division</w:t>
                      </w:r>
                    </w:p>
                    <w:p>
                      <w:pPr>
                        <w:pStyle w:val="TextBody"/>
                        <w:bidi w:val="0"/>
                        <w:spacing w:before="0" w:after="0"/>
                        <w:ind w:left="0" w:right="48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parallel to the strategy developed for Credicorp’s executive segment, we manage the comprehensive development of all our employees using our Human Management and Development Division’s four strategic pillars: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810000" cy="847725"/>
                            <wp:effectExtent l="0" t="0" r="0" b="0"/>
                            <wp:docPr id="187"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86" descr=""/>
                                    <pic:cNvPicPr>
                                      <a:picLocks noChangeAspect="1" noChangeArrowheads="1"/>
                                    </pic:cNvPicPr>
                                  </pic:nvPicPr>
                                  <pic:blipFill>
                                    <a:blip r:embed="rId136"/>
                                    <a:stretch>
                                      <a:fillRect/>
                                    </a:stretch>
                                  </pic:blipFill>
                                  <pic:spPr bwMode="auto">
                                    <a:xfrm>
                                      <a:off x="0" y="0"/>
                                      <a:ext cx="3810000" cy="847725"/>
                                    </a:xfrm>
                                    <a:prstGeom prst="rect">
                                      <a:avLst/>
                                    </a:prstGeom>
                                  </pic:spPr>
                                </pic:pic>
                              </a:graphicData>
                            </a:graphic>
                          </wp:inline>
                        </w:drawing>
                      </w:r>
                      <w:r>
                        <w:rPr>
                          <w:caps w:val="false"/>
                          <w:smallCaps w:val="false"/>
                        </w:rPr>
                        <w:t> </w:t>
                      </w:r>
                    </w:p>
                  </w:txbxContent>
                </v:textbox>
                <w10:wrap type="topAndBottom"/>
              </v:rect>
            </w:pict>
          </mc:Fallback>
        </mc:AlternateContent>
      </w:r>
      <w:r>
        <mc:AlternateContent>
          <mc:Choice Requires="wps">
            <w:drawing>
              <wp:anchor behindDoc="0" distT="0" distB="0" distL="0" distR="0" simplePos="0" locked="0" layoutInCell="1" allowOverlap="1" relativeHeight="73">
                <wp:simplePos x="0" y="0"/>
                <wp:positionH relativeFrom="column">
                  <wp:align>right</wp:align>
                </wp:positionH>
                <wp:positionV relativeFrom="line">
                  <wp:posOffset>635</wp:posOffset>
                </wp:positionV>
                <wp:extent cx="3110230" cy="6243955"/>
                <wp:effectExtent l="0" t="0" r="0" b="0"/>
                <wp:wrapTopAndBottom/>
                <wp:docPr id="188" name="Frame53"/>
                <a:graphic xmlns:a="http://schemas.openxmlformats.org/drawingml/2006/main">
                  <a:graphicData uri="http://schemas.microsoft.com/office/word/2010/wordprocessingShape">
                    <wps:wsp>
                      <wps:cNvSpPr txBox="1"/>
                      <wps:spPr>
                        <a:xfrm>
                          <a:off x="0" y="0"/>
                          <a:ext cx="3110230" cy="6243955"/>
                        </a:xfrm>
                        <a:prstGeom prst="rect"/>
                        <a:solidFill>
                          <a:srgbClr val="FFFFFF"/>
                        </a:solidFill>
                      </wps:spPr>
                      <wps:txbx>
                        <w:txbxContent>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2.2.2.1. Culture and leadership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 consider the culture of each of our companies to be fundamental assets. It is through their principles and values that we put into practice the behaviors which define our essence and differentiate us from other companies in each of the markets where we operate.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Each company has developed a distinctive culture: </w:t>
                            </w:r>
                          </w:p>
                          <w:p>
                            <w:pPr>
                              <w:pStyle w:val="TextBody"/>
                              <w:bidi w:val="0"/>
                              <w:spacing w:before="0" w:after="0"/>
                              <w:ind w:left="0" w:right="0" w:hanging="0"/>
                              <w:jc w:val="left"/>
                              <w:rPr>
                                <w:caps w:val="false"/>
                                <w:smallCaps w:val="false"/>
                              </w:rPr>
                            </w:pPr>
                            <w:r>
                              <w:rPr>
                                <w:caps w:val="false"/>
                                <w:smallCaps w:val="false"/>
                              </w:rPr>
                              <w:drawing>
                                <wp:inline distT="0" distB="0" distL="0" distR="0">
                                  <wp:extent cx="4286250" cy="923925"/>
                                  <wp:effectExtent l="0" t="0" r="0" b="0"/>
                                  <wp:docPr id="189"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87" descr=""/>
                                          <pic:cNvPicPr>
                                            <a:picLocks noChangeAspect="1" noChangeArrowheads="1"/>
                                          </pic:cNvPicPr>
                                        </pic:nvPicPr>
                                        <pic:blipFill>
                                          <a:blip r:embed="rId137"/>
                                          <a:stretch>
                                            <a:fillRect/>
                                          </a:stretch>
                                        </pic:blipFill>
                                        <pic:spPr bwMode="auto">
                                          <a:xfrm>
                                            <a:off x="0" y="0"/>
                                            <a:ext cx="4286250" cy="9239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480" w:hanging="0"/>
                              <w:jc w:val="left"/>
                              <w:rPr>
                                <w:rFonts w:ascii="Arial" w:hAnsi="Arial"/>
                                <w:b w:val="false"/>
                                <w:i w:val="false"/>
                                <w:caps w:val="false"/>
                                <w:smallCaps w:val="false"/>
                                <w:sz w:val="20"/>
                              </w:rPr>
                            </w:pPr>
                            <w:r>
                              <w:rPr>
                                <w:rFonts w:ascii="Arial" w:hAnsi="Arial"/>
                                <w:b w:val="false"/>
                                <w:i w:val="false"/>
                                <w:caps w:val="false"/>
                                <w:smallCaps w:val="false"/>
                                <w:sz w:val="20"/>
                              </w:rPr>
                              <w:t>Our goal is to promote culture and leadership that uses a sustainable approach to contribute to the companies’ strategies.</w:t>
                            </w:r>
                          </w:p>
                          <w:p>
                            <w:pPr>
                              <w:pStyle w:val="TextBody"/>
                              <w:bidi w:val="0"/>
                              <w:spacing w:before="0" w:after="0"/>
                              <w:ind w:left="0" w:right="48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 develop our culture to adapt to new environments using digitalization, agility, diversity, and inclusion. For information on the strategic focus area of gender equity and diversity in employee management and the gender equity strategy for the executive segment, refer to Section 2.2.3 Gender equity and inclusion of diversity.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Always focused on how applicable our principles and behaviors are and on finding a more quantitative way to measure our purpose, we have been working to strengthen the framework for measuring our results around culture. Integrating sustainability into our culture through the change management program has strengthened our corporate culture around our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 are also preparing our leaders for the future by strengthening and developing leadership capacities focused on three thematic areas: personal leadership, team leadership, and business leadership.</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91.6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2.2.2.1. Culture and leadership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 consider the culture of each of our companies to be fundamental assets. It is through their principles and values that we put into practice the behaviors which define our essence and differentiate us from other companies in each of the markets where we operate.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Each company has developed a distinctive culture: </w:t>
                      </w:r>
                    </w:p>
                    <w:p>
                      <w:pPr>
                        <w:pStyle w:val="TextBody"/>
                        <w:bidi w:val="0"/>
                        <w:spacing w:before="0" w:after="0"/>
                        <w:ind w:left="0" w:right="0" w:hanging="0"/>
                        <w:jc w:val="left"/>
                        <w:rPr>
                          <w:caps w:val="false"/>
                          <w:smallCaps w:val="false"/>
                        </w:rPr>
                      </w:pPr>
                      <w:r>
                        <w:rPr>
                          <w:caps w:val="false"/>
                          <w:smallCaps w:val="false"/>
                        </w:rPr>
                        <w:drawing>
                          <wp:inline distT="0" distB="0" distL="0" distR="0">
                            <wp:extent cx="4286250" cy="923925"/>
                            <wp:effectExtent l="0" t="0" r="0" b="0"/>
                            <wp:docPr id="19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87" descr=""/>
                                    <pic:cNvPicPr>
                                      <a:picLocks noChangeAspect="1" noChangeArrowheads="1"/>
                                    </pic:cNvPicPr>
                                  </pic:nvPicPr>
                                  <pic:blipFill>
                                    <a:blip r:embed="rId138"/>
                                    <a:stretch>
                                      <a:fillRect/>
                                    </a:stretch>
                                  </pic:blipFill>
                                  <pic:spPr bwMode="auto">
                                    <a:xfrm>
                                      <a:off x="0" y="0"/>
                                      <a:ext cx="4286250" cy="9239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480" w:hanging="0"/>
                        <w:jc w:val="left"/>
                        <w:rPr>
                          <w:rFonts w:ascii="Arial" w:hAnsi="Arial"/>
                          <w:b w:val="false"/>
                          <w:i w:val="false"/>
                          <w:caps w:val="false"/>
                          <w:smallCaps w:val="false"/>
                          <w:sz w:val="20"/>
                        </w:rPr>
                      </w:pPr>
                      <w:r>
                        <w:rPr>
                          <w:rFonts w:ascii="Arial" w:hAnsi="Arial"/>
                          <w:b w:val="false"/>
                          <w:i w:val="false"/>
                          <w:caps w:val="false"/>
                          <w:smallCaps w:val="false"/>
                          <w:sz w:val="20"/>
                        </w:rPr>
                        <w:t>Our goal is to promote culture and leadership that uses a sustainable approach to contribute to the companies’ strategies.</w:t>
                      </w:r>
                    </w:p>
                    <w:p>
                      <w:pPr>
                        <w:pStyle w:val="TextBody"/>
                        <w:bidi w:val="0"/>
                        <w:spacing w:before="0" w:after="0"/>
                        <w:ind w:left="0" w:right="48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 develop our culture to adapt to new environments using digitalization, agility, diversity, and inclusion. For information on the strategic focus area of gender equity and diversity in employee management and the gender equity strategy for the executive segment, refer to Section 2.2.3 Gender equity and inclusion of diversity.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Always focused on how applicable our principles and behaviors are and on finding a more quantitative way to measure our purpose, we have been working to strengthen the framework for measuring our results around culture. Integrating sustainability into our culture through the change management program has strengthened our corporate culture around our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 are also preparing our leaders for the future by strengthening and developing leadership capacities focused on three thematic areas: personal leadership, team leadership, and business leadership.</w:t>
                      </w:r>
                    </w:p>
                  </w:txbxContent>
                </v:textbox>
                <w10:wrap type="topAndBottom"/>
              </v:rect>
            </w:pict>
          </mc:Fallback>
        </mc:AlternateConten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28</w:t>
      </w:r>
    </w:p>
    <w:p>
      <w:pPr>
        <w:pStyle w:val="HorizontalLine"/>
        <w:pBdr>
          <w:bottom w:val="single" w:sz="12" w:space="0" w:color="808080"/>
        </w:pBdr>
        <w:bidi w:val="0"/>
        <w:spacing w:before="200" w:after="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olumn">
                  <wp:align>left</wp:align>
                </wp:positionH>
                <wp:positionV relativeFrom="line">
                  <wp:posOffset>635</wp:posOffset>
                </wp:positionV>
                <wp:extent cx="3110230" cy="7005320"/>
                <wp:effectExtent l="0" t="0" r="0" b="0"/>
                <wp:wrapSquare wrapText="right"/>
                <wp:docPr id="191" name="Frame54"/>
                <a:graphic xmlns:a="http://schemas.openxmlformats.org/drawingml/2006/main">
                  <a:graphicData uri="http://schemas.microsoft.com/office/word/2010/wordprocessingShape">
                    <wps:wsp>
                      <wps:cNvSpPr txBox="1"/>
                      <wps:spPr>
                        <a:xfrm>
                          <a:off x="0" y="0"/>
                          <a:ext cx="3110230" cy="7005320"/>
                        </a:xfrm>
                        <a:prstGeom prst="rect"/>
                        <a:solidFill>
                          <a:srgbClr val="FFFFFF"/>
                        </a:solidFill>
                      </wps:spPr>
                      <wps:txbx>
                        <w:txbxContent>
                          <w:p>
                            <w:pPr>
                              <w:pStyle w:val="TextBody"/>
                              <w:bidi w:val="0"/>
                              <w:spacing w:before="0" w:after="0"/>
                              <w:jc w:val="center"/>
                              <w:rPr>
                                <w:caps w:val="false"/>
                                <w:smallCaps w:val="false"/>
                                <w:color w:val="FF0000"/>
                              </w:rPr>
                            </w:pPr>
                            <w:r>
                              <w:rPr>
                                <w:caps w:val="false"/>
                                <w:smallCaps w:val="false"/>
                                <w:color w:val="FF0000"/>
                              </w:rPr>
                              <w:drawing>
                                <wp:inline distT="0" distB="0" distL="0" distR="0">
                                  <wp:extent cx="3714750" cy="2152650"/>
                                  <wp:effectExtent l="0" t="0" r="0" b="0"/>
                                  <wp:docPr id="192"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88" descr=""/>
                                          <pic:cNvPicPr>
                                            <a:picLocks noChangeAspect="1" noChangeArrowheads="1"/>
                                          </pic:cNvPicPr>
                                        </pic:nvPicPr>
                                        <pic:blipFill>
                                          <a:blip r:embed="rId139"/>
                                          <a:stretch>
                                            <a:fillRect/>
                                          </a:stretch>
                                        </pic:blipFill>
                                        <pic:spPr bwMode="auto">
                                          <a:xfrm>
                                            <a:off x="0" y="0"/>
                                            <a:ext cx="3714750" cy="2152650"/>
                                          </a:xfrm>
                                          <a:prstGeom prst="rect">
                                            <a:avLst/>
                                          </a:prstGeom>
                                        </pic:spPr>
                                      </pic:pic>
                                    </a:graphicData>
                                  </a:graphic>
                                </wp:inline>
                              </w:drawing>
                            </w:r>
                            <w:r>
                              <w:rPr>
                                <w:caps w:val="false"/>
                                <w:smallCaps w:val="false"/>
                                <w:color w:val="FF0000"/>
                              </w:rPr>
                              <w:t> </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2.2.2.2. Performance and total rewards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objective of this strategic focus area in employee management is to align the interests of our employees with those of the organization. We have a corporate strategy in place that underscores our appetite and aspiration, seeking to reward and differentiate high-performance individuals who contribute to greater productivity in all Credicorp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One of our fundamental pillars is a meritocratic culture, which we have strengthened by managing performance more explicitly: making a direct link between goal achievement and compensation. This model contributes to establishing specific responsibilities and modeling behaviors that translate into results. The primary tool for strengthening performance is feedback from the leader, peers, and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Further details about the metrics for periodic evaluation by gender and job category are available in the performance management section of the annexes to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relation to total reward and as part of the value proposition for employees, Credicorp grants a series of benefits that vary depending on the company. They include flexible working hours, financial and health benefits, assistance lines and even discounts to venues.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51.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caps w:val="false"/>
                          <w:smallCaps w:val="false"/>
                          <w:color w:val="FF0000"/>
                        </w:rPr>
                      </w:pPr>
                      <w:r>
                        <w:rPr>
                          <w:caps w:val="false"/>
                          <w:smallCaps w:val="false"/>
                          <w:color w:val="FF0000"/>
                        </w:rPr>
                        <w:drawing>
                          <wp:inline distT="0" distB="0" distL="0" distR="0">
                            <wp:extent cx="3714750" cy="2152650"/>
                            <wp:effectExtent l="0" t="0" r="0" b="0"/>
                            <wp:docPr id="193"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88" descr=""/>
                                    <pic:cNvPicPr>
                                      <a:picLocks noChangeAspect="1" noChangeArrowheads="1"/>
                                    </pic:cNvPicPr>
                                  </pic:nvPicPr>
                                  <pic:blipFill>
                                    <a:blip r:embed="rId140"/>
                                    <a:stretch>
                                      <a:fillRect/>
                                    </a:stretch>
                                  </pic:blipFill>
                                  <pic:spPr bwMode="auto">
                                    <a:xfrm>
                                      <a:off x="0" y="0"/>
                                      <a:ext cx="3714750" cy="2152650"/>
                                    </a:xfrm>
                                    <a:prstGeom prst="rect">
                                      <a:avLst/>
                                    </a:prstGeom>
                                  </pic:spPr>
                                </pic:pic>
                              </a:graphicData>
                            </a:graphic>
                          </wp:inline>
                        </w:drawing>
                      </w:r>
                      <w:r>
                        <w:rPr>
                          <w:caps w:val="false"/>
                          <w:smallCaps w:val="false"/>
                          <w:color w:val="FF0000"/>
                        </w:rPr>
                        <w:t> </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2.2.2.2. Performance and total rewards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objective of this strategic focus area in employee management is to align the interests of our employees with those of the organization. We have a corporate strategy in place that underscores our appetite and aspiration, seeking to reward and differentiate high-performance individuals who contribute to greater productivity in all Credicorp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One of our fundamental pillars is a meritocratic culture, which we have strengthened by managing performance more explicitly: making a direct link between goal achievement and compensation. This model contributes to establishing specific responsibilities and modeling behaviors that translate into results. The primary tool for strengthening performance is feedback from the leader, peers, and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Further details about the metrics for periodic evaluation by gender and job category are available in the performance management section of the annexes to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relation to total reward and as part of the value proposition for employees, Credicorp grants a series of benefits that vary depending on the company. They include flexible working hours, financial and health benefits, assistance lines and even discounts to venues.</w:t>
                      </w:r>
                    </w:p>
                  </w:txbxContent>
                </v:textbox>
                <w10:wrap type="square" side="right"/>
              </v:rect>
            </w:pict>
          </mc:Fallback>
        </mc:AlternateContent>
      </w:r>
      <w:r>
        <mc:AlternateContent>
          <mc:Choice Requires="wps">
            <w:drawing>
              <wp:anchor behindDoc="0" distT="0" distB="0" distL="0" distR="0" simplePos="0" locked="0" layoutInCell="1" allowOverlap="1" relativeHeight="272">
                <wp:simplePos x="0" y="0"/>
                <wp:positionH relativeFrom="column">
                  <wp:align>right</wp:align>
                </wp:positionH>
                <wp:positionV relativeFrom="line">
                  <wp:posOffset>635</wp:posOffset>
                </wp:positionV>
                <wp:extent cx="3110230" cy="6163310"/>
                <wp:effectExtent l="0" t="0" r="0" b="0"/>
                <wp:wrapSquare wrapText="left"/>
                <wp:docPr id="194" name="Frame55"/>
                <a:graphic xmlns:a="http://schemas.openxmlformats.org/drawingml/2006/main">
                  <a:graphicData uri="http://schemas.microsoft.com/office/word/2010/wordprocessingShape">
                    <wps:wsp>
                      <wps:cNvSpPr txBox="1"/>
                      <wps:spPr>
                        <a:xfrm>
                          <a:off x="0" y="0"/>
                          <a:ext cx="3110230" cy="6163310"/>
                        </a:xfrm>
                        <a:prstGeom prst="rect"/>
                        <a:solidFill>
                          <a:srgbClr val="FFFFFF"/>
                        </a:solidFill>
                      </wps:spPr>
                      <wps:txbx>
                        <w:txbxContent>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We also promote mental and physical well-being through various priority initiatives, broadening our value proposition through benefits tailored to respond to needs. We have adopted a hybrid working model combining working from home with a minimum of </w:t>
                            </w:r>
                            <w:r>
                              <w:rPr>
                                <w:rFonts w:ascii="Arial" w:hAnsi="Arial"/>
                                <w:b/>
                                <w:i w:val="false"/>
                                <w:caps w:val="false"/>
                                <w:smallCaps w:val="false"/>
                                <w:sz w:val="20"/>
                              </w:rPr>
                              <w:t>two days per week attendance at the office</w:t>
                            </w:r>
                            <w:r>
                              <w:rPr>
                                <w:rFonts w:ascii="Arial" w:hAnsi="Arial"/>
                                <w:b w:val="false"/>
                                <w:i w:val="false"/>
                                <w:caps w:val="false"/>
                                <w:smallCaps w:val="false"/>
                                <w:sz w:val="20"/>
                              </w:rPr>
                              <w:t>. It has now been implemented as a corporate policy, even in those Group companies that did not previously have such a scheme.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 are confident of continuing to reap the benefits that come from office attendance: teaching, learning, strategic reflection, and team problem-solving.</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Further details on employment benefits are available in the social chapter of the annexes to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2.2.2.3. Digital and specialist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At Credicorp, we understand how strategically important digital profiles are for transforming and digitalizing our companies. Across the group, we currently have over 4,000 such individuals.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We define a digital profile as a staff member that has digital and technological knowledge and experience, who uses agile methodologies and work structures, and contributes to digital product maintenance. They are found in eight cross-cutting specialties: </w:t>
                            </w:r>
                            <w:r>
                              <w:rPr>
                                <w:rFonts w:ascii="Arial" w:hAnsi="Arial"/>
                                <w:b/>
                                <w:i w:val="false"/>
                                <w:caps w:val="false"/>
                                <w:smallCaps w:val="false"/>
                                <w:sz w:val="20"/>
                              </w:rPr>
                              <w:t>IT, data &amp; analytics, cybersecurity, agility, digital marketing, CRM, pricing, innovation, and strategic design.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As digital profiles are scarce worldwide, we are committed to developing a value proposition that attracts those with the right capabilities so that we can select, grow, and retain them and earn their loyalty.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Our strategy focuses on attracting and retaining digital talent and developing an environment that fosters their growth, contributing positively to Credicorp’s digital transformation and that of the region. It sits on the following pillars: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85.3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We also promote mental and physical well-being through various priority initiatives, broadening our value proposition through benefits tailored to respond to needs. We have adopted a hybrid working model combining working from home with a minimum of </w:t>
                      </w:r>
                      <w:r>
                        <w:rPr>
                          <w:rFonts w:ascii="Arial" w:hAnsi="Arial"/>
                          <w:b/>
                          <w:i w:val="false"/>
                          <w:caps w:val="false"/>
                          <w:smallCaps w:val="false"/>
                          <w:sz w:val="20"/>
                        </w:rPr>
                        <w:t>two days per week attendance at the office</w:t>
                      </w:r>
                      <w:r>
                        <w:rPr>
                          <w:rFonts w:ascii="Arial" w:hAnsi="Arial"/>
                          <w:b w:val="false"/>
                          <w:i w:val="false"/>
                          <w:caps w:val="false"/>
                          <w:smallCaps w:val="false"/>
                          <w:sz w:val="20"/>
                        </w:rPr>
                        <w:t>. It has now been implemented as a corporate policy, even in those Group companies that did not previously have such a scheme.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 are confident of continuing to reap the benefits that come from office attendance: teaching, learning, strategic reflection, and team problem-solving.</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Further details on employment benefits are available in the social chapter of the annexes to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2.2.2.3. Digital and specialist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At Credicorp, we understand how strategically important digital profiles are for transforming and digitalizing our companies. Across the group, we currently have over 4,000 such individuals.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We define a digital profile as a staff member that has digital and technological knowledge and experience, who uses agile methodologies and work structures, and contributes to digital product maintenance. They are found in eight cross-cutting specialties: </w:t>
                      </w:r>
                      <w:r>
                        <w:rPr>
                          <w:rFonts w:ascii="Arial" w:hAnsi="Arial"/>
                          <w:b/>
                          <w:i w:val="false"/>
                          <w:caps w:val="false"/>
                          <w:smallCaps w:val="false"/>
                          <w:sz w:val="20"/>
                        </w:rPr>
                        <w:t>IT, data &amp; analytics, cybersecurity, agility, digital marketing, CRM, pricing, innovation, and strategic design.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As digital profiles are scarce worldwide, we are committed to developing a value proposition that attracts those with the right capabilities so that we can select, grow, and retain them and earn their loyalty.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Our strategy focuses on attracting and retaining digital talent and developing an environment that fosters their growth, contributing positively to Credicorp’s digital transformation and that of the region. It sits on the following pillars:</w:t>
                      </w:r>
                    </w:p>
                  </w:txbxContent>
                </v:textbox>
                <w10:wrap type="square" side="left"/>
              </v:rect>
            </w:pict>
          </mc:Fallback>
        </mc:AlternateConten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29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olumn">
                  <wp:align>left</wp:align>
                </wp:positionH>
                <wp:positionV relativeFrom="line">
                  <wp:posOffset>635</wp:posOffset>
                </wp:positionV>
                <wp:extent cx="3110230" cy="7513320"/>
                <wp:effectExtent l="0" t="0" r="0" b="0"/>
                <wp:wrapSquare wrapText="right"/>
                <wp:docPr id="195" name="Frame56"/>
                <a:graphic xmlns:a="http://schemas.openxmlformats.org/drawingml/2006/main">
                  <a:graphicData uri="http://schemas.microsoft.com/office/word/2010/wordprocessingShape">
                    <wps:wsp>
                      <wps:cNvSpPr txBox="1"/>
                      <wps:spPr>
                        <a:xfrm>
                          <a:off x="0" y="0"/>
                          <a:ext cx="3110230" cy="7513320"/>
                        </a:xfrm>
                        <a:prstGeom prst="rect"/>
                        <a:solidFill>
                          <a:srgbClr val="FFFFFF"/>
                        </a:solidFill>
                      </wps:spPr>
                      <wps:txbx>
                        <w:txbxContent>
                          <w:p>
                            <w:pPr>
                              <w:pStyle w:val="TextBody"/>
                              <w:bidi w:val="0"/>
                              <w:spacing w:before="0" w:after="0"/>
                              <w:jc w:val="left"/>
                              <w:rPr>
                                <w:caps w:val="false"/>
                                <w:smallCaps w:val="false"/>
                              </w:rPr>
                            </w:pPr>
                            <w:r>
                              <w:rPr>
                                <w:caps w:val="false"/>
                                <w:smallCaps w:val="false"/>
                              </w:rPr>
                              <w:drawing>
                                <wp:inline distT="0" distB="0" distL="0" distR="0">
                                  <wp:extent cx="3524250" cy="1600200"/>
                                  <wp:effectExtent l="0" t="0" r="0" b="0"/>
                                  <wp:docPr id="196"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89" descr=""/>
                                          <pic:cNvPicPr>
                                            <a:picLocks noChangeAspect="1" noChangeArrowheads="1"/>
                                          </pic:cNvPicPr>
                                        </pic:nvPicPr>
                                        <pic:blipFill>
                                          <a:blip r:embed="rId141"/>
                                          <a:stretch>
                                            <a:fillRect/>
                                          </a:stretch>
                                        </pic:blipFill>
                                        <pic:spPr bwMode="auto">
                                          <a:xfrm>
                                            <a:off x="0" y="0"/>
                                            <a:ext cx="3524250" cy="16002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2.2.2.4 Agility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 capability that we have incorporated into our teams to help them adjust to the new context is agility, which allows us to respond quickly as the market changes, while striking a balance between strategic alignment and team autonomy. Simultaneously, we generate value for our clients and the business in a digital, disrupted, and highly competitive world. Credicorp has become an international benchmark in agility. Our</w:t>
                            </w:r>
                            <w:r>
                              <w:rPr>
                                <w:rFonts w:ascii="Arial" w:hAnsi="Arial"/>
                                <w:b w:val="false"/>
                                <w:i w:val="false"/>
                                <w:caps w:val="false"/>
                                <w:smallCaps w:val="false"/>
                                <w:sz w:val="20"/>
                              </w:rPr>
                              <w:drawing>
                                <wp:inline distT="0" distB="0" distL="0" distR="0">
                                  <wp:extent cx="2381250" cy="1828800"/>
                                  <wp:effectExtent l="0" t="0" r="0" b="0"/>
                                  <wp:docPr id="197"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90" descr=""/>
                                          <pic:cNvPicPr>
                                            <a:picLocks noChangeAspect="1" noChangeArrowheads="1"/>
                                          </pic:cNvPicPr>
                                        </pic:nvPicPr>
                                        <pic:blipFill>
                                          <a:blip r:embed="rId142"/>
                                          <a:stretch>
                                            <a:fillRect/>
                                          </a:stretch>
                                        </pic:blipFill>
                                        <pic:spPr bwMode="auto">
                                          <a:xfrm>
                                            <a:off x="0" y="0"/>
                                            <a:ext cx="2381250" cy="1828800"/>
                                          </a:xfrm>
                                          <a:prstGeom prst="rect">
                                            <a:avLst/>
                                          </a:prstGeom>
                                        </pic:spPr>
                                      </pic:pic>
                                    </a:graphicData>
                                  </a:graphic>
                                </wp:inline>
                              </w:drawing>
                              <w:t xml:space="preserve"> participation in the global agility community is a testament to our commitment to innovation and continuous improvement. In 2023, the group was proud to organize and host the second edition of our business agility conference. Known as the Agility Summit Credicorp, the event brings together specialists from within the group and the entire community. In 2023, it attracted more than 2,100 participants and 60 presentations in virtual and face-to-face environments. The themes addressed by Credicorp 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lineRule="auto" w:line="240"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13 Unlike earlier reports, the figures here are for Mibanco and BCP only.</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91.6pt;mso-wrap-distance-left:0pt;mso-wrap-distance-right:0pt;mso-wrap-distance-top:0pt;mso-wrap-distance-bottom:0pt;margin-top:0pt;mso-position-vertical:top;mso-position-vertical-relative:text;margin-left:244.9pt;mso-position-horizontal:left;mso-position-horizontal-relative:text">
                <v:textbox>
                  <w:txbxContent>
                    <w:p>
                      <w:pPr>
                        <w:pStyle w:val="TextBody"/>
                        <w:bidi w:val="0"/>
                        <w:spacing w:before="0" w:after="0"/>
                        <w:jc w:val="left"/>
                        <w:rPr>
                          <w:caps w:val="false"/>
                          <w:smallCaps w:val="false"/>
                        </w:rPr>
                      </w:pPr>
                      <w:r>
                        <w:rPr>
                          <w:caps w:val="false"/>
                          <w:smallCaps w:val="false"/>
                        </w:rPr>
                        <w:drawing>
                          <wp:inline distT="0" distB="0" distL="0" distR="0">
                            <wp:extent cx="3524250" cy="1600200"/>
                            <wp:effectExtent l="0" t="0" r="0" b="0"/>
                            <wp:docPr id="198"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89" descr=""/>
                                    <pic:cNvPicPr>
                                      <a:picLocks noChangeAspect="1" noChangeArrowheads="1"/>
                                    </pic:cNvPicPr>
                                  </pic:nvPicPr>
                                  <pic:blipFill>
                                    <a:blip r:embed="rId143"/>
                                    <a:stretch>
                                      <a:fillRect/>
                                    </a:stretch>
                                  </pic:blipFill>
                                  <pic:spPr bwMode="auto">
                                    <a:xfrm>
                                      <a:off x="0" y="0"/>
                                      <a:ext cx="3524250" cy="16002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2.2.2.4 Agility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 capability that we have incorporated into our teams to help them adjust to the new context is agility, which allows us to respond quickly as the market changes, while striking a balance between strategic alignment and team autonomy. Simultaneously, we generate value for our clients and the business in a digital, disrupted, and highly competitive world. Credicorp has become an international benchmark in agility. Our</w:t>
                      </w:r>
                      <w:r>
                        <w:rPr>
                          <w:rFonts w:ascii="Arial" w:hAnsi="Arial"/>
                          <w:b w:val="false"/>
                          <w:i w:val="false"/>
                          <w:caps w:val="false"/>
                          <w:smallCaps w:val="false"/>
                          <w:sz w:val="20"/>
                        </w:rPr>
                        <w:drawing>
                          <wp:inline distT="0" distB="0" distL="0" distR="0">
                            <wp:extent cx="2381250" cy="1828800"/>
                            <wp:effectExtent l="0" t="0" r="0" b="0"/>
                            <wp:docPr id="199"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90" descr=""/>
                                    <pic:cNvPicPr>
                                      <a:picLocks noChangeAspect="1" noChangeArrowheads="1"/>
                                    </pic:cNvPicPr>
                                  </pic:nvPicPr>
                                  <pic:blipFill>
                                    <a:blip r:embed="rId144"/>
                                    <a:stretch>
                                      <a:fillRect/>
                                    </a:stretch>
                                  </pic:blipFill>
                                  <pic:spPr bwMode="auto">
                                    <a:xfrm>
                                      <a:off x="0" y="0"/>
                                      <a:ext cx="2381250" cy="1828800"/>
                                    </a:xfrm>
                                    <a:prstGeom prst="rect">
                                      <a:avLst/>
                                    </a:prstGeom>
                                  </pic:spPr>
                                </pic:pic>
                              </a:graphicData>
                            </a:graphic>
                          </wp:inline>
                        </w:drawing>
                        <w:t xml:space="preserve"> participation in the global agility community is a testament to our commitment to innovation and continuous improvement. In 2023, the group was proud to organize and host the second edition of our business agility conference. Known as the Agility Summit Credicorp, the event brings together specialists from within the group and the entire community. In 2023, it attracted more than 2,100 participants and 60 presentations in virtual and face-to-face environments. The themes addressed by Credicorp 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lineRule="auto" w:line="240"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13 Unlike earlier reports, the figures here are for Mibanco and BCP only.</w:t>
                      </w:r>
                    </w:p>
                  </w:txbxContent>
                </v:textbox>
                <w10:wrap type="square" side="right"/>
              </v:rect>
            </w:pict>
          </mc:Fallback>
        </mc:AlternateContent>
      </w:r>
      <w:r>
        <mc:AlternateContent>
          <mc:Choice Requires="wps">
            <w:drawing>
              <wp:anchor behindDoc="0" distT="0" distB="0" distL="0" distR="0" simplePos="0" locked="0" layoutInCell="1" allowOverlap="1" relativeHeight="274">
                <wp:simplePos x="0" y="0"/>
                <wp:positionH relativeFrom="column">
                  <wp:align>right</wp:align>
                </wp:positionH>
                <wp:positionV relativeFrom="line">
                  <wp:posOffset>635</wp:posOffset>
                </wp:positionV>
                <wp:extent cx="3110230" cy="7400925"/>
                <wp:effectExtent l="0" t="0" r="0" b="0"/>
                <wp:wrapSquare wrapText="left"/>
                <wp:docPr id="200" name="Frame57"/>
                <a:graphic xmlns:a="http://schemas.openxmlformats.org/drawingml/2006/main">
                  <a:graphicData uri="http://schemas.microsoft.com/office/word/2010/wordprocessingShape">
                    <wps:wsp>
                      <wps:cNvSpPr txBox="1"/>
                      <wps:spPr>
                        <a:xfrm>
                          <a:off x="0" y="0"/>
                          <a:ext cx="3110230" cy="7400925"/>
                        </a:xfrm>
                        <a:prstGeom prst="rect"/>
                        <a:solidFill>
                          <a:srgbClr val="FFFFFF"/>
                        </a:solidFill>
                      </wps:spPr>
                      <wps:txbx>
                        <w:txbxContent>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and international guests included business agility, innovation, industry trends, and the digital transformation</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result of a focused attempt to develop skills in our teams, agility has become the management and operational byword for many of our areas.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Four years ago, before the pandemic, BCP’s started out with three tribes. Today, it boasts more than 50 tribes and COEs. This expansion has extended to all Credicorp subsidiaries, and each is now at its unique stage of evolution in the business agility transformation.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2.2.2.5. Workplace Sustainability and Freedom of Association</w:t>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10205" w:type="dxa"/>
                              <w:jc w:val="left"/>
                              <w:tblInd w:w="0" w:type="dxa"/>
                              <w:tblLayout w:type="fixed"/>
                              <w:tblCellMar>
                                <w:top w:w="0" w:type="dxa"/>
                                <w:left w:w="0" w:type="dxa"/>
                                <w:bottom w:w="0" w:type="dxa"/>
                                <w:right w:w="0" w:type="dxa"/>
                              </w:tblCellMar>
                            </w:tblPr>
                            <w:tblGrid>
                              <w:gridCol w:w="7506"/>
                              <w:gridCol w:w="60"/>
                              <w:gridCol w:w="2639"/>
                            </w:tblGrid>
                            <w:tr>
                              <w:trPr/>
                              <w:tc>
                                <w:tcPr>
                                  <w:tcW w:w="7506" w:type="dxa"/>
                                  <w:tcBorders/>
                                  <w:vAlign w:val="center"/>
                                </w:tcPr>
                                <w:p>
                                  <w:pPr>
                                    <w:pStyle w:val="TableContents"/>
                                    <w:bidi w:val="0"/>
                                    <w:spacing w:before="0" w:after="283"/>
                                    <w:jc w:val="both"/>
                                    <w:rPr/>
                                  </w:pPr>
                                  <w:r>
                                    <w:rPr/>
                                    <w:t xml:space="preserve">Respectful of local and international labor law, no Credicorp group company policies or guidelines hinder our employees from freely joining a union and bargaining collectively. Nor have we identified any significant risk to the exercise of these rights across our operations. </w:t>
                                  </w:r>
                                </w:p>
                              </w:tc>
                              <w:tc>
                                <w:tcPr>
                                  <w:tcW w:w="60" w:type="dxa"/>
                                  <w:tcBorders/>
                                  <w:vAlign w:val="center"/>
                                </w:tcPr>
                                <w:p>
                                  <w:pPr>
                                    <w:pStyle w:val="TableContents"/>
                                    <w:bidi w:val="0"/>
                                    <w:spacing w:before="0" w:after="283"/>
                                    <w:jc w:val="left"/>
                                    <w:rPr/>
                                  </w:pPr>
                                  <w:r>
                                    <w:rPr/>
                                    <w:t> </w:t>
                                  </w:r>
                                </w:p>
                              </w:tc>
                              <w:tc>
                                <w:tcPr>
                                  <w:tcW w:w="2639" w:type="dxa"/>
                                  <w:tcBorders/>
                                  <w:shd w:fill="FF7233" w:val="clear"/>
                                  <w:vAlign w:val="center"/>
                                </w:tcPr>
                                <w:p>
                                  <w:pPr>
                                    <w:pStyle w:val="TableContents"/>
                                    <w:bidi w:val="0"/>
                                    <w:spacing w:before="0" w:after="283"/>
                                    <w:jc w:val="left"/>
                                    <w:rPr>
                                      <w:rFonts w:ascii="Arial" w:hAnsi="Arial"/>
                                      <w:b w:val="false"/>
                                      <w:i w:val="false"/>
                                      <w:caps w:val="false"/>
                                      <w:smallCaps w:val="false"/>
                                      <w:color w:val="FFFFFF"/>
                                      <w:sz w:val="20"/>
                                    </w:rPr>
                                  </w:pPr>
                                  <w:r>
                                    <w:rPr>
                                      <w:rFonts w:ascii="Arial" w:hAnsi="Arial"/>
                                      <w:b w:val="false"/>
                                      <w:i w:val="false"/>
                                      <w:caps w:val="false"/>
                                      <w:smallCaps w:val="false"/>
                                      <w:color w:val="FFFFFF"/>
                                      <w:sz w:val="20"/>
                                    </w:rPr>
                                    <w:t>We respect labor standards and the right of all employees to freedom of association</w:t>
                                  </w:r>
                                </w:p>
                              </w:tc>
                            </w:tr>
                          </w:tbl>
                          <w:p>
                            <w:pPr>
                              <w:pStyle w:val="TextBody"/>
                              <w:bidi w:val="0"/>
                              <w:spacing w:before="0" w:after="0"/>
                              <w:ind w:left="0" w:right="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Seven unions were representing employees in Credicorp subsidiaries during 2023. Over the years, we have reached agreements with each of them whenever a set of industrial claims has arisen.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 address freedom of association and collective bargaining through a corporate policy (for internal use only) approved by the Corporate Labor Relations area that contains a range of guidelines, including how to manage union relations. This document sets out the scope for action and identifies which teams are to take charge of negotiations and collecting information. The most recent policy update took place in June 2021.</w:t>
                            </w:r>
                          </w:p>
                          <w:p>
                            <w:pPr>
                              <w:pStyle w:val="TextBody"/>
                              <w:bidi w:val="0"/>
                              <w:spacing w:before="0" w:after="0"/>
                              <w:ind w:left="0" w:right="0" w:hanging="0"/>
                              <w:jc w:val="both"/>
                              <w:rPr>
                                <w:caps w:val="false"/>
                                <w:smallCaps w:val="false"/>
                              </w:rPr>
                            </w:pPr>
                            <w:r>
                              <w:rPr>
                                <w:caps w:val="false"/>
                                <w:smallCaps w:val="false"/>
                              </w:rPr>
                              <w:t> </w:t>
                            </w:r>
                          </w:p>
                          <w:tbl>
                            <w:tblPr>
                              <w:tblW w:w="3440" w:type="dxa"/>
                              <w:jc w:val="center"/>
                              <w:tblInd w:w="0" w:type="dxa"/>
                              <w:tblLayout w:type="fixed"/>
                              <w:tblCellMar>
                                <w:top w:w="0" w:type="dxa"/>
                                <w:left w:w="0" w:type="dxa"/>
                                <w:bottom w:w="0" w:type="dxa"/>
                                <w:right w:w="0" w:type="dxa"/>
                              </w:tblCellMar>
                            </w:tblPr>
                            <w:tblGrid>
                              <w:gridCol w:w="1895"/>
                              <w:gridCol w:w="440"/>
                              <w:gridCol w:w="440"/>
                              <w:gridCol w:w="665"/>
                            </w:tblGrid>
                            <w:tr>
                              <w:trPr/>
                              <w:tc>
                                <w:tcPr>
                                  <w:tcW w:w="1895" w:type="dxa"/>
                                  <w:tcBorders/>
                                  <w:shd w:fill="FE4F00" w:val="clear"/>
                                  <w:vAlign w:val="center"/>
                                </w:tcPr>
                                <w:p>
                                  <w:pPr>
                                    <w:pStyle w:val="TableContents"/>
                                    <w:bidi w:val="0"/>
                                    <w:spacing w:before="0" w:after="283"/>
                                    <w:jc w:val="left"/>
                                    <w:rPr/>
                                  </w:pPr>
                                  <w:r>
                                    <w:rPr/>
                                    <w:t> </w:t>
                                  </w:r>
                                </w:p>
                              </w:tc>
                              <w:tc>
                                <w:tcPr>
                                  <w:tcW w:w="440" w:type="dxa"/>
                                  <w:tcBorders/>
                                  <w:shd w:fill="FE4F00" w:val="clear"/>
                                  <w:vAlign w:val="center"/>
                                </w:tcPr>
                                <w:p>
                                  <w:pPr>
                                    <w:pStyle w:val="TableContents"/>
                                    <w:bidi w:val="0"/>
                                    <w:spacing w:before="0" w:after="283"/>
                                    <w:jc w:val="center"/>
                                    <w:rPr>
                                      <w:rFonts w:ascii="Arial" w:hAnsi="Arial"/>
                                      <w:b/>
                                      <w:color w:val="FFFFFF"/>
                                      <w:sz w:val="20"/>
                                    </w:rPr>
                                  </w:pPr>
                                  <w:r>
                                    <w:rPr>
                                      <w:rFonts w:ascii="Arial" w:hAnsi="Arial"/>
                                      <w:b/>
                                      <w:color w:val="FFFFFF"/>
                                      <w:sz w:val="20"/>
                                    </w:rPr>
                                    <w:t>2021</w:t>
                                  </w:r>
                                </w:p>
                              </w:tc>
                              <w:tc>
                                <w:tcPr>
                                  <w:tcW w:w="440" w:type="dxa"/>
                                  <w:tcBorders/>
                                  <w:shd w:fill="FE4F00" w:val="clear"/>
                                  <w:vAlign w:val="center"/>
                                </w:tcPr>
                                <w:p>
                                  <w:pPr>
                                    <w:pStyle w:val="TableContents"/>
                                    <w:bidi w:val="0"/>
                                    <w:spacing w:before="0" w:after="283"/>
                                    <w:jc w:val="center"/>
                                    <w:rPr>
                                      <w:rFonts w:ascii="Arial" w:hAnsi="Arial"/>
                                      <w:b/>
                                      <w:color w:val="FFFFFF"/>
                                      <w:sz w:val="20"/>
                                    </w:rPr>
                                  </w:pPr>
                                  <w:r>
                                    <w:rPr>
                                      <w:rFonts w:ascii="Arial" w:hAnsi="Arial"/>
                                      <w:b/>
                                      <w:color w:val="FFFFFF"/>
                                      <w:sz w:val="20"/>
                                    </w:rPr>
                                    <w:t>2022</w:t>
                                  </w:r>
                                </w:p>
                              </w:tc>
                              <w:tc>
                                <w:tcPr>
                                  <w:tcW w:w="665" w:type="dxa"/>
                                  <w:tcBorders/>
                                  <w:shd w:fill="FE4F00" w:val="clear"/>
                                  <w:vAlign w:val="center"/>
                                </w:tcPr>
                                <w:p>
                                  <w:pPr>
                                    <w:pStyle w:val="TableContents"/>
                                    <w:bidi w:val="0"/>
                                    <w:spacing w:lineRule="auto" w:line="240" w:before="0" w:after="283"/>
                                    <w:jc w:val="center"/>
                                    <w:rPr>
                                      <w:rFonts w:ascii="Arial" w:hAnsi="Arial"/>
                                      <w:b/>
                                      <w:color w:val="FFFFFF"/>
                                      <w:sz w:val="20"/>
                                    </w:rPr>
                                  </w:pPr>
                                  <w:r>
                                    <w:rPr>
                                      <w:rFonts w:ascii="Arial" w:hAnsi="Arial"/>
                                      <w:b/>
                                      <w:color w:val="FFFFFF"/>
                                      <w:sz w:val="20"/>
                                    </w:rPr>
                                    <w:t>202313</w:t>
                                  </w:r>
                                </w:p>
                              </w:tc>
                            </w:tr>
                            <w:tr>
                              <w:trPr/>
                              <w:tc>
                                <w:tcPr>
                                  <w:tcW w:w="1895" w:type="dxa"/>
                                  <w:tcBorders>
                                    <w:bottom w:val="single" w:sz="8" w:space="0" w:color="BEBEBE"/>
                                  </w:tcBorders>
                                  <w:tcMar>
                                    <w:bottom w:w="40" w:type="dxa"/>
                                  </w:tcMar>
                                  <w:vAlign w:val="center"/>
                                </w:tcPr>
                                <w:p>
                                  <w:pPr>
                                    <w:pStyle w:val="TableContents"/>
                                    <w:bidi w:val="0"/>
                                    <w:spacing w:before="0" w:after="283"/>
                                    <w:jc w:val="left"/>
                                    <w:rPr>
                                      <w:rFonts w:ascii="Arial" w:hAnsi="Arial"/>
                                      <w:sz w:val="20"/>
                                    </w:rPr>
                                  </w:pPr>
                                  <w:r>
                                    <w:rPr>
                                      <w:rFonts w:ascii="Arial" w:hAnsi="Arial"/>
                                      <w:sz w:val="20"/>
                                    </w:rPr>
                                    <w:t>Unionized employees</w:t>
                                  </w:r>
                                </w:p>
                              </w:tc>
                              <w:tc>
                                <w:tcPr>
                                  <w:tcW w:w="440" w:type="dxa"/>
                                  <w:tcBorders>
                                    <w:bottom w:val="single" w:sz="8" w:space="0" w:color="BEBEBE"/>
                                  </w:tcBorders>
                                  <w:tcMar>
                                    <w:bottom w:w="40" w:type="dxa"/>
                                  </w:tcMar>
                                  <w:vAlign w:val="center"/>
                                </w:tcPr>
                                <w:p>
                                  <w:pPr>
                                    <w:pStyle w:val="TableContents"/>
                                    <w:bidi w:val="0"/>
                                    <w:spacing w:before="0" w:after="283"/>
                                    <w:jc w:val="center"/>
                                    <w:rPr>
                                      <w:rFonts w:ascii="Arial" w:hAnsi="Arial"/>
                                      <w:sz w:val="20"/>
                                    </w:rPr>
                                  </w:pPr>
                                  <w:r>
                                    <w:rPr>
                                      <w:rFonts w:ascii="Arial" w:hAnsi="Arial"/>
                                      <w:sz w:val="20"/>
                                    </w:rPr>
                                    <w:t>925</w:t>
                                  </w:r>
                                </w:p>
                              </w:tc>
                              <w:tc>
                                <w:tcPr>
                                  <w:tcW w:w="440" w:type="dxa"/>
                                  <w:tcBorders>
                                    <w:bottom w:val="single" w:sz="8" w:space="0" w:color="BEBEBE"/>
                                  </w:tcBorders>
                                  <w:tcMar>
                                    <w:bottom w:w="40" w:type="dxa"/>
                                  </w:tcMar>
                                  <w:vAlign w:val="center"/>
                                </w:tcPr>
                                <w:p>
                                  <w:pPr>
                                    <w:pStyle w:val="TableContents"/>
                                    <w:bidi w:val="0"/>
                                    <w:spacing w:before="0" w:after="283"/>
                                    <w:jc w:val="center"/>
                                    <w:rPr>
                                      <w:rFonts w:ascii="Arial" w:hAnsi="Arial"/>
                                      <w:sz w:val="20"/>
                                    </w:rPr>
                                  </w:pPr>
                                  <w:r>
                                    <w:rPr>
                                      <w:rFonts w:ascii="Arial" w:hAnsi="Arial"/>
                                      <w:sz w:val="20"/>
                                    </w:rPr>
                                    <w:t>853</w:t>
                                  </w:r>
                                </w:p>
                              </w:tc>
                              <w:tc>
                                <w:tcPr>
                                  <w:tcW w:w="665" w:type="dxa"/>
                                  <w:tcBorders>
                                    <w:bottom w:val="single" w:sz="8" w:space="0" w:color="BEBEBE"/>
                                  </w:tcBorders>
                                  <w:tcMar>
                                    <w:bottom w:w="40" w:type="dxa"/>
                                  </w:tcMar>
                                  <w:vAlign w:val="center"/>
                                </w:tcPr>
                                <w:p>
                                  <w:pPr>
                                    <w:pStyle w:val="TableContents"/>
                                    <w:bidi w:val="0"/>
                                    <w:spacing w:before="0" w:after="283"/>
                                    <w:jc w:val="center"/>
                                    <w:rPr>
                                      <w:rFonts w:ascii="Arial" w:hAnsi="Arial"/>
                                      <w:sz w:val="20"/>
                                    </w:rPr>
                                  </w:pPr>
                                  <w:r>
                                    <w:rPr>
                                      <w:rFonts w:ascii="Arial" w:hAnsi="Arial"/>
                                      <w:sz w:val="20"/>
                                    </w:rPr>
                                    <w:t>791</w:t>
                                  </w:r>
                                </w:p>
                              </w:tc>
                            </w:tr>
                            <w:tr>
                              <w:trPr/>
                              <w:tc>
                                <w:tcPr>
                                  <w:tcW w:w="1895" w:type="dxa"/>
                                  <w:tcBorders>
                                    <w:bottom w:val="single" w:sz="8" w:space="0" w:color="BEBEBE"/>
                                  </w:tcBorders>
                                  <w:tcMar>
                                    <w:bottom w:w="40" w:type="dxa"/>
                                  </w:tcMar>
                                  <w:vAlign w:val="center"/>
                                </w:tcPr>
                                <w:p>
                                  <w:pPr>
                                    <w:pStyle w:val="TableContents"/>
                                    <w:bidi w:val="0"/>
                                    <w:spacing w:before="0" w:after="283"/>
                                    <w:jc w:val="left"/>
                                    <w:rPr>
                                      <w:rFonts w:ascii="Arial" w:hAnsi="Arial"/>
                                      <w:sz w:val="20"/>
                                    </w:rPr>
                                  </w:pPr>
                                  <w:r>
                                    <w:rPr>
                                      <w:rFonts w:ascii="Arial" w:hAnsi="Arial"/>
                                      <w:sz w:val="20"/>
                                    </w:rPr>
                                    <w:t>Union organizations</w:t>
                                  </w:r>
                                </w:p>
                              </w:tc>
                              <w:tc>
                                <w:tcPr>
                                  <w:tcW w:w="440" w:type="dxa"/>
                                  <w:tcBorders>
                                    <w:bottom w:val="single" w:sz="8" w:space="0" w:color="BEBEBE"/>
                                  </w:tcBorders>
                                  <w:tcMar>
                                    <w:bottom w:w="40" w:type="dxa"/>
                                  </w:tcMar>
                                  <w:vAlign w:val="center"/>
                                </w:tcPr>
                                <w:p>
                                  <w:pPr>
                                    <w:pStyle w:val="TableContents"/>
                                    <w:bidi w:val="0"/>
                                    <w:spacing w:before="0" w:after="283"/>
                                    <w:jc w:val="center"/>
                                    <w:rPr>
                                      <w:rFonts w:ascii="Arial" w:hAnsi="Arial"/>
                                      <w:sz w:val="20"/>
                                    </w:rPr>
                                  </w:pPr>
                                  <w:r>
                                    <w:rPr>
                                      <w:rFonts w:ascii="Arial" w:hAnsi="Arial"/>
                                      <w:sz w:val="20"/>
                                    </w:rPr>
                                    <w:t>7</w:t>
                                  </w:r>
                                </w:p>
                              </w:tc>
                              <w:tc>
                                <w:tcPr>
                                  <w:tcW w:w="440" w:type="dxa"/>
                                  <w:tcBorders>
                                    <w:bottom w:val="single" w:sz="8" w:space="0" w:color="BEBEBE"/>
                                  </w:tcBorders>
                                  <w:tcMar>
                                    <w:bottom w:w="40" w:type="dxa"/>
                                  </w:tcMar>
                                  <w:vAlign w:val="center"/>
                                </w:tcPr>
                                <w:p>
                                  <w:pPr>
                                    <w:pStyle w:val="TableContents"/>
                                    <w:bidi w:val="0"/>
                                    <w:spacing w:before="0" w:after="283"/>
                                    <w:jc w:val="center"/>
                                    <w:rPr>
                                      <w:rFonts w:ascii="Arial" w:hAnsi="Arial"/>
                                      <w:sz w:val="20"/>
                                    </w:rPr>
                                  </w:pPr>
                                  <w:r>
                                    <w:rPr>
                                      <w:rFonts w:ascii="Arial" w:hAnsi="Arial"/>
                                      <w:sz w:val="20"/>
                                    </w:rPr>
                                    <w:t>7</w:t>
                                  </w:r>
                                </w:p>
                              </w:tc>
                              <w:tc>
                                <w:tcPr>
                                  <w:tcW w:w="665" w:type="dxa"/>
                                  <w:tcBorders>
                                    <w:bottom w:val="single" w:sz="8" w:space="0" w:color="BEBEBE"/>
                                  </w:tcBorders>
                                  <w:tcMar>
                                    <w:bottom w:w="40" w:type="dxa"/>
                                  </w:tcMar>
                                  <w:vAlign w:val="center"/>
                                </w:tcPr>
                                <w:p>
                                  <w:pPr>
                                    <w:pStyle w:val="TableContents"/>
                                    <w:bidi w:val="0"/>
                                    <w:spacing w:before="0" w:after="283"/>
                                    <w:jc w:val="center"/>
                                    <w:rPr>
                                      <w:rFonts w:ascii="Arial" w:hAnsi="Arial"/>
                                      <w:sz w:val="20"/>
                                    </w:rPr>
                                  </w:pPr>
                                  <w:r>
                                    <w:rPr>
                                      <w:rFonts w:ascii="Arial" w:hAnsi="Arial"/>
                                      <w:sz w:val="20"/>
                                    </w:rPr>
                                    <w:t>7</w:t>
                                  </w:r>
                                </w:p>
                              </w:tc>
                            </w:tr>
                            <w:tr>
                              <w:trPr/>
                              <w:tc>
                                <w:tcPr>
                                  <w:tcW w:w="1895" w:type="dxa"/>
                                  <w:tcBorders/>
                                  <w:vAlign w:val="center"/>
                                </w:tcPr>
                                <w:p>
                                  <w:pPr>
                                    <w:pStyle w:val="TableContents"/>
                                    <w:bidi w:val="0"/>
                                    <w:spacing w:before="0" w:after="283"/>
                                    <w:jc w:val="left"/>
                                    <w:rPr>
                                      <w:rFonts w:ascii="Arial" w:hAnsi="Arial"/>
                                      <w:sz w:val="20"/>
                                    </w:rPr>
                                  </w:pPr>
                                  <w:r>
                                    <w:rPr>
                                      <w:rFonts w:ascii="Arial" w:hAnsi="Arial"/>
                                      <w:sz w:val="20"/>
                                    </w:rPr>
                                    <w:t>% of all employees</w:t>
                                  </w:r>
                                </w:p>
                              </w:tc>
                              <w:tc>
                                <w:tcPr>
                                  <w:tcW w:w="440" w:type="dxa"/>
                                  <w:tcBorders/>
                                  <w:vAlign w:val="center"/>
                                </w:tcPr>
                                <w:p>
                                  <w:pPr>
                                    <w:pStyle w:val="TableContents"/>
                                    <w:bidi w:val="0"/>
                                    <w:spacing w:before="0" w:after="283"/>
                                    <w:jc w:val="center"/>
                                    <w:rPr>
                                      <w:rFonts w:ascii="Arial" w:hAnsi="Arial"/>
                                      <w:sz w:val="20"/>
                                    </w:rPr>
                                  </w:pPr>
                                  <w:r>
                                    <w:rPr>
                                      <w:rFonts w:ascii="Arial" w:hAnsi="Arial"/>
                                      <w:sz w:val="20"/>
                                    </w:rPr>
                                    <w:t>3.02</w:t>
                                  </w:r>
                                </w:p>
                              </w:tc>
                              <w:tc>
                                <w:tcPr>
                                  <w:tcW w:w="440" w:type="dxa"/>
                                  <w:tcBorders/>
                                  <w:vAlign w:val="center"/>
                                </w:tcPr>
                                <w:p>
                                  <w:pPr>
                                    <w:pStyle w:val="TableContents"/>
                                    <w:bidi w:val="0"/>
                                    <w:spacing w:before="0" w:after="283"/>
                                    <w:jc w:val="center"/>
                                    <w:rPr>
                                      <w:rFonts w:ascii="Arial" w:hAnsi="Arial"/>
                                      <w:sz w:val="20"/>
                                    </w:rPr>
                                  </w:pPr>
                                  <w:r>
                                    <w:rPr>
                                      <w:rFonts w:ascii="Arial" w:hAnsi="Arial"/>
                                      <w:sz w:val="20"/>
                                    </w:rPr>
                                    <w:t>2.74</w:t>
                                  </w:r>
                                </w:p>
                              </w:tc>
                              <w:tc>
                                <w:tcPr>
                                  <w:tcW w:w="665" w:type="dxa"/>
                                  <w:tcBorders/>
                                  <w:vAlign w:val="center"/>
                                </w:tcPr>
                                <w:p>
                                  <w:pPr>
                                    <w:pStyle w:val="TableContents"/>
                                    <w:bidi w:val="0"/>
                                    <w:spacing w:before="0" w:after="283"/>
                                    <w:jc w:val="center"/>
                                    <w:rPr>
                                      <w:rFonts w:ascii="Arial" w:hAnsi="Arial"/>
                                      <w:sz w:val="20"/>
                                    </w:rPr>
                                  </w:pPr>
                                  <w:r>
                                    <w:rPr>
                                      <w:rFonts w:ascii="Arial" w:hAnsi="Arial"/>
                                      <w:sz w:val="20"/>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82.75pt;mso-wrap-distance-left:0pt;mso-wrap-distance-right:0pt;mso-wrap-distance-top:0pt;mso-wrap-distance-bottom:0pt;margin-top:0pt;mso-position-vertical:top;mso-position-vertical-relative:text;margin-left:20.4pt;mso-position-horizontal:right;mso-position-horizontal-relative:text">
                <v:textbox>
                  <w:txbxContent>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and international guests included business agility, innovation, industry trends, and the digital transformation</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result of a focused attempt to develop skills in our teams, agility has become the management and operational byword for many of our areas.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Four years ago, before the pandemic, BCP’s started out with three tribes. Today, it boasts more than 50 tribes and COEs. This expansion has extended to all Credicorp subsidiaries, and each is now at its unique stage of evolution in the business agility transformation.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2.2.2.5. Workplace Sustainability and Freedom of Association</w:t>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10205" w:type="dxa"/>
                        <w:jc w:val="left"/>
                        <w:tblInd w:w="0" w:type="dxa"/>
                        <w:tblLayout w:type="fixed"/>
                        <w:tblCellMar>
                          <w:top w:w="0" w:type="dxa"/>
                          <w:left w:w="0" w:type="dxa"/>
                          <w:bottom w:w="0" w:type="dxa"/>
                          <w:right w:w="0" w:type="dxa"/>
                        </w:tblCellMar>
                      </w:tblPr>
                      <w:tblGrid>
                        <w:gridCol w:w="7506"/>
                        <w:gridCol w:w="60"/>
                        <w:gridCol w:w="2639"/>
                      </w:tblGrid>
                      <w:tr>
                        <w:trPr/>
                        <w:tc>
                          <w:tcPr>
                            <w:tcW w:w="7506" w:type="dxa"/>
                            <w:tcBorders/>
                            <w:vAlign w:val="center"/>
                          </w:tcPr>
                          <w:p>
                            <w:pPr>
                              <w:pStyle w:val="TableContents"/>
                              <w:bidi w:val="0"/>
                              <w:spacing w:before="0" w:after="283"/>
                              <w:jc w:val="both"/>
                              <w:rPr/>
                            </w:pPr>
                            <w:r>
                              <w:rPr/>
                              <w:t xml:space="preserve">Respectful of local and international labor law, no Credicorp group company policies or guidelines hinder our employees from freely joining a union and bargaining collectively. Nor have we identified any significant risk to the exercise of these rights across our operations. </w:t>
                            </w:r>
                          </w:p>
                        </w:tc>
                        <w:tc>
                          <w:tcPr>
                            <w:tcW w:w="60" w:type="dxa"/>
                            <w:tcBorders/>
                            <w:vAlign w:val="center"/>
                          </w:tcPr>
                          <w:p>
                            <w:pPr>
                              <w:pStyle w:val="TableContents"/>
                              <w:bidi w:val="0"/>
                              <w:spacing w:before="0" w:after="283"/>
                              <w:jc w:val="left"/>
                              <w:rPr/>
                            </w:pPr>
                            <w:r>
                              <w:rPr/>
                              <w:t> </w:t>
                            </w:r>
                          </w:p>
                        </w:tc>
                        <w:tc>
                          <w:tcPr>
                            <w:tcW w:w="2639" w:type="dxa"/>
                            <w:tcBorders/>
                            <w:shd w:fill="FF7233" w:val="clear"/>
                            <w:vAlign w:val="center"/>
                          </w:tcPr>
                          <w:p>
                            <w:pPr>
                              <w:pStyle w:val="TableContents"/>
                              <w:bidi w:val="0"/>
                              <w:spacing w:before="0" w:after="283"/>
                              <w:jc w:val="left"/>
                              <w:rPr>
                                <w:rFonts w:ascii="Arial" w:hAnsi="Arial"/>
                                <w:b w:val="false"/>
                                <w:i w:val="false"/>
                                <w:caps w:val="false"/>
                                <w:smallCaps w:val="false"/>
                                <w:color w:val="FFFFFF"/>
                                <w:sz w:val="20"/>
                              </w:rPr>
                            </w:pPr>
                            <w:r>
                              <w:rPr>
                                <w:rFonts w:ascii="Arial" w:hAnsi="Arial"/>
                                <w:b w:val="false"/>
                                <w:i w:val="false"/>
                                <w:caps w:val="false"/>
                                <w:smallCaps w:val="false"/>
                                <w:color w:val="FFFFFF"/>
                                <w:sz w:val="20"/>
                              </w:rPr>
                              <w:t>We respect labor standards and the right of all employees to freedom of association</w:t>
                            </w:r>
                          </w:p>
                        </w:tc>
                      </w:tr>
                    </w:tbl>
                    <w:p>
                      <w:pPr>
                        <w:pStyle w:val="TextBody"/>
                        <w:bidi w:val="0"/>
                        <w:spacing w:before="0" w:after="0"/>
                        <w:ind w:left="0" w:right="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Seven unions were representing employees in Credicorp subsidiaries during 2023. Over the years, we have reached agreements with each of them whenever a set of industrial claims has arisen.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 address freedom of association and collective bargaining through a corporate policy (for internal use only) approved by the Corporate Labor Relations area that contains a range of guidelines, including how to manage union relations. This document sets out the scope for action and identifies which teams are to take charge of negotiations and collecting information. The most recent policy update took place in June 2021.</w:t>
                      </w:r>
                    </w:p>
                    <w:p>
                      <w:pPr>
                        <w:pStyle w:val="TextBody"/>
                        <w:bidi w:val="0"/>
                        <w:spacing w:before="0" w:after="0"/>
                        <w:ind w:left="0" w:right="0" w:hanging="0"/>
                        <w:jc w:val="both"/>
                        <w:rPr>
                          <w:caps w:val="false"/>
                          <w:smallCaps w:val="false"/>
                        </w:rPr>
                      </w:pPr>
                      <w:r>
                        <w:rPr>
                          <w:caps w:val="false"/>
                          <w:smallCaps w:val="false"/>
                        </w:rPr>
                        <w:t> </w:t>
                      </w:r>
                    </w:p>
                    <w:tbl>
                      <w:tblPr>
                        <w:tblW w:w="3440" w:type="dxa"/>
                        <w:jc w:val="center"/>
                        <w:tblInd w:w="0" w:type="dxa"/>
                        <w:tblLayout w:type="fixed"/>
                        <w:tblCellMar>
                          <w:top w:w="0" w:type="dxa"/>
                          <w:left w:w="0" w:type="dxa"/>
                          <w:bottom w:w="0" w:type="dxa"/>
                          <w:right w:w="0" w:type="dxa"/>
                        </w:tblCellMar>
                      </w:tblPr>
                      <w:tblGrid>
                        <w:gridCol w:w="1895"/>
                        <w:gridCol w:w="440"/>
                        <w:gridCol w:w="440"/>
                        <w:gridCol w:w="665"/>
                      </w:tblGrid>
                      <w:tr>
                        <w:trPr/>
                        <w:tc>
                          <w:tcPr>
                            <w:tcW w:w="1895" w:type="dxa"/>
                            <w:tcBorders/>
                            <w:shd w:fill="FE4F00" w:val="clear"/>
                            <w:vAlign w:val="center"/>
                          </w:tcPr>
                          <w:p>
                            <w:pPr>
                              <w:pStyle w:val="TableContents"/>
                              <w:bidi w:val="0"/>
                              <w:spacing w:before="0" w:after="283"/>
                              <w:jc w:val="left"/>
                              <w:rPr/>
                            </w:pPr>
                            <w:r>
                              <w:rPr/>
                              <w:t> </w:t>
                            </w:r>
                          </w:p>
                        </w:tc>
                        <w:tc>
                          <w:tcPr>
                            <w:tcW w:w="440" w:type="dxa"/>
                            <w:tcBorders/>
                            <w:shd w:fill="FE4F00" w:val="clear"/>
                            <w:vAlign w:val="center"/>
                          </w:tcPr>
                          <w:p>
                            <w:pPr>
                              <w:pStyle w:val="TableContents"/>
                              <w:bidi w:val="0"/>
                              <w:spacing w:before="0" w:after="283"/>
                              <w:jc w:val="center"/>
                              <w:rPr>
                                <w:rFonts w:ascii="Arial" w:hAnsi="Arial"/>
                                <w:b/>
                                <w:color w:val="FFFFFF"/>
                                <w:sz w:val="20"/>
                              </w:rPr>
                            </w:pPr>
                            <w:r>
                              <w:rPr>
                                <w:rFonts w:ascii="Arial" w:hAnsi="Arial"/>
                                <w:b/>
                                <w:color w:val="FFFFFF"/>
                                <w:sz w:val="20"/>
                              </w:rPr>
                              <w:t>2021</w:t>
                            </w:r>
                          </w:p>
                        </w:tc>
                        <w:tc>
                          <w:tcPr>
                            <w:tcW w:w="440" w:type="dxa"/>
                            <w:tcBorders/>
                            <w:shd w:fill="FE4F00" w:val="clear"/>
                            <w:vAlign w:val="center"/>
                          </w:tcPr>
                          <w:p>
                            <w:pPr>
                              <w:pStyle w:val="TableContents"/>
                              <w:bidi w:val="0"/>
                              <w:spacing w:before="0" w:after="283"/>
                              <w:jc w:val="center"/>
                              <w:rPr>
                                <w:rFonts w:ascii="Arial" w:hAnsi="Arial"/>
                                <w:b/>
                                <w:color w:val="FFFFFF"/>
                                <w:sz w:val="20"/>
                              </w:rPr>
                            </w:pPr>
                            <w:r>
                              <w:rPr>
                                <w:rFonts w:ascii="Arial" w:hAnsi="Arial"/>
                                <w:b/>
                                <w:color w:val="FFFFFF"/>
                                <w:sz w:val="20"/>
                              </w:rPr>
                              <w:t>2022</w:t>
                            </w:r>
                          </w:p>
                        </w:tc>
                        <w:tc>
                          <w:tcPr>
                            <w:tcW w:w="665" w:type="dxa"/>
                            <w:tcBorders/>
                            <w:shd w:fill="FE4F00" w:val="clear"/>
                            <w:vAlign w:val="center"/>
                          </w:tcPr>
                          <w:p>
                            <w:pPr>
                              <w:pStyle w:val="TableContents"/>
                              <w:bidi w:val="0"/>
                              <w:spacing w:lineRule="auto" w:line="240" w:before="0" w:after="283"/>
                              <w:jc w:val="center"/>
                              <w:rPr>
                                <w:rFonts w:ascii="Arial" w:hAnsi="Arial"/>
                                <w:b/>
                                <w:color w:val="FFFFFF"/>
                                <w:sz w:val="20"/>
                              </w:rPr>
                            </w:pPr>
                            <w:r>
                              <w:rPr>
                                <w:rFonts w:ascii="Arial" w:hAnsi="Arial"/>
                                <w:b/>
                                <w:color w:val="FFFFFF"/>
                                <w:sz w:val="20"/>
                              </w:rPr>
                              <w:t>202313</w:t>
                            </w:r>
                          </w:p>
                        </w:tc>
                      </w:tr>
                      <w:tr>
                        <w:trPr/>
                        <w:tc>
                          <w:tcPr>
                            <w:tcW w:w="1895" w:type="dxa"/>
                            <w:tcBorders>
                              <w:bottom w:val="single" w:sz="8" w:space="0" w:color="BEBEBE"/>
                            </w:tcBorders>
                            <w:tcMar>
                              <w:bottom w:w="40" w:type="dxa"/>
                            </w:tcMar>
                            <w:vAlign w:val="center"/>
                          </w:tcPr>
                          <w:p>
                            <w:pPr>
                              <w:pStyle w:val="TableContents"/>
                              <w:bidi w:val="0"/>
                              <w:spacing w:before="0" w:after="283"/>
                              <w:jc w:val="left"/>
                              <w:rPr>
                                <w:rFonts w:ascii="Arial" w:hAnsi="Arial"/>
                                <w:sz w:val="20"/>
                              </w:rPr>
                            </w:pPr>
                            <w:r>
                              <w:rPr>
                                <w:rFonts w:ascii="Arial" w:hAnsi="Arial"/>
                                <w:sz w:val="20"/>
                              </w:rPr>
                              <w:t>Unionized employees</w:t>
                            </w:r>
                          </w:p>
                        </w:tc>
                        <w:tc>
                          <w:tcPr>
                            <w:tcW w:w="440" w:type="dxa"/>
                            <w:tcBorders>
                              <w:bottom w:val="single" w:sz="8" w:space="0" w:color="BEBEBE"/>
                            </w:tcBorders>
                            <w:tcMar>
                              <w:bottom w:w="40" w:type="dxa"/>
                            </w:tcMar>
                            <w:vAlign w:val="center"/>
                          </w:tcPr>
                          <w:p>
                            <w:pPr>
                              <w:pStyle w:val="TableContents"/>
                              <w:bidi w:val="0"/>
                              <w:spacing w:before="0" w:after="283"/>
                              <w:jc w:val="center"/>
                              <w:rPr>
                                <w:rFonts w:ascii="Arial" w:hAnsi="Arial"/>
                                <w:sz w:val="20"/>
                              </w:rPr>
                            </w:pPr>
                            <w:r>
                              <w:rPr>
                                <w:rFonts w:ascii="Arial" w:hAnsi="Arial"/>
                                <w:sz w:val="20"/>
                              </w:rPr>
                              <w:t>925</w:t>
                            </w:r>
                          </w:p>
                        </w:tc>
                        <w:tc>
                          <w:tcPr>
                            <w:tcW w:w="440" w:type="dxa"/>
                            <w:tcBorders>
                              <w:bottom w:val="single" w:sz="8" w:space="0" w:color="BEBEBE"/>
                            </w:tcBorders>
                            <w:tcMar>
                              <w:bottom w:w="40" w:type="dxa"/>
                            </w:tcMar>
                            <w:vAlign w:val="center"/>
                          </w:tcPr>
                          <w:p>
                            <w:pPr>
                              <w:pStyle w:val="TableContents"/>
                              <w:bidi w:val="0"/>
                              <w:spacing w:before="0" w:after="283"/>
                              <w:jc w:val="center"/>
                              <w:rPr>
                                <w:rFonts w:ascii="Arial" w:hAnsi="Arial"/>
                                <w:sz w:val="20"/>
                              </w:rPr>
                            </w:pPr>
                            <w:r>
                              <w:rPr>
                                <w:rFonts w:ascii="Arial" w:hAnsi="Arial"/>
                                <w:sz w:val="20"/>
                              </w:rPr>
                              <w:t>853</w:t>
                            </w:r>
                          </w:p>
                        </w:tc>
                        <w:tc>
                          <w:tcPr>
                            <w:tcW w:w="665" w:type="dxa"/>
                            <w:tcBorders>
                              <w:bottom w:val="single" w:sz="8" w:space="0" w:color="BEBEBE"/>
                            </w:tcBorders>
                            <w:tcMar>
                              <w:bottom w:w="40" w:type="dxa"/>
                            </w:tcMar>
                            <w:vAlign w:val="center"/>
                          </w:tcPr>
                          <w:p>
                            <w:pPr>
                              <w:pStyle w:val="TableContents"/>
                              <w:bidi w:val="0"/>
                              <w:spacing w:before="0" w:after="283"/>
                              <w:jc w:val="center"/>
                              <w:rPr>
                                <w:rFonts w:ascii="Arial" w:hAnsi="Arial"/>
                                <w:sz w:val="20"/>
                              </w:rPr>
                            </w:pPr>
                            <w:r>
                              <w:rPr>
                                <w:rFonts w:ascii="Arial" w:hAnsi="Arial"/>
                                <w:sz w:val="20"/>
                              </w:rPr>
                              <w:t>791</w:t>
                            </w:r>
                          </w:p>
                        </w:tc>
                      </w:tr>
                      <w:tr>
                        <w:trPr/>
                        <w:tc>
                          <w:tcPr>
                            <w:tcW w:w="1895" w:type="dxa"/>
                            <w:tcBorders>
                              <w:bottom w:val="single" w:sz="8" w:space="0" w:color="BEBEBE"/>
                            </w:tcBorders>
                            <w:tcMar>
                              <w:bottom w:w="40" w:type="dxa"/>
                            </w:tcMar>
                            <w:vAlign w:val="center"/>
                          </w:tcPr>
                          <w:p>
                            <w:pPr>
                              <w:pStyle w:val="TableContents"/>
                              <w:bidi w:val="0"/>
                              <w:spacing w:before="0" w:after="283"/>
                              <w:jc w:val="left"/>
                              <w:rPr>
                                <w:rFonts w:ascii="Arial" w:hAnsi="Arial"/>
                                <w:sz w:val="20"/>
                              </w:rPr>
                            </w:pPr>
                            <w:r>
                              <w:rPr>
                                <w:rFonts w:ascii="Arial" w:hAnsi="Arial"/>
                                <w:sz w:val="20"/>
                              </w:rPr>
                              <w:t>Union organizations</w:t>
                            </w:r>
                          </w:p>
                        </w:tc>
                        <w:tc>
                          <w:tcPr>
                            <w:tcW w:w="440" w:type="dxa"/>
                            <w:tcBorders>
                              <w:bottom w:val="single" w:sz="8" w:space="0" w:color="BEBEBE"/>
                            </w:tcBorders>
                            <w:tcMar>
                              <w:bottom w:w="40" w:type="dxa"/>
                            </w:tcMar>
                            <w:vAlign w:val="center"/>
                          </w:tcPr>
                          <w:p>
                            <w:pPr>
                              <w:pStyle w:val="TableContents"/>
                              <w:bidi w:val="0"/>
                              <w:spacing w:before="0" w:after="283"/>
                              <w:jc w:val="center"/>
                              <w:rPr>
                                <w:rFonts w:ascii="Arial" w:hAnsi="Arial"/>
                                <w:sz w:val="20"/>
                              </w:rPr>
                            </w:pPr>
                            <w:r>
                              <w:rPr>
                                <w:rFonts w:ascii="Arial" w:hAnsi="Arial"/>
                                <w:sz w:val="20"/>
                              </w:rPr>
                              <w:t>7</w:t>
                            </w:r>
                          </w:p>
                        </w:tc>
                        <w:tc>
                          <w:tcPr>
                            <w:tcW w:w="440" w:type="dxa"/>
                            <w:tcBorders>
                              <w:bottom w:val="single" w:sz="8" w:space="0" w:color="BEBEBE"/>
                            </w:tcBorders>
                            <w:tcMar>
                              <w:bottom w:w="40" w:type="dxa"/>
                            </w:tcMar>
                            <w:vAlign w:val="center"/>
                          </w:tcPr>
                          <w:p>
                            <w:pPr>
                              <w:pStyle w:val="TableContents"/>
                              <w:bidi w:val="0"/>
                              <w:spacing w:before="0" w:after="283"/>
                              <w:jc w:val="center"/>
                              <w:rPr>
                                <w:rFonts w:ascii="Arial" w:hAnsi="Arial"/>
                                <w:sz w:val="20"/>
                              </w:rPr>
                            </w:pPr>
                            <w:r>
                              <w:rPr>
                                <w:rFonts w:ascii="Arial" w:hAnsi="Arial"/>
                                <w:sz w:val="20"/>
                              </w:rPr>
                              <w:t>7</w:t>
                            </w:r>
                          </w:p>
                        </w:tc>
                        <w:tc>
                          <w:tcPr>
                            <w:tcW w:w="665" w:type="dxa"/>
                            <w:tcBorders>
                              <w:bottom w:val="single" w:sz="8" w:space="0" w:color="BEBEBE"/>
                            </w:tcBorders>
                            <w:tcMar>
                              <w:bottom w:w="40" w:type="dxa"/>
                            </w:tcMar>
                            <w:vAlign w:val="center"/>
                          </w:tcPr>
                          <w:p>
                            <w:pPr>
                              <w:pStyle w:val="TableContents"/>
                              <w:bidi w:val="0"/>
                              <w:spacing w:before="0" w:after="283"/>
                              <w:jc w:val="center"/>
                              <w:rPr>
                                <w:rFonts w:ascii="Arial" w:hAnsi="Arial"/>
                                <w:sz w:val="20"/>
                              </w:rPr>
                            </w:pPr>
                            <w:r>
                              <w:rPr>
                                <w:rFonts w:ascii="Arial" w:hAnsi="Arial"/>
                                <w:sz w:val="20"/>
                              </w:rPr>
                              <w:t>7</w:t>
                            </w:r>
                          </w:p>
                        </w:tc>
                      </w:tr>
                      <w:tr>
                        <w:trPr/>
                        <w:tc>
                          <w:tcPr>
                            <w:tcW w:w="1895" w:type="dxa"/>
                            <w:tcBorders/>
                            <w:vAlign w:val="center"/>
                          </w:tcPr>
                          <w:p>
                            <w:pPr>
                              <w:pStyle w:val="TableContents"/>
                              <w:bidi w:val="0"/>
                              <w:spacing w:before="0" w:after="283"/>
                              <w:jc w:val="left"/>
                              <w:rPr>
                                <w:rFonts w:ascii="Arial" w:hAnsi="Arial"/>
                                <w:sz w:val="20"/>
                              </w:rPr>
                            </w:pPr>
                            <w:r>
                              <w:rPr>
                                <w:rFonts w:ascii="Arial" w:hAnsi="Arial"/>
                                <w:sz w:val="20"/>
                              </w:rPr>
                              <w:t>% of all employees</w:t>
                            </w:r>
                          </w:p>
                        </w:tc>
                        <w:tc>
                          <w:tcPr>
                            <w:tcW w:w="440" w:type="dxa"/>
                            <w:tcBorders/>
                            <w:vAlign w:val="center"/>
                          </w:tcPr>
                          <w:p>
                            <w:pPr>
                              <w:pStyle w:val="TableContents"/>
                              <w:bidi w:val="0"/>
                              <w:spacing w:before="0" w:after="283"/>
                              <w:jc w:val="center"/>
                              <w:rPr>
                                <w:rFonts w:ascii="Arial" w:hAnsi="Arial"/>
                                <w:sz w:val="20"/>
                              </w:rPr>
                            </w:pPr>
                            <w:r>
                              <w:rPr>
                                <w:rFonts w:ascii="Arial" w:hAnsi="Arial"/>
                                <w:sz w:val="20"/>
                              </w:rPr>
                              <w:t>3.02</w:t>
                            </w:r>
                          </w:p>
                        </w:tc>
                        <w:tc>
                          <w:tcPr>
                            <w:tcW w:w="440" w:type="dxa"/>
                            <w:tcBorders/>
                            <w:vAlign w:val="center"/>
                          </w:tcPr>
                          <w:p>
                            <w:pPr>
                              <w:pStyle w:val="TableContents"/>
                              <w:bidi w:val="0"/>
                              <w:spacing w:before="0" w:after="283"/>
                              <w:jc w:val="center"/>
                              <w:rPr>
                                <w:rFonts w:ascii="Arial" w:hAnsi="Arial"/>
                                <w:sz w:val="20"/>
                              </w:rPr>
                            </w:pPr>
                            <w:r>
                              <w:rPr>
                                <w:rFonts w:ascii="Arial" w:hAnsi="Arial"/>
                                <w:sz w:val="20"/>
                              </w:rPr>
                              <w:t>2.74</w:t>
                            </w:r>
                          </w:p>
                        </w:tc>
                        <w:tc>
                          <w:tcPr>
                            <w:tcW w:w="665" w:type="dxa"/>
                            <w:tcBorders/>
                            <w:vAlign w:val="center"/>
                          </w:tcPr>
                          <w:p>
                            <w:pPr>
                              <w:pStyle w:val="TableContents"/>
                              <w:bidi w:val="0"/>
                              <w:spacing w:before="0" w:after="283"/>
                              <w:jc w:val="center"/>
                              <w:rPr>
                                <w:rFonts w:ascii="Arial" w:hAnsi="Arial"/>
                                <w:sz w:val="20"/>
                              </w:rPr>
                            </w:pPr>
                            <w:r>
                              <w:rPr>
                                <w:rFonts w:ascii="Arial" w:hAnsi="Arial"/>
                                <w:sz w:val="20"/>
                              </w:rPr>
                              <w:t>2.5</w:t>
                            </w:r>
                          </w:p>
                        </w:tc>
                      </w:tr>
                    </w:tbl>
                    <w:p>
                      <w:pPr>
                        <w:pStyle w:val="TextBody"/>
                        <w:bidi w:val="0"/>
                        <w:spacing w:before="0" w:after="283"/>
                        <w:jc w:val="left"/>
                        <w:rPr/>
                      </w:pPr>
                      <w:r>
                        <w:rPr/>
                      </w:r>
                    </w:p>
                  </w:txbxContent>
                </v:textbox>
                <w10:wrap type="square" side="left"/>
              </v:rect>
            </w:pict>
          </mc:Fallback>
        </mc:AlternateContent>
      </w:r>
    </w:p>
    <w:p>
      <w:pPr>
        <w:pStyle w:val="TextBody"/>
        <w:bidi w:val="0"/>
        <w:spacing w:before="0" w:after="0"/>
        <w:ind w:left="6420" w:right="0" w:hanging="0"/>
        <w:jc w:val="left"/>
        <w:rPr>
          <w:caps w:val="false"/>
          <w:smallCaps w:val="false"/>
        </w:rPr>
      </w:pPr>
      <w:r>
        <w:rPr>
          <w:caps w:val="false"/>
          <w:smallCaps w:val="false"/>
        </w:rPr>
        <w:t> </w:t>
      </w:r>
    </w:p>
    <w:p>
      <w:pPr>
        <w:pStyle w:val="TextBody"/>
        <w:bidi w:val="0"/>
        <w:spacing w:before="200" w:after="200"/>
        <w:ind w:left="6420" w:right="0" w:hanging="0"/>
        <w:jc w:val="right"/>
        <w:rPr>
          <w:rFonts w:ascii="Arial" w:hAnsi="Arial"/>
          <w:b w:val="false"/>
          <w:i w:val="false"/>
          <w:caps w:val="false"/>
          <w:smallCaps w:val="false"/>
          <w:sz w:val="20"/>
        </w:rPr>
      </w:pPr>
      <w:r>
        <w:rPr>
          <w:rFonts w:ascii="Arial" w:hAnsi="Arial"/>
          <w:b w:val="false"/>
          <w:i w:val="false"/>
          <w:caps w:val="false"/>
          <w:smallCaps w:val="false"/>
          <w:sz w:val="20"/>
        </w:rPr>
        <w:t>30</w:t>
      </w:r>
    </w:p>
    <w:p>
      <w:pPr>
        <w:pStyle w:val="HorizontalLine"/>
        <w:pBdr>
          <w:bottom w:val="single" w:sz="12" w:space="0" w:color="808080"/>
        </w:pBdr>
        <w:bidi w:val="0"/>
        <w:spacing w:before="200" w:after="200"/>
        <w:jc w:val="left"/>
        <w:rPr/>
      </w:pPr>
      <w:r>
        <w:rPr/>
      </w:r>
    </w:p>
    <w:p>
      <w:pPr>
        <w:pStyle w:val="TextBody"/>
        <w:bidi w:val="0"/>
        <w:spacing w:before="0" w:after="0"/>
        <w:ind w:left="6420" w:right="0" w:hanging="0"/>
        <w:jc w:val="left"/>
        <w:rPr>
          <w:caps w:val="false"/>
          <w:smallCaps w:val="false"/>
        </w:rPr>
      </w:pPr>
      <w:r>
        <w:rPr>
          <w:caps w:val="false"/>
          <w:smallCaps w:val="false"/>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olumn">
                  <wp:align>left</wp:align>
                </wp:positionH>
                <wp:positionV relativeFrom="line">
                  <wp:posOffset>635</wp:posOffset>
                </wp:positionV>
                <wp:extent cx="3110230" cy="6960235"/>
                <wp:effectExtent l="0" t="0" r="0" b="0"/>
                <wp:wrapSquare wrapText="right"/>
                <wp:docPr id="201" name="Frame58"/>
                <a:graphic xmlns:a="http://schemas.openxmlformats.org/drawingml/2006/main">
                  <a:graphicData uri="http://schemas.microsoft.com/office/word/2010/wordprocessingShape">
                    <wps:wsp>
                      <wps:cNvSpPr txBox="1"/>
                      <wps:spPr>
                        <a:xfrm>
                          <a:off x="0" y="0"/>
                          <a:ext cx="3110230" cy="6960235"/>
                        </a:xfrm>
                        <a:prstGeom prst="rect"/>
                        <a:solidFill>
                          <a:srgbClr val="FFFFFF"/>
                        </a:solidFill>
                      </wps:spPr>
                      <wps:txbx>
                        <w:txbxContent>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During 2023, three collective agreements were signed across the Credicorp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2.2.3. Gender equity and inclusion of diversity</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At Credicorp, we promote equal professional career opportunities for all people in the Group regardless of gender, origin, religious beliefs, sexual orientation, socioeconomic status, or any other circumstance.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 are building an increasingly inclusive culture in our workforce, across the business and in the community. Outside the organization, we have implemented initiatives to include vulnerable sectors through our products and programs (for further details, see Section 2.1.1 Comprehensive inclusion and financial education). Within Credicorp, given how important it is for leaders to promote our vision for equity, we have strengthened the gender equity program to afford it a more top-down approach. At the same time, we have made more visible our priorities and our progress.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The four focus areas of our gender equity program</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jc w:val="center"/>
                              <w:rPr>
                                <w:caps w:val="false"/>
                                <w:smallCaps w:val="false"/>
                                <w:color w:val="FE5000"/>
                              </w:rPr>
                            </w:pPr>
                            <w:r>
                              <w:rPr>
                                <w:caps w:val="false"/>
                                <w:smallCaps w:val="false"/>
                                <w:color w:val="FE5000"/>
                              </w:rPr>
                              <w:drawing>
                                <wp:inline distT="0" distB="0" distL="0" distR="0">
                                  <wp:extent cx="3429000" cy="876300"/>
                                  <wp:effectExtent l="0" t="0" r="0" b="0"/>
                                  <wp:docPr id="202"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91" descr=""/>
                                          <pic:cNvPicPr>
                                            <a:picLocks noChangeAspect="1" noChangeArrowheads="1"/>
                                          </pic:cNvPicPr>
                                        </pic:nvPicPr>
                                        <pic:blipFill>
                                          <a:blip r:embed="rId145"/>
                                          <a:stretch>
                                            <a:fillRect/>
                                          </a:stretch>
                                        </pic:blipFill>
                                        <pic:spPr bwMode="auto">
                                          <a:xfrm>
                                            <a:off x="0" y="0"/>
                                            <a:ext cx="3429000" cy="876300"/>
                                          </a:xfrm>
                                          <a:prstGeom prst="rect">
                                            <a:avLst/>
                                          </a:prstGeom>
                                        </pic:spPr>
                                      </pic:pic>
                                    </a:graphicData>
                                  </a:graphic>
                                </wp:inline>
                              </w:drawing>
                            </w:r>
                            <w:r>
                              <w:rPr>
                                <w:caps w:val="false"/>
                                <w:smallCaps w:val="false"/>
                                <w:color w:val="FE5000"/>
                              </w:rPr>
                              <w:t> </w:t>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jc w:val="left"/>
                                    <w:rPr/>
                                  </w:pPr>
                                  <w:r>
                                    <w:rPr/>
                                    <w:t xml:space="preserve">  </w:t>
                                  </w:r>
                                </w:p>
                                <w:p>
                                  <w:pPr>
                                    <w:pStyle w:val="TableContents"/>
                                    <w:bidi w:val="0"/>
                                    <w:spacing w:lineRule="auto" w:line="240" w:before="0" w:after="0"/>
                                    <w:ind w:left="840" w:right="0" w:hanging="354"/>
                                    <w:jc w:val="both"/>
                                    <w:rPr>
                                      <w:caps w:val="false"/>
                                      <w:smallCaps w:val="false"/>
                                    </w:rPr>
                                  </w:pPr>
                                  <w:r>
                                    <w:rPr>
                                      <w:caps w:val="false"/>
                                      <w:smallCaps w:val="false"/>
                                    </w:rPr>
                                    <w:drawing>
                                      <wp:inline distT="0" distB="0" distL="0" distR="0">
                                        <wp:extent cx="133350" cy="104775"/>
                                        <wp:effectExtent l="0" t="0" r="0" b="0"/>
                                        <wp:docPr id="203"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92" descr=""/>
                                                <pic:cNvPicPr>
                                                  <a:picLocks noChangeAspect="1" noChangeArrowheads="1"/>
                                                </pic:cNvPicPr>
                                              </pic:nvPicPr>
                                              <pic:blipFill>
                                                <a:blip r:embed="rId146"/>
                                                <a:stretch>
                                                  <a:fillRect/>
                                                </a:stretch>
                                              </pic:blipFill>
                                              <pic:spPr bwMode="auto">
                                                <a:xfrm>
                                                  <a:off x="0" y="0"/>
                                                  <a:ext cx="133350" cy="104775"/>
                                                </a:xfrm>
                                                <a:prstGeom prst="rect">
                                                  <a:avLst/>
                                                </a:prstGeom>
                                              </pic:spPr>
                                            </pic:pic>
                                          </a:graphicData>
                                        </a:graphic>
                                      </wp:inline>
                                    </w:drawing>
                                  </w:r>
                                  <w:r>
                                    <w:rPr>
                                      <w:caps w:val="false"/>
                                      <w:smallCaps w:val="false"/>
                                      <w:color w:val="FB6305"/>
                                    </w:rPr>
                                    <w:t xml:space="preserve">   </w:t>
                                  </w:r>
                                  <w:r>
                                    <w:rPr>
                                      <w:rFonts w:ascii="Arial" w:hAnsi="Arial"/>
                                      <w:b w:val="false"/>
                                      <w:i w:val="false"/>
                                      <w:caps w:val="false"/>
                                      <w:smallCaps w:val="false"/>
                                      <w:sz w:val="20"/>
                                    </w:rPr>
                                    <w:t xml:space="preserve">The Program Leader reports quarterly to the Senior Gender Equity Committee (which includes the Corporate CEO). </w:t>
                                  </w:r>
                                </w:p>
                                <w:p>
                                  <w:pPr>
                                    <w:pStyle w:val="TableContents"/>
                                    <w:bidi w:val="0"/>
                                    <w:spacing w:lineRule="auto" w:line="240" w:before="0" w:after="0"/>
                                    <w:ind w:left="840" w:right="0" w:hanging="354"/>
                                    <w:jc w:val="left"/>
                                    <w:rPr>
                                      <w:caps w:val="false"/>
                                      <w:smallCaps w:val="false"/>
                                    </w:rPr>
                                  </w:pPr>
                                  <w:r>
                                    <w:rPr>
                                      <w:caps w:val="false"/>
                                      <w:smallCaps w:val="false"/>
                                    </w:rPr>
                                    <w:drawing>
                                      <wp:inline distT="0" distB="0" distL="0" distR="0">
                                        <wp:extent cx="133350" cy="104775"/>
                                        <wp:effectExtent l="0" t="0" r="0" b="0"/>
                                        <wp:docPr id="204"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93" descr=""/>
                                                <pic:cNvPicPr>
                                                  <a:picLocks noChangeAspect="1" noChangeArrowheads="1"/>
                                                </pic:cNvPicPr>
                                              </pic:nvPicPr>
                                              <pic:blipFill>
                                                <a:blip r:embed="rId147"/>
                                                <a:stretch>
                                                  <a:fillRect/>
                                                </a:stretch>
                                              </pic:blipFill>
                                              <pic:spPr bwMode="auto">
                                                <a:xfrm>
                                                  <a:off x="0" y="0"/>
                                                  <a:ext cx="133350" cy="104775"/>
                                                </a:xfrm>
                                                <a:prstGeom prst="rect">
                                                  <a:avLst/>
                                                </a:prstGeom>
                                              </pic:spPr>
                                            </pic:pic>
                                          </a:graphicData>
                                        </a:graphic>
                                      </wp:inline>
                                    </w:drawing>
                                  </w:r>
                                  <w:r>
                                    <w:rPr>
                                      <w:caps w:val="false"/>
                                      <w:smallCaps w:val="false"/>
                                      <w:color w:val="FB6305"/>
                                    </w:rPr>
                                    <w:t xml:space="preserve">   </w:t>
                                  </w:r>
                                  <w:r>
                                    <w:rPr>
                                      <w:rFonts w:ascii="Arial" w:hAnsi="Arial"/>
                                      <w:b w:val="false"/>
                                      <w:i w:val="false"/>
                                      <w:caps w:val="false"/>
                                      <w:smallCaps w:val="false"/>
                                      <w:sz w:val="20"/>
                                    </w:rPr>
                                    <w:t xml:space="preserve">Quarterly reports to the Credicorp Management Committee, which includes participation by the CEOs of the Group’s main companies. </w:t>
                                  </w:r>
                                </w:p>
                                <w:p>
                                  <w:pPr>
                                    <w:pStyle w:val="TableContents"/>
                                    <w:bidi w:val="0"/>
                                    <w:spacing w:lineRule="auto" w:line="240" w:before="0" w:after="0"/>
                                    <w:ind w:left="840" w:right="0" w:hanging="354"/>
                                    <w:jc w:val="left"/>
                                    <w:rPr>
                                      <w:caps w:val="false"/>
                                      <w:smallCaps w:val="false"/>
                                    </w:rPr>
                                  </w:pPr>
                                  <w:r>
                                    <w:rPr>
                                      <w:caps w:val="false"/>
                                      <w:smallCaps w:val="false"/>
                                      <w:color w:val="FB6305"/>
                                    </w:rPr>
                                    <w:drawing>
                                      <wp:inline distT="0" distB="0" distL="0" distR="0">
                                        <wp:extent cx="133350" cy="104775"/>
                                        <wp:effectExtent l="0" t="0" r="0" b="0"/>
                                        <wp:docPr id="205"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94" descr=""/>
                                                <pic:cNvPicPr>
                                                  <a:picLocks noChangeAspect="1" noChangeArrowheads="1"/>
                                                </pic:cNvPicPr>
                                              </pic:nvPicPr>
                                              <pic:blipFill>
                                                <a:blip r:embed="rId148"/>
                                                <a:stretch>
                                                  <a:fillRect/>
                                                </a:stretch>
                                              </pic:blipFill>
                                              <pic:spPr bwMode="auto">
                                                <a:xfrm>
                                                  <a:off x="0" y="0"/>
                                                  <a:ext cx="133350" cy="104775"/>
                                                </a:xfrm>
                                                <a:prstGeom prst="rect">
                                                  <a:avLst/>
                                                </a:prstGeom>
                                              </pic:spPr>
                                            </pic:pic>
                                          </a:graphicData>
                                        </a:graphic>
                                      </wp:inline>
                                    </w:drawing>
                                  </w:r>
                                  <w:r>
                                    <w:rPr>
                                      <w:caps w:val="false"/>
                                      <w:smallCaps w:val="false"/>
                                    </w:rPr>
                                    <w:t xml:space="preserve">  </w:t>
                                  </w:r>
                                  <w:r>
                                    <w:rPr>
                                      <w:rFonts w:ascii="Arial" w:hAnsi="Arial"/>
                                      <w:b w:val="false"/>
                                      <w:i w:val="false"/>
                                      <w:caps w:val="false"/>
                                      <w:smallCaps w:val="false"/>
                                      <w:sz w:val="20"/>
                                    </w:rPr>
                                    <w:t>Annual report to Sustainability Committee.</w:t>
                                  </w:r>
                                </w:p>
                                <w:p>
                                  <w:pPr>
                                    <w:pStyle w:val="TableContents"/>
                                    <w:bidi w:val="0"/>
                                    <w:spacing w:before="0" w:after="0"/>
                                    <w:ind w:left="840" w:right="0" w:hanging="354"/>
                                    <w:jc w:val="left"/>
                                    <w:rPr>
                                      <w:caps w:val="false"/>
                                      <w:smallCaps w:val="false"/>
                                    </w:rPr>
                                  </w:pPr>
                                  <w:r>
                                    <w:rPr>
                                      <w:caps w:val="false"/>
                                      <w:smallCaps w:val="false"/>
                                    </w:rPr>
                                    <w:t> </w:t>
                                  </w:r>
                                </w:p>
                                <w:p>
                                  <w:pPr>
                                    <w:pStyle w:val="TableContents"/>
                                    <w:bidi w:val="0"/>
                                    <w:spacing w:before="0" w:after="0"/>
                                    <w:ind w:left="840" w:right="0" w:hanging="354"/>
                                    <w:jc w:val="left"/>
                                    <w:rPr>
                                      <w:caps w:val="false"/>
                                      <w:smallCaps w:val="false"/>
                                    </w:rPr>
                                  </w:pPr>
                                  <w:r>
                                    <w:rPr>
                                      <w:caps w:val="false"/>
                                      <w:smallCaps w:val="false"/>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4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During 2023, three collective agreements were signed across the Credicorp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2.2.3. Gender equity and inclusion of diversity</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At Credicorp, we promote equal professional career opportunities for all people in the Group regardless of gender, origin, religious beliefs, sexual orientation, socioeconomic status, or any other circumstance.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 are building an increasingly inclusive culture in our workforce, across the business and in the community. Outside the organization, we have implemented initiatives to include vulnerable sectors through our products and programs (for further details, see Section 2.1.1 Comprehensive inclusion and financial education). Within Credicorp, given how important it is for leaders to promote our vision for equity, we have strengthened the gender equity program to afford it a more top-down approach. At the same time, we have made more visible our priorities and our progress.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The four focus areas of our gender equity program</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jc w:val="center"/>
                        <w:rPr>
                          <w:caps w:val="false"/>
                          <w:smallCaps w:val="false"/>
                          <w:color w:val="FE5000"/>
                        </w:rPr>
                      </w:pPr>
                      <w:r>
                        <w:rPr>
                          <w:caps w:val="false"/>
                          <w:smallCaps w:val="false"/>
                          <w:color w:val="FE5000"/>
                        </w:rPr>
                        <w:drawing>
                          <wp:inline distT="0" distB="0" distL="0" distR="0">
                            <wp:extent cx="3429000" cy="876300"/>
                            <wp:effectExtent l="0" t="0" r="0" b="0"/>
                            <wp:docPr id="206"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91" descr=""/>
                                    <pic:cNvPicPr>
                                      <a:picLocks noChangeAspect="1" noChangeArrowheads="1"/>
                                    </pic:cNvPicPr>
                                  </pic:nvPicPr>
                                  <pic:blipFill>
                                    <a:blip r:embed="rId149"/>
                                    <a:stretch>
                                      <a:fillRect/>
                                    </a:stretch>
                                  </pic:blipFill>
                                  <pic:spPr bwMode="auto">
                                    <a:xfrm>
                                      <a:off x="0" y="0"/>
                                      <a:ext cx="3429000" cy="876300"/>
                                    </a:xfrm>
                                    <a:prstGeom prst="rect">
                                      <a:avLst/>
                                    </a:prstGeom>
                                  </pic:spPr>
                                </pic:pic>
                              </a:graphicData>
                            </a:graphic>
                          </wp:inline>
                        </w:drawing>
                      </w:r>
                      <w:r>
                        <w:rPr>
                          <w:caps w:val="false"/>
                          <w:smallCaps w:val="false"/>
                          <w:color w:val="FE5000"/>
                        </w:rPr>
                        <w:t> </w:t>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jc w:val="left"/>
                              <w:rPr/>
                            </w:pPr>
                            <w:r>
                              <w:rPr/>
                              <w:t xml:space="preserve">  </w:t>
                            </w:r>
                          </w:p>
                          <w:p>
                            <w:pPr>
                              <w:pStyle w:val="TableContents"/>
                              <w:bidi w:val="0"/>
                              <w:spacing w:lineRule="auto" w:line="240" w:before="0" w:after="0"/>
                              <w:ind w:left="840" w:right="0" w:hanging="354"/>
                              <w:jc w:val="both"/>
                              <w:rPr>
                                <w:caps w:val="false"/>
                                <w:smallCaps w:val="false"/>
                              </w:rPr>
                            </w:pPr>
                            <w:r>
                              <w:rPr>
                                <w:caps w:val="false"/>
                                <w:smallCaps w:val="false"/>
                              </w:rPr>
                              <w:drawing>
                                <wp:inline distT="0" distB="0" distL="0" distR="0">
                                  <wp:extent cx="133350" cy="104775"/>
                                  <wp:effectExtent l="0" t="0" r="0" b="0"/>
                                  <wp:docPr id="207"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92" descr=""/>
                                          <pic:cNvPicPr>
                                            <a:picLocks noChangeAspect="1" noChangeArrowheads="1"/>
                                          </pic:cNvPicPr>
                                        </pic:nvPicPr>
                                        <pic:blipFill>
                                          <a:blip r:embed="rId150"/>
                                          <a:stretch>
                                            <a:fillRect/>
                                          </a:stretch>
                                        </pic:blipFill>
                                        <pic:spPr bwMode="auto">
                                          <a:xfrm>
                                            <a:off x="0" y="0"/>
                                            <a:ext cx="133350" cy="104775"/>
                                          </a:xfrm>
                                          <a:prstGeom prst="rect">
                                            <a:avLst/>
                                          </a:prstGeom>
                                        </pic:spPr>
                                      </pic:pic>
                                    </a:graphicData>
                                  </a:graphic>
                                </wp:inline>
                              </w:drawing>
                            </w:r>
                            <w:r>
                              <w:rPr>
                                <w:caps w:val="false"/>
                                <w:smallCaps w:val="false"/>
                                <w:color w:val="FB6305"/>
                              </w:rPr>
                              <w:t xml:space="preserve">   </w:t>
                            </w:r>
                            <w:r>
                              <w:rPr>
                                <w:rFonts w:ascii="Arial" w:hAnsi="Arial"/>
                                <w:b w:val="false"/>
                                <w:i w:val="false"/>
                                <w:caps w:val="false"/>
                                <w:smallCaps w:val="false"/>
                                <w:sz w:val="20"/>
                              </w:rPr>
                              <w:t xml:space="preserve">The Program Leader reports quarterly to the Senior Gender Equity Committee (which includes the Corporate CEO). </w:t>
                            </w:r>
                          </w:p>
                          <w:p>
                            <w:pPr>
                              <w:pStyle w:val="TableContents"/>
                              <w:bidi w:val="0"/>
                              <w:spacing w:lineRule="auto" w:line="240" w:before="0" w:after="0"/>
                              <w:ind w:left="840" w:right="0" w:hanging="354"/>
                              <w:jc w:val="left"/>
                              <w:rPr>
                                <w:caps w:val="false"/>
                                <w:smallCaps w:val="false"/>
                              </w:rPr>
                            </w:pPr>
                            <w:r>
                              <w:rPr>
                                <w:caps w:val="false"/>
                                <w:smallCaps w:val="false"/>
                              </w:rPr>
                              <w:drawing>
                                <wp:inline distT="0" distB="0" distL="0" distR="0">
                                  <wp:extent cx="133350" cy="104775"/>
                                  <wp:effectExtent l="0" t="0" r="0" b="0"/>
                                  <wp:docPr id="208"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93" descr=""/>
                                          <pic:cNvPicPr>
                                            <a:picLocks noChangeAspect="1" noChangeArrowheads="1"/>
                                          </pic:cNvPicPr>
                                        </pic:nvPicPr>
                                        <pic:blipFill>
                                          <a:blip r:embed="rId151"/>
                                          <a:stretch>
                                            <a:fillRect/>
                                          </a:stretch>
                                        </pic:blipFill>
                                        <pic:spPr bwMode="auto">
                                          <a:xfrm>
                                            <a:off x="0" y="0"/>
                                            <a:ext cx="133350" cy="104775"/>
                                          </a:xfrm>
                                          <a:prstGeom prst="rect">
                                            <a:avLst/>
                                          </a:prstGeom>
                                        </pic:spPr>
                                      </pic:pic>
                                    </a:graphicData>
                                  </a:graphic>
                                </wp:inline>
                              </w:drawing>
                            </w:r>
                            <w:r>
                              <w:rPr>
                                <w:caps w:val="false"/>
                                <w:smallCaps w:val="false"/>
                                <w:color w:val="FB6305"/>
                              </w:rPr>
                              <w:t xml:space="preserve">   </w:t>
                            </w:r>
                            <w:r>
                              <w:rPr>
                                <w:rFonts w:ascii="Arial" w:hAnsi="Arial"/>
                                <w:b w:val="false"/>
                                <w:i w:val="false"/>
                                <w:caps w:val="false"/>
                                <w:smallCaps w:val="false"/>
                                <w:sz w:val="20"/>
                              </w:rPr>
                              <w:t xml:space="preserve">Quarterly reports to the Credicorp Management Committee, which includes participation by the CEOs of the Group’s main companies. </w:t>
                            </w:r>
                          </w:p>
                          <w:p>
                            <w:pPr>
                              <w:pStyle w:val="TableContents"/>
                              <w:bidi w:val="0"/>
                              <w:spacing w:lineRule="auto" w:line="240" w:before="0" w:after="0"/>
                              <w:ind w:left="840" w:right="0" w:hanging="354"/>
                              <w:jc w:val="left"/>
                              <w:rPr>
                                <w:caps w:val="false"/>
                                <w:smallCaps w:val="false"/>
                              </w:rPr>
                            </w:pPr>
                            <w:r>
                              <w:rPr>
                                <w:caps w:val="false"/>
                                <w:smallCaps w:val="false"/>
                                <w:color w:val="FB6305"/>
                              </w:rPr>
                              <w:drawing>
                                <wp:inline distT="0" distB="0" distL="0" distR="0">
                                  <wp:extent cx="133350" cy="104775"/>
                                  <wp:effectExtent l="0" t="0" r="0" b="0"/>
                                  <wp:docPr id="209"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94" descr=""/>
                                          <pic:cNvPicPr>
                                            <a:picLocks noChangeAspect="1" noChangeArrowheads="1"/>
                                          </pic:cNvPicPr>
                                        </pic:nvPicPr>
                                        <pic:blipFill>
                                          <a:blip r:embed="rId152"/>
                                          <a:stretch>
                                            <a:fillRect/>
                                          </a:stretch>
                                        </pic:blipFill>
                                        <pic:spPr bwMode="auto">
                                          <a:xfrm>
                                            <a:off x="0" y="0"/>
                                            <a:ext cx="133350" cy="104775"/>
                                          </a:xfrm>
                                          <a:prstGeom prst="rect">
                                            <a:avLst/>
                                          </a:prstGeom>
                                        </pic:spPr>
                                      </pic:pic>
                                    </a:graphicData>
                                  </a:graphic>
                                </wp:inline>
                              </w:drawing>
                            </w:r>
                            <w:r>
                              <w:rPr>
                                <w:caps w:val="false"/>
                                <w:smallCaps w:val="false"/>
                              </w:rPr>
                              <w:t xml:space="preserve">  </w:t>
                            </w:r>
                            <w:r>
                              <w:rPr>
                                <w:rFonts w:ascii="Arial" w:hAnsi="Arial"/>
                                <w:b w:val="false"/>
                                <w:i w:val="false"/>
                                <w:caps w:val="false"/>
                                <w:smallCaps w:val="false"/>
                                <w:sz w:val="20"/>
                              </w:rPr>
                              <w:t>Annual report to Sustainability Committee.</w:t>
                            </w:r>
                          </w:p>
                          <w:p>
                            <w:pPr>
                              <w:pStyle w:val="TableContents"/>
                              <w:bidi w:val="0"/>
                              <w:spacing w:before="0" w:after="0"/>
                              <w:ind w:left="840" w:right="0" w:hanging="354"/>
                              <w:jc w:val="left"/>
                              <w:rPr>
                                <w:caps w:val="false"/>
                                <w:smallCaps w:val="false"/>
                              </w:rPr>
                            </w:pPr>
                            <w:r>
                              <w:rPr>
                                <w:caps w:val="false"/>
                                <w:smallCaps w:val="false"/>
                              </w:rPr>
                              <w:t> </w:t>
                            </w:r>
                          </w:p>
                          <w:p>
                            <w:pPr>
                              <w:pStyle w:val="TableContents"/>
                              <w:bidi w:val="0"/>
                              <w:spacing w:before="0" w:after="0"/>
                              <w:ind w:left="840" w:right="0" w:hanging="354"/>
                              <w:jc w:val="left"/>
                              <w:rPr>
                                <w:caps w:val="false"/>
                                <w:smallCaps w:val="false"/>
                              </w:rPr>
                            </w:pPr>
                            <w:r>
                              <w:rPr>
                                <w:caps w:val="false"/>
                                <w:smallCaps w:val="false"/>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75">
                <wp:simplePos x="0" y="0"/>
                <wp:positionH relativeFrom="column">
                  <wp:align>right</wp:align>
                </wp:positionH>
                <wp:positionV relativeFrom="line">
                  <wp:posOffset>635</wp:posOffset>
                </wp:positionV>
                <wp:extent cx="3110230" cy="7988935"/>
                <wp:effectExtent l="0" t="0" r="0" b="0"/>
                <wp:wrapSquare wrapText="left"/>
                <wp:docPr id="210" name="Frame59"/>
                <a:graphic xmlns:a="http://schemas.openxmlformats.org/drawingml/2006/main">
                  <a:graphicData uri="http://schemas.microsoft.com/office/word/2010/wordprocessingShape">
                    <wps:wsp>
                      <wps:cNvSpPr txBox="1"/>
                      <wps:spPr>
                        <a:xfrm>
                          <a:off x="0" y="0"/>
                          <a:ext cx="3110230" cy="7988935"/>
                        </a:xfrm>
                        <a:prstGeom prst="rect"/>
                        <a:solidFill>
                          <a:srgbClr val="FFFFFF"/>
                        </a:solidFill>
                      </wps:spPr>
                      <wps:txbx>
                        <w:txbxContent>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2.2.3.1. Gender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 proactively aim for gender balance at all levels of the organization. We can report progress in female participation, especially among senior leadership positions and at board level. During 2023, the Credicorp board welcomed its third female member (a second had joined in 2020), bringing the total representation to 33%.</w:t>
                            </w:r>
                          </w:p>
                          <w:p>
                            <w:pPr>
                              <w:pStyle w:val="TextBody"/>
                              <w:bidi w:val="0"/>
                              <w:spacing w:before="0" w:after="0"/>
                              <w:ind w:left="0" w:right="0" w:hanging="0"/>
                              <w:jc w:val="both"/>
                              <w:rPr>
                                <w:caps w:val="false"/>
                                <w:smallCaps w:val="false"/>
                              </w:rPr>
                            </w:pPr>
                            <w:r>
                              <w:rPr>
                                <w:caps w:val="false"/>
                                <w:smallCaps w:val="false"/>
                              </w:rPr>
                              <w:t> </w:t>
                            </w:r>
                          </w:p>
                          <w:tbl>
                            <w:tblPr>
                              <w:tblW w:w="6017" w:type="dxa"/>
                              <w:jc w:val="center"/>
                              <w:tblInd w:w="0" w:type="dxa"/>
                              <w:tblLayout w:type="fixed"/>
                              <w:tblCellMar>
                                <w:top w:w="0" w:type="dxa"/>
                                <w:left w:w="0" w:type="dxa"/>
                                <w:bottom w:w="0" w:type="dxa"/>
                                <w:right w:w="0" w:type="dxa"/>
                              </w:tblCellMar>
                            </w:tblPr>
                            <w:tblGrid>
                              <w:gridCol w:w="3969"/>
                              <w:gridCol w:w="675"/>
                              <w:gridCol w:w="675"/>
                              <w:gridCol w:w="698"/>
                            </w:tblGrid>
                            <w:tr>
                              <w:trPr/>
                              <w:tc>
                                <w:tcPr>
                                  <w:tcW w:w="3969" w:type="dxa"/>
                                  <w:tcBorders/>
                                  <w:shd w:fill="FF8000" w:val="clear"/>
                                  <w:vAlign w:val="center"/>
                                </w:tcPr>
                                <w:p>
                                  <w:pPr>
                                    <w:pStyle w:val="TableContents"/>
                                    <w:bidi w:val="0"/>
                                    <w:jc w:val="left"/>
                                    <w:rPr>
                                      <w:rFonts w:ascii="Arial" w:hAnsi="Arial"/>
                                      <w:b/>
                                      <w:color w:val="FFFFFF"/>
                                      <w:sz w:val="20"/>
                                    </w:rPr>
                                  </w:pPr>
                                  <w:r>
                                    <w:rPr>
                                      <w:rFonts w:ascii="Arial" w:hAnsi="Arial"/>
                                      <w:b/>
                                      <w:color w:val="FFFFFF"/>
                                      <w:sz w:val="20"/>
                                    </w:rPr>
                                    <w:t>Gender  balance  Credicorp</w:t>
                                  </w:r>
                                </w:p>
                                <w:p>
                                  <w:pPr>
                                    <w:pStyle w:val="TableContents"/>
                                    <w:bidi w:val="0"/>
                                    <w:spacing w:before="0" w:after="283"/>
                                    <w:jc w:val="left"/>
                                    <w:rPr>
                                      <w:rFonts w:ascii="Arial" w:hAnsi="Arial"/>
                                      <w:b/>
                                      <w:color w:val="FFFFFF"/>
                                      <w:sz w:val="20"/>
                                    </w:rPr>
                                  </w:pPr>
                                  <w:r>
                                    <w:rPr>
                                      <w:rFonts w:ascii="Arial" w:hAnsi="Arial"/>
                                      <w:b/>
                                      <w:color w:val="FFFFFF"/>
                                      <w:sz w:val="20"/>
                                    </w:rPr>
                                    <w:t>(women/total segment) %</w:t>
                                  </w:r>
                                </w:p>
                              </w:tc>
                              <w:tc>
                                <w:tcPr>
                                  <w:tcW w:w="675" w:type="dxa"/>
                                  <w:tcBorders/>
                                  <w:shd w:fill="FF8000" w:val="clear"/>
                                  <w:vAlign w:val="center"/>
                                </w:tcPr>
                                <w:p>
                                  <w:pPr>
                                    <w:pStyle w:val="TableContents"/>
                                    <w:bidi w:val="0"/>
                                    <w:spacing w:before="0" w:after="283"/>
                                    <w:jc w:val="center"/>
                                    <w:rPr>
                                      <w:rFonts w:ascii="Arial" w:hAnsi="Arial"/>
                                      <w:b/>
                                      <w:color w:val="FFFFFF"/>
                                      <w:sz w:val="20"/>
                                    </w:rPr>
                                  </w:pPr>
                                  <w:r>
                                    <w:rPr>
                                      <w:rFonts w:ascii="Arial" w:hAnsi="Arial"/>
                                      <w:b/>
                                      <w:color w:val="FFFFFF"/>
                                      <w:sz w:val="20"/>
                                    </w:rPr>
                                    <w:t>2021</w:t>
                                  </w:r>
                                </w:p>
                              </w:tc>
                              <w:tc>
                                <w:tcPr>
                                  <w:tcW w:w="675" w:type="dxa"/>
                                  <w:tcBorders/>
                                  <w:shd w:fill="FF8000" w:val="clear"/>
                                  <w:vAlign w:val="center"/>
                                </w:tcPr>
                                <w:p>
                                  <w:pPr>
                                    <w:pStyle w:val="TableContents"/>
                                    <w:bidi w:val="0"/>
                                    <w:spacing w:before="0" w:after="283"/>
                                    <w:jc w:val="center"/>
                                    <w:rPr>
                                      <w:rFonts w:ascii="Arial" w:hAnsi="Arial"/>
                                      <w:b/>
                                      <w:color w:val="FFFFFF"/>
                                      <w:sz w:val="20"/>
                                    </w:rPr>
                                  </w:pPr>
                                  <w:r>
                                    <w:rPr>
                                      <w:rFonts w:ascii="Arial" w:hAnsi="Arial"/>
                                      <w:b/>
                                      <w:color w:val="FFFFFF"/>
                                      <w:sz w:val="20"/>
                                    </w:rPr>
                                    <w:t>2022</w:t>
                                  </w:r>
                                </w:p>
                              </w:tc>
                              <w:tc>
                                <w:tcPr>
                                  <w:tcW w:w="698" w:type="dxa"/>
                                  <w:tcBorders/>
                                  <w:shd w:fill="FF8000" w:val="clear"/>
                                  <w:vAlign w:val="center"/>
                                </w:tcPr>
                                <w:p>
                                  <w:pPr>
                                    <w:pStyle w:val="TableContents"/>
                                    <w:bidi w:val="0"/>
                                    <w:spacing w:before="0" w:after="283"/>
                                    <w:jc w:val="center"/>
                                    <w:rPr>
                                      <w:rFonts w:ascii="Arial" w:hAnsi="Arial"/>
                                      <w:b/>
                                      <w:color w:val="FFFFFF"/>
                                      <w:sz w:val="20"/>
                                    </w:rPr>
                                  </w:pPr>
                                  <w:r>
                                    <w:rPr>
                                      <w:rFonts w:ascii="Arial" w:hAnsi="Arial"/>
                                      <w:b/>
                                      <w:color w:val="FFFFFF"/>
                                      <w:sz w:val="20"/>
                                    </w:rPr>
                                    <w:t>2023</w:t>
                                  </w:r>
                                </w:p>
                              </w:tc>
                            </w:tr>
                            <w:tr>
                              <w:trPr/>
                              <w:tc>
                                <w:tcPr>
                                  <w:tcW w:w="3969" w:type="dxa"/>
                                  <w:tcBorders>
                                    <w:bottom w:val="single" w:sz="8" w:space="0" w:color="000000"/>
                                  </w:tcBorders>
                                  <w:tcMar>
                                    <w:bottom w:w="40" w:type="dxa"/>
                                  </w:tcMar>
                                  <w:vAlign w:val="center"/>
                                </w:tcPr>
                                <w:p>
                                  <w:pPr>
                                    <w:pStyle w:val="TableContents"/>
                                    <w:bidi w:val="0"/>
                                    <w:spacing w:before="0" w:after="283"/>
                                    <w:jc w:val="left"/>
                                    <w:rPr>
                                      <w:rFonts w:ascii="Arial" w:hAnsi="Arial"/>
                                      <w:sz w:val="20"/>
                                    </w:rPr>
                                  </w:pPr>
                                  <w:r>
                                    <w:rPr>
                                      <w:rFonts w:ascii="Arial" w:hAnsi="Arial"/>
                                      <w:sz w:val="20"/>
                                    </w:rPr>
                                    <w:t>Senior Leaders</w:t>
                                  </w:r>
                                </w:p>
                              </w:tc>
                              <w:tc>
                                <w:tcPr>
                                  <w:tcW w:w="675" w:type="dxa"/>
                                  <w:tcBorders>
                                    <w:bottom w:val="single" w:sz="8" w:space="0" w:color="000000"/>
                                  </w:tcBorders>
                                  <w:tcMar>
                                    <w:bottom w:w="40" w:type="dxa"/>
                                  </w:tcMar>
                                  <w:vAlign w:val="center"/>
                                </w:tcPr>
                                <w:p>
                                  <w:pPr>
                                    <w:pStyle w:val="TableContents"/>
                                    <w:bidi w:val="0"/>
                                    <w:spacing w:before="0" w:after="283"/>
                                    <w:jc w:val="center"/>
                                    <w:rPr>
                                      <w:rFonts w:ascii="Arial" w:hAnsi="Arial"/>
                                      <w:sz w:val="20"/>
                                    </w:rPr>
                                  </w:pPr>
                                  <w:r>
                                    <w:rPr>
                                      <w:rFonts w:ascii="Arial" w:hAnsi="Arial"/>
                                      <w:sz w:val="20"/>
                                    </w:rPr>
                                    <w:t>26%</w:t>
                                  </w:r>
                                </w:p>
                              </w:tc>
                              <w:tc>
                                <w:tcPr>
                                  <w:tcW w:w="675" w:type="dxa"/>
                                  <w:tcBorders>
                                    <w:bottom w:val="single" w:sz="8" w:space="0" w:color="000000"/>
                                  </w:tcBorders>
                                  <w:tcMar>
                                    <w:bottom w:w="40" w:type="dxa"/>
                                  </w:tcMar>
                                  <w:vAlign w:val="center"/>
                                </w:tcPr>
                                <w:p>
                                  <w:pPr>
                                    <w:pStyle w:val="TableContents"/>
                                    <w:bidi w:val="0"/>
                                    <w:spacing w:before="0" w:after="283"/>
                                    <w:jc w:val="center"/>
                                    <w:rPr>
                                      <w:rFonts w:ascii="Arial" w:hAnsi="Arial"/>
                                      <w:sz w:val="20"/>
                                    </w:rPr>
                                  </w:pPr>
                                  <w:r>
                                    <w:rPr>
                                      <w:rFonts w:ascii="Arial" w:hAnsi="Arial"/>
                                      <w:sz w:val="20"/>
                                    </w:rPr>
                                    <w:t>27%</w:t>
                                  </w:r>
                                </w:p>
                              </w:tc>
                              <w:tc>
                                <w:tcPr>
                                  <w:tcW w:w="698" w:type="dxa"/>
                                  <w:tcBorders>
                                    <w:bottom w:val="single" w:sz="8" w:space="0" w:color="000000"/>
                                  </w:tcBorders>
                                  <w:tcMar>
                                    <w:bottom w:w="40" w:type="dxa"/>
                                  </w:tcMar>
                                  <w:vAlign w:val="center"/>
                                </w:tcPr>
                                <w:p>
                                  <w:pPr>
                                    <w:pStyle w:val="TableContents"/>
                                    <w:bidi w:val="0"/>
                                    <w:spacing w:before="0" w:after="283"/>
                                    <w:jc w:val="center"/>
                                    <w:rPr>
                                      <w:rFonts w:ascii="Arial" w:hAnsi="Arial"/>
                                      <w:sz w:val="20"/>
                                    </w:rPr>
                                  </w:pPr>
                                  <w:r>
                                    <w:rPr>
                                      <w:rFonts w:ascii="Arial" w:hAnsi="Arial"/>
                                      <w:sz w:val="20"/>
                                    </w:rPr>
                                    <w:t>31%</w:t>
                                  </w:r>
                                </w:p>
                              </w:tc>
                            </w:tr>
                            <w:tr>
                              <w:trPr/>
                              <w:tc>
                                <w:tcPr>
                                  <w:tcW w:w="3969" w:type="dxa"/>
                                  <w:tcBorders>
                                    <w:bottom w:val="single" w:sz="8" w:space="0" w:color="000000"/>
                                  </w:tcBorders>
                                  <w:tcMar>
                                    <w:bottom w:w="40" w:type="dxa"/>
                                  </w:tcMar>
                                  <w:vAlign w:val="center"/>
                                </w:tcPr>
                                <w:p>
                                  <w:pPr>
                                    <w:pStyle w:val="TableContents"/>
                                    <w:bidi w:val="0"/>
                                    <w:spacing w:before="0" w:after="283"/>
                                    <w:jc w:val="left"/>
                                    <w:rPr>
                                      <w:rFonts w:ascii="Arial" w:hAnsi="Arial"/>
                                      <w:sz w:val="20"/>
                                    </w:rPr>
                                  </w:pPr>
                                  <w:r>
                                    <w:rPr>
                                      <w:rFonts w:ascii="Arial" w:hAnsi="Arial"/>
                                      <w:sz w:val="20"/>
                                    </w:rPr>
                                    <w:t>Middle Management</w:t>
                                  </w:r>
                                </w:p>
                              </w:tc>
                              <w:tc>
                                <w:tcPr>
                                  <w:tcW w:w="675" w:type="dxa"/>
                                  <w:tcBorders>
                                    <w:bottom w:val="single" w:sz="8" w:space="0" w:color="000000"/>
                                  </w:tcBorders>
                                  <w:tcMar>
                                    <w:bottom w:w="40" w:type="dxa"/>
                                  </w:tcMar>
                                  <w:vAlign w:val="center"/>
                                </w:tcPr>
                                <w:p>
                                  <w:pPr>
                                    <w:pStyle w:val="TableContents"/>
                                    <w:bidi w:val="0"/>
                                    <w:spacing w:before="0" w:after="283"/>
                                    <w:jc w:val="center"/>
                                    <w:rPr>
                                      <w:rFonts w:ascii="Arial" w:hAnsi="Arial"/>
                                      <w:sz w:val="20"/>
                                    </w:rPr>
                                  </w:pPr>
                                  <w:r>
                                    <w:rPr>
                                      <w:rFonts w:ascii="Arial" w:hAnsi="Arial"/>
                                      <w:sz w:val="20"/>
                                    </w:rPr>
                                    <w:t>39%</w:t>
                                  </w:r>
                                </w:p>
                              </w:tc>
                              <w:tc>
                                <w:tcPr>
                                  <w:tcW w:w="675" w:type="dxa"/>
                                  <w:tcBorders>
                                    <w:bottom w:val="single" w:sz="8" w:space="0" w:color="000000"/>
                                  </w:tcBorders>
                                  <w:tcMar>
                                    <w:bottom w:w="40" w:type="dxa"/>
                                  </w:tcMar>
                                  <w:vAlign w:val="center"/>
                                </w:tcPr>
                                <w:p>
                                  <w:pPr>
                                    <w:pStyle w:val="TableContents"/>
                                    <w:bidi w:val="0"/>
                                    <w:spacing w:before="0" w:after="283"/>
                                    <w:jc w:val="center"/>
                                    <w:rPr>
                                      <w:rFonts w:ascii="Arial" w:hAnsi="Arial"/>
                                      <w:sz w:val="20"/>
                                    </w:rPr>
                                  </w:pPr>
                                  <w:r>
                                    <w:rPr>
                                      <w:rFonts w:ascii="Arial" w:hAnsi="Arial"/>
                                      <w:sz w:val="20"/>
                                    </w:rPr>
                                    <w:t>38%</w:t>
                                  </w:r>
                                </w:p>
                              </w:tc>
                              <w:tc>
                                <w:tcPr>
                                  <w:tcW w:w="698" w:type="dxa"/>
                                  <w:tcBorders>
                                    <w:bottom w:val="single" w:sz="8" w:space="0" w:color="000000"/>
                                  </w:tcBorders>
                                  <w:tcMar>
                                    <w:bottom w:w="40" w:type="dxa"/>
                                  </w:tcMar>
                                  <w:vAlign w:val="center"/>
                                </w:tcPr>
                                <w:p>
                                  <w:pPr>
                                    <w:pStyle w:val="TableContents"/>
                                    <w:bidi w:val="0"/>
                                    <w:spacing w:before="0" w:after="283"/>
                                    <w:jc w:val="center"/>
                                    <w:rPr>
                                      <w:rFonts w:ascii="Arial" w:hAnsi="Arial"/>
                                      <w:sz w:val="20"/>
                                    </w:rPr>
                                  </w:pPr>
                                  <w:r>
                                    <w:rPr>
                                      <w:rFonts w:ascii="Arial" w:hAnsi="Arial"/>
                                      <w:sz w:val="20"/>
                                    </w:rPr>
                                    <w:t>35%</w:t>
                                  </w:r>
                                </w:p>
                              </w:tc>
                            </w:tr>
                            <w:tr>
                              <w:trPr/>
                              <w:tc>
                                <w:tcPr>
                                  <w:tcW w:w="3969" w:type="dxa"/>
                                  <w:tcBorders>
                                    <w:bottom w:val="single" w:sz="8" w:space="0" w:color="000000"/>
                                  </w:tcBorders>
                                  <w:tcMar>
                                    <w:bottom w:w="40" w:type="dxa"/>
                                  </w:tcMar>
                                  <w:vAlign w:val="center"/>
                                </w:tcPr>
                                <w:p>
                                  <w:pPr>
                                    <w:pStyle w:val="TableContents"/>
                                    <w:bidi w:val="0"/>
                                    <w:spacing w:before="0" w:after="283"/>
                                    <w:jc w:val="left"/>
                                    <w:rPr>
                                      <w:rFonts w:ascii="Arial" w:hAnsi="Arial"/>
                                      <w:sz w:val="20"/>
                                    </w:rPr>
                                  </w:pPr>
                                  <w:r>
                                    <w:rPr>
                                      <w:rFonts w:ascii="Arial" w:hAnsi="Arial"/>
                                      <w:sz w:val="20"/>
                                    </w:rPr>
                                    <w:t>Non-managerial employees</w:t>
                                  </w:r>
                                </w:p>
                              </w:tc>
                              <w:tc>
                                <w:tcPr>
                                  <w:tcW w:w="675" w:type="dxa"/>
                                  <w:tcBorders>
                                    <w:bottom w:val="single" w:sz="8" w:space="0" w:color="000000"/>
                                  </w:tcBorders>
                                  <w:tcMar>
                                    <w:bottom w:w="40" w:type="dxa"/>
                                  </w:tcMar>
                                  <w:vAlign w:val="center"/>
                                </w:tcPr>
                                <w:p>
                                  <w:pPr>
                                    <w:pStyle w:val="TableContents"/>
                                    <w:bidi w:val="0"/>
                                    <w:spacing w:before="0" w:after="283"/>
                                    <w:jc w:val="center"/>
                                    <w:rPr>
                                      <w:rFonts w:ascii="Arial" w:hAnsi="Arial"/>
                                      <w:sz w:val="20"/>
                                    </w:rPr>
                                  </w:pPr>
                                  <w:r>
                                    <w:rPr>
                                      <w:rFonts w:ascii="Arial" w:hAnsi="Arial"/>
                                      <w:sz w:val="20"/>
                                    </w:rPr>
                                    <w:t>56%</w:t>
                                  </w:r>
                                </w:p>
                              </w:tc>
                              <w:tc>
                                <w:tcPr>
                                  <w:tcW w:w="675" w:type="dxa"/>
                                  <w:tcBorders>
                                    <w:bottom w:val="single" w:sz="8" w:space="0" w:color="000000"/>
                                  </w:tcBorders>
                                  <w:tcMar>
                                    <w:bottom w:w="40" w:type="dxa"/>
                                  </w:tcMar>
                                  <w:vAlign w:val="center"/>
                                </w:tcPr>
                                <w:p>
                                  <w:pPr>
                                    <w:pStyle w:val="TableContents"/>
                                    <w:bidi w:val="0"/>
                                    <w:spacing w:before="0" w:after="283"/>
                                    <w:jc w:val="center"/>
                                    <w:rPr>
                                      <w:rFonts w:ascii="Arial" w:hAnsi="Arial"/>
                                      <w:sz w:val="20"/>
                                    </w:rPr>
                                  </w:pPr>
                                  <w:r>
                                    <w:rPr>
                                      <w:rFonts w:ascii="Arial" w:hAnsi="Arial"/>
                                      <w:sz w:val="20"/>
                                    </w:rPr>
                                    <w:t>55%</w:t>
                                  </w:r>
                                </w:p>
                              </w:tc>
                              <w:tc>
                                <w:tcPr>
                                  <w:tcW w:w="698" w:type="dxa"/>
                                  <w:tcBorders>
                                    <w:bottom w:val="single" w:sz="8" w:space="0" w:color="000000"/>
                                  </w:tcBorders>
                                  <w:tcMar>
                                    <w:bottom w:w="40" w:type="dxa"/>
                                  </w:tcMar>
                                  <w:vAlign w:val="center"/>
                                </w:tcPr>
                                <w:p>
                                  <w:pPr>
                                    <w:pStyle w:val="TableContents"/>
                                    <w:bidi w:val="0"/>
                                    <w:spacing w:before="0" w:after="283"/>
                                    <w:jc w:val="center"/>
                                    <w:rPr>
                                      <w:rFonts w:ascii="Arial" w:hAnsi="Arial"/>
                                      <w:sz w:val="20"/>
                                    </w:rPr>
                                  </w:pPr>
                                  <w:r>
                                    <w:rPr>
                                      <w:rFonts w:ascii="Arial" w:hAnsi="Arial"/>
                                      <w:sz w:val="20"/>
                                    </w:rPr>
                                    <w:t>55%</w:t>
                                  </w:r>
                                </w:p>
                              </w:tc>
                            </w:tr>
                            <w:tr>
                              <w:trPr/>
                              <w:tc>
                                <w:tcPr>
                                  <w:tcW w:w="3969" w:type="dxa"/>
                                  <w:tcBorders>
                                    <w:bottom w:val="single" w:sz="8" w:space="0" w:color="000000"/>
                                  </w:tcBorders>
                                  <w:tcMar>
                                    <w:bottom w:w="40" w:type="dxa"/>
                                  </w:tcMar>
                                  <w:vAlign w:val="center"/>
                                </w:tcPr>
                                <w:p>
                                  <w:pPr>
                                    <w:pStyle w:val="TableContents"/>
                                    <w:bidi w:val="0"/>
                                    <w:spacing w:before="0" w:after="283"/>
                                    <w:jc w:val="left"/>
                                    <w:rPr>
                                      <w:rFonts w:ascii="Arial" w:hAnsi="Arial"/>
                                      <w:b/>
                                      <w:sz w:val="20"/>
                                    </w:rPr>
                                  </w:pPr>
                                  <w:r>
                                    <w:rPr>
                                      <w:rFonts w:ascii="Arial" w:hAnsi="Arial"/>
                                      <w:b/>
                                      <w:sz w:val="20"/>
                                    </w:rPr>
                                    <w:t>Total Credicorp</w:t>
                                  </w:r>
                                </w:p>
                              </w:tc>
                              <w:tc>
                                <w:tcPr>
                                  <w:tcW w:w="675" w:type="dxa"/>
                                  <w:tcBorders>
                                    <w:bottom w:val="single" w:sz="8" w:space="0" w:color="000000"/>
                                  </w:tcBorders>
                                  <w:tcMar>
                                    <w:bottom w:w="40" w:type="dxa"/>
                                  </w:tcMar>
                                  <w:vAlign w:val="center"/>
                                </w:tcPr>
                                <w:p>
                                  <w:pPr>
                                    <w:pStyle w:val="TableContents"/>
                                    <w:bidi w:val="0"/>
                                    <w:spacing w:before="0" w:after="283"/>
                                    <w:jc w:val="center"/>
                                    <w:rPr>
                                      <w:rFonts w:ascii="Arial" w:hAnsi="Arial"/>
                                      <w:b/>
                                      <w:sz w:val="20"/>
                                    </w:rPr>
                                  </w:pPr>
                                  <w:r>
                                    <w:rPr>
                                      <w:rFonts w:ascii="Arial" w:hAnsi="Arial"/>
                                      <w:b/>
                                      <w:sz w:val="20"/>
                                    </w:rPr>
                                    <w:t>56%</w:t>
                                  </w:r>
                                </w:p>
                              </w:tc>
                              <w:tc>
                                <w:tcPr>
                                  <w:tcW w:w="675" w:type="dxa"/>
                                  <w:tcBorders>
                                    <w:bottom w:val="single" w:sz="8" w:space="0" w:color="000000"/>
                                  </w:tcBorders>
                                  <w:tcMar>
                                    <w:bottom w:w="40" w:type="dxa"/>
                                  </w:tcMar>
                                  <w:vAlign w:val="center"/>
                                </w:tcPr>
                                <w:p>
                                  <w:pPr>
                                    <w:pStyle w:val="TableContents"/>
                                    <w:bidi w:val="0"/>
                                    <w:spacing w:before="0" w:after="283"/>
                                    <w:jc w:val="center"/>
                                    <w:rPr>
                                      <w:rFonts w:ascii="Arial" w:hAnsi="Arial"/>
                                      <w:b/>
                                      <w:sz w:val="20"/>
                                    </w:rPr>
                                  </w:pPr>
                                  <w:r>
                                    <w:rPr>
                                      <w:rFonts w:ascii="Arial" w:hAnsi="Arial"/>
                                      <w:b/>
                                      <w:sz w:val="20"/>
                                    </w:rPr>
                                    <w:t>55%</w:t>
                                  </w:r>
                                </w:p>
                              </w:tc>
                              <w:tc>
                                <w:tcPr>
                                  <w:tcW w:w="698" w:type="dxa"/>
                                  <w:tcBorders>
                                    <w:bottom w:val="single" w:sz="8" w:space="0" w:color="000000"/>
                                  </w:tcBorders>
                                  <w:tcMar>
                                    <w:bottom w:w="40" w:type="dxa"/>
                                  </w:tcMar>
                                  <w:vAlign w:val="center"/>
                                </w:tcPr>
                                <w:p>
                                  <w:pPr>
                                    <w:pStyle w:val="TableContents"/>
                                    <w:bidi w:val="0"/>
                                    <w:spacing w:before="0" w:after="283"/>
                                    <w:jc w:val="center"/>
                                    <w:rPr>
                                      <w:rFonts w:ascii="Arial" w:hAnsi="Arial"/>
                                      <w:b/>
                                      <w:sz w:val="20"/>
                                    </w:rPr>
                                  </w:pPr>
                                  <w:r>
                                    <w:rPr>
                                      <w:rFonts w:ascii="Arial" w:hAnsi="Arial"/>
                                      <w:b/>
                                      <w:sz w:val="20"/>
                                    </w:rPr>
                                    <w:t>54%</w:t>
                                  </w:r>
                                </w:p>
                              </w:tc>
                            </w:tr>
                            <w:tr>
                              <w:trPr/>
                              <w:tc>
                                <w:tcPr>
                                  <w:tcW w:w="3969" w:type="dxa"/>
                                  <w:tcBorders>
                                    <w:bottom w:val="single" w:sz="8" w:space="0" w:color="000000"/>
                                  </w:tcBorders>
                                  <w:tcMar>
                                    <w:bottom w:w="40" w:type="dxa"/>
                                  </w:tcMar>
                                  <w:vAlign w:val="center"/>
                                </w:tcPr>
                                <w:p>
                                  <w:pPr>
                                    <w:pStyle w:val="TableContents"/>
                                    <w:bidi w:val="0"/>
                                    <w:spacing w:before="0" w:after="283"/>
                                    <w:jc w:val="left"/>
                                    <w:rPr/>
                                  </w:pPr>
                                  <w:r>
                                    <w:rPr/>
                                    <w:t> </w:t>
                                  </w:r>
                                </w:p>
                              </w:tc>
                              <w:tc>
                                <w:tcPr>
                                  <w:tcW w:w="675" w:type="dxa"/>
                                  <w:tcBorders>
                                    <w:bottom w:val="single" w:sz="8" w:space="0" w:color="000000"/>
                                  </w:tcBorders>
                                  <w:tcMar>
                                    <w:bottom w:w="40" w:type="dxa"/>
                                  </w:tcMar>
                                  <w:vAlign w:val="center"/>
                                </w:tcPr>
                                <w:p>
                                  <w:pPr>
                                    <w:pStyle w:val="TableContents"/>
                                    <w:bidi w:val="0"/>
                                    <w:spacing w:before="0" w:after="283"/>
                                    <w:jc w:val="center"/>
                                    <w:rPr/>
                                  </w:pPr>
                                  <w:r>
                                    <w:rPr/>
                                    <w:t> </w:t>
                                  </w:r>
                                </w:p>
                              </w:tc>
                              <w:tc>
                                <w:tcPr>
                                  <w:tcW w:w="675" w:type="dxa"/>
                                  <w:tcBorders>
                                    <w:bottom w:val="single" w:sz="8" w:space="0" w:color="000000"/>
                                  </w:tcBorders>
                                  <w:tcMar>
                                    <w:bottom w:w="40" w:type="dxa"/>
                                  </w:tcMar>
                                  <w:vAlign w:val="center"/>
                                </w:tcPr>
                                <w:p>
                                  <w:pPr>
                                    <w:pStyle w:val="TableContents"/>
                                    <w:bidi w:val="0"/>
                                    <w:spacing w:before="0" w:after="283"/>
                                    <w:jc w:val="center"/>
                                    <w:rPr/>
                                  </w:pPr>
                                  <w:r>
                                    <w:rPr/>
                                    <w:t> </w:t>
                                  </w:r>
                                </w:p>
                              </w:tc>
                              <w:tc>
                                <w:tcPr>
                                  <w:tcW w:w="698" w:type="dxa"/>
                                  <w:tcBorders>
                                    <w:bottom w:val="single" w:sz="8" w:space="0" w:color="000000"/>
                                  </w:tcBorders>
                                  <w:tcMar>
                                    <w:bottom w:w="40" w:type="dxa"/>
                                  </w:tcMar>
                                  <w:vAlign w:val="center"/>
                                </w:tcPr>
                                <w:p>
                                  <w:pPr>
                                    <w:pStyle w:val="TableContents"/>
                                    <w:bidi w:val="0"/>
                                    <w:spacing w:before="0" w:after="283"/>
                                    <w:jc w:val="center"/>
                                    <w:rPr/>
                                  </w:pPr>
                                  <w:r>
                                    <w:rPr/>
                                    <w:t> </w:t>
                                  </w:r>
                                </w:p>
                              </w:tc>
                            </w:tr>
                            <w:tr>
                              <w:trPr/>
                              <w:tc>
                                <w:tcPr>
                                  <w:tcW w:w="3969" w:type="dxa"/>
                                  <w:tcBorders>
                                    <w:bottom w:val="single" w:sz="8" w:space="0" w:color="000000"/>
                                  </w:tcBorders>
                                  <w:tcMar>
                                    <w:bottom w:w="40" w:type="dxa"/>
                                  </w:tcMar>
                                  <w:vAlign w:val="center"/>
                                </w:tcPr>
                                <w:p>
                                  <w:pPr>
                                    <w:pStyle w:val="TableContents"/>
                                    <w:bidi w:val="0"/>
                                    <w:spacing w:before="0" w:after="283"/>
                                    <w:jc w:val="left"/>
                                    <w:rPr>
                                      <w:rFonts w:ascii="Arial" w:hAnsi="Arial"/>
                                      <w:b/>
                                      <w:sz w:val="20"/>
                                    </w:rPr>
                                  </w:pPr>
                                  <w:r>
                                    <w:rPr>
                                      <w:rFonts w:ascii="Arial" w:hAnsi="Arial"/>
                                      <w:b/>
                                      <w:sz w:val="20"/>
                                    </w:rPr>
                                    <w:t>The Board</w:t>
                                  </w:r>
                                </w:p>
                              </w:tc>
                              <w:tc>
                                <w:tcPr>
                                  <w:tcW w:w="675" w:type="dxa"/>
                                  <w:tcBorders>
                                    <w:bottom w:val="single" w:sz="8" w:space="0" w:color="000000"/>
                                  </w:tcBorders>
                                  <w:tcMar>
                                    <w:bottom w:w="40" w:type="dxa"/>
                                  </w:tcMar>
                                  <w:vAlign w:val="center"/>
                                </w:tcPr>
                                <w:p>
                                  <w:pPr>
                                    <w:pStyle w:val="TableContents"/>
                                    <w:bidi w:val="0"/>
                                    <w:spacing w:before="0" w:after="283"/>
                                    <w:jc w:val="center"/>
                                    <w:rPr>
                                      <w:rFonts w:ascii="Arial" w:hAnsi="Arial"/>
                                      <w:b/>
                                      <w:sz w:val="20"/>
                                    </w:rPr>
                                  </w:pPr>
                                  <w:r>
                                    <w:rPr>
                                      <w:rFonts w:ascii="Arial" w:hAnsi="Arial"/>
                                      <w:b/>
                                      <w:sz w:val="20"/>
                                    </w:rPr>
                                    <w:t>22%</w:t>
                                  </w:r>
                                </w:p>
                              </w:tc>
                              <w:tc>
                                <w:tcPr>
                                  <w:tcW w:w="675" w:type="dxa"/>
                                  <w:tcBorders>
                                    <w:bottom w:val="single" w:sz="8" w:space="0" w:color="000000"/>
                                  </w:tcBorders>
                                  <w:tcMar>
                                    <w:bottom w:w="40" w:type="dxa"/>
                                  </w:tcMar>
                                  <w:vAlign w:val="center"/>
                                </w:tcPr>
                                <w:p>
                                  <w:pPr>
                                    <w:pStyle w:val="TableContents"/>
                                    <w:bidi w:val="0"/>
                                    <w:spacing w:before="0" w:after="283"/>
                                    <w:jc w:val="center"/>
                                    <w:rPr>
                                      <w:rFonts w:ascii="Arial" w:hAnsi="Arial"/>
                                      <w:b/>
                                      <w:sz w:val="20"/>
                                    </w:rPr>
                                  </w:pPr>
                                  <w:r>
                                    <w:rPr>
                                      <w:rFonts w:ascii="Arial" w:hAnsi="Arial"/>
                                      <w:b/>
                                      <w:sz w:val="20"/>
                                    </w:rPr>
                                    <w:t>22%</w:t>
                                  </w:r>
                                </w:p>
                              </w:tc>
                              <w:tc>
                                <w:tcPr>
                                  <w:tcW w:w="698" w:type="dxa"/>
                                  <w:tcBorders>
                                    <w:bottom w:val="single" w:sz="8" w:space="0" w:color="000000"/>
                                  </w:tcBorders>
                                  <w:tcMar>
                                    <w:bottom w:w="40" w:type="dxa"/>
                                  </w:tcMar>
                                  <w:vAlign w:val="center"/>
                                </w:tcPr>
                                <w:p>
                                  <w:pPr>
                                    <w:pStyle w:val="TableContents"/>
                                    <w:bidi w:val="0"/>
                                    <w:spacing w:before="0" w:after="283"/>
                                    <w:jc w:val="center"/>
                                    <w:rPr>
                                      <w:rFonts w:ascii="Arial" w:hAnsi="Arial"/>
                                      <w:b/>
                                      <w:sz w:val="20"/>
                                    </w:rPr>
                                  </w:pPr>
                                  <w:r>
                                    <w:rPr>
                                      <w:rFonts w:ascii="Arial" w:hAnsi="Arial"/>
                                      <w:b/>
                                      <w:sz w:val="20"/>
                                    </w:rPr>
                                    <w:t>33%</w:t>
                                  </w:r>
                                </w:p>
                              </w:tc>
                            </w:tr>
                            <w:tr>
                              <w:trPr/>
                              <w:tc>
                                <w:tcPr>
                                  <w:tcW w:w="6017" w:type="dxa"/>
                                  <w:gridSpan w:val="4"/>
                                  <w:tcBorders>
                                    <w:bottom w:val="single" w:sz="8" w:space="0" w:color="000000"/>
                                  </w:tcBorders>
                                  <w:tcMar>
                                    <w:bottom w:w="4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Note: Further details on gender balance are available in the annexes.</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 are also implementing various initiatives to strengthen female participation in leadership groups—such as Credicorp's mentoring for women and men, women’s networks and having women as spokespeople for the organization—and to empower and give more visibility to our female leaders. Our employer brand strategy focuses on gender equity and the proactive search for female talent.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shd w:fill="FF7233" w:val="clear"/>
                                  <w:vAlign w:val="center"/>
                                </w:tcPr>
                                <w:p>
                                  <w:pPr>
                                    <w:pStyle w:val="TableContents"/>
                                    <w:bidi w:val="0"/>
                                    <w:spacing w:before="0" w:after="0"/>
                                    <w:ind w:left="0" w:right="0" w:hanging="0"/>
                                    <w:jc w:val="left"/>
                                    <w:rPr>
                                      <w:caps w:val="false"/>
                                      <w:smallCaps w:val="false"/>
                                      <w:color w:val="FFFFFF"/>
                                    </w:rPr>
                                  </w:pPr>
                                  <w:r>
                                    <w:rPr>
                                      <w:caps w:val="false"/>
                                      <w:smallCaps w:val="false"/>
                                      <w:color w:val="FFFFFF"/>
                                    </w:rPr>
                                    <w:t> </w:t>
                                  </w:r>
                                </w:p>
                                <w:p>
                                  <w:pPr>
                                    <w:pStyle w:val="TableContents"/>
                                    <w:bidi w:val="0"/>
                                    <w:spacing w:before="0" w:after="0"/>
                                    <w:ind w:left="0" w:right="0" w:hanging="0"/>
                                    <w:jc w:val="left"/>
                                    <w:rPr>
                                      <w:rFonts w:ascii="Arial" w:hAnsi="Arial"/>
                                      <w:b/>
                                      <w:i w:val="false"/>
                                      <w:caps w:val="false"/>
                                      <w:smallCaps w:val="false"/>
                                      <w:color w:val="FFFFFF"/>
                                      <w:sz w:val="20"/>
                                    </w:rPr>
                                  </w:pPr>
                                  <w:r>
                                    <w:rPr>
                                      <w:rFonts w:ascii="Arial" w:hAnsi="Arial"/>
                                      <w:b/>
                                      <w:i w:val="false"/>
                                      <w:caps w:val="false"/>
                                      <w:smallCaps w:val="false"/>
                                      <w:color w:val="FFFFFF"/>
                                      <w:sz w:val="20"/>
                                    </w:rPr>
                                    <w:t>The Women's Mentoring Program</w:t>
                                  </w:r>
                                </w:p>
                                <w:p>
                                  <w:pPr>
                                    <w:pStyle w:val="TableContents"/>
                                    <w:bidi w:val="0"/>
                                    <w:spacing w:before="0" w:after="0"/>
                                    <w:ind w:left="0" w:right="0" w:hanging="0"/>
                                    <w:jc w:val="left"/>
                                    <w:rPr>
                                      <w:caps w:val="false"/>
                                      <w:smallCaps w:val="false"/>
                                      <w:color w:val="FFFFFF"/>
                                    </w:rPr>
                                  </w:pPr>
                                  <w:r>
                                    <w:rPr>
                                      <w:caps w:val="false"/>
                                      <w:smallCaps w:val="false"/>
                                      <w:color w:val="FFFFFF"/>
                                    </w:rPr>
                                    <w:t> </w:t>
                                  </w:r>
                                </w:p>
                                <w:p>
                                  <w:pPr>
                                    <w:pStyle w:val="TableContents"/>
                                    <w:bidi w:val="0"/>
                                    <w:spacing w:before="0" w:after="0"/>
                                    <w:ind w:left="0" w:right="0" w:hanging="0"/>
                                    <w:jc w:val="left"/>
                                    <w:rPr>
                                      <w:rFonts w:ascii="Arial" w:hAnsi="Arial"/>
                                      <w:b w:val="false"/>
                                      <w:i w:val="false"/>
                                      <w:caps w:val="false"/>
                                      <w:smallCaps w:val="false"/>
                                      <w:color w:val="FFFFFF"/>
                                      <w:sz w:val="20"/>
                                    </w:rPr>
                                  </w:pPr>
                                  <w:r>
                                    <w:rPr>
                                      <w:rFonts w:ascii="Arial" w:hAnsi="Arial"/>
                                      <w:b w:val="false"/>
                                      <w:i w:val="false"/>
                                      <w:caps w:val="false"/>
                                      <w:smallCaps w:val="false"/>
                                      <w:color w:val="FFFFFF"/>
                                      <w:sz w:val="20"/>
                                    </w:rPr>
                                    <w:t>Our Women’s Mentoring Program is a testament to our commitment to gender equity. It covers senior leaders and middle managers and is reflected throughout the organization. One of the program’s most inspiring features is how many participating women—who form part of communities of technical expertise, be they technology or finance—have become motivated to step into mentorship roles beyond our organization. It is a clear example of how we positively impact women’s careers and, at the same time, their environment.</w:t>
                                  </w:r>
                                </w:p>
                                <w:p>
                                  <w:pPr>
                                    <w:pStyle w:val="TableContents"/>
                                    <w:bidi w:val="0"/>
                                    <w:spacing w:before="0" w:after="0"/>
                                    <w:ind w:left="0" w:right="0" w:hanging="0"/>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29.0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2.2.3.1. Gender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 proactively aim for gender balance at all levels of the organization. We can report progress in female participation, especially among senior leadership positions and at board level. During 2023, the Credicorp board welcomed its third female member (a second had joined in 2020), bringing the total representation to 33%.</w:t>
                      </w:r>
                    </w:p>
                    <w:p>
                      <w:pPr>
                        <w:pStyle w:val="TextBody"/>
                        <w:bidi w:val="0"/>
                        <w:spacing w:before="0" w:after="0"/>
                        <w:ind w:left="0" w:right="0" w:hanging="0"/>
                        <w:jc w:val="both"/>
                        <w:rPr>
                          <w:caps w:val="false"/>
                          <w:smallCaps w:val="false"/>
                        </w:rPr>
                      </w:pPr>
                      <w:r>
                        <w:rPr>
                          <w:caps w:val="false"/>
                          <w:smallCaps w:val="false"/>
                        </w:rPr>
                        <w:t> </w:t>
                      </w:r>
                    </w:p>
                    <w:tbl>
                      <w:tblPr>
                        <w:tblW w:w="6017" w:type="dxa"/>
                        <w:jc w:val="center"/>
                        <w:tblInd w:w="0" w:type="dxa"/>
                        <w:tblLayout w:type="fixed"/>
                        <w:tblCellMar>
                          <w:top w:w="0" w:type="dxa"/>
                          <w:left w:w="0" w:type="dxa"/>
                          <w:bottom w:w="0" w:type="dxa"/>
                          <w:right w:w="0" w:type="dxa"/>
                        </w:tblCellMar>
                      </w:tblPr>
                      <w:tblGrid>
                        <w:gridCol w:w="3969"/>
                        <w:gridCol w:w="675"/>
                        <w:gridCol w:w="675"/>
                        <w:gridCol w:w="698"/>
                      </w:tblGrid>
                      <w:tr>
                        <w:trPr/>
                        <w:tc>
                          <w:tcPr>
                            <w:tcW w:w="3969" w:type="dxa"/>
                            <w:tcBorders/>
                            <w:shd w:fill="FF8000" w:val="clear"/>
                            <w:vAlign w:val="center"/>
                          </w:tcPr>
                          <w:p>
                            <w:pPr>
                              <w:pStyle w:val="TableContents"/>
                              <w:bidi w:val="0"/>
                              <w:jc w:val="left"/>
                              <w:rPr>
                                <w:rFonts w:ascii="Arial" w:hAnsi="Arial"/>
                                <w:b/>
                                <w:color w:val="FFFFFF"/>
                                <w:sz w:val="20"/>
                              </w:rPr>
                            </w:pPr>
                            <w:r>
                              <w:rPr>
                                <w:rFonts w:ascii="Arial" w:hAnsi="Arial"/>
                                <w:b/>
                                <w:color w:val="FFFFFF"/>
                                <w:sz w:val="20"/>
                              </w:rPr>
                              <w:t>Gender  balance  Credicorp</w:t>
                            </w:r>
                          </w:p>
                          <w:p>
                            <w:pPr>
                              <w:pStyle w:val="TableContents"/>
                              <w:bidi w:val="0"/>
                              <w:spacing w:before="0" w:after="283"/>
                              <w:jc w:val="left"/>
                              <w:rPr>
                                <w:rFonts w:ascii="Arial" w:hAnsi="Arial"/>
                                <w:b/>
                                <w:color w:val="FFFFFF"/>
                                <w:sz w:val="20"/>
                              </w:rPr>
                            </w:pPr>
                            <w:r>
                              <w:rPr>
                                <w:rFonts w:ascii="Arial" w:hAnsi="Arial"/>
                                <w:b/>
                                <w:color w:val="FFFFFF"/>
                                <w:sz w:val="20"/>
                              </w:rPr>
                              <w:t>(women/total segment) %</w:t>
                            </w:r>
                          </w:p>
                        </w:tc>
                        <w:tc>
                          <w:tcPr>
                            <w:tcW w:w="675" w:type="dxa"/>
                            <w:tcBorders/>
                            <w:shd w:fill="FF8000" w:val="clear"/>
                            <w:vAlign w:val="center"/>
                          </w:tcPr>
                          <w:p>
                            <w:pPr>
                              <w:pStyle w:val="TableContents"/>
                              <w:bidi w:val="0"/>
                              <w:spacing w:before="0" w:after="283"/>
                              <w:jc w:val="center"/>
                              <w:rPr>
                                <w:rFonts w:ascii="Arial" w:hAnsi="Arial"/>
                                <w:b/>
                                <w:color w:val="FFFFFF"/>
                                <w:sz w:val="20"/>
                              </w:rPr>
                            </w:pPr>
                            <w:r>
                              <w:rPr>
                                <w:rFonts w:ascii="Arial" w:hAnsi="Arial"/>
                                <w:b/>
                                <w:color w:val="FFFFFF"/>
                                <w:sz w:val="20"/>
                              </w:rPr>
                              <w:t>2021</w:t>
                            </w:r>
                          </w:p>
                        </w:tc>
                        <w:tc>
                          <w:tcPr>
                            <w:tcW w:w="675" w:type="dxa"/>
                            <w:tcBorders/>
                            <w:shd w:fill="FF8000" w:val="clear"/>
                            <w:vAlign w:val="center"/>
                          </w:tcPr>
                          <w:p>
                            <w:pPr>
                              <w:pStyle w:val="TableContents"/>
                              <w:bidi w:val="0"/>
                              <w:spacing w:before="0" w:after="283"/>
                              <w:jc w:val="center"/>
                              <w:rPr>
                                <w:rFonts w:ascii="Arial" w:hAnsi="Arial"/>
                                <w:b/>
                                <w:color w:val="FFFFFF"/>
                                <w:sz w:val="20"/>
                              </w:rPr>
                            </w:pPr>
                            <w:r>
                              <w:rPr>
                                <w:rFonts w:ascii="Arial" w:hAnsi="Arial"/>
                                <w:b/>
                                <w:color w:val="FFFFFF"/>
                                <w:sz w:val="20"/>
                              </w:rPr>
                              <w:t>2022</w:t>
                            </w:r>
                          </w:p>
                        </w:tc>
                        <w:tc>
                          <w:tcPr>
                            <w:tcW w:w="698" w:type="dxa"/>
                            <w:tcBorders/>
                            <w:shd w:fill="FF8000" w:val="clear"/>
                            <w:vAlign w:val="center"/>
                          </w:tcPr>
                          <w:p>
                            <w:pPr>
                              <w:pStyle w:val="TableContents"/>
                              <w:bidi w:val="0"/>
                              <w:spacing w:before="0" w:after="283"/>
                              <w:jc w:val="center"/>
                              <w:rPr>
                                <w:rFonts w:ascii="Arial" w:hAnsi="Arial"/>
                                <w:b/>
                                <w:color w:val="FFFFFF"/>
                                <w:sz w:val="20"/>
                              </w:rPr>
                            </w:pPr>
                            <w:r>
                              <w:rPr>
                                <w:rFonts w:ascii="Arial" w:hAnsi="Arial"/>
                                <w:b/>
                                <w:color w:val="FFFFFF"/>
                                <w:sz w:val="20"/>
                              </w:rPr>
                              <w:t>2023</w:t>
                            </w:r>
                          </w:p>
                        </w:tc>
                      </w:tr>
                      <w:tr>
                        <w:trPr/>
                        <w:tc>
                          <w:tcPr>
                            <w:tcW w:w="3969" w:type="dxa"/>
                            <w:tcBorders>
                              <w:bottom w:val="single" w:sz="8" w:space="0" w:color="000000"/>
                            </w:tcBorders>
                            <w:tcMar>
                              <w:bottom w:w="40" w:type="dxa"/>
                            </w:tcMar>
                            <w:vAlign w:val="center"/>
                          </w:tcPr>
                          <w:p>
                            <w:pPr>
                              <w:pStyle w:val="TableContents"/>
                              <w:bidi w:val="0"/>
                              <w:spacing w:before="0" w:after="283"/>
                              <w:jc w:val="left"/>
                              <w:rPr>
                                <w:rFonts w:ascii="Arial" w:hAnsi="Arial"/>
                                <w:sz w:val="20"/>
                              </w:rPr>
                            </w:pPr>
                            <w:r>
                              <w:rPr>
                                <w:rFonts w:ascii="Arial" w:hAnsi="Arial"/>
                                <w:sz w:val="20"/>
                              </w:rPr>
                              <w:t>Senior Leaders</w:t>
                            </w:r>
                          </w:p>
                        </w:tc>
                        <w:tc>
                          <w:tcPr>
                            <w:tcW w:w="675" w:type="dxa"/>
                            <w:tcBorders>
                              <w:bottom w:val="single" w:sz="8" w:space="0" w:color="000000"/>
                            </w:tcBorders>
                            <w:tcMar>
                              <w:bottom w:w="40" w:type="dxa"/>
                            </w:tcMar>
                            <w:vAlign w:val="center"/>
                          </w:tcPr>
                          <w:p>
                            <w:pPr>
                              <w:pStyle w:val="TableContents"/>
                              <w:bidi w:val="0"/>
                              <w:spacing w:before="0" w:after="283"/>
                              <w:jc w:val="center"/>
                              <w:rPr>
                                <w:rFonts w:ascii="Arial" w:hAnsi="Arial"/>
                                <w:sz w:val="20"/>
                              </w:rPr>
                            </w:pPr>
                            <w:r>
                              <w:rPr>
                                <w:rFonts w:ascii="Arial" w:hAnsi="Arial"/>
                                <w:sz w:val="20"/>
                              </w:rPr>
                              <w:t>26%</w:t>
                            </w:r>
                          </w:p>
                        </w:tc>
                        <w:tc>
                          <w:tcPr>
                            <w:tcW w:w="675" w:type="dxa"/>
                            <w:tcBorders>
                              <w:bottom w:val="single" w:sz="8" w:space="0" w:color="000000"/>
                            </w:tcBorders>
                            <w:tcMar>
                              <w:bottom w:w="40" w:type="dxa"/>
                            </w:tcMar>
                            <w:vAlign w:val="center"/>
                          </w:tcPr>
                          <w:p>
                            <w:pPr>
                              <w:pStyle w:val="TableContents"/>
                              <w:bidi w:val="0"/>
                              <w:spacing w:before="0" w:after="283"/>
                              <w:jc w:val="center"/>
                              <w:rPr>
                                <w:rFonts w:ascii="Arial" w:hAnsi="Arial"/>
                                <w:sz w:val="20"/>
                              </w:rPr>
                            </w:pPr>
                            <w:r>
                              <w:rPr>
                                <w:rFonts w:ascii="Arial" w:hAnsi="Arial"/>
                                <w:sz w:val="20"/>
                              </w:rPr>
                              <w:t>27%</w:t>
                            </w:r>
                          </w:p>
                        </w:tc>
                        <w:tc>
                          <w:tcPr>
                            <w:tcW w:w="698" w:type="dxa"/>
                            <w:tcBorders>
                              <w:bottom w:val="single" w:sz="8" w:space="0" w:color="000000"/>
                            </w:tcBorders>
                            <w:tcMar>
                              <w:bottom w:w="40" w:type="dxa"/>
                            </w:tcMar>
                            <w:vAlign w:val="center"/>
                          </w:tcPr>
                          <w:p>
                            <w:pPr>
                              <w:pStyle w:val="TableContents"/>
                              <w:bidi w:val="0"/>
                              <w:spacing w:before="0" w:after="283"/>
                              <w:jc w:val="center"/>
                              <w:rPr>
                                <w:rFonts w:ascii="Arial" w:hAnsi="Arial"/>
                                <w:sz w:val="20"/>
                              </w:rPr>
                            </w:pPr>
                            <w:r>
                              <w:rPr>
                                <w:rFonts w:ascii="Arial" w:hAnsi="Arial"/>
                                <w:sz w:val="20"/>
                              </w:rPr>
                              <w:t>31%</w:t>
                            </w:r>
                          </w:p>
                        </w:tc>
                      </w:tr>
                      <w:tr>
                        <w:trPr/>
                        <w:tc>
                          <w:tcPr>
                            <w:tcW w:w="3969" w:type="dxa"/>
                            <w:tcBorders>
                              <w:bottom w:val="single" w:sz="8" w:space="0" w:color="000000"/>
                            </w:tcBorders>
                            <w:tcMar>
                              <w:bottom w:w="40" w:type="dxa"/>
                            </w:tcMar>
                            <w:vAlign w:val="center"/>
                          </w:tcPr>
                          <w:p>
                            <w:pPr>
                              <w:pStyle w:val="TableContents"/>
                              <w:bidi w:val="0"/>
                              <w:spacing w:before="0" w:after="283"/>
                              <w:jc w:val="left"/>
                              <w:rPr>
                                <w:rFonts w:ascii="Arial" w:hAnsi="Arial"/>
                                <w:sz w:val="20"/>
                              </w:rPr>
                            </w:pPr>
                            <w:r>
                              <w:rPr>
                                <w:rFonts w:ascii="Arial" w:hAnsi="Arial"/>
                                <w:sz w:val="20"/>
                              </w:rPr>
                              <w:t>Middle Management</w:t>
                            </w:r>
                          </w:p>
                        </w:tc>
                        <w:tc>
                          <w:tcPr>
                            <w:tcW w:w="675" w:type="dxa"/>
                            <w:tcBorders>
                              <w:bottom w:val="single" w:sz="8" w:space="0" w:color="000000"/>
                            </w:tcBorders>
                            <w:tcMar>
                              <w:bottom w:w="40" w:type="dxa"/>
                            </w:tcMar>
                            <w:vAlign w:val="center"/>
                          </w:tcPr>
                          <w:p>
                            <w:pPr>
                              <w:pStyle w:val="TableContents"/>
                              <w:bidi w:val="0"/>
                              <w:spacing w:before="0" w:after="283"/>
                              <w:jc w:val="center"/>
                              <w:rPr>
                                <w:rFonts w:ascii="Arial" w:hAnsi="Arial"/>
                                <w:sz w:val="20"/>
                              </w:rPr>
                            </w:pPr>
                            <w:r>
                              <w:rPr>
                                <w:rFonts w:ascii="Arial" w:hAnsi="Arial"/>
                                <w:sz w:val="20"/>
                              </w:rPr>
                              <w:t>39%</w:t>
                            </w:r>
                          </w:p>
                        </w:tc>
                        <w:tc>
                          <w:tcPr>
                            <w:tcW w:w="675" w:type="dxa"/>
                            <w:tcBorders>
                              <w:bottom w:val="single" w:sz="8" w:space="0" w:color="000000"/>
                            </w:tcBorders>
                            <w:tcMar>
                              <w:bottom w:w="40" w:type="dxa"/>
                            </w:tcMar>
                            <w:vAlign w:val="center"/>
                          </w:tcPr>
                          <w:p>
                            <w:pPr>
                              <w:pStyle w:val="TableContents"/>
                              <w:bidi w:val="0"/>
                              <w:spacing w:before="0" w:after="283"/>
                              <w:jc w:val="center"/>
                              <w:rPr>
                                <w:rFonts w:ascii="Arial" w:hAnsi="Arial"/>
                                <w:sz w:val="20"/>
                              </w:rPr>
                            </w:pPr>
                            <w:r>
                              <w:rPr>
                                <w:rFonts w:ascii="Arial" w:hAnsi="Arial"/>
                                <w:sz w:val="20"/>
                              </w:rPr>
                              <w:t>38%</w:t>
                            </w:r>
                          </w:p>
                        </w:tc>
                        <w:tc>
                          <w:tcPr>
                            <w:tcW w:w="698" w:type="dxa"/>
                            <w:tcBorders>
                              <w:bottom w:val="single" w:sz="8" w:space="0" w:color="000000"/>
                            </w:tcBorders>
                            <w:tcMar>
                              <w:bottom w:w="40" w:type="dxa"/>
                            </w:tcMar>
                            <w:vAlign w:val="center"/>
                          </w:tcPr>
                          <w:p>
                            <w:pPr>
                              <w:pStyle w:val="TableContents"/>
                              <w:bidi w:val="0"/>
                              <w:spacing w:before="0" w:after="283"/>
                              <w:jc w:val="center"/>
                              <w:rPr>
                                <w:rFonts w:ascii="Arial" w:hAnsi="Arial"/>
                                <w:sz w:val="20"/>
                              </w:rPr>
                            </w:pPr>
                            <w:r>
                              <w:rPr>
                                <w:rFonts w:ascii="Arial" w:hAnsi="Arial"/>
                                <w:sz w:val="20"/>
                              </w:rPr>
                              <w:t>35%</w:t>
                            </w:r>
                          </w:p>
                        </w:tc>
                      </w:tr>
                      <w:tr>
                        <w:trPr/>
                        <w:tc>
                          <w:tcPr>
                            <w:tcW w:w="3969" w:type="dxa"/>
                            <w:tcBorders>
                              <w:bottom w:val="single" w:sz="8" w:space="0" w:color="000000"/>
                            </w:tcBorders>
                            <w:tcMar>
                              <w:bottom w:w="40" w:type="dxa"/>
                            </w:tcMar>
                            <w:vAlign w:val="center"/>
                          </w:tcPr>
                          <w:p>
                            <w:pPr>
                              <w:pStyle w:val="TableContents"/>
                              <w:bidi w:val="0"/>
                              <w:spacing w:before="0" w:after="283"/>
                              <w:jc w:val="left"/>
                              <w:rPr>
                                <w:rFonts w:ascii="Arial" w:hAnsi="Arial"/>
                                <w:sz w:val="20"/>
                              </w:rPr>
                            </w:pPr>
                            <w:r>
                              <w:rPr>
                                <w:rFonts w:ascii="Arial" w:hAnsi="Arial"/>
                                <w:sz w:val="20"/>
                              </w:rPr>
                              <w:t>Non-managerial employees</w:t>
                            </w:r>
                          </w:p>
                        </w:tc>
                        <w:tc>
                          <w:tcPr>
                            <w:tcW w:w="675" w:type="dxa"/>
                            <w:tcBorders>
                              <w:bottom w:val="single" w:sz="8" w:space="0" w:color="000000"/>
                            </w:tcBorders>
                            <w:tcMar>
                              <w:bottom w:w="40" w:type="dxa"/>
                            </w:tcMar>
                            <w:vAlign w:val="center"/>
                          </w:tcPr>
                          <w:p>
                            <w:pPr>
                              <w:pStyle w:val="TableContents"/>
                              <w:bidi w:val="0"/>
                              <w:spacing w:before="0" w:after="283"/>
                              <w:jc w:val="center"/>
                              <w:rPr>
                                <w:rFonts w:ascii="Arial" w:hAnsi="Arial"/>
                                <w:sz w:val="20"/>
                              </w:rPr>
                            </w:pPr>
                            <w:r>
                              <w:rPr>
                                <w:rFonts w:ascii="Arial" w:hAnsi="Arial"/>
                                <w:sz w:val="20"/>
                              </w:rPr>
                              <w:t>56%</w:t>
                            </w:r>
                          </w:p>
                        </w:tc>
                        <w:tc>
                          <w:tcPr>
                            <w:tcW w:w="675" w:type="dxa"/>
                            <w:tcBorders>
                              <w:bottom w:val="single" w:sz="8" w:space="0" w:color="000000"/>
                            </w:tcBorders>
                            <w:tcMar>
                              <w:bottom w:w="40" w:type="dxa"/>
                            </w:tcMar>
                            <w:vAlign w:val="center"/>
                          </w:tcPr>
                          <w:p>
                            <w:pPr>
                              <w:pStyle w:val="TableContents"/>
                              <w:bidi w:val="0"/>
                              <w:spacing w:before="0" w:after="283"/>
                              <w:jc w:val="center"/>
                              <w:rPr>
                                <w:rFonts w:ascii="Arial" w:hAnsi="Arial"/>
                                <w:sz w:val="20"/>
                              </w:rPr>
                            </w:pPr>
                            <w:r>
                              <w:rPr>
                                <w:rFonts w:ascii="Arial" w:hAnsi="Arial"/>
                                <w:sz w:val="20"/>
                              </w:rPr>
                              <w:t>55%</w:t>
                            </w:r>
                          </w:p>
                        </w:tc>
                        <w:tc>
                          <w:tcPr>
                            <w:tcW w:w="698" w:type="dxa"/>
                            <w:tcBorders>
                              <w:bottom w:val="single" w:sz="8" w:space="0" w:color="000000"/>
                            </w:tcBorders>
                            <w:tcMar>
                              <w:bottom w:w="40" w:type="dxa"/>
                            </w:tcMar>
                            <w:vAlign w:val="center"/>
                          </w:tcPr>
                          <w:p>
                            <w:pPr>
                              <w:pStyle w:val="TableContents"/>
                              <w:bidi w:val="0"/>
                              <w:spacing w:before="0" w:after="283"/>
                              <w:jc w:val="center"/>
                              <w:rPr>
                                <w:rFonts w:ascii="Arial" w:hAnsi="Arial"/>
                                <w:sz w:val="20"/>
                              </w:rPr>
                            </w:pPr>
                            <w:r>
                              <w:rPr>
                                <w:rFonts w:ascii="Arial" w:hAnsi="Arial"/>
                                <w:sz w:val="20"/>
                              </w:rPr>
                              <w:t>55%</w:t>
                            </w:r>
                          </w:p>
                        </w:tc>
                      </w:tr>
                      <w:tr>
                        <w:trPr/>
                        <w:tc>
                          <w:tcPr>
                            <w:tcW w:w="3969" w:type="dxa"/>
                            <w:tcBorders>
                              <w:bottom w:val="single" w:sz="8" w:space="0" w:color="000000"/>
                            </w:tcBorders>
                            <w:tcMar>
                              <w:bottom w:w="40" w:type="dxa"/>
                            </w:tcMar>
                            <w:vAlign w:val="center"/>
                          </w:tcPr>
                          <w:p>
                            <w:pPr>
                              <w:pStyle w:val="TableContents"/>
                              <w:bidi w:val="0"/>
                              <w:spacing w:before="0" w:after="283"/>
                              <w:jc w:val="left"/>
                              <w:rPr>
                                <w:rFonts w:ascii="Arial" w:hAnsi="Arial"/>
                                <w:b/>
                                <w:sz w:val="20"/>
                              </w:rPr>
                            </w:pPr>
                            <w:r>
                              <w:rPr>
                                <w:rFonts w:ascii="Arial" w:hAnsi="Arial"/>
                                <w:b/>
                                <w:sz w:val="20"/>
                              </w:rPr>
                              <w:t>Total Credicorp</w:t>
                            </w:r>
                          </w:p>
                        </w:tc>
                        <w:tc>
                          <w:tcPr>
                            <w:tcW w:w="675" w:type="dxa"/>
                            <w:tcBorders>
                              <w:bottom w:val="single" w:sz="8" w:space="0" w:color="000000"/>
                            </w:tcBorders>
                            <w:tcMar>
                              <w:bottom w:w="40" w:type="dxa"/>
                            </w:tcMar>
                            <w:vAlign w:val="center"/>
                          </w:tcPr>
                          <w:p>
                            <w:pPr>
                              <w:pStyle w:val="TableContents"/>
                              <w:bidi w:val="0"/>
                              <w:spacing w:before="0" w:after="283"/>
                              <w:jc w:val="center"/>
                              <w:rPr>
                                <w:rFonts w:ascii="Arial" w:hAnsi="Arial"/>
                                <w:b/>
                                <w:sz w:val="20"/>
                              </w:rPr>
                            </w:pPr>
                            <w:r>
                              <w:rPr>
                                <w:rFonts w:ascii="Arial" w:hAnsi="Arial"/>
                                <w:b/>
                                <w:sz w:val="20"/>
                              </w:rPr>
                              <w:t>56%</w:t>
                            </w:r>
                          </w:p>
                        </w:tc>
                        <w:tc>
                          <w:tcPr>
                            <w:tcW w:w="675" w:type="dxa"/>
                            <w:tcBorders>
                              <w:bottom w:val="single" w:sz="8" w:space="0" w:color="000000"/>
                            </w:tcBorders>
                            <w:tcMar>
                              <w:bottom w:w="40" w:type="dxa"/>
                            </w:tcMar>
                            <w:vAlign w:val="center"/>
                          </w:tcPr>
                          <w:p>
                            <w:pPr>
                              <w:pStyle w:val="TableContents"/>
                              <w:bidi w:val="0"/>
                              <w:spacing w:before="0" w:after="283"/>
                              <w:jc w:val="center"/>
                              <w:rPr>
                                <w:rFonts w:ascii="Arial" w:hAnsi="Arial"/>
                                <w:b/>
                                <w:sz w:val="20"/>
                              </w:rPr>
                            </w:pPr>
                            <w:r>
                              <w:rPr>
                                <w:rFonts w:ascii="Arial" w:hAnsi="Arial"/>
                                <w:b/>
                                <w:sz w:val="20"/>
                              </w:rPr>
                              <w:t>55%</w:t>
                            </w:r>
                          </w:p>
                        </w:tc>
                        <w:tc>
                          <w:tcPr>
                            <w:tcW w:w="698" w:type="dxa"/>
                            <w:tcBorders>
                              <w:bottom w:val="single" w:sz="8" w:space="0" w:color="000000"/>
                            </w:tcBorders>
                            <w:tcMar>
                              <w:bottom w:w="40" w:type="dxa"/>
                            </w:tcMar>
                            <w:vAlign w:val="center"/>
                          </w:tcPr>
                          <w:p>
                            <w:pPr>
                              <w:pStyle w:val="TableContents"/>
                              <w:bidi w:val="0"/>
                              <w:spacing w:before="0" w:after="283"/>
                              <w:jc w:val="center"/>
                              <w:rPr>
                                <w:rFonts w:ascii="Arial" w:hAnsi="Arial"/>
                                <w:b/>
                                <w:sz w:val="20"/>
                              </w:rPr>
                            </w:pPr>
                            <w:r>
                              <w:rPr>
                                <w:rFonts w:ascii="Arial" w:hAnsi="Arial"/>
                                <w:b/>
                                <w:sz w:val="20"/>
                              </w:rPr>
                              <w:t>54%</w:t>
                            </w:r>
                          </w:p>
                        </w:tc>
                      </w:tr>
                      <w:tr>
                        <w:trPr/>
                        <w:tc>
                          <w:tcPr>
                            <w:tcW w:w="3969" w:type="dxa"/>
                            <w:tcBorders>
                              <w:bottom w:val="single" w:sz="8" w:space="0" w:color="000000"/>
                            </w:tcBorders>
                            <w:tcMar>
                              <w:bottom w:w="40" w:type="dxa"/>
                            </w:tcMar>
                            <w:vAlign w:val="center"/>
                          </w:tcPr>
                          <w:p>
                            <w:pPr>
                              <w:pStyle w:val="TableContents"/>
                              <w:bidi w:val="0"/>
                              <w:spacing w:before="0" w:after="283"/>
                              <w:jc w:val="left"/>
                              <w:rPr/>
                            </w:pPr>
                            <w:r>
                              <w:rPr/>
                              <w:t> </w:t>
                            </w:r>
                          </w:p>
                        </w:tc>
                        <w:tc>
                          <w:tcPr>
                            <w:tcW w:w="675" w:type="dxa"/>
                            <w:tcBorders>
                              <w:bottom w:val="single" w:sz="8" w:space="0" w:color="000000"/>
                            </w:tcBorders>
                            <w:tcMar>
                              <w:bottom w:w="40" w:type="dxa"/>
                            </w:tcMar>
                            <w:vAlign w:val="center"/>
                          </w:tcPr>
                          <w:p>
                            <w:pPr>
                              <w:pStyle w:val="TableContents"/>
                              <w:bidi w:val="0"/>
                              <w:spacing w:before="0" w:after="283"/>
                              <w:jc w:val="center"/>
                              <w:rPr/>
                            </w:pPr>
                            <w:r>
                              <w:rPr/>
                              <w:t> </w:t>
                            </w:r>
                          </w:p>
                        </w:tc>
                        <w:tc>
                          <w:tcPr>
                            <w:tcW w:w="675" w:type="dxa"/>
                            <w:tcBorders>
                              <w:bottom w:val="single" w:sz="8" w:space="0" w:color="000000"/>
                            </w:tcBorders>
                            <w:tcMar>
                              <w:bottom w:w="40" w:type="dxa"/>
                            </w:tcMar>
                            <w:vAlign w:val="center"/>
                          </w:tcPr>
                          <w:p>
                            <w:pPr>
                              <w:pStyle w:val="TableContents"/>
                              <w:bidi w:val="0"/>
                              <w:spacing w:before="0" w:after="283"/>
                              <w:jc w:val="center"/>
                              <w:rPr/>
                            </w:pPr>
                            <w:r>
                              <w:rPr/>
                              <w:t> </w:t>
                            </w:r>
                          </w:p>
                        </w:tc>
                        <w:tc>
                          <w:tcPr>
                            <w:tcW w:w="698" w:type="dxa"/>
                            <w:tcBorders>
                              <w:bottom w:val="single" w:sz="8" w:space="0" w:color="000000"/>
                            </w:tcBorders>
                            <w:tcMar>
                              <w:bottom w:w="40" w:type="dxa"/>
                            </w:tcMar>
                            <w:vAlign w:val="center"/>
                          </w:tcPr>
                          <w:p>
                            <w:pPr>
                              <w:pStyle w:val="TableContents"/>
                              <w:bidi w:val="0"/>
                              <w:spacing w:before="0" w:after="283"/>
                              <w:jc w:val="center"/>
                              <w:rPr/>
                            </w:pPr>
                            <w:r>
                              <w:rPr/>
                              <w:t> </w:t>
                            </w:r>
                          </w:p>
                        </w:tc>
                      </w:tr>
                      <w:tr>
                        <w:trPr/>
                        <w:tc>
                          <w:tcPr>
                            <w:tcW w:w="3969" w:type="dxa"/>
                            <w:tcBorders>
                              <w:bottom w:val="single" w:sz="8" w:space="0" w:color="000000"/>
                            </w:tcBorders>
                            <w:tcMar>
                              <w:bottom w:w="40" w:type="dxa"/>
                            </w:tcMar>
                            <w:vAlign w:val="center"/>
                          </w:tcPr>
                          <w:p>
                            <w:pPr>
                              <w:pStyle w:val="TableContents"/>
                              <w:bidi w:val="0"/>
                              <w:spacing w:before="0" w:after="283"/>
                              <w:jc w:val="left"/>
                              <w:rPr>
                                <w:rFonts w:ascii="Arial" w:hAnsi="Arial"/>
                                <w:b/>
                                <w:sz w:val="20"/>
                              </w:rPr>
                            </w:pPr>
                            <w:r>
                              <w:rPr>
                                <w:rFonts w:ascii="Arial" w:hAnsi="Arial"/>
                                <w:b/>
                                <w:sz w:val="20"/>
                              </w:rPr>
                              <w:t>The Board</w:t>
                            </w:r>
                          </w:p>
                        </w:tc>
                        <w:tc>
                          <w:tcPr>
                            <w:tcW w:w="675" w:type="dxa"/>
                            <w:tcBorders>
                              <w:bottom w:val="single" w:sz="8" w:space="0" w:color="000000"/>
                            </w:tcBorders>
                            <w:tcMar>
                              <w:bottom w:w="40" w:type="dxa"/>
                            </w:tcMar>
                            <w:vAlign w:val="center"/>
                          </w:tcPr>
                          <w:p>
                            <w:pPr>
                              <w:pStyle w:val="TableContents"/>
                              <w:bidi w:val="0"/>
                              <w:spacing w:before="0" w:after="283"/>
                              <w:jc w:val="center"/>
                              <w:rPr>
                                <w:rFonts w:ascii="Arial" w:hAnsi="Arial"/>
                                <w:b/>
                                <w:sz w:val="20"/>
                              </w:rPr>
                            </w:pPr>
                            <w:r>
                              <w:rPr>
                                <w:rFonts w:ascii="Arial" w:hAnsi="Arial"/>
                                <w:b/>
                                <w:sz w:val="20"/>
                              </w:rPr>
                              <w:t>22%</w:t>
                            </w:r>
                          </w:p>
                        </w:tc>
                        <w:tc>
                          <w:tcPr>
                            <w:tcW w:w="675" w:type="dxa"/>
                            <w:tcBorders>
                              <w:bottom w:val="single" w:sz="8" w:space="0" w:color="000000"/>
                            </w:tcBorders>
                            <w:tcMar>
                              <w:bottom w:w="40" w:type="dxa"/>
                            </w:tcMar>
                            <w:vAlign w:val="center"/>
                          </w:tcPr>
                          <w:p>
                            <w:pPr>
                              <w:pStyle w:val="TableContents"/>
                              <w:bidi w:val="0"/>
                              <w:spacing w:before="0" w:after="283"/>
                              <w:jc w:val="center"/>
                              <w:rPr>
                                <w:rFonts w:ascii="Arial" w:hAnsi="Arial"/>
                                <w:b/>
                                <w:sz w:val="20"/>
                              </w:rPr>
                            </w:pPr>
                            <w:r>
                              <w:rPr>
                                <w:rFonts w:ascii="Arial" w:hAnsi="Arial"/>
                                <w:b/>
                                <w:sz w:val="20"/>
                              </w:rPr>
                              <w:t>22%</w:t>
                            </w:r>
                          </w:p>
                        </w:tc>
                        <w:tc>
                          <w:tcPr>
                            <w:tcW w:w="698" w:type="dxa"/>
                            <w:tcBorders>
                              <w:bottom w:val="single" w:sz="8" w:space="0" w:color="000000"/>
                            </w:tcBorders>
                            <w:tcMar>
                              <w:bottom w:w="40" w:type="dxa"/>
                            </w:tcMar>
                            <w:vAlign w:val="center"/>
                          </w:tcPr>
                          <w:p>
                            <w:pPr>
                              <w:pStyle w:val="TableContents"/>
                              <w:bidi w:val="0"/>
                              <w:spacing w:before="0" w:after="283"/>
                              <w:jc w:val="center"/>
                              <w:rPr>
                                <w:rFonts w:ascii="Arial" w:hAnsi="Arial"/>
                                <w:b/>
                                <w:sz w:val="20"/>
                              </w:rPr>
                            </w:pPr>
                            <w:r>
                              <w:rPr>
                                <w:rFonts w:ascii="Arial" w:hAnsi="Arial"/>
                                <w:b/>
                                <w:sz w:val="20"/>
                              </w:rPr>
                              <w:t>33%</w:t>
                            </w:r>
                          </w:p>
                        </w:tc>
                      </w:tr>
                      <w:tr>
                        <w:trPr/>
                        <w:tc>
                          <w:tcPr>
                            <w:tcW w:w="6017" w:type="dxa"/>
                            <w:gridSpan w:val="4"/>
                            <w:tcBorders>
                              <w:bottom w:val="single" w:sz="8" w:space="0" w:color="000000"/>
                            </w:tcBorders>
                            <w:tcMar>
                              <w:bottom w:w="4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Note: Further details on gender balance are available in the annexes.</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 are also implementing various initiatives to strengthen female participation in leadership groups—such as Credicorp's mentoring for women and men, women’s networks and having women as spokespeople for the organization—and to empower and give more visibility to our female leaders. Our employer brand strategy focuses on gender equity and the proactive search for female talent.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shd w:fill="FF7233" w:val="clear"/>
                            <w:vAlign w:val="center"/>
                          </w:tcPr>
                          <w:p>
                            <w:pPr>
                              <w:pStyle w:val="TableContents"/>
                              <w:bidi w:val="0"/>
                              <w:spacing w:before="0" w:after="0"/>
                              <w:ind w:left="0" w:right="0" w:hanging="0"/>
                              <w:jc w:val="left"/>
                              <w:rPr>
                                <w:caps w:val="false"/>
                                <w:smallCaps w:val="false"/>
                                <w:color w:val="FFFFFF"/>
                              </w:rPr>
                            </w:pPr>
                            <w:r>
                              <w:rPr>
                                <w:caps w:val="false"/>
                                <w:smallCaps w:val="false"/>
                                <w:color w:val="FFFFFF"/>
                              </w:rPr>
                              <w:t> </w:t>
                            </w:r>
                          </w:p>
                          <w:p>
                            <w:pPr>
                              <w:pStyle w:val="TableContents"/>
                              <w:bidi w:val="0"/>
                              <w:spacing w:before="0" w:after="0"/>
                              <w:ind w:left="0" w:right="0" w:hanging="0"/>
                              <w:jc w:val="left"/>
                              <w:rPr>
                                <w:rFonts w:ascii="Arial" w:hAnsi="Arial"/>
                                <w:b/>
                                <w:i w:val="false"/>
                                <w:caps w:val="false"/>
                                <w:smallCaps w:val="false"/>
                                <w:color w:val="FFFFFF"/>
                                <w:sz w:val="20"/>
                              </w:rPr>
                            </w:pPr>
                            <w:r>
                              <w:rPr>
                                <w:rFonts w:ascii="Arial" w:hAnsi="Arial"/>
                                <w:b/>
                                <w:i w:val="false"/>
                                <w:caps w:val="false"/>
                                <w:smallCaps w:val="false"/>
                                <w:color w:val="FFFFFF"/>
                                <w:sz w:val="20"/>
                              </w:rPr>
                              <w:t>The Women's Mentoring Program</w:t>
                            </w:r>
                          </w:p>
                          <w:p>
                            <w:pPr>
                              <w:pStyle w:val="TableContents"/>
                              <w:bidi w:val="0"/>
                              <w:spacing w:before="0" w:after="0"/>
                              <w:ind w:left="0" w:right="0" w:hanging="0"/>
                              <w:jc w:val="left"/>
                              <w:rPr>
                                <w:caps w:val="false"/>
                                <w:smallCaps w:val="false"/>
                                <w:color w:val="FFFFFF"/>
                              </w:rPr>
                            </w:pPr>
                            <w:r>
                              <w:rPr>
                                <w:caps w:val="false"/>
                                <w:smallCaps w:val="false"/>
                                <w:color w:val="FFFFFF"/>
                              </w:rPr>
                              <w:t> </w:t>
                            </w:r>
                          </w:p>
                          <w:p>
                            <w:pPr>
                              <w:pStyle w:val="TableContents"/>
                              <w:bidi w:val="0"/>
                              <w:spacing w:before="0" w:after="0"/>
                              <w:ind w:left="0" w:right="0" w:hanging="0"/>
                              <w:jc w:val="left"/>
                              <w:rPr>
                                <w:rFonts w:ascii="Arial" w:hAnsi="Arial"/>
                                <w:b w:val="false"/>
                                <w:i w:val="false"/>
                                <w:caps w:val="false"/>
                                <w:smallCaps w:val="false"/>
                                <w:color w:val="FFFFFF"/>
                                <w:sz w:val="20"/>
                              </w:rPr>
                            </w:pPr>
                            <w:r>
                              <w:rPr>
                                <w:rFonts w:ascii="Arial" w:hAnsi="Arial"/>
                                <w:b w:val="false"/>
                                <w:i w:val="false"/>
                                <w:caps w:val="false"/>
                                <w:smallCaps w:val="false"/>
                                <w:color w:val="FFFFFF"/>
                                <w:sz w:val="20"/>
                              </w:rPr>
                              <w:t>Our Women’s Mentoring Program is a testament to our commitment to gender equity. It covers senior leaders and middle managers and is reflected throughout the organization. One of the program’s most inspiring features is how many participating women—who form part of communities of technical expertise, be they technology or finance—have become motivated to step into mentorship roles beyond our organization. It is a clear example of how we positively impact women’s careers and, at the same time, their environment.</w:t>
                            </w:r>
                          </w:p>
                          <w:p>
                            <w:pPr>
                              <w:pStyle w:val="TableContents"/>
                              <w:bidi w:val="0"/>
                              <w:spacing w:before="0" w:after="0"/>
                              <w:ind w:left="0" w:right="0" w:hanging="0"/>
                              <w:jc w:val="left"/>
                              <w:rPr/>
                            </w:pPr>
                            <w:r>
                              <w:rPr/>
                              <w:t> </w:t>
                            </w:r>
                          </w:p>
                        </w:tc>
                      </w:tr>
                    </w:tbl>
                    <w:p>
                      <w:pPr>
                        <w:pStyle w:val="TextBody"/>
                        <w:bidi w:val="0"/>
                        <w:spacing w:before="0" w:after="283"/>
                        <w:jc w:val="left"/>
                        <w:rPr/>
                      </w:pPr>
                      <w:r>
                        <w:rPr/>
                      </w:r>
                    </w:p>
                  </w:txbxContent>
                </v:textbox>
                <w10:wrap type="square" side="left"/>
              </v:rect>
            </w:pict>
          </mc:Fallback>
        </mc:AlternateConten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31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olumn">
                  <wp:align>left</wp:align>
                </wp:positionH>
                <wp:positionV relativeFrom="line">
                  <wp:posOffset>635</wp:posOffset>
                </wp:positionV>
                <wp:extent cx="3110230" cy="5215255"/>
                <wp:effectExtent l="0" t="0" r="0" b="0"/>
                <wp:wrapTopAndBottom/>
                <wp:docPr id="211" name="Frame60"/>
                <a:graphic xmlns:a="http://schemas.openxmlformats.org/drawingml/2006/main">
                  <a:graphicData uri="http://schemas.microsoft.com/office/word/2010/wordprocessingShape">
                    <wps:wsp>
                      <wps:cNvSpPr txBox="1"/>
                      <wps:spPr>
                        <a:xfrm>
                          <a:off x="0" y="0"/>
                          <a:ext cx="3110230" cy="5215255"/>
                        </a:xfrm>
                        <a:prstGeom prst="rect"/>
                        <a:solidFill>
                          <a:srgbClr val="FFFFFF"/>
                        </a:solidFill>
                      </wps:spPr>
                      <wps:txbx>
                        <w:txbxContent>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Our main challenge is to improve the gender balance at the senior level. We employ several strategies, including introducing more women into middle management so that they are positioned to eventually reach higher leadership. The middle management ranks have grown strongly in recent years because of the entry of digital profiles, a specialty dominated by men in the market (approximately 80%). Our increased demand for digital profiles, particularly in BCP, has led us to design a specific strategy to improve the gender balance in such profiles. It begins with initiatives at the entry level, training more junior staff, and starting to position ourselves as an attractive company for both male and female digital profiles while simultaneously encouraging re-skilling. All digital profile attraction and retention programs, whether at Credicorp or BCP, have a gender component.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857500" cy="2524125"/>
                                  <wp:effectExtent l="0" t="0" r="0" b="0"/>
                                  <wp:docPr id="212"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95" descr=""/>
                                          <pic:cNvPicPr>
                                            <a:picLocks noChangeAspect="1" noChangeArrowheads="1"/>
                                          </pic:cNvPicPr>
                                        </pic:nvPicPr>
                                        <pic:blipFill>
                                          <a:blip r:embed="rId153"/>
                                          <a:stretch>
                                            <a:fillRect/>
                                          </a:stretch>
                                        </pic:blipFill>
                                        <pic:spPr bwMode="auto">
                                          <a:xfrm>
                                            <a:off x="0" y="0"/>
                                            <a:ext cx="2857500" cy="2524125"/>
                                          </a:xfrm>
                                          <a:prstGeom prst="rect">
                                            <a:avLst/>
                                          </a:prstGeom>
                                        </pic:spPr>
                                      </pic:pic>
                                    </a:graphicData>
                                  </a:graphic>
                                </wp:inline>
                              </w:drawing>
                            </w:r>
                            <w:r>
                              <w:rPr>
                                <w:caps w:val="false"/>
                                <w:smallCaps w:val="false"/>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10.65pt;mso-wrap-distance-left:0pt;mso-wrap-distance-right:0pt;mso-wrap-distance-top:0pt;mso-wrap-distance-bottom:0pt;margin-top:0pt;mso-position-vertical:top;mso-position-vertical-relative:text;margin-left:244.9pt;mso-position-horizontal:left;mso-position-horizontal-relative:text">
                <v:textbox>
                  <w:txbxContent>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Our main challenge is to improve the gender balance at the senior level. We employ several strategies, including introducing more women into middle management so that they are positioned to eventually reach higher leadership. The middle management ranks have grown strongly in recent years because of the entry of digital profiles, a specialty dominated by men in the market (approximately 80%). Our increased demand for digital profiles, particularly in BCP, has led us to design a specific strategy to improve the gender balance in such profiles. It begins with initiatives at the entry level, training more junior staff, and starting to position ourselves as an attractive company for both male and female digital profiles while simultaneously encouraging re-skilling. All digital profile attraction and retention programs, whether at Credicorp or BCP, have a gender component.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857500" cy="2524125"/>
                            <wp:effectExtent l="0" t="0" r="0" b="0"/>
                            <wp:docPr id="213"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95" descr=""/>
                                    <pic:cNvPicPr>
                                      <a:picLocks noChangeAspect="1" noChangeArrowheads="1"/>
                                    </pic:cNvPicPr>
                                  </pic:nvPicPr>
                                  <pic:blipFill>
                                    <a:blip r:embed="rId154"/>
                                    <a:stretch>
                                      <a:fillRect/>
                                    </a:stretch>
                                  </pic:blipFill>
                                  <pic:spPr bwMode="auto">
                                    <a:xfrm>
                                      <a:off x="0" y="0"/>
                                      <a:ext cx="2857500" cy="2524125"/>
                                    </a:xfrm>
                                    <a:prstGeom prst="rect">
                                      <a:avLst/>
                                    </a:prstGeom>
                                  </pic:spPr>
                                </pic:pic>
                              </a:graphicData>
                            </a:graphic>
                          </wp:inline>
                        </w:drawing>
                      </w:r>
                      <w:r>
                        <w:rPr>
                          <w:caps w:val="false"/>
                          <w:smallCaps w:val="false"/>
                        </w:rPr>
                        <w:t> </w:t>
                      </w:r>
                    </w:p>
                  </w:txbxContent>
                </v:textbox>
                <w10:wrap type="topAndBottom"/>
              </v:rect>
            </w:pict>
          </mc:Fallback>
        </mc:AlternateContent>
      </w:r>
      <w:r>
        <mc:AlternateContent>
          <mc:Choice Requires="wps">
            <w:drawing>
              <wp:anchor behindDoc="0" distT="0" distB="0" distL="0" distR="0" simplePos="0" locked="0" layoutInCell="1" allowOverlap="1" relativeHeight="86">
                <wp:simplePos x="0" y="0"/>
                <wp:positionH relativeFrom="column">
                  <wp:align>right</wp:align>
                </wp:positionH>
                <wp:positionV relativeFrom="line">
                  <wp:posOffset>635</wp:posOffset>
                </wp:positionV>
                <wp:extent cx="3110230" cy="6567805"/>
                <wp:effectExtent l="0" t="0" r="0" b="0"/>
                <wp:wrapTopAndBottom/>
                <wp:docPr id="214" name="Frame61"/>
                <a:graphic xmlns:a="http://schemas.openxmlformats.org/drawingml/2006/main">
                  <a:graphicData uri="http://schemas.microsoft.com/office/word/2010/wordprocessingShape">
                    <wps:wsp>
                      <wps:cNvSpPr txBox="1"/>
                      <wps:spPr>
                        <a:xfrm>
                          <a:off x="0" y="0"/>
                          <a:ext cx="3110230" cy="6567805"/>
                        </a:xfrm>
                        <a:prstGeom prst="rect"/>
                        <a:solidFill>
                          <a:srgbClr val="FFFFFF"/>
                        </a:solidFill>
                      </wps:spPr>
                      <wps:txbx>
                        <w:txbxContent>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 monitor and review the different milestones in women’s careers and continue taking specific steps, beginning with the selection process onwards, to enable women to drive their careers forward free of those distortions or biases that could otherwise exert a negative influence. With a bias-free selection process now implemented in Credicorp’s companies, during 2024, we will continue to work on the unconscious biases that can also affect the evaluation and promotion processes.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2.2.3.2. Pay gap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40"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2023, we conducted our third pay gap measurement through the Equal Pay Gap14, an international standard that measures differences between positions that carry the same level of responsibility.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 w:hAnsi="Arial"/>
                                <w:b/>
                                <w:i w:val="false"/>
                                <w:caps w:val="false"/>
                                <w:smallCaps w:val="false"/>
                                <w:color w:val="FE5000"/>
                                <w:sz w:val="36"/>
                              </w:rPr>
                            </w:pPr>
                            <w:r>
                              <w:rPr>
                                <w:rFonts w:ascii="Arial" w:hAnsi="Arial"/>
                                <w:b/>
                                <w:i w:val="false"/>
                                <w:caps w:val="false"/>
                                <w:smallCaps w:val="false"/>
                                <w:color w:val="FE5000"/>
                                <w:sz w:val="36"/>
                              </w:rPr>
                              <w:t>In Credicorp, there are no pay gaps due to gender bias in compensation management.</w:t>
                            </w:r>
                          </w:p>
                          <w:p>
                            <w:pPr>
                              <w:pStyle w:val="TextBody"/>
                              <w:bidi w:val="0"/>
                              <w:spacing w:before="0" w:after="0"/>
                              <w:ind w:left="80" w:right="0" w:firstLine="96"/>
                              <w:jc w:val="left"/>
                              <w:rPr>
                                <w:caps w:val="false"/>
                                <w:smallCaps w:val="false"/>
                                <w:color w:val="FE5000"/>
                              </w:rPr>
                            </w:pPr>
                            <w:r>
                              <w:rPr>
                                <w:caps w:val="false"/>
                                <w:smallCaps w:val="false"/>
                                <w:color w:val="FE5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At the Group level, the 2023 Equal Pay Gap result was -1.7% (it was -2.1% in 2022). The indicator shows that total annual compensation for women with the same responsibilities and at the same salary band is 1.7% lower than that of their male counterparts, a difference that is therefore not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color w:val="FF0000"/>
                              </w:rPr>
                            </w:pPr>
                            <w:r>
                              <w:rPr>
                                <w:caps w:val="false"/>
                                <w:smallCaps w:val="false"/>
                                <w:color w:val="FF0000"/>
                              </w:rPr>
                              <w:drawing>
                                <wp:inline distT="0" distB="0" distL="0" distR="0">
                                  <wp:extent cx="1905000" cy="638175"/>
                                  <wp:effectExtent l="0" t="0" r="0" b="0"/>
                                  <wp:docPr id="215"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96" descr=""/>
                                          <pic:cNvPicPr>
                                            <a:picLocks noChangeAspect="1" noChangeArrowheads="1"/>
                                          </pic:cNvPicPr>
                                        </pic:nvPicPr>
                                        <pic:blipFill>
                                          <a:blip r:embed="rId155"/>
                                          <a:stretch>
                                            <a:fillRect/>
                                          </a:stretch>
                                        </pic:blipFill>
                                        <pic:spPr bwMode="auto">
                                          <a:xfrm>
                                            <a:off x="0" y="0"/>
                                            <a:ext cx="1905000" cy="638175"/>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2.2.3.3. Workplace Sexual Harassment (WSH)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 are continually working to maintain a safe workplace with a culture of zero tolerance for sexual harassment (WSH). Our efforts to create</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17.1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 monitor and review the different milestones in women’s careers and continue taking specific steps, beginning with the selection process onwards, to enable women to drive their careers forward free of those distortions or biases that could otherwise exert a negative influence. With a bias-free selection process now implemented in Credicorp’s companies, during 2024, we will continue to work on the unconscious biases that can also affect the evaluation and promotion processes.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2.2.3.2. Pay gap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40"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2023, we conducted our third pay gap measurement through the Equal Pay Gap14, an international standard that measures differences between positions that carry the same level of responsibility.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 w:hAnsi="Arial"/>
                          <w:b/>
                          <w:i w:val="false"/>
                          <w:caps w:val="false"/>
                          <w:smallCaps w:val="false"/>
                          <w:color w:val="FE5000"/>
                          <w:sz w:val="36"/>
                        </w:rPr>
                      </w:pPr>
                      <w:r>
                        <w:rPr>
                          <w:rFonts w:ascii="Arial" w:hAnsi="Arial"/>
                          <w:b/>
                          <w:i w:val="false"/>
                          <w:caps w:val="false"/>
                          <w:smallCaps w:val="false"/>
                          <w:color w:val="FE5000"/>
                          <w:sz w:val="36"/>
                        </w:rPr>
                        <w:t>In Credicorp, there are no pay gaps due to gender bias in compensation management.</w:t>
                      </w:r>
                    </w:p>
                    <w:p>
                      <w:pPr>
                        <w:pStyle w:val="TextBody"/>
                        <w:bidi w:val="0"/>
                        <w:spacing w:before="0" w:after="0"/>
                        <w:ind w:left="80" w:right="0" w:firstLine="96"/>
                        <w:jc w:val="left"/>
                        <w:rPr>
                          <w:caps w:val="false"/>
                          <w:smallCaps w:val="false"/>
                          <w:color w:val="FE5000"/>
                        </w:rPr>
                      </w:pPr>
                      <w:r>
                        <w:rPr>
                          <w:caps w:val="false"/>
                          <w:smallCaps w:val="false"/>
                          <w:color w:val="FE5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At the Group level, the 2023 Equal Pay Gap result was -1.7% (it was -2.1% in 2022). The indicator shows that total annual compensation for women with the same responsibilities and at the same salary band is 1.7% lower than that of their male counterparts, a difference that is therefore not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color w:val="FF0000"/>
                        </w:rPr>
                      </w:pPr>
                      <w:r>
                        <w:rPr>
                          <w:caps w:val="false"/>
                          <w:smallCaps w:val="false"/>
                          <w:color w:val="FF0000"/>
                        </w:rPr>
                        <w:drawing>
                          <wp:inline distT="0" distB="0" distL="0" distR="0">
                            <wp:extent cx="1905000" cy="638175"/>
                            <wp:effectExtent l="0" t="0" r="0" b="0"/>
                            <wp:docPr id="21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96" descr=""/>
                                    <pic:cNvPicPr>
                                      <a:picLocks noChangeAspect="1" noChangeArrowheads="1"/>
                                    </pic:cNvPicPr>
                                  </pic:nvPicPr>
                                  <pic:blipFill>
                                    <a:blip r:embed="rId156"/>
                                    <a:stretch>
                                      <a:fillRect/>
                                    </a:stretch>
                                  </pic:blipFill>
                                  <pic:spPr bwMode="auto">
                                    <a:xfrm>
                                      <a:off x="0" y="0"/>
                                      <a:ext cx="1905000" cy="638175"/>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2.2.3.3. Workplace Sexual Harassment (WSH)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 are continually working to maintain a safe workplace with a culture of zero tolerance for sexual harassment (WSH). Our efforts to create</w:t>
                      </w:r>
                    </w:p>
                  </w:txbxContent>
                </v:textbox>
                <w10:wrap type="topAndBottom"/>
              </v:rect>
            </w:pict>
          </mc:Fallback>
        </mc:AlternateContent>
      </w:r>
    </w:p>
    <w:p>
      <w:pPr>
        <w:pStyle w:val="TextBody"/>
        <w:bidi w:val="0"/>
        <w:ind w:left="0" w:right="0" w:hanging="0"/>
        <w:jc w:val="left"/>
        <w:rPr/>
      </w:pPr>
      <w:r>
        <w:rPr/>
      </w:r>
      <w:r>
        <mc:AlternateContent>
          <mc:Choice Requires="wps">
            <w:drawing>
              <wp:anchor behindDoc="0" distT="0" distB="0" distL="0" distR="0" simplePos="0" locked="0" layoutInCell="1" allowOverlap="1" relativeHeight="276">
                <wp:simplePos x="0" y="0"/>
                <wp:positionH relativeFrom="column">
                  <wp:align>left</wp:align>
                </wp:positionH>
                <wp:positionV relativeFrom="line">
                  <wp:posOffset>635</wp:posOffset>
                </wp:positionV>
                <wp:extent cx="3110230" cy="594360"/>
                <wp:effectExtent l="0" t="0" r="0" b="0"/>
                <wp:wrapTopAndBottom/>
                <wp:docPr id="217" name="Frame62"/>
                <a:graphic xmlns:a="http://schemas.openxmlformats.org/drawingml/2006/main">
                  <a:graphicData uri="http://schemas.microsoft.com/office/word/2010/wordprocessingShape">
                    <wps:wsp>
                      <wps:cNvSpPr txBox="1"/>
                      <wps:spPr>
                        <a:xfrm>
                          <a:off x="0" y="0"/>
                          <a:ext cx="3110230" cy="594360"/>
                        </a:xfrm>
                        <a:prstGeom prst="rect"/>
                        <a:solidFill>
                          <a:srgbClr val="FFFFFF"/>
                        </a:solidFill>
                      </wps:spPr>
                      <wps:txbx>
                        <w:txbxContent>
                          <w:p>
                            <w:pPr>
                              <w:pStyle w:val="TextBody"/>
                              <w:bidi w:val="0"/>
                              <w:spacing w:before="0" w:after="60"/>
                              <w:jc w:val="left"/>
                              <w:rPr>
                                <w:bdr w:val="single" w:sz="8" w:space="1" w:color="000000"/>
                              </w:rPr>
                            </w:pPr>
                            <w:r>
                              <w:rPr>
                                <w:bdr w:val="single" w:sz="8" w:space="1" w:color="000000"/>
                              </w:rPr>
                              <w:t> </w:t>
                            </w:r>
                          </w:p>
                          <w:p>
                            <w:pPr>
                              <w:pStyle w:val="TextBody"/>
                              <w:bidi w:val="0"/>
                              <w:spacing w:lineRule="auto" w:line="240"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14 This indicator calculates the gap by salary level. By comparing positions with the same value and therefore similar levels of total annual compensation, it provides a more accurate picture.</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6.8pt;mso-wrap-distance-left:0pt;mso-wrap-distance-right:0pt;mso-wrap-distance-top:0pt;mso-wrap-distance-bottom:0pt;margin-top:0pt;mso-position-vertical:top;mso-position-vertical-relative:text;margin-left:244.9pt;mso-position-horizontal:left;mso-position-horizontal-relative:text">
                <v:textbox>
                  <w:txbxContent>
                    <w:p>
                      <w:pPr>
                        <w:pStyle w:val="TextBody"/>
                        <w:bidi w:val="0"/>
                        <w:spacing w:before="0" w:after="60"/>
                        <w:jc w:val="left"/>
                        <w:rPr>
                          <w:bdr w:val="single" w:sz="8" w:space="1" w:color="000000"/>
                        </w:rPr>
                      </w:pPr>
                      <w:r>
                        <w:rPr>
                          <w:bdr w:val="single" w:sz="8" w:space="1" w:color="000000"/>
                        </w:rPr>
                        <w:t> </w:t>
                      </w:r>
                    </w:p>
                    <w:p>
                      <w:pPr>
                        <w:pStyle w:val="TextBody"/>
                        <w:bidi w:val="0"/>
                        <w:spacing w:lineRule="auto" w:line="240"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14 This indicator calculates the gap by salary level. By comparing positions with the same value and therefore similar levels of total annual compensation, it provides a more accurate picture.</w:t>
                      </w:r>
                    </w:p>
                  </w:txbxContent>
                </v:textbox>
                <w10:wrap type="topAndBottom"/>
              </v:rect>
            </w:pict>
          </mc:Fallback>
        </mc:AlternateContent>
      </w:r>
      <w:r>
        <mc:AlternateContent>
          <mc:Choice Requires="wps">
            <w:drawing>
              <wp:anchor behindDoc="0" distT="0" distB="0" distL="0" distR="0" simplePos="0" locked="0" layoutInCell="1" allowOverlap="1" relativeHeight="277">
                <wp:simplePos x="0" y="0"/>
                <wp:positionH relativeFrom="column">
                  <wp:align>right</wp:align>
                </wp:positionH>
                <wp:positionV relativeFrom="line">
                  <wp:posOffset>635</wp:posOffset>
                </wp:positionV>
                <wp:extent cx="3110230" cy="175260"/>
                <wp:effectExtent l="0" t="0" r="0" b="0"/>
                <wp:wrapTopAndBottom/>
                <wp:docPr id="218" name="Frame63"/>
                <a:graphic xmlns:a="http://schemas.openxmlformats.org/drawingml/2006/main">
                  <a:graphicData uri="http://schemas.microsoft.com/office/word/2010/wordprocessingShape">
                    <wps:wsp>
                      <wps:cNvSpPr txBox="1"/>
                      <wps:spPr>
                        <a:xfrm>
                          <a:off x="0" y="0"/>
                          <a:ext cx="311023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3.8pt;mso-wrap-distance-left:0pt;mso-wrap-distance-right:0pt;mso-wrap-distance-top:0pt;mso-wrap-distance-bottom:0pt;margin-top:0pt;mso-position-vertical:top;mso-position-vertical-relative:text;margin-left:20.4pt;mso-position-horizontal:right;mso-position-horizontal-relative:text">
                <v:textbox>
                  <w:txbxContent>
                    <w:p>
                      <w:pPr>
                        <w:pStyle w:val="TextBody"/>
                        <w:bidi w:val="0"/>
                        <w:spacing w:before="0" w:after="283"/>
                        <w:jc w:val="left"/>
                        <w:rPr/>
                      </w:pPr>
                      <w:r>
                        <w:rPr/>
                      </w:r>
                    </w:p>
                  </w:txbxContent>
                </v:textbox>
                <w10:wrap type="topAndBottom"/>
              </v:rect>
            </w:pict>
          </mc:Fallback>
        </mc:AlternateConten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ind w:left="6420" w:right="0" w:hanging="0"/>
        <w:jc w:val="center"/>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32</w:t>
      </w:r>
    </w:p>
    <w:p>
      <w:pPr>
        <w:pStyle w:val="HorizontalLine"/>
        <w:pBdr>
          <w:bottom w:val="single" w:sz="12" w:space="0" w:color="808080"/>
        </w:pBdr>
        <w:bidi w:val="0"/>
        <w:spacing w:before="200" w:after="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olumn">
                  <wp:align>right</wp:align>
                </wp:positionH>
                <wp:positionV relativeFrom="line">
                  <wp:posOffset>635</wp:posOffset>
                </wp:positionV>
                <wp:extent cx="3110230" cy="3912235"/>
                <wp:effectExtent l="0" t="0" r="0" b="0"/>
                <wp:wrapTopAndBottom/>
                <wp:docPr id="219" name="Frame65"/>
                <a:graphic xmlns:a="http://schemas.openxmlformats.org/drawingml/2006/main">
                  <a:graphicData uri="http://schemas.microsoft.com/office/word/2010/wordprocessingShape">
                    <wps:wsp>
                      <wps:cNvSpPr txBox="1"/>
                      <wps:spPr>
                        <a:xfrm>
                          <a:off x="0" y="0"/>
                          <a:ext cx="3110230" cy="3912235"/>
                        </a:xfrm>
                        <a:prstGeom prst="rect"/>
                        <a:solidFill>
                          <a:srgbClr val="FFFFFF"/>
                        </a:solidFill>
                      </wps:spPr>
                      <wps:txbx>
                        <w:txbxContent>
                          <w:p>
                            <w:pPr>
                              <w:pStyle w:val="TextBody"/>
                              <w:bidi w:val="0"/>
                              <w:spacing w:before="0" w:after="0"/>
                              <w:ind w:left="0" w:right="0" w:hanging="0"/>
                              <w:jc w:val="center"/>
                              <w:rPr>
                                <w:caps w:val="false"/>
                                <w:smallCaps w:val="false"/>
                              </w:rPr>
                            </w:pPr>
                            <w:r>
                              <w:rPr>
                                <w:caps w:val="false"/>
                                <w:smallCaps w:val="false"/>
                              </w:rPr>
                              <w:drawing>
                                <wp:inline distT="0" distB="0" distL="0" distR="0">
                                  <wp:extent cx="2857500" cy="2009775"/>
                                  <wp:effectExtent l="0" t="0" r="0" b="0"/>
                                  <wp:docPr id="220"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97" descr=""/>
                                          <pic:cNvPicPr>
                                            <a:picLocks noChangeAspect="1" noChangeArrowheads="1"/>
                                          </pic:cNvPicPr>
                                        </pic:nvPicPr>
                                        <pic:blipFill>
                                          <a:blip r:embed="rId157"/>
                                          <a:stretch>
                                            <a:fillRect/>
                                          </a:stretch>
                                        </pic:blipFill>
                                        <pic:spPr bwMode="auto">
                                          <a:xfrm>
                                            <a:off x="0" y="0"/>
                                            <a:ext cx="2857500" cy="20097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Note: The percentages indicate those who chose “true” when the correct answer was “false.” The lower the percentage, the better the level of understanding of the topic.</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survey results also show significant improvement for Credicorp in awareness levels and knowledge regarding prevention and response systems. The result is well ahead of the regional benchmark but slightly under the Peruvian benchmark. In 2024, we will continue working to improve our scores, maintain the WSH zero-tolerance policy, and train more employees (we trained 85% in 2023, up from 70% in 2021):</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08.0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center"/>
                        <w:rPr>
                          <w:caps w:val="false"/>
                          <w:smallCaps w:val="false"/>
                        </w:rPr>
                      </w:pPr>
                      <w:r>
                        <w:rPr>
                          <w:caps w:val="false"/>
                          <w:smallCaps w:val="false"/>
                        </w:rPr>
                        <w:drawing>
                          <wp:inline distT="0" distB="0" distL="0" distR="0">
                            <wp:extent cx="2857500" cy="2009775"/>
                            <wp:effectExtent l="0" t="0" r="0" b="0"/>
                            <wp:docPr id="221"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97" descr=""/>
                                    <pic:cNvPicPr>
                                      <a:picLocks noChangeAspect="1" noChangeArrowheads="1"/>
                                    </pic:cNvPicPr>
                                  </pic:nvPicPr>
                                  <pic:blipFill>
                                    <a:blip r:embed="rId158"/>
                                    <a:stretch>
                                      <a:fillRect/>
                                    </a:stretch>
                                  </pic:blipFill>
                                  <pic:spPr bwMode="auto">
                                    <a:xfrm>
                                      <a:off x="0" y="0"/>
                                      <a:ext cx="2857500" cy="20097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Note: The percentages indicate those who chose “true” when the correct answer was “false.” The lower the percentage, the better the level of understanding of the topic.</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survey results also show significant improvement for Credicorp in awareness levels and knowledge regarding prevention and response systems. The result is well ahead of the regional benchmark but slightly under the Peruvian benchmark. In 2024, we will continue working to improve our scores, maintain the WSH zero-tolerance policy, and train more employees (we trained 85% in 2023, up from 70% in 2021):</w:t>
                      </w:r>
                    </w:p>
                  </w:txbxContent>
                </v:textbox>
                <w10:wrap type="topAndBottom"/>
              </v:rect>
            </w:pict>
          </mc:Fallback>
        </mc:AlternateContent>
      </w:r>
      <w:r>
        <mc:AlternateContent>
          <mc:Choice Requires="wps">
            <w:drawing>
              <wp:anchor behindDoc="0" distT="0" distB="0" distL="0" distR="0" simplePos="0" locked="0" layoutInCell="1" allowOverlap="1" relativeHeight="278">
                <wp:simplePos x="0" y="0"/>
                <wp:positionH relativeFrom="column">
                  <wp:align>left</wp:align>
                </wp:positionH>
                <wp:positionV relativeFrom="line">
                  <wp:posOffset>635</wp:posOffset>
                </wp:positionV>
                <wp:extent cx="3110230" cy="5580380"/>
                <wp:effectExtent l="0" t="0" r="0" b="0"/>
                <wp:wrapTopAndBottom/>
                <wp:docPr id="222" name="Frame64"/>
                <a:graphic xmlns:a="http://schemas.openxmlformats.org/drawingml/2006/main">
                  <a:graphicData uri="http://schemas.microsoft.com/office/word/2010/wordprocessingShape">
                    <wps:wsp>
                      <wps:cNvSpPr txBox="1"/>
                      <wps:spPr>
                        <a:xfrm>
                          <a:off x="0" y="0"/>
                          <a:ext cx="3110230" cy="5580380"/>
                        </a:xfrm>
                        <a:prstGeom prst="rect"/>
                        <a:solidFill>
                          <a:srgbClr val="FFFFFF"/>
                        </a:solidFill>
                      </wps:spPr>
                      <wps:txbx>
                        <w:txbxContent>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awareness, address WSH cases, and communicate these outcomes from the CEO level have been showing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During 2023, we sent out communications and held workshops and training to draw attention to unacceptable conduct and, in particular, to sensitize employees about comments that can be considered sexist.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 are aware that one of the first consequences of raising WSH visibility and awareness is often more reporting of its incidence. Although case numbers across our companies in 2023 stayed low in relation to the total number of personnel, our goal remains to continuously increase the understanding of what constitutes WSH and the degree of trust in Credicorp’s reporting processes.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b w:val="false"/>
                                <w:i w:val="false"/>
                                <w:caps w:val="false"/>
                                <w:smallCaps w:val="false"/>
                                <w:sz w:val="20"/>
                              </w:rPr>
                            </w:pPr>
                            <w:r>
                              <w:rPr>
                                <w:rFonts w:ascii="Arial" w:hAnsi="Arial"/>
                                <w:b/>
                                <w:i w:val="false"/>
                                <w:caps w:val="false"/>
                                <w:smallCaps w:val="false"/>
                                <w:color w:val="FE5000"/>
                                <w:sz w:val="32"/>
                              </w:rPr>
                              <w:t xml:space="preserve">32 </w:t>
                            </w:r>
                            <w:r>
                              <w:rPr>
                                <w:rFonts w:ascii="Arial" w:hAnsi="Arial"/>
                                <w:b w:val="false"/>
                                <w:i w:val="false"/>
                                <w:caps w:val="false"/>
                                <w:smallCaps w:val="false"/>
                                <w:color w:val="595959"/>
                                <w:sz w:val="32"/>
                              </w:rPr>
                              <w:t>WSH reports</w:t>
                            </w:r>
                            <w:r>
                              <w:rPr>
                                <w:rFonts w:ascii="Arial" w:hAnsi="Arial"/>
                                <w:b w:val="false"/>
                                <w:i w:val="false"/>
                                <w:caps w:val="false"/>
                                <w:smallCaps w:val="false"/>
                                <w:sz w:val="20"/>
                              </w:rPr>
                              <w:t xml:space="preserve"> </w:t>
                            </w:r>
                            <w:r>
                              <w:rPr>
                                <w:rFonts w:ascii="Arial" w:hAnsi="Arial"/>
                                <w:b w:val="false"/>
                                <w:i w:val="false"/>
                                <w:caps w:val="false"/>
                                <w:smallCaps w:val="false"/>
                                <w:color w:val="FE5000"/>
                                <w:sz w:val="20"/>
                              </w:rPr>
                              <w:t>     </w:t>
                            </w:r>
                            <w:r>
                              <w:rPr>
                                <w:rFonts w:ascii="Arial" w:hAnsi="Arial"/>
                                <w:b/>
                                <w:i w:val="false"/>
                                <w:caps w:val="false"/>
                                <w:smallCaps w:val="false"/>
                                <w:color w:val="FE5000"/>
                                <w:sz w:val="32"/>
                              </w:rPr>
                              <w:t xml:space="preserve">+36,000 </w:t>
                            </w:r>
                            <w:r>
                              <w:rPr>
                                <w:rFonts w:ascii="Arial" w:hAnsi="Arial"/>
                                <w:b w:val="false"/>
                                <w:i w:val="false"/>
                                <w:caps w:val="false"/>
                                <w:smallCaps w:val="false"/>
                                <w:color w:val="595959"/>
                                <w:sz w:val="32"/>
                              </w:rPr>
                              <w:t>employees</w:t>
                            </w:r>
                          </w:p>
                          <w:p>
                            <w:pPr>
                              <w:pStyle w:val="TextBody"/>
                              <w:bidi w:val="0"/>
                              <w:spacing w:before="0" w:after="0"/>
                              <w:ind w:left="58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2023, we began following up with whistleblowers to seek their feedback about the process, make improvements, and ensure they face no adverse consequences for their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40"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For the third consecutive year, we participated in ELSA, 15 a workplace anti-harassment initiative that helps us measure our progress in learning about the issue and knowing about existing prevention systems. The results show that we have made progress in understanding since more Credicorp employees answered correctly than in the previous year. We also exceeded the 2023 benchmark for Peru and the region.</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awareness, address WSH cases, and communicate these outcomes from the CEO level have been showing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During 2023, we sent out communications and held workshops and training to draw attention to unacceptable conduct and, in particular, to sensitize employees about comments that can be considered sexist.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 are aware that one of the first consequences of raising WSH visibility and awareness is often more reporting of its incidence. Although case numbers across our companies in 2023 stayed low in relation to the total number of personnel, our goal remains to continuously increase the understanding of what constitutes WSH and the degree of trust in Credicorp’s reporting processes.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b w:val="false"/>
                          <w:i w:val="false"/>
                          <w:caps w:val="false"/>
                          <w:smallCaps w:val="false"/>
                          <w:sz w:val="20"/>
                        </w:rPr>
                      </w:pPr>
                      <w:r>
                        <w:rPr>
                          <w:rFonts w:ascii="Arial" w:hAnsi="Arial"/>
                          <w:b/>
                          <w:i w:val="false"/>
                          <w:caps w:val="false"/>
                          <w:smallCaps w:val="false"/>
                          <w:color w:val="FE5000"/>
                          <w:sz w:val="32"/>
                        </w:rPr>
                        <w:t xml:space="preserve">32 </w:t>
                      </w:r>
                      <w:r>
                        <w:rPr>
                          <w:rFonts w:ascii="Arial" w:hAnsi="Arial"/>
                          <w:b w:val="false"/>
                          <w:i w:val="false"/>
                          <w:caps w:val="false"/>
                          <w:smallCaps w:val="false"/>
                          <w:color w:val="595959"/>
                          <w:sz w:val="32"/>
                        </w:rPr>
                        <w:t>WSH reports</w:t>
                      </w:r>
                      <w:r>
                        <w:rPr>
                          <w:rFonts w:ascii="Arial" w:hAnsi="Arial"/>
                          <w:b w:val="false"/>
                          <w:i w:val="false"/>
                          <w:caps w:val="false"/>
                          <w:smallCaps w:val="false"/>
                          <w:sz w:val="20"/>
                        </w:rPr>
                        <w:t xml:space="preserve"> </w:t>
                      </w:r>
                      <w:r>
                        <w:rPr>
                          <w:rFonts w:ascii="Arial" w:hAnsi="Arial"/>
                          <w:b w:val="false"/>
                          <w:i w:val="false"/>
                          <w:caps w:val="false"/>
                          <w:smallCaps w:val="false"/>
                          <w:color w:val="FE5000"/>
                          <w:sz w:val="20"/>
                        </w:rPr>
                        <w:t>     </w:t>
                      </w:r>
                      <w:r>
                        <w:rPr>
                          <w:rFonts w:ascii="Arial" w:hAnsi="Arial"/>
                          <w:b/>
                          <w:i w:val="false"/>
                          <w:caps w:val="false"/>
                          <w:smallCaps w:val="false"/>
                          <w:color w:val="FE5000"/>
                          <w:sz w:val="32"/>
                        </w:rPr>
                        <w:t xml:space="preserve">+36,000 </w:t>
                      </w:r>
                      <w:r>
                        <w:rPr>
                          <w:rFonts w:ascii="Arial" w:hAnsi="Arial"/>
                          <w:b w:val="false"/>
                          <w:i w:val="false"/>
                          <w:caps w:val="false"/>
                          <w:smallCaps w:val="false"/>
                          <w:color w:val="595959"/>
                          <w:sz w:val="32"/>
                        </w:rPr>
                        <w:t>employees</w:t>
                      </w:r>
                    </w:p>
                    <w:p>
                      <w:pPr>
                        <w:pStyle w:val="TextBody"/>
                        <w:bidi w:val="0"/>
                        <w:spacing w:before="0" w:after="0"/>
                        <w:ind w:left="58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2023, we began following up with whistleblowers to seek their feedback about the process, make improvements, and ensure they face no adverse consequences for their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40"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For the third consecutive year, we participated in ELSA, 15 a workplace anti-harassment initiative that helps us measure our progress in learning about the issue and knowing about existing prevention systems. The results show that we have made progress in understanding since more Credicorp employees answered correctly than in the previous year. We also exceeded the 2023 benchmark for Peru and the region.</w:t>
                      </w:r>
                    </w:p>
                  </w:txbxContent>
                </v:textbox>
                <w10:wrap type="topAndBottom"/>
              </v:rect>
            </w:pict>
          </mc:Fallback>
        </mc:AlternateConten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pPr>
      <w:r>
        <w:rPr/>
      </w:r>
      <w:r>
        <mc:AlternateContent>
          <mc:Choice Requires="wps">
            <w:drawing>
              <wp:anchor behindDoc="0" distT="0" distB="0" distL="0" distR="0" simplePos="0" locked="0" layoutInCell="1" allowOverlap="1" relativeHeight="279">
                <wp:simplePos x="0" y="0"/>
                <wp:positionH relativeFrom="column">
                  <wp:align>left</wp:align>
                </wp:positionH>
                <wp:positionV relativeFrom="line">
                  <wp:posOffset>635</wp:posOffset>
                </wp:positionV>
                <wp:extent cx="3110230" cy="594360"/>
                <wp:effectExtent l="0" t="0" r="0" b="0"/>
                <wp:wrapTopAndBottom/>
                <wp:docPr id="223" name="Frame66"/>
                <a:graphic xmlns:a="http://schemas.openxmlformats.org/drawingml/2006/main">
                  <a:graphicData uri="http://schemas.microsoft.com/office/word/2010/wordprocessingShape">
                    <wps:wsp>
                      <wps:cNvSpPr txBox="1"/>
                      <wps:spPr>
                        <a:xfrm>
                          <a:off x="0" y="0"/>
                          <a:ext cx="3110230" cy="594360"/>
                        </a:xfrm>
                        <a:prstGeom prst="rect"/>
                        <a:solidFill>
                          <a:srgbClr val="FFFFFF"/>
                        </a:solidFill>
                      </wps:spPr>
                      <wps:txbx>
                        <w:txbxContent>
                          <w:p>
                            <w:pPr>
                              <w:pStyle w:val="TextBody"/>
                              <w:bidi w:val="0"/>
                              <w:spacing w:before="0" w:after="60"/>
                              <w:jc w:val="left"/>
                              <w:rPr>
                                <w:bdr w:val="single" w:sz="8" w:space="1" w:color="000000"/>
                              </w:rPr>
                            </w:pPr>
                            <w:r>
                              <w:rPr>
                                <w:bdr w:val="single" w:sz="8" w:space="1" w:color="000000"/>
                              </w:rPr>
                              <w:t> </w:t>
                            </w:r>
                          </w:p>
                          <w:p>
                            <w:pPr>
                              <w:pStyle w:val="TextBody"/>
                              <w:bidi w:val="0"/>
                              <w:spacing w:lineRule="auto" w:line="240"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 xml:space="preserve">15 </w:t>
                            </w:r>
                            <w:r>
                              <w:rPr>
                                <w:rFonts w:ascii="Arial" w:hAnsi="Arial"/>
                                <w:b w:val="false"/>
                                <w:i/>
                                <w:caps w:val="false"/>
                                <w:smallCaps w:val="false"/>
                                <w:sz w:val="16"/>
                              </w:rPr>
                              <w:t xml:space="preserve">Espacios Laborales Sin Acoso </w:t>
                            </w:r>
                            <w:r>
                              <w:rPr>
                                <w:rFonts w:ascii="Arial" w:hAnsi="Arial"/>
                                <w:b w:val="false"/>
                                <w:i w:val="false"/>
                                <w:caps w:val="false"/>
                                <w:smallCaps w:val="false"/>
                                <w:sz w:val="16"/>
                              </w:rPr>
                              <w:t>(Workplaces Free of Harassment), an international initiative created by Genderlab with the support of the IDB.</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60"/>
                        <w:jc w:val="left"/>
                        <w:rPr>
                          <w:bdr w:val="single" w:sz="8" w:space="1" w:color="000000"/>
                        </w:rPr>
                      </w:pPr>
                      <w:r>
                        <w:rPr>
                          <w:bdr w:val="single" w:sz="8" w:space="1" w:color="000000"/>
                        </w:rPr>
                        <w:t> </w:t>
                      </w:r>
                    </w:p>
                    <w:p>
                      <w:pPr>
                        <w:pStyle w:val="TextBody"/>
                        <w:bidi w:val="0"/>
                        <w:spacing w:lineRule="auto" w:line="240"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 xml:space="preserve">15 </w:t>
                      </w:r>
                      <w:r>
                        <w:rPr>
                          <w:rFonts w:ascii="Arial" w:hAnsi="Arial"/>
                          <w:b w:val="false"/>
                          <w:i/>
                          <w:caps w:val="false"/>
                          <w:smallCaps w:val="false"/>
                          <w:sz w:val="16"/>
                        </w:rPr>
                        <w:t xml:space="preserve">Espacios Laborales Sin Acoso </w:t>
                      </w:r>
                      <w:r>
                        <w:rPr>
                          <w:rFonts w:ascii="Arial" w:hAnsi="Arial"/>
                          <w:b w:val="false"/>
                          <w:i w:val="false"/>
                          <w:caps w:val="false"/>
                          <w:smallCaps w:val="false"/>
                          <w:sz w:val="16"/>
                        </w:rPr>
                        <w:t>(Workplaces Free of Harassment), an international initiative created by Genderlab with the support of the IDB.</w:t>
                      </w:r>
                    </w:p>
                  </w:txbxContent>
                </v:textbox>
                <w10:wrap type="topAndBottom"/>
              </v:rect>
            </w:pict>
          </mc:Fallback>
        </mc:AlternateContent>
      </w:r>
      <w:r>
        <mc:AlternateContent>
          <mc:Choice Requires="wps">
            <w:drawing>
              <wp:anchor behindDoc="0" distT="0" distB="0" distL="0" distR="0" simplePos="0" locked="0" layoutInCell="1" allowOverlap="1" relativeHeight="280">
                <wp:simplePos x="0" y="0"/>
                <wp:positionH relativeFrom="column">
                  <wp:align>right</wp:align>
                </wp:positionH>
                <wp:positionV relativeFrom="line">
                  <wp:posOffset>635</wp:posOffset>
                </wp:positionV>
                <wp:extent cx="3110230" cy="175260"/>
                <wp:effectExtent l="0" t="0" r="0" b="0"/>
                <wp:wrapTopAndBottom/>
                <wp:docPr id="224" name="Frame67"/>
                <a:graphic xmlns:a="http://schemas.openxmlformats.org/drawingml/2006/main">
                  <a:graphicData uri="http://schemas.microsoft.com/office/word/2010/wordprocessingShape">
                    <wps:wsp>
                      <wps:cNvSpPr txBox="1"/>
                      <wps:spPr>
                        <a:xfrm>
                          <a:off x="0" y="0"/>
                          <a:ext cx="311023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3.8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283"/>
                        <w:jc w:val="left"/>
                        <w:rPr/>
                      </w:pPr>
                      <w:r>
                        <w:rPr/>
                      </w:r>
                    </w:p>
                  </w:txbxContent>
                </v:textbox>
                <w10:wrap type="topAndBottom"/>
              </v:rect>
            </w:pict>
          </mc:Fallback>
        </mc:AlternateContent>
      </w:r>
    </w:p>
    <w:p>
      <w:pPr>
        <w:pStyle w:val="TextBody"/>
        <w:bidi w:val="0"/>
        <w:spacing w:before="200" w:after="200"/>
        <w:ind w:left="6420" w:right="0" w:hanging="0"/>
        <w:jc w:val="center"/>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33</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olumn">
                  <wp:align>right</wp:align>
                </wp:positionH>
                <wp:positionV relativeFrom="line">
                  <wp:posOffset>635</wp:posOffset>
                </wp:positionV>
                <wp:extent cx="3110230" cy="4417060"/>
                <wp:effectExtent l="0" t="0" r="0" b="0"/>
                <wp:wrapTopAndBottom/>
                <wp:docPr id="225" name="Frame69"/>
                <a:graphic xmlns:a="http://schemas.openxmlformats.org/drawingml/2006/main">
                  <a:graphicData uri="http://schemas.microsoft.com/office/word/2010/wordprocessingShape">
                    <wps:wsp>
                      <wps:cNvSpPr txBox="1"/>
                      <wps:spPr>
                        <a:xfrm>
                          <a:off x="0" y="0"/>
                          <a:ext cx="3110230" cy="4417060"/>
                        </a:xfrm>
                        <a:prstGeom prst="rect"/>
                        <a:solidFill>
                          <a:srgbClr val="FFFFFF"/>
                        </a:solidFill>
                      </wps:spPr>
                      <wps:txbx>
                        <w:txbxContent>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requirements and also extend to same-sex couples and those with adopted children. </w:t>
                            </w:r>
                          </w:p>
                          <w:p>
                            <w:pPr>
                              <w:pStyle w:val="TextBody"/>
                              <w:bidi w:val="0"/>
                              <w:spacing w:lineRule="auto" w:line="240"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To foster the paternity benefit, we have made considerable efforts to show that it will not prejudice career development or bring about financial loss. Since implementation, more than 98% of employees in a position to access the arrangement have done so.16 To improve work-life balance and identify other possible initiatives, related questions have formed part of our workplace satisfaction survey.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color w:val="FF0000"/>
                              </w:rPr>
                            </w:pPr>
                            <w:r>
                              <w:rPr>
                                <w:caps w:val="false"/>
                                <w:smallCaps w:val="false"/>
                                <w:color w:val="FF0000"/>
                              </w:rPr>
                              <w:drawing>
                                <wp:inline distT="0" distB="0" distL="0" distR="0">
                                  <wp:extent cx="2857500" cy="590550"/>
                                  <wp:effectExtent l="0" t="0" r="0" b="0"/>
                                  <wp:docPr id="226"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99" descr=""/>
                                          <pic:cNvPicPr>
                                            <a:picLocks noChangeAspect="1" noChangeArrowheads="1"/>
                                          </pic:cNvPicPr>
                                        </pic:nvPicPr>
                                        <pic:blipFill>
                                          <a:blip r:embed="rId159"/>
                                          <a:stretch>
                                            <a:fillRect/>
                                          </a:stretch>
                                        </pic:blipFill>
                                        <pic:spPr bwMode="auto">
                                          <a:xfrm>
                                            <a:off x="0" y="0"/>
                                            <a:ext cx="2857500" cy="590550"/>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Source: Data from the 2022 work climate surveys. Preparation: 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2.2.4. Employee Experience</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Credicorp measures all its activities and initiatives under the different pillars through its employee experience model. We monitor the results of our strategy through periodic eNPS measurements and workplace satisfaction surveys to assess and understand how our employees feel. These metrics are essential to maintaining a healthy work environment and identifying areas for possible improvement.</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47.8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requirements and also extend to same-sex couples and those with adopted children. </w:t>
                      </w:r>
                    </w:p>
                    <w:p>
                      <w:pPr>
                        <w:pStyle w:val="TextBody"/>
                        <w:bidi w:val="0"/>
                        <w:spacing w:lineRule="auto" w:line="240"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To foster the paternity benefit, we have made considerable efforts to show that it will not prejudice career development or bring about financial loss. Since implementation, more than 98% of employees in a position to access the arrangement have done so.16 To improve work-life balance and identify other possible initiatives, related questions have formed part of our workplace satisfaction survey.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color w:val="FF0000"/>
                        </w:rPr>
                      </w:pPr>
                      <w:r>
                        <w:rPr>
                          <w:caps w:val="false"/>
                          <w:smallCaps w:val="false"/>
                          <w:color w:val="FF0000"/>
                        </w:rPr>
                        <w:drawing>
                          <wp:inline distT="0" distB="0" distL="0" distR="0">
                            <wp:extent cx="2857500" cy="590550"/>
                            <wp:effectExtent l="0" t="0" r="0" b="0"/>
                            <wp:docPr id="227"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99" descr=""/>
                                    <pic:cNvPicPr>
                                      <a:picLocks noChangeAspect="1" noChangeArrowheads="1"/>
                                    </pic:cNvPicPr>
                                  </pic:nvPicPr>
                                  <pic:blipFill>
                                    <a:blip r:embed="rId160"/>
                                    <a:stretch>
                                      <a:fillRect/>
                                    </a:stretch>
                                  </pic:blipFill>
                                  <pic:spPr bwMode="auto">
                                    <a:xfrm>
                                      <a:off x="0" y="0"/>
                                      <a:ext cx="2857500" cy="590550"/>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Source: Data from the 2022 work climate surveys. Preparation: 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2.2.4. Employee Experience</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Credicorp measures all its activities and initiatives under the different pillars through its employee experience model. We monitor the results of our strategy through periodic eNPS measurements and workplace satisfaction surveys to assess and understand how our employees feel. These metrics are essential to maintaining a healthy work environment and identifying areas for possible improvement.</w:t>
                      </w:r>
                    </w:p>
                  </w:txbxContent>
                </v:textbox>
                <w10:wrap type="topAndBottom"/>
              </v:rect>
            </w:pict>
          </mc:Fallback>
        </mc:AlternateContent>
      </w:r>
      <w:r>
        <mc:AlternateContent>
          <mc:Choice Requires="wps">
            <w:drawing>
              <wp:anchor behindDoc="0" distT="0" distB="0" distL="0" distR="0" simplePos="0" locked="0" layoutInCell="1" allowOverlap="1" relativeHeight="90">
                <wp:simplePos x="0" y="0"/>
                <wp:positionH relativeFrom="column">
                  <wp:align>left</wp:align>
                </wp:positionH>
                <wp:positionV relativeFrom="line">
                  <wp:posOffset>635</wp:posOffset>
                </wp:positionV>
                <wp:extent cx="3110230" cy="6456045"/>
                <wp:effectExtent l="0" t="0" r="0" b="0"/>
                <wp:wrapTopAndBottom/>
                <wp:docPr id="228" name="Frame68"/>
                <a:graphic xmlns:a="http://schemas.openxmlformats.org/drawingml/2006/main">
                  <a:graphicData uri="http://schemas.microsoft.com/office/word/2010/wordprocessingShape">
                    <wps:wsp>
                      <wps:cNvSpPr txBox="1"/>
                      <wps:spPr>
                        <a:xfrm>
                          <a:off x="0" y="0"/>
                          <a:ext cx="3110230" cy="6456045"/>
                        </a:xfrm>
                        <a:prstGeom prst="rect"/>
                        <a:solidFill>
                          <a:srgbClr val="FFFFFF"/>
                        </a:solidFill>
                      </wps:spPr>
                      <wps:txbx>
                        <w:txbxContent>
                          <w:p>
                            <w:pPr>
                              <w:pStyle w:val="TextBody"/>
                              <w:bidi w:val="0"/>
                              <w:spacing w:before="0" w:after="0"/>
                              <w:ind w:left="0" w:right="0" w:hanging="0"/>
                              <w:jc w:val="center"/>
                              <w:rPr>
                                <w:caps w:val="false"/>
                                <w:smallCaps w:val="false"/>
                                <w:color w:val="FF0000"/>
                              </w:rPr>
                            </w:pPr>
                            <w:r>
                              <w:rPr>
                                <w:caps w:val="false"/>
                                <w:smallCaps w:val="false"/>
                                <w:color w:val="FF0000"/>
                              </w:rPr>
                              <w:drawing>
                                <wp:inline distT="0" distB="0" distL="0" distR="0">
                                  <wp:extent cx="2381250" cy="1847850"/>
                                  <wp:effectExtent l="0" t="0" r="0" b="0"/>
                                  <wp:docPr id="229"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98" descr=""/>
                                          <pic:cNvPicPr>
                                            <a:picLocks noChangeAspect="1" noChangeArrowheads="1"/>
                                          </pic:cNvPicPr>
                                        </pic:nvPicPr>
                                        <pic:blipFill>
                                          <a:blip r:embed="rId161"/>
                                          <a:stretch>
                                            <a:fillRect/>
                                          </a:stretch>
                                        </pic:blipFill>
                                        <pic:spPr bwMode="auto">
                                          <a:xfrm>
                                            <a:off x="0" y="0"/>
                                            <a:ext cx="2381250" cy="1847850"/>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9963" w:type="dxa"/>
                              <w:jc w:val="left"/>
                              <w:tblInd w:w="0" w:type="dxa"/>
                              <w:tblLayout w:type="fixed"/>
                              <w:tblCellMar>
                                <w:top w:w="0" w:type="dxa"/>
                                <w:left w:w="0" w:type="dxa"/>
                                <w:bottom w:w="0" w:type="dxa"/>
                                <w:right w:w="0" w:type="dxa"/>
                              </w:tblCellMar>
                            </w:tblPr>
                            <w:tblGrid>
                              <w:gridCol w:w="38"/>
                              <w:gridCol w:w="170"/>
                              <w:gridCol w:w="97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755"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Employees are aware of the prevention and penalty policies (69% in 2023) and reporting channels (70% in 2023)</w:t>
                                  </w:r>
                                </w:p>
                              </w:tc>
                            </w:tr>
                          </w:tbl>
                          <w:tbl>
                            <w:tblPr>
                              <w:tblW w:w="4038" w:type="dxa"/>
                              <w:jc w:val="left"/>
                              <w:tblInd w:w="0" w:type="dxa"/>
                              <w:tblLayout w:type="fixed"/>
                              <w:tblCellMar>
                                <w:top w:w="0" w:type="dxa"/>
                                <w:left w:w="0" w:type="dxa"/>
                                <w:bottom w:w="0" w:type="dxa"/>
                                <w:right w:w="0" w:type="dxa"/>
                              </w:tblCellMar>
                            </w:tblPr>
                            <w:tblGrid>
                              <w:gridCol w:w="38"/>
                              <w:gridCol w:w="170"/>
                              <w:gridCol w:w="38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30"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Employees better understand what WSH is.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2.2.3.4. Work-life and family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b/>
                                <w:i w:val="false"/>
                                <w:caps w:val="false"/>
                                <w:smallCaps w:val="false"/>
                                <w:color w:val="FE5000"/>
                                <w:sz w:val="36"/>
                              </w:rPr>
                            </w:pPr>
                            <w:r>
                              <w:rPr>
                                <w:rFonts w:ascii="Arial" w:hAnsi="Arial"/>
                                <w:b/>
                                <w:i w:val="false"/>
                                <w:caps w:val="false"/>
                                <w:smallCaps w:val="false"/>
                                <w:color w:val="FE5000"/>
                                <w:sz w:val="36"/>
                              </w:rPr>
                              <w:t>We aim to be a company that encourages parental co-responsibility</w:t>
                            </w:r>
                          </w:p>
                          <w:p>
                            <w:pPr>
                              <w:pStyle w:val="TextBody"/>
                              <w:bidi w:val="0"/>
                              <w:spacing w:before="0" w:after="0"/>
                              <w:ind w:left="1420" w:right="0" w:hanging="1198"/>
                              <w:jc w:val="left"/>
                              <w:rPr>
                                <w:caps w:val="false"/>
                                <w:smallCaps w:val="false"/>
                                <w:color w:val="FE5000"/>
                              </w:rPr>
                            </w:pPr>
                            <w:r>
                              <w:rPr>
                                <w:caps w:val="false"/>
                                <w:smallCaps w:val="false"/>
                                <w:color w:val="FE5000"/>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To meet this aspiration, each company in the Group offers two cross-cutting family benefits that exceed the national minimum legislative</w:t>
                            </w:r>
                          </w:p>
                          <w:p>
                            <w:pPr>
                              <w:pStyle w:val="TextBody"/>
                              <w:bidi w:val="0"/>
                              <w:spacing w:before="0" w:after="0"/>
                              <w:ind w:left="0" w:right="0" w:hanging="0"/>
                              <w:jc w:val="left"/>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2555"/>
                              <w:gridCol w:w="2975"/>
                            </w:tblGrid>
                            <w:tr>
                              <w:trPr/>
                              <w:tc>
                                <w:tcPr>
                                  <w:tcW w:w="2555" w:type="dxa"/>
                                  <w:tcBorders/>
                                  <w:vAlign w:val="center"/>
                                </w:tcPr>
                                <w:p>
                                  <w:pPr>
                                    <w:pStyle w:val="TableContents"/>
                                    <w:bidi w:val="0"/>
                                    <w:spacing w:before="0" w:after="283"/>
                                    <w:jc w:val="center"/>
                                    <w:rPr>
                                      <w:rFonts w:ascii="Arial" w:hAnsi="Arial"/>
                                      <w:b/>
                                      <w:i w:val="false"/>
                                      <w:caps w:val="false"/>
                                      <w:smallCaps w:val="false"/>
                                      <w:color w:val="FE5000"/>
                                      <w:sz w:val="36"/>
                                    </w:rPr>
                                  </w:pPr>
                                  <w:r>
                                    <w:rPr>
                                      <w:rFonts w:ascii="Arial" w:hAnsi="Arial"/>
                                      <w:b/>
                                      <w:i w:val="false"/>
                                      <w:caps w:val="false"/>
                                      <w:smallCaps w:val="false"/>
                                      <w:color w:val="FE5000"/>
                                      <w:sz w:val="36"/>
                                    </w:rPr>
                                    <w:t>Paternity leave</w:t>
                                  </w:r>
                                </w:p>
                              </w:tc>
                              <w:tc>
                                <w:tcPr>
                                  <w:tcW w:w="2975" w:type="dxa"/>
                                  <w:tcBorders/>
                                  <w:vAlign w:val="center"/>
                                </w:tcPr>
                                <w:p>
                                  <w:pPr>
                                    <w:pStyle w:val="TableContents"/>
                                    <w:bidi w:val="0"/>
                                    <w:spacing w:before="0" w:after="283"/>
                                    <w:jc w:val="center"/>
                                    <w:rPr>
                                      <w:rFonts w:ascii="Arial" w:hAnsi="Arial"/>
                                      <w:b/>
                                      <w:i w:val="false"/>
                                      <w:caps w:val="false"/>
                                      <w:smallCaps w:val="false"/>
                                      <w:color w:val="FE5000"/>
                                      <w:sz w:val="36"/>
                                    </w:rPr>
                                  </w:pPr>
                                  <w:r>
                                    <w:rPr>
                                      <w:rFonts w:ascii="Arial" w:hAnsi="Arial"/>
                                      <w:b/>
                                      <w:i w:val="false"/>
                                      <w:caps w:val="false"/>
                                      <w:smallCaps w:val="false"/>
                                      <w:color w:val="FE5000"/>
                                      <w:sz w:val="36"/>
                                    </w:rPr>
                                    <w:t>Graduated return</w:t>
                                  </w:r>
                                </w:p>
                              </w:tc>
                            </w:tr>
                            <w:tr>
                              <w:trPr/>
                              <w:tc>
                                <w:tcPr>
                                  <w:tcW w:w="2555" w:type="dxa"/>
                                  <w:tcBorders/>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21 days after birth</w:t>
                                  </w:r>
                                </w:p>
                              </w:tc>
                              <w:tc>
                                <w:tcPr>
                                  <w:tcW w:w="2975" w:type="dxa"/>
                                  <w:tcBorders/>
                                  <w:vAlign w:val="center"/>
                                </w:tcPr>
                                <w:p>
                                  <w:pPr>
                                    <w:pStyle w:val="TableContents"/>
                                    <w:bidi w:val="0"/>
                                    <w:spacing w:before="0" w:after="283"/>
                                    <w:jc w:val="center"/>
                                    <w:rPr>
                                      <w:rFonts w:ascii="Arial" w:hAnsi="Arial"/>
                                      <w:b/>
                                      <w:i w:val="false"/>
                                      <w:caps w:val="false"/>
                                      <w:smallCaps w:val="false"/>
                                      <w:color w:val="FE5000"/>
                                      <w:sz w:val="36"/>
                                    </w:rPr>
                                  </w:pPr>
                                  <w:r>
                                    <w:rPr>
                                      <w:rFonts w:ascii="Arial" w:hAnsi="Arial"/>
                                      <w:b/>
                                      <w:i w:val="false"/>
                                      <w:caps w:val="false"/>
                                      <w:smallCaps w:val="false"/>
                                      <w:color w:val="FE5000"/>
                                      <w:sz w:val="36"/>
                                    </w:rPr>
                                    <w:t>from maternity</w:t>
                                  </w:r>
                                </w:p>
                              </w:tc>
                            </w:tr>
                            <w:tr>
                              <w:trPr/>
                              <w:tc>
                                <w:tcPr>
                                  <w:tcW w:w="2555" w:type="dxa"/>
                                  <w:tcBorders/>
                                  <w:vAlign w:val="center"/>
                                </w:tcPr>
                                <w:p>
                                  <w:pPr>
                                    <w:pStyle w:val="TableContents"/>
                                    <w:bidi w:val="0"/>
                                    <w:spacing w:before="0" w:after="283"/>
                                    <w:jc w:val="center"/>
                                    <w:rPr>
                                      <w:caps w:val="false"/>
                                      <w:smallCaps w:val="false"/>
                                    </w:rPr>
                                  </w:pPr>
                                  <w:r>
                                    <w:rPr>
                                      <w:caps w:val="false"/>
                                      <w:smallCaps w:val="false"/>
                                    </w:rPr>
                                    <w:t> </w:t>
                                  </w:r>
                                </w:p>
                              </w:tc>
                              <w:tc>
                                <w:tcPr>
                                  <w:tcW w:w="2975" w:type="dxa"/>
                                  <w:tcBorders/>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for up to 7 months after birth</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08.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center"/>
                        <w:rPr>
                          <w:caps w:val="false"/>
                          <w:smallCaps w:val="false"/>
                          <w:color w:val="FF0000"/>
                        </w:rPr>
                      </w:pPr>
                      <w:r>
                        <w:rPr>
                          <w:caps w:val="false"/>
                          <w:smallCaps w:val="false"/>
                          <w:color w:val="FF0000"/>
                        </w:rPr>
                        <w:drawing>
                          <wp:inline distT="0" distB="0" distL="0" distR="0">
                            <wp:extent cx="2381250" cy="1847850"/>
                            <wp:effectExtent l="0" t="0" r="0" b="0"/>
                            <wp:docPr id="230"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98" descr=""/>
                                    <pic:cNvPicPr>
                                      <a:picLocks noChangeAspect="1" noChangeArrowheads="1"/>
                                    </pic:cNvPicPr>
                                  </pic:nvPicPr>
                                  <pic:blipFill>
                                    <a:blip r:embed="rId162"/>
                                    <a:stretch>
                                      <a:fillRect/>
                                    </a:stretch>
                                  </pic:blipFill>
                                  <pic:spPr bwMode="auto">
                                    <a:xfrm>
                                      <a:off x="0" y="0"/>
                                      <a:ext cx="2381250" cy="1847850"/>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9963" w:type="dxa"/>
                        <w:jc w:val="left"/>
                        <w:tblInd w:w="0" w:type="dxa"/>
                        <w:tblLayout w:type="fixed"/>
                        <w:tblCellMar>
                          <w:top w:w="0" w:type="dxa"/>
                          <w:left w:w="0" w:type="dxa"/>
                          <w:bottom w:w="0" w:type="dxa"/>
                          <w:right w:w="0" w:type="dxa"/>
                        </w:tblCellMar>
                      </w:tblPr>
                      <w:tblGrid>
                        <w:gridCol w:w="38"/>
                        <w:gridCol w:w="170"/>
                        <w:gridCol w:w="97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755"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Employees are aware of the prevention and penalty policies (69% in 2023) and reporting channels (70% in 2023)</w:t>
                            </w:r>
                          </w:p>
                        </w:tc>
                      </w:tr>
                    </w:tbl>
                    <w:tbl>
                      <w:tblPr>
                        <w:tblW w:w="4038" w:type="dxa"/>
                        <w:jc w:val="left"/>
                        <w:tblInd w:w="0" w:type="dxa"/>
                        <w:tblLayout w:type="fixed"/>
                        <w:tblCellMar>
                          <w:top w:w="0" w:type="dxa"/>
                          <w:left w:w="0" w:type="dxa"/>
                          <w:bottom w:w="0" w:type="dxa"/>
                          <w:right w:w="0" w:type="dxa"/>
                        </w:tblCellMar>
                      </w:tblPr>
                      <w:tblGrid>
                        <w:gridCol w:w="38"/>
                        <w:gridCol w:w="170"/>
                        <w:gridCol w:w="38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30"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Employees better understand what WSH is.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2.2.3.4. Work-life and family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b/>
                          <w:i w:val="false"/>
                          <w:caps w:val="false"/>
                          <w:smallCaps w:val="false"/>
                          <w:color w:val="FE5000"/>
                          <w:sz w:val="36"/>
                        </w:rPr>
                      </w:pPr>
                      <w:r>
                        <w:rPr>
                          <w:rFonts w:ascii="Arial" w:hAnsi="Arial"/>
                          <w:b/>
                          <w:i w:val="false"/>
                          <w:caps w:val="false"/>
                          <w:smallCaps w:val="false"/>
                          <w:color w:val="FE5000"/>
                          <w:sz w:val="36"/>
                        </w:rPr>
                        <w:t>We aim to be a company that encourages parental co-responsibility</w:t>
                      </w:r>
                    </w:p>
                    <w:p>
                      <w:pPr>
                        <w:pStyle w:val="TextBody"/>
                        <w:bidi w:val="0"/>
                        <w:spacing w:before="0" w:after="0"/>
                        <w:ind w:left="1420" w:right="0" w:hanging="1198"/>
                        <w:jc w:val="left"/>
                        <w:rPr>
                          <w:caps w:val="false"/>
                          <w:smallCaps w:val="false"/>
                          <w:color w:val="FE5000"/>
                        </w:rPr>
                      </w:pPr>
                      <w:r>
                        <w:rPr>
                          <w:caps w:val="false"/>
                          <w:smallCaps w:val="false"/>
                          <w:color w:val="FE5000"/>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To meet this aspiration, each company in the Group offers two cross-cutting family benefits that exceed the national minimum legislative</w:t>
                      </w:r>
                    </w:p>
                    <w:p>
                      <w:pPr>
                        <w:pStyle w:val="TextBody"/>
                        <w:bidi w:val="0"/>
                        <w:spacing w:before="0" w:after="0"/>
                        <w:ind w:left="0" w:right="0" w:hanging="0"/>
                        <w:jc w:val="left"/>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2555"/>
                        <w:gridCol w:w="2975"/>
                      </w:tblGrid>
                      <w:tr>
                        <w:trPr/>
                        <w:tc>
                          <w:tcPr>
                            <w:tcW w:w="2555" w:type="dxa"/>
                            <w:tcBorders/>
                            <w:vAlign w:val="center"/>
                          </w:tcPr>
                          <w:p>
                            <w:pPr>
                              <w:pStyle w:val="TableContents"/>
                              <w:bidi w:val="0"/>
                              <w:spacing w:before="0" w:after="283"/>
                              <w:jc w:val="center"/>
                              <w:rPr>
                                <w:rFonts w:ascii="Arial" w:hAnsi="Arial"/>
                                <w:b/>
                                <w:i w:val="false"/>
                                <w:caps w:val="false"/>
                                <w:smallCaps w:val="false"/>
                                <w:color w:val="FE5000"/>
                                <w:sz w:val="36"/>
                              </w:rPr>
                            </w:pPr>
                            <w:r>
                              <w:rPr>
                                <w:rFonts w:ascii="Arial" w:hAnsi="Arial"/>
                                <w:b/>
                                <w:i w:val="false"/>
                                <w:caps w:val="false"/>
                                <w:smallCaps w:val="false"/>
                                <w:color w:val="FE5000"/>
                                <w:sz w:val="36"/>
                              </w:rPr>
                              <w:t>Paternity leave</w:t>
                            </w:r>
                          </w:p>
                        </w:tc>
                        <w:tc>
                          <w:tcPr>
                            <w:tcW w:w="2975" w:type="dxa"/>
                            <w:tcBorders/>
                            <w:vAlign w:val="center"/>
                          </w:tcPr>
                          <w:p>
                            <w:pPr>
                              <w:pStyle w:val="TableContents"/>
                              <w:bidi w:val="0"/>
                              <w:spacing w:before="0" w:after="283"/>
                              <w:jc w:val="center"/>
                              <w:rPr>
                                <w:rFonts w:ascii="Arial" w:hAnsi="Arial"/>
                                <w:b/>
                                <w:i w:val="false"/>
                                <w:caps w:val="false"/>
                                <w:smallCaps w:val="false"/>
                                <w:color w:val="FE5000"/>
                                <w:sz w:val="36"/>
                              </w:rPr>
                            </w:pPr>
                            <w:r>
                              <w:rPr>
                                <w:rFonts w:ascii="Arial" w:hAnsi="Arial"/>
                                <w:b/>
                                <w:i w:val="false"/>
                                <w:caps w:val="false"/>
                                <w:smallCaps w:val="false"/>
                                <w:color w:val="FE5000"/>
                                <w:sz w:val="36"/>
                              </w:rPr>
                              <w:t>Graduated return</w:t>
                            </w:r>
                          </w:p>
                        </w:tc>
                      </w:tr>
                      <w:tr>
                        <w:trPr/>
                        <w:tc>
                          <w:tcPr>
                            <w:tcW w:w="2555" w:type="dxa"/>
                            <w:tcBorders/>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21 days after birth</w:t>
                            </w:r>
                          </w:p>
                        </w:tc>
                        <w:tc>
                          <w:tcPr>
                            <w:tcW w:w="2975" w:type="dxa"/>
                            <w:tcBorders/>
                            <w:vAlign w:val="center"/>
                          </w:tcPr>
                          <w:p>
                            <w:pPr>
                              <w:pStyle w:val="TableContents"/>
                              <w:bidi w:val="0"/>
                              <w:spacing w:before="0" w:after="283"/>
                              <w:jc w:val="center"/>
                              <w:rPr>
                                <w:rFonts w:ascii="Arial" w:hAnsi="Arial"/>
                                <w:b/>
                                <w:i w:val="false"/>
                                <w:caps w:val="false"/>
                                <w:smallCaps w:val="false"/>
                                <w:color w:val="FE5000"/>
                                <w:sz w:val="36"/>
                              </w:rPr>
                            </w:pPr>
                            <w:r>
                              <w:rPr>
                                <w:rFonts w:ascii="Arial" w:hAnsi="Arial"/>
                                <w:b/>
                                <w:i w:val="false"/>
                                <w:caps w:val="false"/>
                                <w:smallCaps w:val="false"/>
                                <w:color w:val="FE5000"/>
                                <w:sz w:val="36"/>
                              </w:rPr>
                              <w:t>from maternity</w:t>
                            </w:r>
                          </w:p>
                        </w:tc>
                      </w:tr>
                      <w:tr>
                        <w:trPr/>
                        <w:tc>
                          <w:tcPr>
                            <w:tcW w:w="2555" w:type="dxa"/>
                            <w:tcBorders/>
                            <w:vAlign w:val="center"/>
                          </w:tcPr>
                          <w:p>
                            <w:pPr>
                              <w:pStyle w:val="TableContents"/>
                              <w:bidi w:val="0"/>
                              <w:spacing w:before="0" w:after="283"/>
                              <w:jc w:val="center"/>
                              <w:rPr>
                                <w:caps w:val="false"/>
                                <w:smallCaps w:val="false"/>
                              </w:rPr>
                            </w:pPr>
                            <w:r>
                              <w:rPr>
                                <w:caps w:val="false"/>
                                <w:smallCaps w:val="false"/>
                              </w:rPr>
                              <w:t> </w:t>
                            </w:r>
                          </w:p>
                        </w:tc>
                        <w:tc>
                          <w:tcPr>
                            <w:tcW w:w="2975" w:type="dxa"/>
                            <w:tcBorders/>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for up to 7 months after birth</w:t>
                            </w:r>
                          </w:p>
                        </w:tc>
                      </w:tr>
                    </w:tbl>
                    <w:p>
                      <w:pPr>
                        <w:pStyle w:val="TextBody"/>
                        <w:bidi w:val="0"/>
                        <w:spacing w:before="0" w:after="283"/>
                        <w:jc w:val="left"/>
                        <w:rPr/>
                      </w:pPr>
                      <w:r>
                        <w:rPr/>
                      </w:r>
                    </w:p>
                  </w:txbxContent>
                </v:textbox>
                <w10:wrap type="topAndBottom"/>
              </v:rect>
            </w:pict>
          </mc:Fallback>
        </mc:AlternateContent>
      </w:r>
    </w:p>
    <w:p>
      <w:pPr>
        <w:pStyle w:val="TextBody"/>
        <w:bidi w:val="0"/>
        <w:spacing w:before="0" w:after="283"/>
        <w:jc w:val="left"/>
        <w:rPr/>
      </w:pPr>
      <w:r>
        <w:rPr/>
      </w:r>
      <w:r>
        <mc:AlternateContent>
          <mc:Choice Requires="wps">
            <w:drawing>
              <wp:anchor behindDoc="0" distT="0" distB="0" distL="0" distR="0" simplePos="0" locked="0" layoutInCell="1" allowOverlap="1" relativeHeight="281">
                <wp:simplePos x="0" y="0"/>
                <wp:positionH relativeFrom="column">
                  <wp:align>left</wp:align>
                </wp:positionH>
                <wp:positionV relativeFrom="line">
                  <wp:posOffset>635</wp:posOffset>
                </wp:positionV>
                <wp:extent cx="3110230" cy="515620"/>
                <wp:effectExtent l="0" t="0" r="0" b="0"/>
                <wp:wrapTopAndBottom/>
                <wp:docPr id="231" name="Frame70"/>
                <a:graphic xmlns:a="http://schemas.openxmlformats.org/drawingml/2006/main">
                  <a:graphicData uri="http://schemas.microsoft.com/office/word/2010/wordprocessingShape">
                    <wps:wsp>
                      <wps:cNvSpPr txBox="1"/>
                      <wps:spPr>
                        <a:xfrm>
                          <a:off x="0" y="0"/>
                          <a:ext cx="3110230" cy="515620"/>
                        </a:xfrm>
                        <a:prstGeom prst="rect"/>
                        <a:solidFill>
                          <a:srgbClr val="FFFFFF"/>
                        </a:solidFill>
                      </wps:spPr>
                      <wps:txbx>
                        <w:txbxContent>
                          <w:p>
                            <w:pPr>
                              <w:pStyle w:val="TextBody"/>
                              <w:bidi w:val="0"/>
                              <w:spacing w:before="60" w:after="60"/>
                              <w:jc w:val="left"/>
                              <w:rPr>
                                <w:bdr w:val="single" w:sz="8" w:space="1" w:color="000000"/>
                              </w:rPr>
                            </w:pPr>
                            <w:r>
                              <w:rPr>
                                <w:bdr w:val="single" w:sz="8" w:space="1" w:color="000000"/>
                              </w:rPr>
                              <w:t> </w:t>
                            </w:r>
                          </w:p>
                          <w:p>
                            <w:pPr>
                              <w:pStyle w:val="TextBody"/>
                              <w:bidi w:val="0"/>
                              <w:spacing w:lineRule="auto" w:line="240"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16 Further detail on parental leave is available in the annexes to this report.</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0.6pt;mso-wrap-distance-left:0pt;mso-wrap-distance-right:0pt;mso-wrap-distance-top:0pt;mso-wrap-distance-bottom:0pt;margin-top:0pt;mso-position-vertical:top;mso-position-vertical-relative:text;margin-left:244.9pt;mso-position-horizontal:left;mso-position-horizontal-relative:text">
                <v:textbox>
                  <w:txbxContent>
                    <w:p>
                      <w:pPr>
                        <w:pStyle w:val="TextBody"/>
                        <w:bidi w:val="0"/>
                        <w:spacing w:before="60" w:after="60"/>
                        <w:jc w:val="left"/>
                        <w:rPr>
                          <w:bdr w:val="single" w:sz="8" w:space="1" w:color="000000"/>
                        </w:rPr>
                      </w:pPr>
                      <w:r>
                        <w:rPr>
                          <w:bdr w:val="single" w:sz="8" w:space="1" w:color="000000"/>
                        </w:rPr>
                        <w:t> </w:t>
                      </w:r>
                    </w:p>
                    <w:p>
                      <w:pPr>
                        <w:pStyle w:val="TextBody"/>
                        <w:bidi w:val="0"/>
                        <w:spacing w:lineRule="auto" w:line="240"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16 Further detail on parental leave is available in the annexes to this report.</w:t>
                      </w:r>
                    </w:p>
                  </w:txbxContent>
                </v:textbox>
                <w10:wrap type="topAndBottom"/>
              </v:rect>
            </w:pict>
          </mc:Fallback>
        </mc:AlternateContent>
      </w:r>
      <w:r>
        <mc:AlternateContent>
          <mc:Choice Requires="wps">
            <w:drawing>
              <wp:anchor behindDoc="0" distT="0" distB="0" distL="0" distR="0" simplePos="0" locked="0" layoutInCell="1" allowOverlap="1" relativeHeight="282">
                <wp:simplePos x="0" y="0"/>
                <wp:positionH relativeFrom="column">
                  <wp:align>right</wp:align>
                </wp:positionH>
                <wp:positionV relativeFrom="line">
                  <wp:posOffset>635</wp:posOffset>
                </wp:positionV>
                <wp:extent cx="3110230" cy="175260"/>
                <wp:effectExtent l="0" t="0" r="0" b="0"/>
                <wp:wrapTopAndBottom/>
                <wp:docPr id="232" name="Frame71"/>
                <a:graphic xmlns:a="http://schemas.openxmlformats.org/drawingml/2006/main">
                  <a:graphicData uri="http://schemas.microsoft.com/office/word/2010/wordprocessingShape">
                    <wps:wsp>
                      <wps:cNvSpPr txBox="1"/>
                      <wps:spPr>
                        <a:xfrm>
                          <a:off x="0" y="0"/>
                          <a:ext cx="311023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3.8pt;mso-wrap-distance-left:0pt;mso-wrap-distance-right:0pt;mso-wrap-distance-top:0pt;mso-wrap-distance-bottom:0pt;margin-top:0pt;mso-position-vertical:top;mso-position-vertical-relative:text;margin-left:20.4pt;mso-position-horizontal:right;mso-position-horizontal-relative:text">
                <v:textbox>
                  <w:txbxContent>
                    <w:p>
                      <w:pPr>
                        <w:pStyle w:val="TextBody"/>
                        <w:bidi w:val="0"/>
                        <w:spacing w:before="0" w:after="283"/>
                        <w:jc w:val="left"/>
                        <w:rPr/>
                      </w:pPr>
                      <w:r>
                        <w:rPr/>
                      </w:r>
                    </w:p>
                  </w:txbxContent>
                </v:textbox>
                <w10:wrap type="topAndBottom"/>
              </v:rect>
            </w:pict>
          </mc:Fallback>
        </mc:AlternateContent>
      </w:r>
    </w:p>
    <w:p>
      <w:pPr>
        <w:pStyle w:val="TextBody"/>
        <w:bidi w:val="0"/>
        <w:spacing w:before="200" w:after="200"/>
        <w:ind w:left="6420" w:right="0" w:hanging="0"/>
        <w:jc w:val="center"/>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34</w:t>
      </w:r>
    </w:p>
    <w:p>
      <w:pPr>
        <w:pStyle w:val="HorizontalLine"/>
        <w:pBdr>
          <w:bottom w:val="single" w:sz="12" w:space="0" w:color="808080"/>
        </w:pBdr>
        <w:bidi w:val="0"/>
        <w:spacing w:before="200" w:after="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3110230" cy="3423920"/>
                <wp:effectExtent l="0" t="0" r="0" b="0"/>
                <wp:wrapTopAndBottom/>
                <wp:docPr id="233" name="Frame72"/>
                <a:graphic xmlns:a="http://schemas.openxmlformats.org/drawingml/2006/main">
                  <a:graphicData uri="http://schemas.microsoft.com/office/word/2010/wordprocessingShape">
                    <wps:wsp>
                      <wps:cNvSpPr txBox="1"/>
                      <wps:spPr>
                        <a:xfrm>
                          <a:off x="0" y="0"/>
                          <a:ext cx="3110230" cy="3423920"/>
                        </a:xfrm>
                        <a:prstGeom prst="rect"/>
                        <a:solidFill>
                          <a:srgbClr val="FFFFFF"/>
                        </a:solidFill>
                      </wps:spPr>
                      <wps:txbx>
                        <w:txbxContent>
                          <w:p>
                            <w:pPr>
                              <w:pStyle w:val="TextBody"/>
                              <w:bidi w:val="0"/>
                              <w:spacing w:before="0" w:after="0"/>
                              <w:ind w:left="0" w:right="0" w:hanging="0"/>
                              <w:jc w:val="center"/>
                              <w:rPr>
                                <w:caps w:val="false"/>
                                <w:smallCaps w:val="false"/>
                                <w:color w:val="FF0000"/>
                              </w:rPr>
                            </w:pPr>
                            <w:r>
                              <w:rPr>
                                <w:caps w:val="false"/>
                                <w:smallCaps w:val="false"/>
                                <w:color w:val="FF0000"/>
                              </w:rPr>
                              <w:drawing>
                                <wp:inline distT="0" distB="0" distL="0" distR="0">
                                  <wp:extent cx="3333750" cy="2343150"/>
                                  <wp:effectExtent l="0" t="0" r="0" b="0"/>
                                  <wp:docPr id="234"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00" descr=""/>
                                          <pic:cNvPicPr>
                                            <a:picLocks noChangeAspect="1" noChangeArrowheads="1"/>
                                          </pic:cNvPicPr>
                                        </pic:nvPicPr>
                                        <pic:blipFill>
                                          <a:blip r:embed="rId163"/>
                                          <a:stretch>
                                            <a:fillRect/>
                                          </a:stretch>
                                        </pic:blipFill>
                                        <pic:spPr bwMode="auto">
                                          <a:xfrm>
                                            <a:off x="0" y="0"/>
                                            <a:ext cx="3333750" cy="2343150"/>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They allow us to prioritize and target steps that make an impact in those group companies facing the greatest challenges.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Further details on employee management are available in the annexes to this report.</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6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center"/>
                        <w:rPr>
                          <w:caps w:val="false"/>
                          <w:smallCaps w:val="false"/>
                          <w:color w:val="FF0000"/>
                        </w:rPr>
                      </w:pPr>
                      <w:r>
                        <w:rPr>
                          <w:caps w:val="false"/>
                          <w:smallCaps w:val="false"/>
                          <w:color w:val="FF0000"/>
                        </w:rPr>
                        <w:drawing>
                          <wp:inline distT="0" distB="0" distL="0" distR="0">
                            <wp:extent cx="3333750" cy="2343150"/>
                            <wp:effectExtent l="0" t="0" r="0" b="0"/>
                            <wp:docPr id="235"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00" descr=""/>
                                    <pic:cNvPicPr>
                                      <a:picLocks noChangeAspect="1" noChangeArrowheads="1"/>
                                    </pic:cNvPicPr>
                                  </pic:nvPicPr>
                                  <pic:blipFill>
                                    <a:blip r:embed="rId164"/>
                                    <a:stretch>
                                      <a:fillRect/>
                                    </a:stretch>
                                  </pic:blipFill>
                                  <pic:spPr bwMode="auto">
                                    <a:xfrm>
                                      <a:off x="0" y="0"/>
                                      <a:ext cx="3333750" cy="2343150"/>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They allow us to prioritize and target steps that make an impact in those group companies facing the greatest challenges.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Further details on employee management are available in the annexes to this report.</w:t>
                      </w:r>
                    </w:p>
                  </w:txbxContent>
                </v:textbox>
                <w10:wrap type="topAndBottom"/>
              </v:rect>
            </w:pict>
          </mc:Fallback>
        </mc:AlternateContent>
      </w:r>
      <w:r>
        <mc:AlternateContent>
          <mc:Choice Requires="wps">
            <w:drawing>
              <wp:anchor behindDoc="0" distT="0" distB="0" distL="0" distR="0" simplePos="0" locked="0" layoutInCell="1" allowOverlap="1" relativeHeight="283">
                <wp:simplePos x="0" y="0"/>
                <wp:positionH relativeFrom="column">
                  <wp:align>right</wp:align>
                </wp:positionH>
                <wp:positionV relativeFrom="line">
                  <wp:posOffset>635</wp:posOffset>
                </wp:positionV>
                <wp:extent cx="3110230" cy="175260"/>
                <wp:effectExtent l="0" t="0" r="0" b="0"/>
                <wp:wrapTopAndBottom/>
                <wp:docPr id="236" name="Frame73"/>
                <a:graphic xmlns:a="http://schemas.openxmlformats.org/drawingml/2006/main">
                  <a:graphicData uri="http://schemas.microsoft.com/office/word/2010/wordprocessingShape">
                    <wps:wsp>
                      <wps:cNvSpPr txBox="1"/>
                      <wps:spPr>
                        <a:xfrm>
                          <a:off x="0" y="0"/>
                          <a:ext cx="311023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3.8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283"/>
                        <w:jc w:val="left"/>
                        <w:rPr/>
                      </w:pPr>
                      <w:r>
                        <w:rPr/>
                      </w:r>
                    </w:p>
                  </w:txbxContent>
                </v:textbox>
                <w10:wrap type="topAndBottom"/>
              </v:rect>
            </w:pict>
          </mc:Fallback>
        </mc:AlternateContent>
      </w:r>
    </w:p>
    <w:p>
      <w:pPr>
        <w:pStyle w:val="TextBody"/>
        <w:bidi w:val="0"/>
        <w:spacing w:before="200" w:after="200"/>
        <w:ind w:left="0" w:right="0" w:hanging="0"/>
        <w:jc w:val="center"/>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35</w:t>
      </w:r>
    </w:p>
    <w:p>
      <w:pPr>
        <w:pStyle w:val="HorizontalLine"/>
        <w:pBdr>
          <w:bottom w:val="single" w:sz="12" w:space="0" w:color="808080"/>
        </w:pBdr>
        <w:bidi w:val="0"/>
        <w:spacing w:before="200" w:after="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3110230" cy="5163185"/>
                <wp:effectExtent l="0" t="0" r="0" b="0"/>
                <wp:wrapTopAndBottom/>
                <wp:docPr id="237" name="Frame74"/>
                <a:graphic xmlns:a="http://schemas.openxmlformats.org/drawingml/2006/main">
                  <a:graphicData uri="http://schemas.microsoft.com/office/word/2010/wordprocessingShape">
                    <wps:wsp>
                      <wps:cNvSpPr txBox="1"/>
                      <wps:spPr>
                        <a:xfrm>
                          <a:off x="0" y="0"/>
                          <a:ext cx="3110230" cy="5163185"/>
                        </a:xfrm>
                        <a:prstGeom prst="rect"/>
                        <a:solidFill>
                          <a:srgbClr val="FFFFFF"/>
                        </a:solidFill>
                      </wps:spPr>
                      <wps:txbx>
                        <w:txbxContent>
                          <w:p>
                            <w:pPr>
                              <w:pStyle w:val="TextBody"/>
                              <w:bidi w:val="0"/>
                              <w:spacing w:before="0" w:after="0"/>
                              <w:ind w:left="2"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2.3. SUSTAINABLE SUPPLIER MANAGEMENT</w:t>
                            </w:r>
                          </w:p>
                          <w:p>
                            <w:pPr>
                              <w:pStyle w:val="TextBody"/>
                              <w:bidi w:val="0"/>
                              <w:spacing w:before="0" w:after="0"/>
                              <w:ind w:left="2" w:right="0" w:hanging="0"/>
                              <w:jc w:val="left"/>
                              <w:rPr>
                                <w:caps w:val="false"/>
                                <w:smallCaps w:val="false"/>
                                <w:color w:val="FE5000"/>
                              </w:rPr>
                            </w:pPr>
                            <w:r>
                              <w:rPr>
                                <w:caps w:val="false"/>
                                <w:smallCaps w:val="false"/>
                                <w:color w:val="FE5000"/>
                              </w:rPr>
                              <w:t> </w:t>
                            </w:r>
                          </w:p>
                          <w:p>
                            <w:pPr>
                              <w:pStyle w:val="TextBody"/>
                              <w:bidi w:val="0"/>
                              <w:spacing w:before="0" w:after="0"/>
                              <w:ind w:left="2" w:right="0" w:hanging="0"/>
                              <w:jc w:val="left"/>
                              <w:rPr>
                                <w:rFonts w:ascii="Arial" w:hAnsi="Arial"/>
                                <w:b w:val="false"/>
                                <w:i w:val="false"/>
                                <w:caps w:val="false"/>
                                <w:smallCaps w:val="false"/>
                                <w:sz w:val="20"/>
                              </w:rPr>
                            </w:pPr>
                            <w:r>
                              <w:rPr>
                                <w:rFonts w:ascii="Arial" w:hAnsi="Arial"/>
                                <w:b/>
                                <w:i w:val="false"/>
                                <w:caps w:val="false"/>
                                <w:smallCaps w:val="false"/>
                                <w:sz w:val="20"/>
                              </w:rPr>
                              <w:t xml:space="preserve">Material topic </w:t>
                            </w:r>
                            <w:r>
                              <w:rPr>
                                <w:rFonts w:ascii="Arial" w:hAnsi="Arial"/>
                                <w:b w:val="false"/>
                                <w:i w:val="false"/>
                                <w:caps w:val="false"/>
                                <w:smallCaps w:val="false"/>
                                <w:sz w:val="20"/>
                              </w:rPr>
                              <w:t>Human Rights </w:t>
                            </w:r>
                          </w:p>
                          <w:p>
                            <w:pPr>
                              <w:pStyle w:val="TextBody"/>
                              <w:bidi w:val="0"/>
                              <w:spacing w:before="0" w:after="0"/>
                              <w:ind w:left="2" w:right="0" w:hanging="0"/>
                              <w:jc w:val="left"/>
                              <w:rPr>
                                <w:rFonts w:ascii="Arial" w:hAnsi="Arial"/>
                                <w:b w:val="false"/>
                                <w:i w:val="false"/>
                                <w:caps w:val="false"/>
                                <w:smallCaps w:val="false"/>
                                <w:sz w:val="20"/>
                              </w:rPr>
                            </w:pPr>
                            <w:r>
                              <w:rPr>
                                <w:rFonts w:ascii="Arial" w:hAnsi="Arial"/>
                                <w:b/>
                                <w:i w:val="false"/>
                                <w:caps w:val="false"/>
                                <w:smallCaps w:val="false"/>
                                <w:sz w:val="20"/>
                              </w:rPr>
                              <w:t xml:space="preserve">GRI </w:t>
                            </w:r>
                            <w:r>
                              <w:rPr>
                                <w:rFonts w:ascii="Arial" w:hAnsi="Arial"/>
                                <w:b w:val="false"/>
                                <w:i w:val="false"/>
                                <w:caps w:val="false"/>
                                <w:smallCaps w:val="false"/>
                                <w:sz w:val="20"/>
                              </w:rPr>
                              <w:t>2-6, 3-3, 308-1, 414-1 </w:t>
                            </w:r>
                          </w:p>
                          <w:p>
                            <w:pPr>
                              <w:pStyle w:val="TextBody"/>
                              <w:bidi w:val="0"/>
                              <w:spacing w:before="0" w:after="0"/>
                              <w:ind w:left="2" w:right="0" w:hanging="0"/>
                              <w:jc w:val="left"/>
                              <w:rPr>
                                <w:rFonts w:ascii="Arial" w:hAnsi="Arial"/>
                                <w:b w:val="false"/>
                                <w:i w:val="false"/>
                                <w:caps w:val="false"/>
                                <w:smallCaps w:val="false"/>
                                <w:sz w:val="20"/>
                              </w:rPr>
                            </w:pPr>
                            <w:r>
                              <w:rPr>
                                <w:rFonts w:ascii="Arial" w:hAnsi="Arial"/>
                                <w:b/>
                                <w:i w:val="false"/>
                                <w:caps w:val="false"/>
                                <w:smallCaps w:val="false"/>
                                <w:sz w:val="20"/>
                              </w:rPr>
                              <w:t xml:space="preserve">Pillar </w:t>
                            </w:r>
                            <w:r>
                              <w:rPr>
                                <w:rFonts w:ascii="Arial" w:hAnsi="Arial"/>
                                <w:b w:val="false"/>
                                <w:i w:val="false"/>
                                <w:caps w:val="false"/>
                                <w:smallCaps w:val="false"/>
                                <w:sz w:val="20"/>
                              </w:rPr>
                              <w:t>3</w:t>
                            </w:r>
                          </w:p>
                          <w:p>
                            <w:pPr>
                              <w:pStyle w:val="TextBody"/>
                              <w:bidi w:val="0"/>
                              <w:spacing w:before="0" w:after="0"/>
                              <w:ind w:left="2" w:right="0" w:hanging="0"/>
                              <w:jc w:val="left"/>
                              <w:rPr>
                                <w:caps w:val="false"/>
                                <w:smallCaps w:val="false"/>
                              </w:rPr>
                            </w:pPr>
                            <w:r>
                              <w:rPr>
                                <w:caps w:val="false"/>
                                <w:smallCaps w:val="false"/>
                              </w:rPr>
                              <w:t> </w:t>
                            </w:r>
                          </w:p>
                          <w:p>
                            <w:pPr>
                              <w:pStyle w:val="TextBody"/>
                              <w:bidi w:val="0"/>
                              <w:spacing w:before="0" w:after="0"/>
                              <w:ind w:left="2" w:right="0" w:hanging="0"/>
                              <w:jc w:val="left"/>
                              <w:rPr>
                                <w:rFonts w:ascii="Arial" w:hAnsi="Arial"/>
                                <w:b w:val="false"/>
                                <w:i w:val="false"/>
                                <w:caps w:val="false"/>
                                <w:smallCaps w:val="false"/>
                                <w:sz w:val="20"/>
                              </w:rPr>
                            </w:pPr>
                            <w:r>
                              <w:rPr>
                                <w:rFonts w:ascii="Arial" w:hAnsi="Arial"/>
                                <w:b w:val="false"/>
                                <w:i w:val="false"/>
                                <w:caps w:val="false"/>
                                <w:smallCaps w:val="false"/>
                                <w:sz w:val="20"/>
                              </w:rPr>
                              <w:t>As a change agent, Credicorp believes in its ability to positively influence the value chain, particularly its suppliers. In 2023, we engaged a</w:t>
                            </w:r>
                          </w:p>
                          <w:p>
                            <w:pPr>
                              <w:pStyle w:val="TextBody"/>
                              <w:bidi w:val="0"/>
                              <w:spacing w:before="0" w:after="0"/>
                              <w:ind w:left="2"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color w:val="FF0000"/>
                              </w:rPr>
                            </w:pPr>
                            <w:r>
                              <w:rPr>
                                <w:caps w:val="false"/>
                                <w:smallCaps w:val="false"/>
                                <w:color w:val="FF0000"/>
                              </w:rPr>
                              <w:drawing>
                                <wp:inline distT="0" distB="0" distL="0" distR="0">
                                  <wp:extent cx="1905000" cy="838200"/>
                                  <wp:effectExtent l="0" t="0" r="0" b="0"/>
                                  <wp:docPr id="238"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01" descr=""/>
                                          <pic:cNvPicPr>
                                            <a:picLocks noChangeAspect="1" noChangeArrowheads="1"/>
                                          </pic:cNvPicPr>
                                        </pic:nvPicPr>
                                        <pic:blipFill>
                                          <a:blip r:embed="rId165"/>
                                          <a:stretch>
                                            <a:fillRect/>
                                          </a:stretch>
                                        </pic:blipFill>
                                        <pic:spPr bwMode="auto">
                                          <a:xfrm>
                                            <a:off x="0" y="0"/>
                                            <a:ext cx="1905000" cy="838200"/>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2" w:right="0" w:hanging="0"/>
                              <w:jc w:val="left"/>
                              <w:rPr>
                                <w:rFonts w:ascii="Arial" w:hAnsi="Arial"/>
                                <w:b w:val="false"/>
                                <w:i w:val="false"/>
                                <w:caps w:val="false"/>
                                <w:smallCaps w:val="false"/>
                                <w:sz w:val="20"/>
                              </w:rPr>
                            </w:pPr>
                            <w:r>
                              <w:rPr>
                                <w:rFonts w:ascii="Arial" w:hAnsi="Arial"/>
                                <w:b w:val="false"/>
                                <w:i w:val="false"/>
                                <w:caps w:val="false"/>
                                <w:smallCaps w:val="false"/>
                                <w:sz w:val="20"/>
                              </w:rPr>
                              <w:t>consultant to strengthen our sustainable supplier management by setting up a strategy based on the following inputs: analyzing gaps compared to other regional financial institutions, identifying opportunities for improvement, and determining how much of an appetite was present. As a result, we now have a work plan for the next two years that includes milestones and responsibilities. Initiatives on this front include:</w:t>
                            </w:r>
                          </w:p>
                          <w:p>
                            <w:pPr>
                              <w:pStyle w:val="TextBody"/>
                              <w:bidi w:val="0"/>
                              <w:spacing w:before="0" w:after="0"/>
                              <w:ind w:left="2"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color w:val="FF0000"/>
                              </w:rPr>
                            </w:pPr>
                            <w:r>
                              <w:rPr>
                                <w:caps w:val="false"/>
                                <w:smallCaps w:val="false"/>
                                <w:color w:val="FF0000"/>
                              </w:rPr>
                              <w:drawing>
                                <wp:inline distT="0" distB="0" distL="0" distR="0">
                                  <wp:extent cx="4000500" cy="962025"/>
                                  <wp:effectExtent l="0" t="0" r="0" b="0"/>
                                  <wp:docPr id="239"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102" descr=""/>
                                          <pic:cNvPicPr>
                                            <a:picLocks noChangeAspect="1" noChangeArrowheads="1"/>
                                          </pic:cNvPicPr>
                                        </pic:nvPicPr>
                                        <pic:blipFill>
                                          <a:blip r:embed="rId166"/>
                                          <a:stretch>
                                            <a:fillRect/>
                                          </a:stretch>
                                        </pic:blipFill>
                                        <pic:spPr bwMode="auto">
                                          <a:xfrm>
                                            <a:off x="0" y="0"/>
                                            <a:ext cx="4000500" cy="962025"/>
                                          </a:xfrm>
                                          <a:prstGeom prst="rect">
                                            <a:avLst/>
                                          </a:prstGeom>
                                        </pic:spPr>
                                      </pic:pic>
                                    </a:graphicData>
                                  </a:graphic>
                                </wp:inline>
                              </w:drawing>
                            </w:r>
                            <w:r>
                              <w:rPr>
                                <w:caps w:val="false"/>
                                <w:smallCaps w:val="false"/>
                                <w:color w:val="FF0000"/>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0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2"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2.3. SUSTAINABLE SUPPLIER MANAGEMENT</w:t>
                      </w:r>
                    </w:p>
                    <w:p>
                      <w:pPr>
                        <w:pStyle w:val="TextBody"/>
                        <w:bidi w:val="0"/>
                        <w:spacing w:before="0" w:after="0"/>
                        <w:ind w:left="2" w:right="0" w:hanging="0"/>
                        <w:jc w:val="left"/>
                        <w:rPr>
                          <w:caps w:val="false"/>
                          <w:smallCaps w:val="false"/>
                          <w:color w:val="FE5000"/>
                        </w:rPr>
                      </w:pPr>
                      <w:r>
                        <w:rPr>
                          <w:caps w:val="false"/>
                          <w:smallCaps w:val="false"/>
                          <w:color w:val="FE5000"/>
                        </w:rPr>
                        <w:t> </w:t>
                      </w:r>
                    </w:p>
                    <w:p>
                      <w:pPr>
                        <w:pStyle w:val="TextBody"/>
                        <w:bidi w:val="0"/>
                        <w:spacing w:before="0" w:after="0"/>
                        <w:ind w:left="2" w:right="0" w:hanging="0"/>
                        <w:jc w:val="left"/>
                        <w:rPr>
                          <w:rFonts w:ascii="Arial" w:hAnsi="Arial"/>
                          <w:b w:val="false"/>
                          <w:i w:val="false"/>
                          <w:caps w:val="false"/>
                          <w:smallCaps w:val="false"/>
                          <w:sz w:val="20"/>
                        </w:rPr>
                      </w:pPr>
                      <w:r>
                        <w:rPr>
                          <w:rFonts w:ascii="Arial" w:hAnsi="Arial"/>
                          <w:b/>
                          <w:i w:val="false"/>
                          <w:caps w:val="false"/>
                          <w:smallCaps w:val="false"/>
                          <w:sz w:val="20"/>
                        </w:rPr>
                        <w:t xml:space="preserve">Material topic </w:t>
                      </w:r>
                      <w:r>
                        <w:rPr>
                          <w:rFonts w:ascii="Arial" w:hAnsi="Arial"/>
                          <w:b w:val="false"/>
                          <w:i w:val="false"/>
                          <w:caps w:val="false"/>
                          <w:smallCaps w:val="false"/>
                          <w:sz w:val="20"/>
                        </w:rPr>
                        <w:t>Human Rights </w:t>
                      </w:r>
                    </w:p>
                    <w:p>
                      <w:pPr>
                        <w:pStyle w:val="TextBody"/>
                        <w:bidi w:val="0"/>
                        <w:spacing w:before="0" w:after="0"/>
                        <w:ind w:left="2" w:right="0" w:hanging="0"/>
                        <w:jc w:val="left"/>
                        <w:rPr>
                          <w:rFonts w:ascii="Arial" w:hAnsi="Arial"/>
                          <w:b w:val="false"/>
                          <w:i w:val="false"/>
                          <w:caps w:val="false"/>
                          <w:smallCaps w:val="false"/>
                          <w:sz w:val="20"/>
                        </w:rPr>
                      </w:pPr>
                      <w:r>
                        <w:rPr>
                          <w:rFonts w:ascii="Arial" w:hAnsi="Arial"/>
                          <w:b/>
                          <w:i w:val="false"/>
                          <w:caps w:val="false"/>
                          <w:smallCaps w:val="false"/>
                          <w:sz w:val="20"/>
                        </w:rPr>
                        <w:t xml:space="preserve">GRI </w:t>
                      </w:r>
                      <w:r>
                        <w:rPr>
                          <w:rFonts w:ascii="Arial" w:hAnsi="Arial"/>
                          <w:b w:val="false"/>
                          <w:i w:val="false"/>
                          <w:caps w:val="false"/>
                          <w:smallCaps w:val="false"/>
                          <w:sz w:val="20"/>
                        </w:rPr>
                        <w:t>2-6, 3-3, 308-1, 414-1 </w:t>
                      </w:r>
                    </w:p>
                    <w:p>
                      <w:pPr>
                        <w:pStyle w:val="TextBody"/>
                        <w:bidi w:val="0"/>
                        <w:spacing w:before="0" w:after="0"/>
                        <w:ind w:left="2" w:right="0" w:hanging="0"/>
                        <w:jc w:val="left"/>
                        <w:rPr>
                          <w:rFonts w:ascii="Arial" w:hAnsi="Arial"/>
                          <w:b w:val="false"/>
                          <w:i w:val="false"/>
                          <w:caps w:val="false"/>
                          <w:smallCaps w:val="false"/>
                          <w:sz w:val="20"/>
                        </w:rPr>
                      </w:pPr>
                      <w:r>
                        <w:rPr>
                          <w:rFonts w:ascii="Arial" w:hAnsi="Arial"/>
                          <w:b/>
                          <w:i w:val="false"/>
                          <w:caps w:val="false"/>
                          <w:smallCaps w:val="false"/>
                          <w:sz w:val="20"/>
                        </w:rPr>
                        <w:t xml:space="preserve">Pillar </w:t>
                      </w:r>
                      <w:r>
                        <w:rPr>
                          <w:rFonts w:ascii="Arial" w:hAnsi="Arial"/>
                          <w:b w:val="false"/>
                          <w:i w:val="false"/>
                          <w:caps w:val="false"/>
                          <w:smallCaps w:val="false"/>
                          <w:sz w:val="20"/>
                        </w:rPr>
                        <w:t>3</w:t>
                      </w:r>
                    </w:p>
                    <w:p>
                      <w:pPr>
                        <w:pStyle w:val="TextBody"/>
                        <w:bidi w:val="0"/>
                        <w:spacing w:before="0" w:after="0"/>
                        <w:ind w:left="2" w:right="0" w:hanging="0"/>
                        <w:jc w:val="left"/>
                        <w:rPr>
                          <w:caps w:val="false"/>
                          <w:smallCaps w:val="false"/>
                        </w:rPr>
                      </w:pPr>
                      <w:r>
                        <w:rPr>
                          <w:caps w:val="false"/>
                          <w:smallCaps w:val="false"/>
                        </w:rPr>
                        <w:t> </w:t>
                      </w:r>
                    </w:p>
                    <w:p>
                      <w:pPr>
                        <w:pStyle w:val="TextBody"/>
                        <w:bidi w:val="0"/>
                        <w:spacing w:before="0" w:after="0"/>
                        <w:ind w:left="2" w:right="0" w:hanging="0"/>
                        <w:jc w:val="left"/>
                        <w:rPr>
                          <w:rFonts w:ascii="Arial" w:hAnsi="Arial"/>
                          <w:b w:val="false"/>
                          <w:i w:val="false"/>
                          <w:caps w:val="false"/>
                          <w:smallCaps w:val="false"/>
                          <w:sz w:val="20"/>
                        </w:rPr>
                      </w:pPr>
                      <w:r>
                        <w:rPr>
                          <w:rFonts w:ascii="Arial" w:hAnsi="Arial"/>
                          <w:b w:val="false"/>
                          <w:i w:val="false"/>
                          <w:caps w:val="false"/>
                          <w:smallCaps w:val="false"/>
                          <w:sz w:val="20"/>
                        </w:rPr>
                        <w:t>As a change agent, Credicorp believes in its ability to positively influence the value chain, particularly its suppliers. In 2023, we engaged a</w:t>
                      </w:r>
                    </w:p>
                    <w:p>
                      <w:pPr>
                        <w:pStyle w:val="TextBody"/>
                        <w:bidi w:val="0"/>
                        <w:spacing w:before="0" w:after="0"/>
                        <w:ind w:left="2"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color w:val="FF0000"/>
                        </w:rPr>
                      </w:pPr>
                      <w:r>
                        <w:rPr>
                          <w:caps w:val="false"/>
                          <w:smallCaps w:val="false"/>
                          <w:color w:val="FF0000"/>
                        </w:rPr>
                        <w:drawing>
                          <wp:inline distT="0" distB="0" distL="0" distR="0">
                            <wp:extent cx="1905000" cy="838200"/>
                            <wp:effectExtent l="0" t="0" r="0" b="0"/>
                            <wp:docPr id="240"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01" descr=""/>
                                    <pic:cNvPicPr>
                                      <a:picLocks noChangeAspect="1" noChangeArrowheads="1"/>
                                    </pic:cNvPicPr>
                                  </pic:nvPicPr>
                                  <pic:blipFill>
                                    <a:blip r:embed="rId167"/>
                                    <a:stretch>
                                      <a:fillRect/>
                                    </a:stretch>
                                  </pic:blipFill>
                                  <pic:spPr bwMode="auto">
                                    <a:xfrm>
                                      <a:off x="0" y="0"/>
                                      <a:ext cx="1905000" cy="838200"/>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2" w:right="0" w:hanging="0"/>
                        <w:jc w:val="left"/>
                        <w:rPr>
                          <w:rFonts w:ascii="Arial" w:hAnsi="Arial"/>
                          <w:b w:val="false"/>
                          <w:i w:val="false"/>
                          <w:caps w:val="false"/>
                          <w:smallCaps w:val="false"/>
                          <w:sz w:val="20"/>
                        </w:rPr>
                      </w:pPr>
                      <w:r>
                        <w:rPr>
                          <w:rFonts w:ascii="Arial" w:hAnsi="Arial"/>
                          <w:b w:val="false"/>
                          <w:i w:val="false"/>
                          <w:caps w:val="false"/>
                          <w:smallCaps w:val="false"/>
                          <w:sz w:val="20"/>
                        </w:rPr>
                        <w:t>consultant to strengthen our sustainable supplier management by setting up a strategy based on the following inputs: analyzing gaps compared to other regional financial institutions, identifying opportunities for improvement, and determining how much of an appetite was present. As a result, we now have a work plan for the next two years that includes milestones and responsibilities. Initiatives on this front include:</w:t>
                      </w:r>
                    </w:p>
                    <w:p>
                      <w:pPr>
                        <w:pStyle w:val="TextBody"/>
                        <w:bidi w:val="0"/>
                        <w:spacing w:before="0" w:after="0"/>
                        <w:ind w:left="2"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color w:val="FF0000"/>
                        </w:rPr>
                      </w:pPr>
                      <w:r>
                        <w:rPr>
                          <w:caps w:val="false"/>
                          <w:smallCaps w:val="false"/>
                          <w:color w:val="FF0000"/>
                        </w:rPr>
                        <w:drawing>
                          <wp:inline distT="0" distB="0" distL="0" distR="0">
                            <wp:extent cx="4000500" cy="962025"/>
                            <wp:effectExtent l="0" t="0" r="0" b="0"/>
                            <wp:docPr id="241"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02" descr=""/>
                                    <pic:cNvPicPr>
                                      <a:picLocks noChangeAspect="1" noChangeArrowheads="1"/>
                                    </pic:cNvPicPr>
                                  </pic:nvPicPr>
                                  <pic:blipFill>
                                    <a:blip r:embed="rId168"/>
                                    <a:stretch>
                                      <a:fillRect/>
                                    </a:stretch>
                                  </pic:blipFill>
                                  <pic:spPr bwMode="auto">
                                    <a:xfrm>
                                      <a:off x="0" y="0"/>
                                      <a:ext cx="4000500" cy="962025"/>
                                    </a:xfrm>
                                    <a:prstGeom prst="rect">
                                      <a:avLst/>
                                    </a:prstGeom>
                                  </pic:spPr>
                                </pic:pic>
                              </a:graphicData>
                            </a:graphic>
                          </wp:inline>
                        </w:drawing>
                      </w:r>
                      <w:r>
                        <w:rPr>
                          <w:caps w:val="false"/>
                          <w:smallCaps w:val="false"/>
                          <w:color w:val="FF0000"/>
                        </w:rPr>
                        <w:t> </w:t>
                      </w:r>
                    </w:p>
                  </w:txbxContent>
                </v:textbox>
                <w10:wrap type="topAndBottom"/>
              </v:rect>
            </w:pict>
          </mc:Fallback>
        </mc:AlternateContent>
      </w:r>
      <w:r>
        <mc:AlternateContent>
          <mc:Choice Requires="wps">
            <w:drawing>
              <wp:anchor behindDoc="0" distT="0" distB="0" distL="0" distR="0" simplePos="0" locked="0" layoutInCell="1" allowOverlap="1" relativeHeight="9">
                <wp:simplePos x="0" y="0"/>
                <wp:positionH relativeFrom="column">
                  <wp:align>right</wp:align>
                </wp:positionH>
                <wp:positionV relativeFrom="line">
                  <wp:posOffset>635</wp:posOffset>
                </wp:positionV>
                <wp:extent cx="3110230" cy="4155440"/>
                <wp:effectExtent l="0" t="0" r="0" b="0"/>
                <wp:wrapTopAndBottom/>
                <wp:docPr id="242" name="Frame75"/>
                <a:graphic xmlns:a="http://schemas.openxmlformats.org/drawingml/2006/main">
                  <a:graphicData uri="http://schemas.microsoft.com/office/word/2010/wordprocessingShape">
                    <wps:wsp>
                      <wps:cNvSpPr txBox="1"/>
                      <wps:spPr>
                        <a:xfrm>
                          <a:off x="0" y="0"/>
                          <a:ext cx="3110230" cy="4155440"/>
                        </a:xfrm>
                        <a:prstGeom prst="rect"/>
                        <a:solidFill>
                          <a:srgbClr val="FFFFFF"/>
                        </a:solidFill>
                      </wps:spPr>
                      <wps:txbx>
                        <w:txbxContent>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4000500" cy="1609725"/>
                                  <wp:effectExtent l="0" t="0" r="0" b="0"/>
                                  <wp:docPr id="24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03" descr=""/>
                                          <pic:cNvPicPr>
                                            <a:picLocks noChangeAspect="1" noChangeArrowheads="1"/>
                                          </pic:cNvPicPr>
                                        </pic:nvPicPr>
                                        <pic:blipFill>
                                          <a:blip r:embed="rId169"/>
                                          <a:stretch>
                                            <a:fillRect/>
                                          </a:stretch>
                                        </pic:blipFill>
                                        <pic:spPr bwMode="auto">
                                          <a:xfrm>
                                            <a:off x="0" y="0"/>
                                            <a:ext cx="4000500" cy="16097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4000500" cy="2162175"/>
                                  <wp:effectExtent l="0" t="0" r="0" b="0"/>
                                  <wp:docPr id="24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04" descr=""/>
                                          <pic:cNvPicPr>
                                            <a:picLocks noChangeAspect="1" noChangeArrowheads="1"/>
                                          </pic:cNvPicPr>
                                        </pic:nvPicPr>
                                        <pic:blipFill>
                                          <a:blip r:embed="rId170"/>
                                          <a:stretch>
                                            <a:fillRect/>
                                          </a:stretch>
                                        </pic:blipFill>
                                        <pic:spPr bwMode="auto">
                                          <a:xfrm>
                                            <a:off x="0" y="0"/>
                                            <a:ext cx="4000500" cy="2162175"/>
                                          </a:xfrm>
                                          <a:prstGeom prst="rect">
                                            <a:avLst/>
                                          </a:prstGeom>
                                        </pic:spPr>
                                      </pic:pic>
                                    </a:graphicData>
                                  </a:graphic>
                                </wp:inline>
                              </w:drawing>
                            </w:r>
                            <w:r>
                              <w:rPr>
                                <w:caps w:val="false"/>
                                <w:smallCaps w:val="false"/>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27.2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4000500" cy="1609725"/>
                            <wp:effectExtent l="0" t="0" r="0" b="0"/>
                            <wp:docPr id="245"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103" descr=""/>
                                    <pic:cNvPicPr>
                                      <a:picLocks noChangeAspect="1" noChangeArrowheads="1"/>
                                    </pic:cNvPicPr>
                                  </pic:nvPicPr>
                                  <pic:blipFill>
                                    <a:blip r:embed="rId171"/>
                                    <a:stretch>
                                      <a:fillRect/>
                                    </a:stretch>
                                  </pic:blipFill>
                                  <pic:spPr bwMode="auto">
                                    <a:xfrm>
                                      <a:off x="0" y="0"/>
                                      <a:ext cx="4000500" cy="16097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4000500" cy="2162175"/>
                            <wp:effectExtent l="0" t="0" r="0" b="0"/>
                            <wp:docPr id="246"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04" descr=""/>
                                    <pic:cNvPicPr>
                                      <a:picLocks noChangeAspect="1" noChangeArrowheads="1"/>
                                    </pic:cNvPicPr>
                                  </pic:nvPicPr>
                                  <pic:blipFill>
                                    <a:blip r:embed="rId172"/>
                                    <a:stretch>
                                      <a:fillRect/>
                                    </a:stretch>
                                  </pic:blipFill>
                                  <pic:spPr bwMode="auto">
                                    <a:xfrm>
                                      <a:off x="0" y="0"/>
                                      <a:ext cx="4000500" cy="2162175"/>
                                    </a:xfrm>
                                    <a:prstGeom prst="rect">
                                      <a:avLst/>
                                    </a:prstGeom>
                                  </pic:spPr>
                                </pic:pic>
                              </a:graphicData>
                            </a:graphic>
                          </wp:inline>
                        </w:drawing>
                      </w:r>
                      <w:r>
                        <w:rPr>
                          <w:caps w:val="false"/>
                          <w:smallCaps w:val="false"/>
                        </w:rPr>
                        <w:t> </w:t>
                      </w:r>
                    </w:p>
                  </w:txbxContent>
                </v:textbox>
                <w10:wrap type="topAndBottom"/>
              </v:rect>
            </w:pict>
          </mc:Fallback>
        </mc:AlternateConten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r>
        <w:rPr/>
      </w:r>
      <w:r>
        <mc:AlternateContent>
          <mc:Choice Requires="wps">
            <w:drawing>
              <wp:anchor behindDoc="0" distT="0" distB="0" distL="0" distR="0" simplePos="0" locked="0" layoutInCell="1" allowOverlap="1" relativeHeight="284">
                <wp:simplePos x="0" y="0"/>
                <wp:positionH relativeFrom="column">
                  <wp:align>left</wp:align>
                </wp:positionH>
                <wp:positionV relativeFrom="line">
                  <wp:posOffset>635</wp:posOffset>
                </wp:positionV>
                <wp:extent cx="3110230" cy="740410"/>
                <wp:effectExtent l="0" t="0" r="0" b="0"/>
                <wp:wrapTopAndBottom/>
                <wp:docPr id="247" name="Frame76"/>
                <a:graphic xmlns:a="http://schemas.openxmlformats.org/drawingml/2006/main">
                  <a:graphicData uri="http://schemas.microsoft.com/office/word/2010/wordprocessingShape">
                    <wps:wsp>
                      <wps:cNvSpPr txBox="1"/>
                      <wps:spPr>
                        <a:xfrm>
                          <a:off x="0" y="0"/>
                          <a:ext cx="3110230" cy="740410"/>
                        </a:xfrm>
                        <a:prstGeom prst="rect"/>
                        <a:solidFill>
                          <a:srgbClr val="FFFFFF"/>
                        </a:solidFill>
                      </wps:spPr>
                      <wps:txbx>
                        <w:txbxContent>
                          <w:p>
                            <w:pPr>
                              <w:pStyle w:val="TextBody"/>
                              <w:bidi w:val="0"/>
                              <w:spacing w:before="0" w:after="60"/>
                              <w:jc w:val="left"/>
                              <w:rPr>
                                <w:bdr w:val="single" w:sz="8" w:space="1" w:color="000000"/>
                              </w:rPr>
                            </w:pPr>
                            <w:r>
                              <w:rPr>
                                <w:bdr w:val="single" w:sz="8" w:space="1" w:color="000000"/>
                              </w:rPr>
                              <w:t> </w:t>
                            </w:r>
                          </w:p>
                          <w:p>
                            <w:pPr>
                              <w:pStyle w:val="TextBody"/>
                              <w:bidi w:val="0"/>
                              <w:spacing w:lineRule="auto" w:line="240"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16"/>
                              </w:rPr>
                              <w:t>17 May 2023</w:t>
                            </w:r>
                            <w:r>
                              <w:rPr>
                                <w:rFonts w:ascii="Arial" w:hAnsi="Arial"/>
                                <w:b w:val="false"/>
                                <w:i w:val="false"/>
                                <w:caps w:val="false"/>
                                <w:smallCaps w:val="false"/>
                                <w:sz w:val="20"/>
                              </w:rPr>
                              <w:t> </w:t>
                            </w:r>
                          </w:p>
                          <w:p>
                            <w:pPr>
                              <w:pStyle w:val="TextBody"/>
                              <w:bidi w:val="0"/>
                              <w:spacing w:lineRule="auto" w:line="240"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18 Local suppliers are those registered in Peru. Credicorp’s main categories of expenditure and investment are detailed in the Expenses and Investment category table in the annexes.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60"/>
                        <w:jc w:val="left"/>
                        <w:rPr>
                          <w:bdr w:val="single" w:sz="8" w:space="1" w:color="000000"/>
                        </w:rPr>
                      </w:pPr>
                      <w:r>
                        <w:rPr>
                          <w:bdr w:val="single" w:sz="8" w:space="1" w:color="000000"/>
                        </w:rPr>
                        <w:t> </w:t>
                      </w:r>
                    </w:p>
                    <w:p>
                      <w:pPr>
                        <w:pStyle w:val="TextBody"/>
                        <w:bidi w:val="0"/>
                        <w:spacing w:lineRule="auto" w:line="240"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16"/>
                        </w:rPr>
                        <w:t>17 May 2023</w:t>
                      </w:r>
                      <w:r>
                        <w:rPr>
                          <w:rFonts w:ascii="Arial" w:hAnsi="Arial"/>
                          <w:b w:val="false"/>
                          <w:i w:val="false"/>
                          <w:caps w:val="false"/>
                          <w:smallCaps w:val="false"/>
                          <w:sz w:val="20"/>
                        </w:rPr>
                        <w:t> </w:t>
                      </w:r>
                    </w:p>
                    <w:p>
                      <w:pPr>
                        <w:pStyle w:val="TextBody"/>
                        <w:bidi w:val="0"/>
                        <w:spacing w:lineRule="auto" w:line="240"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18 Local suppliers are those registered in Peru. Credicorp’s main categories of expenditure and investment are detailed in the Expenses and Investment category table in the annexes.</w:t>
                      </w:r>
                    </w:p>
                  </w:txbxContent>
                </v:textbox>
                <w10:wrap type="topAndBottom"/>
              </v:rect>
            </w:pict>
          </mc:Fallback>
        </mc:AlternateContent>
      </w:r>
      <w:r>
        <mc:AlternateContent>
          <mc:Choice Requires="wps">
            <w:drawing>
              <wp:anchor behindDoc="0" distT="0" distB="0" distL="0" distR="0" simplePos="0" locked="0" layoutInCell="1" allowOverlap="1" relativeHeight="285">
                <wp:simplePos x="0" y="0"/>
                <wp:positionH relativeFrom="column">
                  <wp:align>right</wp:align>
                </wp:positionH>
                <wp:positionV relativeFrom="line">
                  <wp:posOffset>635</wp:posOffset>
                </wp:positionV>
                <wp:extent cx="3110230" cy="711200"/>
                <wp:effectExtent l="0" t="0" r="0" b="0"/>
                <wp:wrapTopAndBottom/>
                <wp:docPr id="248" name="Frame77"/>
                <a:graphic xmlns:a="http://schemas.openxmlformats.org/drawingml/2006/main">
                  <a:graphicData uri="http://schemas.microsoft.com/office/word/2010/wordprocessingShape">
                    <wps:wsp>
                      <wps:cNvSpPr txBox="1"/>
                      <wps:spPr>
                        <a:xfrm>
                          <a:off x="0" y="0"/>
                          <a:ext cx="3110230" cy="711200"/>
                        </a:xfrm>
                        <a:prstGeom prst="rect"/>
                        <a:solidFill>
                          <a:srgbClr val="FFFFFF"/>
                        </a:solidFill>
                      </wps:spPr>
                      <wps:txbx>
                        <w:txbxContent>
                          <w:p>
                            <w:pPr>
                              <w:pStyle w:val="TextBody"/>
                              <w:bidi w:val="0"/>
                              <w:spacing w:before="0" w:after="60"/>
                              <w:jc w:val="left"/>
                              <w:rPr>
                                <w:bdr w:val="single" w:sz="8" w:space="1" w:color="000000"/>
                              </w:rPr>
                            </w:pPr>
                            <w:r>
                              <w:rPr>
                                <w:bdr w:val="single" w:sz="8" w:space="1" w:color="000000"/>
                              </w:rPr>
                              <w:t> </w:t>
                            </w:r>
                          </w:p>
                          <w:p>
                            <w:pPr>
                              <w:pStyle w:val="TextBody"/>
                              <w:bidi w:val="0"/>
                              <w:spacing w:lineRule="auto" w:line="240"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19 A survey that compiles information about how the participating suppliers and winning bidders viewed the process. The attributes evaluated are as follows: transparency, communication, scheduling, and tender closing</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6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60"/>
                        <w:jc w:val="left"/>
                        <w:rPr>
                          <w:bdr w:val="single" w:sz="8" w:space="1" w:color="000000"/>
                        </w:rPr>
                      </w:pPr>
                      <w:r>
                        <w:rPr>
                          <w:bdr w:val="single" w:sz="8" w:space="1" w:color="000000"/>
                        </w:rPr>
                        <w:t> </w:t>
                      </w:r>
                    </w:p>
                    <w:p>
                      <w:pPr>
                        <w:pStyle w:val="TextBody"/>
                        <w:bidi w:val="0"/>
                        <w:spacing w:lineRule="auto" w:line="240"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19 A survey that compiles information about how the participating suppliers and winning bidders viewed the process. The attributes evaluated are as follows: transparency, communication, scheduling, and tender closing</w:t>
                      </w:r>
                    </w:p>
                  </w:txbxContent>
                </v:textbox>
                <w10:wrap type="topAndBottom"/>
              </v:rect>
            </w:pict>
          </mc:Fallback>
        </mc:AlternateConten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ind w:left="0" w:right="0" w:hanging="0"/>
        <w:jc w:val="center"/>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36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2.4. THE SOCIAL IMPACT IN OUR COMMUNITIES</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Material themes Commitment to society</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GRI 3- 3, 413-1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Credicorp exercises its role as a change agent in the community through social responsibility initiatives that foster inclusion and innovation, responding to the needs of our environment by driving the changes our countries need. More information about the projects run by each of Credicorp’s subsidiaries is listed in the respective sustainability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color w:val="FE5000"/>
        </w:rPr>
      </w:pPr>
      <w:r>
        <w:rPr>
          <w:caps w:val="false"/>
          <w:smallCaps w:val="false"/>
          <w:color w:val="FE5000"/>
        </w:rPr>
        <w:drawing>
          <wp:inline distT="0" distB="0" distL="0" distR="0">
            <wp:extent cx="6667500" cy="3619500"/>
            <wp:effectExtent l="0" t="0" r="0" b="0"/>
            <wp:docPr id="249"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105" descr=""/>
                    <pic:cNvPicPr>
                      <a:picLocks noChangeAspect="1" noChangeArrowheads="1"/>
                    </pic:cNvPicPr>
                  </pic:nvPicPr>
                  <pic:blipFill>
                    <a:blip r:embed="rId173"/>
                    <a:stretch>
                      <a:fillRect/>
                    </a:stretch>
                  </pic:blipFill>
                  <pic:spPr bwMode="auto">
                    <a:xfrm>
                      <a:off x="0" y="0"/>
                      <a:ext cx="6667500" cy="3619500"/>
                    </a:xfrm>
                    <a:prstGeom prst="rect">
                      <a:avLst/>
                    </a:prstGeom>
                  </pic:spPr>
                </pic:pic>
              </a:graphicData>
            </a:graphic>
          </wp:inline>
        </w:drawing>
      </w:r>
      <w:r>
        <w:rPr>
          <w:caps w:val="false"/>
          <w:smallCaps w:val="false"/>
          <w:color w:val="FE5000"/>
        </w:rPr>
        <w:t> </w:t>
      </w:r>
    </w:p>
    <w:p>
      <w:pPr>
        <w:pStyle w:val="TextBody"/>
        <w:bidi w:val="0"/>
        <w:spacing w:before="200" w:after="200"/>
        <w:ind w:left="6320" w:right="0" w:hanging="0"/>
        <w:jc w:val="center"/>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37</w:t>
      </w:r>
    </w:p>
    <w:p>
      <w:pPr>
        <w:pStyle w:val="HorizontalLine"/>
        <w:pBdr>
          <w:bottom w:val="single" w:sz="12" w:space="0" w:color="808080"/>
        </w:pBdr>
        <w:bidi w:val="0"/>
        <w:spacing w:before="200" w:after="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86">
                <wp:simplePos x="0" y="0"/>
                <wp:positionH relativeFrom="column">
                  <wp:align>left</wp:align>
                </wp:positionH>
                <wp:positionV relativeFrom="line">
                  <wp:posOffset>635</wp:posOffset>
                </wp:positionV>
                <wp:extent cx="3110230" cy="2366010"/>
                <wp:effectExtent l="0" t="0" r="0" b="0"/>
                <wp:wrapTopAndBottom/>
                <wp:docPr id="250" name="Frame78"/>
                <a:graphic xmlns:a="http://schemas.openxmlformats.org/drawingml/2006/main">
                  <a:graphicData uri="http://schemas.microsoft.com/office/word/2010/wordprocessingShape">
                    <wps:wsp>
                      <wps:cNvSpPr txBox="1"/>
                      <wps:spPr>
                        <a:xfrm>
                          <a:off x="0" y="0"/>
                          <a:ext cx="3110230" cy="2366010"/>
                        </a:xfrm>
                        <a:prstGeom prst="rect"/>
                        <a:solidFill>
                          <a:srgbClr val="FFFFFF"/>
                        </a:solidFill>
                      </wps:spPr>
                      <wps:txbx>
                        <w:txbxContent>
                          <w:p>
                            <w:pPr>
                              <w:pStyle w:val="TextBody"/>
                              <w:bidi w:val="0"/>
                              <w:spacing w:before="0" w:after="0"/>
                              <w:ind w:left="0" w:right="0" w:hanging="0"/>
                              <w:jc w:val="left"/>
                              <w:rPr>
                                <w:rFonts w:ascii="Arial" w:hAnsi="Arial"/>
                                <w:b w:val="false"/>
                                <w:i w:val="false"/>
                                <w:caps w:val="false"/>
                                <w:smallCaps w:val="false"/>
                                <w:color w:val="FE5000"/>
                                <w:sz w:val="30"/>
                              </w:rPr>
                            </w:pPr>
                            <w:r>
                              <w:rPr>
                                <w:rFonts w:ascii="Arial" w:hAnsi="Arial"/>
                                <w:b/>
                                <w:i w:val="false"/>
                                <w:caps w:val="false"/>
                                <w:smallCaps w:val="false"/>
                                <w:color w:val="FE5000"/>
                                <w:sz w:val="30"/>
                              </w:rPr>
                              <w:t>3. ENVIRONMENTAL MANAGEMENT</w:t>
                            </w:r>
                            <w:r>
                              <w:rPr>
                                <w:rFonts w:ascii="Arial" w:hAnsi="Arial"/>
                                <w:b w:val="false"/>
                                <w:i w:val="false"/>
                                <w:caps w:val="false"/>
                                <w:smallCaps w:val="false"/>
                                <w:color w:val="FE5000"/>
                                <w:sz w:val="30"/>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ENVIRONMENTAL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At Credicorp, our purpose of contribute to improving lives by driving the changes our countries need motivates us to support the transition to an environmentally sustainable economy. Our environmental roadmap has led us forward in identifying and properly managing the environmental risks and the opportunities presented by sustainable finance. Our work to strengthen capabilities and knowledge about this global challenge has led us to continue improving our objectives and lifting our aspirations.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86.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left"/>
                        <w:rPr>
                          <w:rFonts w:ascii="Arial" w:hAnsi="Arial"/>
                          <w:b w:val="false"/>
                          <w:i w:val="false"/>
                          <w:caps w:val="false"/>
                          <w:smallCaps w:val="false"/>
                          <w:color w:val="FE5000"/>
                          <w:sz w:val="30"/>
                        </w:rPr>
                      </w:pPr>
                      <w:r>
                        <w:rPr>
                          <w:rFonts w:ascii="Arial" w:hAnsi="Arial"/>
                          <w:b/>
                          <w:i w:val="false"/>
                          <w:caps w:val="false"/>
                          <w:smallCaps w:val="false"/>
                          <w:color w:val="FE5000"/>
                          <w:sz w:val="30"/>
                        </w:rPr>
                        <w:t>3. ENVIRONMENTAL MANAGEMENT</w:t>
                      </w:r>
                      <w:r>
                        <w:rPr>
                          <w:rFonts w:ascii="Arial" w:hAnsi="Arial"/>
                          <w:b w:val="false"/>
                          <w:i w:val="false"/>
                          <w:caps w:val="false"/>
                          <w:smallCaps w:val="false"/>
                          <w:color w:val="FE5000"/>
                          <w:sz w:val="30"/>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ENVIRONMENTAL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At Credicorp, our purpose of contribute to improving lives by driving the changes our countries need motivates us to support the transition to an environmentally sustainable economy. Our environmental roadmap has led us forward in identifying and properly managing the environmental risks and the opportunities presented by sustainable finance. Our work to strengthen capabilities and knowledge about this global challenge has led us to continue improving our objectives and lifting our aspirations.</w:t>
                      </w:r>
                    </w:p>
                  </w:txbxContent>
                </v:textbox>
                <w10:wrap type="topAndBottom"/>
              </v:rect>
            </w:pict>
          </mc:Fallback>
        </mc:AlternateContent>
      </w:r>
      <w:r>
        <mc:AlternateContent>
          <mc:Choice Requires="wps">
            <w:drawing>
              <wp:anchor behindDoc="0" distT="0" distB="0" distL="0" distR="0" simplePos="0" locked="0" layoutInCell="1" allowOverlap="1" relativeHeight="287">
                <wp:simplePos x="0" y="0"/>
                <wp:positionH relativeFrom="column">
                  <wp:align>right</wp:align>
                </wp:positionH>
                <wp:positionV relativeFrom="line">
                  <wp:posOffset>635</wp:posOffset>
                </wp:positionV>
                <wp:extent cx="3110230" cy="175260"/>
                <wp:effectExtent l="0" t="0" r="0" b="0"/>
                <wp:wrapTopAndBottom/>
                <wp:docPr id="251" name="Frame79"/>
                <a:graphic xmlns:a="http://schemas.openxmlformats.org/drawingml/2006/main">
                  <a:graphicData uri="http://schemas.microsoft.com/office/word/2010/wordprocessingShape">
                    <wps:wsp>
                      <wps:cNvSpPr txBox="1"/>
                      <wps:spPr>
                        <a:xfrm>
                          <a:off x="0" y="0"/>
                          <a:ext cx="311023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3.8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283"/>
                        <w:jc w:val="left"/>
                        <w:rPr/>
                      </w:pPr>
                      <w:r>
                        <w:rPr/>
                      </w:r>
                    </w:p>
                  </w:txbxContent>
                </v:textbox>
                <w10:wrap type="topAndBottom"/>
              </v:rect>
            </w:pict>
          </mc:Fallback>
        </mc:AlternateConten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ind w:left="0" w:right="0" w:hanging="0"/>
        <w:jc w:val="center"/>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38</w:t>
      </w:r>
    </w:p>
    <w:p>
      <w:pPr>
        <w:pStyle w:val="HorizontalLine"/>
        <w:pBdr>
          <w:bottom w:val="single" w:sz="12" w:space="0" w:color="808080"/>
        </w:pBdr>
        <w:bidi w:val="0"/>
        <w:spacing w:before="200" w:after="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3110230" cy="4378960"/>
                <wp:effectExtent l="0" t="0" r="0" b="0"/>
                <wp:wrapTopAndBottom/>
                <wp:docPr id="252" name="Frame80"/>
                <a:graphic xmlns:a="http://schemas.openxmlformats.org/drawingml/2006/main">
                  <a:graphicData uri="http://schemas.microsoft.com/office/word/2010/wordprocessingShape">
                    <wps:wsp>
                      <wps:cNvSpPr txBox="1"/>
                      <wps:spPr>
                        <a:xfrm>
                          <a:off x="0" y="0"/>
                          <a:ext cx="3110230" cy="4378960"/>
                        </a:xfrm>
                        <a:prstGeom prst="rect"/>
                        <a:solidFill>
                          <a:srgbClr val="FFFFFF"/>
                        </a:solidFill>
                      </wps:spPr>
                      <wps:txbx>
                        <w:txbxContent>
                          <w:p>
                            <w:pPr>
                              <w:pStyle w:val="TextBody"/>
                              <w:bidi w:val="0"/>
                              <w:spacing w:before="0" w:after="0"/>
                              <w:ind w:left="0" w:right="0" w:hanging="0"/>
                              <w:jc w:val="left"/>
                              <w:rPr>
                                <w:rFonts w:ascii="Arial" w:hAnsi="Arial"/>
                                <w:b/>
                                <w:i w:val="false"/>
                                <w:caps w:val="false"/>
                                <w:smallCaps w:val="false"/>
                                <w:color w:val="FE5000"/>
                                <w:sz w:val="30"/>
                              </w:rPr>
                            </w:pPr>
                            <w:r>
                              <w:rPr>
                                <w:rFonts w:ascii="Arial" w:hAnsi="Arial"/>
                                <w:b/>
                                <w:i w:val="false"/>
                                <w:caps w:val="false"/>
                                <w:smallCaps w:val="false"/>
                                <w:color w:val="FE5000"/>
                                <w:sz w:val="30"/>
                              </w:rPr>
                              <w:t>3.1. THE ENVIRONMENTAL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In the first quarter of 2023, Credicorp rolled out its Corporate Environmental Strategy. Our vision is </w:t>
                            </w:r>
                            <w:r>
                              <w:rPr>
                                <w:rFonts w:ascii="Arial" w:hAnsi="Arial"/>
                                <w:b/>
                                <w:i w:val="false"/>
                                <w:caps w:val="false"/>
                                <w:smallCaps w:val="false"/>
                                <w:sz w:val="20"/>
                              </w:rPr>
                              <w:t xml:space="preserve">to be a local leader in supporting the transition to an environmentally sustainable economy </w:t>
                            </w:r>
                            <w:r>
                              <w:rPr>
                                <w:rFonts w:ascii="Arial" w:hAnsi="Arial"/>
                                <w:b w:val="false"/>
                                <w:i w:val="false"/>
                                <w:caps w:val="false"/>
                                <w:smallCaps w:val="false"/>
                                <w:sz w:val="20"/>
                              </w:rPr>
                              <w:t>by building capacities and knowledge that drive sustainable businesses and manage environmental risks early 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To strengthen our environment and climate change management, the strategy determined five pillars that trigger activity under the themes of strategy and ambition, growth, risks, program and delivery, and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3.1.1. Pillars and 2023 achievements</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left"/>
                              <w:rPr>
                                <w:caps w:val="false"/>
                                <w:smallCaps w:val="false"/>
                                <w:color w:val="FE5000"/>
                              </w:rPr>
                            </w:pPr>
                            <w:r>
                              <w:rPr>
                                <w:caps w:val="false"/>
                                <w:smallCaps w:val="false"/>
                                <w:color w:val="FE5000"/>
                              </w:rPr>
                              <w:drawing>
                                <wp:inline distT="0" distB="0" distL="0" distR="0">
                                  <wp:extent cx="3333750" cy="1428750"/>
                                  <wp:effectExtent l="0" t="0" r="0" b="0"/>
                                  <wp:docPr id="253"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106" descr=""/>
                                          <pic:cNvPicPr>
                                            <a:picLocks noChangeAspect="1" noChangeArrowheads="1"/>
                                          </pic:cNvPicPr>
                                        </pic:nvPicPr>
                                        <pic:blipFill>
                                          <a:blip r:embed="rId174"/>
                                          <a:stretch>
                                            <a:fillRect/>
                                          </a:stretch>
                                        </pic:blipFill>
                                        <pic:spPr bwMode="auto">
                                          <a:xfrm>
                                            <a:off x="0" y="0"/>
                                            <a:ext cx="3333750" cy="1428750"/>
                                          </a:xfrm>
                                          <a:prstGeom prst="rect">
                                            <a:avLst/>
                                          </a:prstGeom>
                                        </pic:spPr>
                                      </pic:pic>
                                    </a:graphicData>
                                  </a:graphic>
                                </wp:inline>
                              </w:drawing>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4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left"/>
                        <w:rPr>
                          <w:rFonts w:ascii="Arial" w:hAnsi="Arial"/>
                          <w:b/>
                          <w:i w:val="false"/>
                          <w:caps w:val="false"/>
                          <w:smallCaps w:val="false"/>
                          <w:color w:val="FE5000"/>
                          <w:sz w:val="30"/>
                        </w:rPr>
                      </w:pPr>
                      <w:r>
                        <w:rPr>
                          <w:rFonts w:ascii="Arial" w:hAnsi="Arial"/>
                          <w:b/>
                          <w:i w:val="false"/>
                          <w:caps w:val="false"/>
                          <w:smallCaps w:val="false"/>
                          <w:color w:val="FE5000"/>
                          <w:sz w:val="30"/>
                        </w:rPr>
                        <w:t>3.1. THE ENVIRONMENTAL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In the first quarter of 2023, Credicorp rolled out its Corporate Environmental Strategy. Our vision is </w:t>
                      </w:r>
                      <w:r>
                        <w:rPr>
                          <w:rFonts w:ascii="Arial" w:hAnsi="Arial"/>
                          <w:b/>
                          <w:i w:val="false"/>
                          <w:caps w:val="false"/>
                          <w:smallCaps w:val="false"/>
                          <w:sz w:val="20"/>
                        </w:rPr>
                        <w:t xml:space="preserve">to be a local leader in supporting the transition to an environmentally sustainable economy </w:t>
                      </w:r>
                      <w:r>
                        <w:rPr>
                          <w:rFonts w:ascii="Arial" w:hAnsi="Arial"/>
                          <w:b w:val="false"/>
                          <w:i w:val="false"/>
                          <w:caps w:val="false"/>
                          <w:smallCaps w:val="false"/>
                          <w:sz w:val="20"/>
                        </w:rPr>
                        <w:t>by building capacities and knowledge that drive sustainable businesses and manage environmental risks early 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To strengthen our environment and climate change management, the strategy determined five pillars that trigger activity under the themes of strategy and ambition, growth, risks, program and delivery, and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3.1.1. Pillars and 2023 achievements</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left"/>
                        <w:rPr>
                          <w:caps w:val="false"/>
                          <w:smallCaps w:val="false"/>
                          <w:color w:val="FE5000"/>
                        </w:rPr>
                      </w:pPr>
                      <w:r>
                        <w:rPr>
                          <w:caps w:val="false"/>
                          <w:smallCaps w:val="false"/>
                          <w:color w:val="FE5000"/>
                        </w:rPr>
                        <w:drawing>
                          <wp:inline distT="0" distB="0" distL="0" distR="0">
                            <wp:extent cx="3333750" cy="1428750"/>
                            <wp:effectExtent l="0" t="0" r="0" b="0"/>
                            <wp:docPr id="254"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06" descr=""/>
                                    <pic:cNvPicPr>
                                      <a:picLocks noChangeAspect="1" noChangeArrowheads="1"/>
                                    </pic:cNvPicPr>
                                  </pic:nvPicPr>
                                  <pic:blipFill>
                                    <a:blip r:embed="rId175"/>
                                    <a:stretch>
                                      <a:fillRect/>
                                    </a:stretch>
                                  </pic:blipFill>
                                  <pic:spPr bwMode="auto">
                                    <a:xfrm>
                                      <a:off x="0" y="0"/>
                                      <a:ext cx="3333750" cy="1428750"/>
                                    </a:xfrm>
                                    <a:prstGeom prst="rect">
                                      <a:avLst/>
                                    </a:prstGeom>
                                  </pic:spPr>
                                </pic:pic>
                              </a:graphicData>
                            </a:graphic>
                          </wp:inline>
                        </w:drawing>
                      </w:r>
                    </w:p>
                  </w:txbxContent>
                </v:textbox>
                <w10:wrap type="topAndBottom"/>
              </v:rect>
            </w:pict>
          </mc:Fallback>
        </mc:AlternateContent>
      </w:r>
      <w:r>
        <mc:AlternateContent>
          <mc:Choice Requires="wps">
            <w:drawing>
              <wp:anchor behindDoc="0" distT="0" distB="0" distL="0" distR="0" simplePos="0" locked="0" layoutInCell="1" allowOverlap="1" relativeHeight="15">
                <wp:simplePos x="0" y="0"/>
                <wp:positionH relativeFrom="column">
                  <wp:align>right</wp:align>
                </wp:positionH>
                <wp:positionV relativeFrom="line">
                  <wp:posOffset>635</wp:posOffset>
                </wp:positionV>
                <wp:extent cx="3110230" cy="4761865"/>
                <wp:effectExtent l="0" t="0" r="0" b="0"/>
                <wp:wrapTopAndBottom/>
                <wp:docPr id="255" name="Frame81"/>
                <a:graphic xmlns:a="http://schemas.openxmlformats.org/drawingml/2006/main">
                  <a:graphicData uri="http://schemas.microsoft.com/office/word/2010/wordprocessingShape">
                    <wps:wsp>
                      <wps:cNvSpPr txBox="1"/>
                      <wps:spPr>
                        <a:xfrm>
                          <a:off x="0" y="0"/>
                          <a:ext cx="3110230" cy="4761865"/>
                        </a:xfrm>
                        <a:prstGeom prst="rect"/>
                        <a:solidFill>
                          <a:srgbClr val="FFFFFF"/>
                        </a:solidFill>
                      </wps:spPr>
                      <wps:txbx>
                        <w:txbxContent>
                          <w:p>
                            <w:pPr>
                              <w:pStyle w:val="TextBody"/>
                              <w:bidi w:val="0"/>
                              <w:spacing w:before="0" w:after="0"/>
                              <w:ind w:left="0" w:right="0" w:hanging="0"/>
                              <w:jc w:val="left"/>
                              <w:rPr>
                                <w:caps w:val="false"/>
                                <w:smallCaps w:val="false"/>
                                <w:color w:val="FE5000"/>
                              </w:rPr>
                            </w:pPr>
                            <w:r>
                              <w:rPr>
                                <w:caps w:val="false"/>
                                <w:smallCaps w:val="false"/>
                                <w:color w:val="FE5000"/>
                              </w:rPr>
                              <w:t> </w:t>
                            </w:r>
                            <w:r>
                              <w:rPr>
                                <w:caps w:val="false"/>
                                <w:smallCaps w:val="false"/>
                                <w:color w:val="FE5000"/>
                              </w:rPr>
                              <w:drawing>
                                <wp:inline distT="0" distB="0" distL="0" distR="0">
                                  <wp:extent cx="3333750" cy="1724025"/>
                                  <wp:effectExtent l="0" t="0" r="0" b="0"/>
                                  <wp:docPr id="256"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07" descr=""/>
                                          <pic:cNvPicPr>
                                            <a:picLocks noChangeAspect="1" noChangeArrowheads="1"/>
                                          </pic:cNvPicPr>
                                        </pic:nvPicPr>
                                        <pic:blipFill>
                                          <a:blip r:embed="rId176"/>
                                          <a:stretch>
                                            <a:fillRect/>
                                          </a:stretch>
                                        </pic:blipFill>
                                        <pic:spPr bwMode="auto">
                                          <a:xfrm>
                                            <a:off x="0" y="0"/>
                                            <a:ext cx="3333750" cy="1724025"/>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3.1.1.1. Portfolio emissions 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Measuring the portfolio footprint is critical to identifying its composition in terms of environmental impact and identifying and prioritizing emission reduction levers hand-in-hand with our clients and the companies we invest 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 have carried out our first emissions measurement using the Partnerships for Carbon Accounting Financials (PCAF) methodology, which allows us to guage the carbon footprint of the prioritized porfolios even when client and emitter data is unavailable. The estimates are based on variables such as revenue, energy consumption, and production data. We worked to raise awareness and train the organization, including the corporate environmental team, the risk team and the subsidiaries’ business and investment teams.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74.9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left"/>
                        <w:rPr>
                          <w:caps w:val="false"/>
                          <w:smallCaps w:val="false"/>
                          <w:color w:val="FE5000"/>
                        </w:rPr>
                      </w:pPr>
                      <w:r>
                        <w:rPr>
                          <w:caps w:val="false"/>
                          <w:smallCaps w:val="false"/>
                          <w:color w:val="FE5000"/>
                        </w:rPr>
                        <w:t> </w:t>
                      </w:r>
                      <w:r>
                        <w:rPr>
                          <w:caps w:val="false"/>
                          <w:smallCaps w:val="false"/>
                          <w:color w:val="FE5000"/>
                        </w:rPr>
                        <w:drawing>
                          <wp:inline distT="0" distB="0" distL="0" distR="0">
                            <wp:extent cx="3333750" cy="1724025"/>
                            <wp:effectExtent l="0" t="0" r="0" b="0"/>
                            <wp:docPr id="25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107" descr=""/>
                                    <pic:cNvPicPr>
                                      <a:picLocks noChangeAspect="1" noChangeArrowheads="1"/>
                                    </pic:cNvPicPr>
                                  </pic:nvPicPr>
                                  <pic:blipFill>
                                    <a:blip r:embed="rId177"/>
                                    <a:stretch>
                                      <a:fillRect/>
                                    </a:stretch>
                                  </pic:blipFill>
                                  <pic:spPr bwMode="auto">
                                    <a:xfrm>
                                      <a:off x="0" y="0"/>
                                      <a:ext cx="3333750" cy="1724025"/>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3.1.1.1. Portfolio emissions 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Measuring the portfolio footprint is critical to identifying its composition in terms of environmental impact and identifying and prioritizing emission reduction levers hand-in-hand with our clients and the companies we invest 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 have carried out our first emissions measurement using the Partnerships for Carbon Accounting Financials (PCAF) methodology, which allows us to guage the carbon footprint of the prioritized porfolios even when client and emitter data is unavailable. The estimates are based on variables such as revenue, energy consumption, and production data. We worked to raise awareness and train the organization, including the corporate environmental team, the risk team and the subsidiaries’ business and investment teams.</w:t>
                      </w:r>
                    </w:p>
                  </w:txbxContent>
                </v:textbox>
                <w10:wrap type="topAndBottom"/>
              </v:rect>
            </w:pict>
          </mc:Fallback>
        </mc:AlternateContent>
      </w:r>
    </w:p>
    <w:p>
      <w:pPr>
        <w:pStyle w:val="TextBody"/>
        <w:bidi w:val="0"/>
        <w:spacing w:before="0" w:after="0"/>
        <w:ind w:left="7360" w:right="0" w:hanging="0"/>
        <w:jc w:val="both"/>
        <w:rPr>
          <w:caps w:val="false"/>
          <w:smallCaps w:val="false"/>
        </w:rPr>
      </w:pPr>
      <w:r>
        <w:rPr>
          <w:caps w:val="false"/>
          <w:smallCaps w:val="false"/>
        </w:rPr>
        <w:t> </w:t>
      </w:r>
    </w:p>
    <w:p>
      <w:pPr>
        <w:pStyle w:val="TextBody"/>
        <w:bidi w:val="0"/>
        <w:spacing w:before="200" w:after="200"/>
        <w:ind w:left="13780" w:right="0" w:hanging="0"/>
        <w:jc w:val="center"/>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39</w:t>
      </w:r>
    </w:p>
    <w:p>
      <w:pPr>
        <w:pStyle w:val="HorizontalLine"/>
        <w:pBdr>
          <w:bottom w:val="single" w:sz="12" w:space="0" w:color="808080"/>
        </w:pBdr>
        <w:bidi w:val="0"/>
        <w:spacing w:before="200" w:after="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88">
                <wp:simplePos x="0" y="0"/>
                <wp:positionH relativeFrom="column">
                  <wp:align>left</wp:align>
                </wp:positionH>
                <wp:positionV relativeFrom="line">
                  <wp:posOffset>635</wp:posOffset>
                </wp:positionV>
                <wp:extent cx="3110230" cy="4264660"/>
                <wp:effectExtent l="0" t="0" r="0" b="0"/>
                <wp:wrapTopAndBottom/>
                <wp:docPr id="258" name="Frame82"/>
                <a:graphic xmlns:a="http://schemas.openxmlformats.org/drawingml/2006/main">
                  <a:graphicData uri="http://schemas.microsoft.com/office/word/2010/wordprocessingShape">
                    <wps:wsp>
                      <wps:cNvSpPr txBox="1"/>
                      <wps:spPr>
                        <a:xfrm>
                          <a:off x="0" y="0"/>
                          <a:ext cx="3110230" cy="4264660"/>
                        </a:xfrm>
                        <a:prstGeom prst="rect"/>
                        <a:solidFill>
                          <a:srgbClr val="FFFFFF"/>
                        </a:solidFill>
                      </wps:spPr>
                      <wps:txbx>
                        <w:txbxContent>
                          <w:p>
                            <w:pPr>
                              <w:pStyle w:val="TextBody"/>
                              <w:bidi w:val="0"/>
                              <w:spacing w:lineRule="auto" w:line="240"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By prioritizing the wholesale banking segment for this first measurement and selecting the ten critical sectors for ESG risk management (mining, hydrocarbons, fishing, energy, construction, building materials supplies, real estate, transport, agriculture, and textiles), BCP was able to analyze 47% of its wholesale banking financing portfolio, obtaining data for 22% of its portfolio. Prma AFP and Pacífico Seguros prioritized their most relevant asset classes and those where information was available. Pacífico Seguros analyzed 84% of its investment portfolio and obtained a measurement of 523,516 TnCO2e financed with a coverage of 68% of the portfolio.20 According to Prima AFP’s latest Responsible Investments Report (October 2023), the company analyzed 37% of the investment portfolio and obtained a measurement of 581,990 tCO2e, covering 35.7% of the portfolio21. At the time of preparing this report, it has been possible to cover 75% of the portfolio. The results will be published in Prima’s next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i w:val="false"/>
                                <w:caps w:val="false"/>
                                <w:smallCaps w:val="false"/>
                                <w:sz w:val="20"/>
                              </w:rPr>
                              <w:t>3.1.1.2. The first TCFD report</w:t>
                            </w:r>
                            <w:r>
                              <w:rPr>
                                <w:rFonts w:ascii="Arial" w:hAnsi="Arial"/>
                                <w:b w:val="false"/>
                                <w:i w:val="false"/>
                                <w:caps w:val="false"/>
                                <w:smallCaps w:val="false"/>
                                <w:sz w:val="20"/>
                              </w:rPr>
                              <w:t> </w:t>
                            </w:r>
                          </w:p>
                          <w:p>
                            <w:pPr>
                              <w:pStyle w:val="TextBody"/>
                              <w:bidi w:val="0"/>
                              <w:spacing w:lineRule="auto" w:line="240"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We have issued our </w:t>
                            </w:r>
                            <w:r>
                              <w:rPr>
                                <w:rFonts w:ascii="Arial" w:hAnsi="Arial"/>
                                <w:b w:val="false"/>
                                <w:i w:val="false"/>
                                <w:caps w:val="false"/>
                                <w:smallCaps w:val="false"/>
                                <w:color w:val="0563C1"/>
                                <w:sz w:val="20"/>
                                <w:u w:val="single"/>
                              </w:rPr>
                              <w:t>first report</w:t>
                            </w:r>
                            <w:r>
                              <w:rPr>
                                <w:rFonts w:ascii="Arial" w:hAnsi="Arial"/>
                                <w:b w:val="false"/>
                                <w:i w:val="false"/>
                                <w:caps w:val="false"/>
                                <w:smallCaps w:val="false"/>
                                <w:sz w:val="20"/>
                              </w:rPr>
                              <w:t xml:space="preserve"> under the Task Force for Climate-related Financial Disclosures (TCFD) framework. In it, we detail our climate change governance embedded in our sustainability governance (both at the board level, on the steering committee,22 and for the sustainability team); our strategy; and our environmental risk management.</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By prioritizing the wholesale banking segment for this first measurement and selecting the ten critical sectors for ESG risk management (mining, hydrocarbons, fishing, energy, construction, building materials supplies, real estate, transport, agriculture, and textiles), BCP was able to analyze 47% of its wholesale banking financing portfolio, obtaining data for 22% of its portfolio. Prma AFP and Pacífico Seguros prioritized their most relevant asset classes and those where information was available. Pacífico Seguros analyzed 84% of its investment portfolio and obtained a measurement of 523,516 TnCO2e financed with a coverage of 68% of the portfolio.20 According to Prima AFP’s latest Responsible Investments Report (October 2023), the company analyzed 37% of the investment portfolio and obtained a measurement of 581,990 tCO2e, covering 35.7% of the portfolio21. At the time of preparing this report, it has been possible to cover 75% of the portfolio. The results will be published in Prima’s next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i w:val="false"/>
                          <w:caps w:val="false"/>
                          <w:smallCaps w:val="false"/>
                          <w:sz w:val="20"/>
                        </w:rPr>
                        <w:t>3.1.1.2. The first TCFD report</w:t>
                      </w:r>
                      <w:r>
                        <w:rPr>
                          <w:rFonts w:ascii="Arial" w:hAnsi="Arial"/>
                          <w:b w:val="false"/>
                          <w:i w:val="false"/>
                          <w:caps w:val="false"/>
                          <w:smallCaps w:val="false"/>
                          <w:sz w:val="20"/>
                        </w:rPr>
                        <w:t> </w:t>
                      </w:r>
                    </w:p>
                    <w:p>
                      <w:pPr>
                        <w:pStyle w:val="TextBody"/>
                        <w:bidi w:val="0"/>
                        <w:spacing w:lineRule="auto" w:line="240"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We have issued our </w:t>
                      </w:r>
                      <w:r>
                        <w:rPr>
                          <w:rFonts w:ascii="Arial" w:hAnsi="Arial"/>
                          <w:b w:val="false"/>
                          <w:i w:val="false"/>
                          <w:caps w:val="false"/>
                          <w:smallCaps w:val="false"/>
                          <w:color w:val="0563C1"/>
                          <w:sz w:val="20"/>
                          <w:u w:val="single"/>
                        </w:rPr>
                        <w:t>first report</w:t>
                      </w:r>
                      <w:r>
                        <w:rPr>
                          <w:rFonts w:ascii="Arial" w:hAnsi="Arial"/>
                          <w:b w:val="false"/>
                          <w:i w:val="false"/>
                          <w:caps w:val="false"/>
                          <w:smallCaps w:val="false"/>
                          <w:sz w:val="20"/>
                        </w:rPr>
                        <w:t xml:space="preserve"> under the Task Force for Climate-related Financial Disclosures (TCFD) framework. In it, we detail our climate change governance embedded in our sustainability governance (both at the board level, on the steering committee,22 and for the sustainability team); our strategy; and our environmental risk management.</w:t>
                      </w:r>
                    </w:p>
                  </w:txbxContent>
                </v:textbox>
                <w10:wrap type="topAndBottom"/>
              </v:rect>
            </w:pict>
          </mc:Fallback>
        </mc:AlternateContent>
      </w:r>
      <w:r>
        <mc:AlternateContent>
          <mc:Choice Requires="wps">
            <w:drawing>
              <wp:anchor behindDoc="0" distT="0" distB="0" distL="0" distR="0" simplePos="0" locked="0" layoutInCell="1" allowOverlap="1" relativeHeight="289">
                <wp:simplePos x="0" y="0"/>
                <wp:positionH relativeFrom="column">
                  <wp:align>right</wp:align>
                </wp:positionH>
                <wp:positionV relativeFrom="line">
                  <wp:posOffset>635</wp:posOffset>
                </wp:positionV>
                <wp:extent cx="3110230" cy="4270375"/>
                <wp:effectExtent l="0" t="0" r="0" b="0"/>
                <wp:wrapTopAndBottom/>
                <wp:docPr id="259" name="Frame83"/>
                <a:graphic xmlns:a="http://schemas.openxmlformats.org/drawingml/2006/main">
                  <a:graphicData uri="http://schemas.microsoft.com/office/word/2010/wordprocessingShape">
                    <wps:wsp>
                      <wps:cNvSpPr txBox="1"/>
                      <wps:spPr>
                        <a:xfrm>
                          <a:off x="0" y="0"/>
                          <a:ext cx="3110230" cy="4270375"/>
                        </a:xfrm>
                        <a:prstGeom prst="rect"/>
                        <a:solidFill>
                          <a:srgbClr val="FFFFFF"/>
                        </a:solidFill>
                      </wps:spPr>
                      <wps:txbx>
                        <w:txbxContent>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Arial" w:hAnsi="Arial"/>
                                <w:b/>
                                <w:i w:val="false"/>
                                <w:caps w:val="false"/>
                                <w:smallCaps w:val="false"/>
                                <w:color w:val="FE5000"/>
                                <w:sz w:val="32"/>
                              </w:rPr>
                            </w:pPr>
                            <w:r>
                              <w:rPr>
                                <w:rFonts w:ascii="Arial" w:hAnsi="Arial"/>
                                <w:b/>
                                <w:i w:val="false"/>
                                <w:caps w:val="false"/>
                                <w:smallCaps w:val="false"/>
                                <w:color w:val="FE5000"/>
                                <w:sz w:val="32"/>
                              </w:rPr>
                              <w:t>Using the TCFD reporting framework, measuring the impact of our financed GHG emissions, enhancing our green financing, and continuing to strengthen environmental risk management are key elements in the implementation of our environmental strategy.</w:t>
                            </w:r>
                          </w:p>
                          <w:p>
                            <w:pPr>
                              <w:pStyle w:val="TextBody"/>
                              <w:bidi w:val="0"/>
                              <w:spacing w:before="0" w:after="0"/>
                              <w:ind w:left="0" w:right="0" w:hanging="0"/>
                              <w:jc w:val="both"/>
                              <w:rPr>
                                <w:caps w:val="false"/>
                                <w:smallCaps w:val="false"/>
                                <w:color w:val="FE5000"/>
                              </w:rPr>
                            </w:pPr>
                            <w:r>
                              <w:rPr>
                                <w:caps w:val="false"/>
                                <w:smallCaps w:val="false"/>
                                <w:color w:val="FE5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Our TCFD report complements our alignment with CDP, another reporting initiative through which we have been disclosing our climate change management since 2010.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3.1.1.3. Capacity and knowledge generation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 vital element of the first year of strategy implementation has been strengthening the team and building the internal capacity of various areas across all subsidiaries. Further details on environmental training are contained in the annexes to this report.</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36.2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Arial" w:hAnsi="Arial"/>
                          <w:b/>
                          <w:i w:val="false"/>
                          <w:caps w:val="false"/>
                          <w:smallCaps w:val="false"/>
                          <w:color w:val="FE5000"/>
                          <w:sz w:val="32"/>
                        </w:rPr>
                      </w:pPr>
                      <w:r>
                        <w:rPr>
                          <w:rFonts w:ascii="Arial" w:hAnsi="Arial"/>
                          <w:b/>
                          <w:i w:val="false"/>
                          <w:caps w:val="false"/>
                          <w:smallCaps w:val="false"/>
                          <w:color w:val="FE5000"/>
                          <w:sz w:val="32"/>
                        </w:rPr>
                        <w:t>Using the TCFD reporting framework, measuring the impact of our financed GHG emissions, enhancing our green financing, and continuing to strengthen environmental risk management are key elements in the implementation of our environmental strategy.</w:t>
                      </w:r>
                    </w:p>
                    <w:p>
                      <w:pPr>
                        <w:pStyle w:val="TextBody"/>
                        <w:bidi w:val="0"/>
                        <w:spacing w:before="0" w:after="0"/>
                        <w:ind w:left="0" w:right="0" w:hanging="0"/>
                        <w:jc w:val="both"/>
                        <w:rPr>
                          <w:caps w:val="false"/>
                          <w:smallCaps w:val="false"/>
                          <w:color w:val="FE5000"/>
                        </w:rPr>
                      </w:pPr>
                      <w:r>
                        <w:rPr>
                          <w:caps w:val="false"/>
                          <w:smallCaps w:val="false"/>
                          <w:color w:val="FE5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Our TCFD report complements our alignment with CDP, another reporting initiative through which we have been disclosing our climate change management since 2010.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3.1.1.3. Capacity and knowledge generation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 vital element of the first year of strategy implementation has been strengthening the team and building the internal capacity of various areas across all subsidiaries. Further details on environmental training are contained in the annexes to this report.</w:t>
                      </w:r>
                    </w:p>
                  </w:txbxContent>
                </v:textbox>
                <w10:wrap type="topAndBottom"/>
              </v:rect>
            </w:pict>
          </mc:Fallback>
        </mc:AlternateConten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2" w:right="0" w:hanging="0"/>
        <w:jc w:val="left"/>
        <w:rPr/>
      </w:pPr>
      <w:r>
        <w:rPr/>
      </w:r>
      <w:r>
        <mc:AlternateContent>
          <mc:Choice Requires="wps">
            <w:drawing>
              <wp:anchor behindDoc="0" distT="0" distB="0" distL="0" distR="0" simplePos="0" locked="0" layoutInCell="1" allowOverlap="1" relativeHeight="290">
                <wp:simplePos x="0" y="0"/>
                <wp:positionH relativeFrom="column">
                  <wp:align>left</wp:align>
                </wp:positionH>
                <wp:positionV relativeFrom="line">
                  <wp:posOffset>635</wp:posOffset>
                </wp:positionV>
                <wp:extent cx="3110230" cy="1295400"/>
                <wp:effectExtent l="0" t="0" r="0" b="0"/>
                <wp:wrapTopAndBottom/>
                <wp:docPr id="260" name="Frame84"/>
                <a:graphic xmlns:a="http://schemas.openxmlformats.org/drawingml/2006/main">
                  <a:graphicData uri="http://schemas.microsoft.com/office/word/2010/wordprocessingShape">
                    <wps:wsp>
                      <wps:cNvSpPr txBox="1"/>
                      <wps:spPr>
                        <a:xfrm>
                          <a:off x="0" y="0"/>
                          <a:ext cx="3110230" cy="1295400"/>
                        </a:xfrm>
                        <a:prstGeom prst="rect"/>
                        <a:solidFill>
                          <a:srgbClr val="FFFFFF"/>
                        </a:solidFill>
                      </wps:spPr>
                      <wps:txbx>
                        <w:txbxContent>
                          <w:p>
                            <w:pPr>
                              <w:pStyle w:val="TextBody"/>
                              <w:bidi w:val="0"/>
                              <w:spacing w:before="0" w:after="60"/>
                              <w:jc w:val="left"/>
                              <w:rPr>
                                <w:bdr w:val="single" w:sz="8" w:space="1" w:color="000000"/>
                              </w:rPr>
                            </w:pPr>
                            <w:r>
                              <w:rPr>
                                <w:bdr w:val="single" w:sz="8" w:space="1" w:color="000000"/>
                              </w:rPr>
                              <w:t> </w:t>
                            </w:r>
                          </w:p>
                          <w:p>
                            <w:pPr>
                              <w:pStyle w:val="TextBody"/>
                              <w:bidi w:val="0"/>
                              <w:spacing w:lineRule="auto" w:line="240"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20Including direct investments in corporate fixed income, sovereign bonds, and indirect investments through public third party funds. </w:t>
                            </w:r>
                          </w:p>
                          <w:p>
                            <w:pPr>
                              <w:pStyle w:val="TextBody"/>
                              <w:bidi w:val="0"/>
                              <w:spacing w:lineRule="auto" w:line="240"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21 Including direct investments, both equities and corporate bonds. </w:t>
                            </w:r>
                          </w:p>
                          <w:p>
                            <w:pPr>
                              <w:pStyle w:val="TextBody"/>
                              <w:bidi w:val="0"/>
                              <w:spacing w:lineRule="auto" w:line="240"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22 The Sustainability Steering Committee is responsible for giving visibility, prioritization, and focus to the strategy and program. It consists of Credicorp’s CEO and the subsidiary CEOs; the corporate COO, CRO and CFO; the Corporate Talent Manager; the Corporate HR Manager; and the Corporate Sustainability Leader, who convenes the committee.</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60"/>
                        <w:jc w:val="left"/>
                        <w:rPr>
                          <w:bdr w:val="single" w:sz="8" w:space="1" w:color="000000"/>
                        </w:rPr>
                      </w:pPr>
                      <w:r>
                        <w:rPr>
                          <w:bdr w:val="single" w:sz="8" w:space="1" w:color="000000"/>
                        </w:rPr>
                        <w:t> </w:t>
                      </w:r>
                    </w:p>
                    <w:p>
                      <w:pPr>
                        <w:pStyle w:val="TextBody"/>
                        <w:bidi w:val="0"/>
                        <w:spacing w:lineRule="auto" w:line="240"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20Including direct investments in corporate fixed income, sovereign bonds, and indirect investments through public third party funds. </w:t>
                      </w:r>
                    </w:p>
                    <w:p>
                      <w:pPr>
                        <w:pStyle w:val="TextBody"/>
                        <w:bidi w:val="0"/>
                        <w:spacing w:lineRule="auto" w:line="240"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21 Including direct investments, both equities and corporate bonds. </w:t>
                      </w:r>
                    </w:p>
                    <w:p>
                      <w:pPr>
                        <w:pStyle w:val="TextBody"/>
                        <w:bidi w:val="0"/>
                        <w:spacing w:lineRule="auto" w:line="240"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22 The Sustainability Steering Committee is responsible for giving visibility, prioritization, and focus to the strategy and program. It consists of Credicorp’s CEO and the subsidiary CEOs; the corporate COO, CRO and CFO; the Corporate Talent Manager; the Corporate HR Manager; and the Corporate Sustainability Leader, who convenes the committee.</w:t>
                      </w:r>
                    </w:p>
                  </w:txbxContent>
                </v:textbox>
                <w10:wrap type="topAndBottom"/>
              </v:rect>
            </w:pict>
          </mc:Fallback>
        </mc:AlternateContent>
      </w:r>
      <w:r>
        <mc:AlternateContent>
          <mc:Choice Requires="wps">
            <w:drawing>
              <wp:anchor behindDoc="0" distT="0" distB="0" distL="0" distR="0" simplePos="0" locked="0" layoutInCell="1" allowOverlap="1" relativeHeight="291">
                <wp:simplePos x="0" y="0"/>
                <wp:positionH relativeFrom="column">
                  <wp:align>right</wp:align>
                </wp:positionH>
                <wp:positionV relativeFrom="line">
                  <wp:posOffset>635</wp:posOffset>
                </wp:positionV>
                <wp:extent cx="3110230" cy="175260"/>
                <wp:effectExtent l="0" t="0" r="0" b="0"/>
                <wp:wrapTopAndBottom/>
                <wp:docPr id="261" name="Frame85"/>
                <a:graphic xmlns:a="http://schemas.openxmlformats.org/drawingml/2006/main">
                  <a:graphicData uri="http://schemas.microsoft.com/office/word/2010/wordprocessingShape">
                    <wps:wsp>
                      <wps:cNvSpPr txBox="1"/>
                      <wps:spPr>
                        <a:xfrm>
                          <a:off x="0" y="0"/>
                          <a:ext cx="311023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3.8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283"/>
                        <w:jc w:val="left"/>
                        <w:rPr/>
                      </w:pPr>
                      <w:r>
                        <w:rPr/>
                      </w:r>
                    </w:p>
                  </w:txbxContent>
                </v:textbox>
                <w10:wrap type="topAndBottom"/>
              </v:rect>
            </w:pict>
          </mc:Fallback>
        </mc:AlternateContent>
      </w:r>
    </w:p>
    <w:p>
      <w:pPr>
        <w:pStyle w:val="TextBody"/>
        <w:bidi w:val="0"/>
        <w:spacing w:before="200" w:after="200"/>
        <w:ind w:left="0" w:right="0" w:hanging="0"/>
        <w:jc w:val="center"/>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40</w:t>
      </w:r>
    </w:p>
    <w:p>
      <w:pPr>
        <w:pStyle w:val="HorizontalLine"/>
        <w:pBdr>
          <w:bottom w:val="single" w:sz="12" w:space="0" w:color="808080"/>
        </w:pBdr>
        <w:bidi w:val="0"/>
        <w:spacing w:before="200" w:after="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3110230" cy="5338445"/>
                <wp:effectExtent l="0" t="0" r="0" b="0"/>
                <wp:wrapTopAndBottom/>
                <wp:docPr id="262" name="Frame86"/>
                <a:graphic xmlns:a="http://schemas.openxmlformats.org/drawingml/2006/main">
                  <a:graphicData uri="http://schemas.microsoft.com/office/word/2010/wordprocessingShape">
                    <wps:wsp>
                      <wps:cNvSpPr txBox="1"/>
                      <wps:spPr>
                        <a:xfrm>
                          <a:off x="0" y="0"/>
                          <a:ext cx="3110230" cy="5338445"/>
                        </a:xfrm>
                        <a:prstGeom prst="rect"/>
                        <a:solidFill>
                          <a:srgbClr val="FFFFFF"/>
                        </a:solidFill>
                      </wps:spPr>
                      <wps:txbx>
                        <w:txbxContent>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3.2. SUSTAINABLE FINANCE</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Material topics Responsible and sustainable finance and investments GRI 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FE5000"/>
                                <w:sz w:val="20"/>
                              </w:rPr>
                            </w:pPr>
                            <w:r>
                              <w:rPr>
                                <w:rFonts w:ascii="Arial" w:hAnsi="Arial"/>
                                <w:b/>
                                <w:i w:val="false"/>
                                <w:caps w:val="false"/>
                                <w:smallCaps w:val="false"/>
                                <w:color w:val="FE5000"/>
                                <w:sz w:val="20"/>
                              </w:rPr>
                              <w:t>2023 achievements</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center"/>
                              <w:rPr>
                                <w:caps w:val="false"/>
                                <w:smallCaps w:val="false"/>
                                <w:color w:val="FF0000"/>
                              </w:rPr>
                            </w:pPr>
                            <w:r>
                              <w:rPr>
                                <w:caps w:val="false"/>
                                <w:smallCaps w:val="false"/>
                                <w:color w:val="FF0000"/>
                              </w:rPr>
                              <w:drawing>
                                <wp:inline distT="0" distB="0" distL="0" distR="0">
                                  <wp:extent cx="3333750" cy="1628775"/>
                                  <wp:effectExtent l="0" t="0" r="0" b="0"/>
                                  <wp:docPr id="263"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108" descr=""/>
                                          <pic:cNvPicPr>
                                            <a:picLocks noChangeAspect="1" noChangeArrowheads="1"/>
                                          </pic:cNvPicPr>
                                        </pic:nvPicPr>
                                        <pic:blipFill>
                                          <a:blip r:embed="rId178"/>
                                          <a:stretch>
                                            <a:fillRect/>
                                          </a:stretch>
                                        </pic:blipFill>
                                        <pic:spPr bwMode="auto">
                                          <a:xfrm>
                                            <a:off x="0" y="0"/>
                                            <a:ext cx="3333750" cy="1628775"/>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firstLine="50"/>
                              <w:jc w:val="both"/>
                              <w:rPr>
                                <w:rFonts w:ascii="Arial" w:hAnsi="Arial"/>
                                <w:b w:val="false"/>
                                <w:i w:val="false"/>
                                <w:caps w:val="false"/>
                                <w:smallCaps w:val="false"/>
                                <w:sz w:val="20"/>
                              </w:rPr>
                            </w:pPr>
                            <w:r>
                              <w:rPr>
                                <w:rFonts w:ascii="Arial" w:hAnsi="Arial"/>
                                <w:b w:val="false"/>
                                <w:i w:val="false"/>
                                <w:caps w:val="false"/>
                                <w:smallCaps w:val="false"/>
                                <w:sz w:val="20"/>
                              </w:rPr>
                              <w:t xml:space="preserve">Credicorp’s strategic roadmap for sustainable financing puts the initial focus on BCP’s wholesale banking. In 2023, we defined a </w:t>
                            </w:r>
                            <w:r>
                              <w:rPr>
                                <w:rFonts w:ascii="Arial" w:hAnsi="Arial"/>
                                <w:b/>
                                <w:i w:val="false"/>
                                <w:caps w:val="false"/>
                                <w:smallCaps w:val="false"/>
                                <w:sz w:val="20"/>
                              </w:rPr>
                              <w:t xml:space="preserve">process </w:t>
                            </w:r>
                            <w:r>
                              <w:rPr>
                                <w:rFonts w:ascii="Arial" w:hAnsi="Arial"/>
                                <w:b w:val="false"/>
                                <w:i w:val="false"/>
                                <w:caps w:val="false"/>
                                <w:smallCaps w:val="false"/>
                                <w:sz w:val="20"/>
                              </w:rPr>
                              <w:t xml:space="preserve">and </w:t>
                            </w:r>
                            <w:r>
                              <w:rPr>
                                <w:rFonts w:ascii="Arial" w:hAnsi="Arial"/>
                                <w:b/>
                                <w:i w:val="false"/>
                                <w:caps w:val="false"/>
                                <w:smallCaps w:val="false"/>
                                <w:sz w:val="20"/>
                              </w:rPr>
                              <w:t xml:space="preserve">governance structure </w:t>
                            </w:r>
                            <w:r>
                              <w:rPr>
                                <w:rFonts w:ascii="Arial" w:hAnsi="Arial"/>
                                <w:b w:val="false"/>
                                <w:i w:val="false"/>
                                <w:caps w:val="false"/>
                                <w:smallCaps w:val="false"/>
                                <w:sz w:val="20"/>
                              </w:rPr>
                              <w:t>for labeling green and sustainable financing.</w:t>
                            </w:r>
                          </w:p>
                          <w:p>
                            <w:pPr>
                              <w:pStyle w:val="TextBody"/>
                              <w:bidi w:val="0"/>
                              <w:spacing w:before="0" w:after="0"/>
                              <w:ind w:left="0" w:right="0" w:firstLine="5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BCP’s ESG risk credit policy is also critical for addressing the obstacles we encounter along the path to sustainable financing described in section 3.4.2.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During 2023, we strengthened BCP’s wholesale banking sustainable finance team and so were able to roll out a broader portfolio of green loans, including working capital lines and foreign trade products, in addition to the more traditional medium-term loans. We delivered a significant increase in green-labeled short- and medium-term financing (under a use</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2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3.2. SUSTAINABLE FINANCE</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Material topics Responsible and sustainable finance and investments GRI 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FE5000"/>
                          <w:sz w:val="20"/>
                        </w:rPr>
                      </w:pPr>
                      <w:r>
                        <w:rPr>
                          <w:rFonts w:ascii="Arial" w:hAnsi="Arial"/>
                          <w:b/>
                          <w:i w:val="false"/>
                          <w:caps w:val="false"/>
                          <w:smallCaps w:val="false"/>
                          <w:color w:val="FE5000"/>
                          <w:sz w:val="20"/>
                        </w:rPr>
                        <w:t>2023 achievements</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center"/>
                        <w:rPr>
                          <w:caps w:val="false"/>
                          <w:smallCaps w:val="false"/>
                          <w:color w:val="FF0000"/>
                        </w:rPr>
                      </w:pPr>
                      <w:r>
                        <w:rPr>
                          <w:caps w:val="false"/>
                          <w:smallCaps w:val="false"/>
                          <w:color w:val="FF0000"/>
                        </w:rPr>
                        <w:drawing>
                          <wp:inline distT="0" distB="0" distL="0" distR="0">
                            <wp:extent cx="3333750" cy="1628775"/>
                            <wp:effectExtent l="0" t="0" r="0" b="0"/>
                            <wp:docPr id="264"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08" descr=""/>
                                    <pic:cNvPicPr>
                                      <a:picLocks noChangeAspect="1" noChangeArrowheads="1"/>
                                    </pic:cNvPicPr>
                                  </pic:nvPicPr>
                                  <pic:blipFill>
                                    <a:blip r:embed="rId179"/>
                                    <a:stretch>
                                      <a:fillRect/>
                                    </a:stretch>
                                  </pic:blipFill>
                                  <pic:spPr bwMode="auto">
                                    <a:xfrm>
                                      <a:off x="0" y="0"/>
                                      <a:ext cx="3333750" cy="1628775"/>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firstLine="50"/>
                        <w:jc w:val="both"/>
                        <w:rPr>
                          <w:rFonts w:ascii="Arial" w:hAnsi="Arial"/>
                          <w:b w:val="false"/>
                          <w:i w:val="false"/>
                          <w:caps w:val="false"/>
                          <w:smallCaps w:val="false"/>
                          <w:sz w:val="20"/>
                        </w:rPr>
                      </w:pPr>
                      <w:r>
                        <w:rPr>
                          <w:rFonts w:ascii="Arial" w:hAnsi="Arial"/>
                          <w:b w:val="false"/>
                          <w:i w:val="false"/>
                          <w:caps w:val="false"/>
                          <w:smallCaps w:val="false"/>
                          <w:sz w:val="20"/>
                        </w:rPr>
                        <w:t xml:space="preserve">Credicorp’s strategic roadmap for sustainable financing puts the initial focus on BCP’s wholesale banking. In 2023, we defined a </w:t>
                      </w:r>
                      <w:r>
                        <w:rPr>
                          <w:rFonts w:ascii="Arial" w:hAnsi="Arial"/>
                          <w:b/>
                          <w:i w:val="false"/>
                          <w:caps w:val="false"/>
                          <w:smallCaps w:val="false"/>
                          <w:sz w:val="20"/>
                        </w:rPr>
                        <w:t xml:space="preserve">process </w:t>
                      </w:r>
                      <w:r>
                        <w:rPr>
                          <w:rFonts w:ascii="Arial" w:hAnsi="Arial"/>
                          <w:b w:val="false"/>
                          <w:i w:val="false"/>
                          <w:caps w:val="false"/>
                          <w:smallCaps w:val="false"/>
                          <w:sz w:val="20"/>
                        </w:rPr>
                        <w:t xml:space="preserve">and </w:t>
                      </w:r>
                      <w:r>
                        <w:rPr>
                          <w:rFonts w:ascii="Arial" w:hAnsi="Arial"/>
                          <w:b/>
                          <w:i w:val="false"/>
                          <w:caps w:val="false"/>
                          <w:smallCaps w:val="false"/>
                          <w:sz w:val="20"/>
                        </w:rPr>
                        <w:t xml:space="preserve">governance structure </w:t>
                      </w:r>
                      <w:r>
                        <w:rPr>
                          <w:rFonts w:ascii="Arial" w:hAnsi="Arial"/>
                          <w:b w:val="false"/>
                          <w:i w:val="false"/>
                          <w:caps w:val="false"/>
                          <w:smallCaps w:val="false"/>
                          <w:sz w:val="20"/>
                        </w:rPr>
                        <w:t>for labeling green and sustainable financing.</w:t>
                      </w:r>
                    </w:p>
                    <w:p>
                      <w:pPr>
                        <w:pStyle w:val="TextBody"/>
                        <w:bidi w:val="0"/>
                        <w:spacing w:before="0" w:after="0"/>
                        <w:ind w:left="0" w:right="0" w:firstLine="5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BCP’s ESG risk credit policy is also critical for addressing the obstacles we encounter along the path to sustainable financing described in section 3.4.2.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During 2023, we strengthened BCP’s wholesale banking sustainable finance team and so were able to roll out a broader portfolio of green loans, including working capital lines and foreign trade products, in addition to the more traditional medium-term loans. We delivered a significant increase in green-labeled short- and medium-term financing (under a use</w:t>
                      </w:r>
                    </w:p>
                  </w:txbxContent>
                </v:textbox>
                <w10:wrap type="topAndBottom"/>
              </v:rect>
            </w:pict>
          </mc:Fallback>
        </mc:AlternateContent>
      </w:r>
      <w:r>
        <mc:AlternateContent>
          <mc:Choice Requires="wps">
            <w:drawing>
              <wp:anchor behindDoc="0" distT="0" distB="0" distL="0" distR="0" simplePos="0" locked="0" layoutInCell="1" allowOverlap="1" relativeHeight="19">
                <wp:simplePos x="0" y="0"/>
                <wp:positionH relativeFrom="column">
                  <wp:align>right</wp:align>
                </wp:positionH>
                <wp:positionV relativeFrom="line">
                  <wp:posOffset>635</wp:posOffset>
                </wp:positionV>
                <wp:extent cx="3110230" cy="6452870"/>
                <wp:effectExtent l="0" t="0" r="0" b="0"/>
                <wp:wrapTopAndBottom/>
                <wp:docPr id="265" name="Frame87"/>
                <a:graphic xmlns:a="http://schemas.openxmlformats.org/drawingml/2006/main">
                  <a:graphicData uri="http://schemas.microsoft.com/office/word/2010/wordprocessingShape">
                    <wps:wsp>
                      <wps:cNvSpPr txBox="1"/>
                      <wps:spPr>
                        <a:xfrm>
                          <a:off x="0" y="0"/>
                          <a:ext cx="3110230" cy="6452870"/>
                        </a:xfrm>
                        <a:prstGeom prst="rect"/>
                        <a:solidFill>
                          <a:srgbClr val="FFFFFF"/>
                        </a:solidFill>
                      </wps:spPr>
                      <wps:txbx>
                        <w:txbxContent>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of proceeeds approach) over the 2022 close (+282%). In the retail banking segment, we launched the green mortgage credit product aligned with the taxonomy's environmental criteria.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color w:val="FE5000"/>
                                <w:sz w:val="28"/>
                              </w:rPr>
                            </w:pPr>
                            <w:r>
                              <w:rPr>
                                <w:rFonts w:ascii="Arial" w:hAnsi="Arial"/>
                                <w:b/>
                                <w:i w:val="false"/>
                                <w:caps w:val="false"/>
                                <w:smallCaps w:val="false"/>
                                <w:color w:val="FE5000"/>
                                <w:sz w:val="28"/>
                              </w:rPr>
                              <w:t>3.3. RESPONSIBLE AND SUSTAINABLE INVESTMENT</w:t>
                            </w:r>
                            <w:r>
                              <w:rPr>
                                <w:rFonts w:ascii="Arial" w:hAnsi="Arial"/>
                                <w:b w:val="false"/>
                                <w:i w:val="false"/>
                                <w:caps w:val="false"/>
                                <w:smallCaps w:val="false"/>
                                <w:color w:val="FE5000"/>
                                <w:sz w:val="28"/>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Material topics Responsible and sustainable finance and investments GRI 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Because we understand how our investments can impact the transition to an environmentally sustainable, low-carbon economy, at Credicorp it is essential that we consider ESG issues when analyzing and making investment decisions. Our subsidiaries draw on several responsible and sustainable investment strategies: negative screening, ESG integration, active ownership, best-in-class selection, and thematic and impact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3.3.1. ESG integration</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Credicorp’s subsidiaries Prima AFP, Pacífico Seguros, and Credicorp Capital include ESG factors when analyzing and making investment decisions, including tools such as ESG criteria from external suppliers, questionnaires based on SASB and PRI guidelines, and internal questionnaires. We have assessed a significant percentage of our portfolio under ESG criteria.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color w:val="FF0000"/>
                              </w:rPr>
                            </w:pPr>
                            <w:r>
                              <w:rPr>
                                <w:caps w:val="false"/>
                                <w:smallCaps w:val="false"/>
                                <w:color w:val="FF0000"/>
                              </w:rPr>
                              <w:t> </w:t>
                            </w:r>
                            <w:r>
                              <w:rPr>
                                <w:caps w:val="false"/>
                                <w:smallCaps w:val="false"/>
                                <w:color w:val="FF0000"/>
                              </w:rPr>
                              <w:drawing>
                                <wp:inline distT="0" distB="0" distL="0" distR="0">
                                  <wp:extent cx="2381250" cy="1162050"/>
                                  <wp:effectExtent l="0" t="0" r="0" b="0"/>
                                  <wp:docPr id="266"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109" descr=""/>
                                          <pic:cNvPicPr>
                                            <a:picLocks noChangeAspect="1" noChangeArrowheads="1"/>
                                          </pic:cNvPicPr>
                                        </pic:nvPicPr>
                                        <pic:blipFill>
                                          <a:blip r:embed="rId180"/>
                                          <a:stretch>
                                            <a:fillRect/>
                                          </a:stretch>
                                        </pic:blipFill>
                                        <pic:spPr bwMode="auto">
                                          <a:xfrm>
                                            <a:off x="0" y="0"/>
                                            <a:ext cx="2381250" cy="1162050"/>
                                          </a:xfrm>
                                          <a:prstGeom prst="rect">
                                            <a:avLst/>
                                          </a:prstGeom>
                                        </pic:spPr>
                                      </pic:pic>
                                    </a:graphicData>
                                  </a:graphic>
                                </wp:inline>
                              </w:drawing>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Arial" w:hAnsi="Arial"/>
                                <w:b w:val="false"/>
                                <w:i w:val="false"/>
                                <w:caps w:val="false"/>
                                <w:smallCaps w:val="false"/>
                                <w:sz w:val="16"/>
                              </w:rPr>
                            </w:pPr>
                            <w:r>
                              <w:rPr>
                                <w:rFonts w:ascii="Arial" w:hAnsi="Arial"/>
                                <w:b w:val="false"/>
                                <w:i w:val="false"/>
                                <w:caps w:val="false"/>
                                <w:smallCaps w:val="false"/>
                                <w:sz w:val="16"/>
                              </w:rPr>
                              <w:t>(1) Data to end 2022 (2) and (3) Data to end 2023 | % of total portfolio</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08.1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of proceeeds approach) over the 2022 close (+282%). In the retail banking segment, we launched the green mortgage credit product aligned with the taxonomy's environmental criteria.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color w:val="FE5000"/>
                          <w:sz w:val="28"/>
                        </w:rPr>
                      </w:pPr>
                      <w:r>
                        <w:rPr>
                          <w:rFonts w:ascii="Arial" w:hAnsi="Arial"/>
                          <w:b/>
                          <w:i w:val="false"/>
                          <w:caps w:val="false"/>
                          <w:smallCaps w:val="false"/>
                          <w:color w:val="FE5000"/>
                          <w:sz w:val="28"/>
                        </w:rPr>
                        <w:t>3.3. RESPONSIBLE AND SUSTAINABLE INVESTMENT</w:t>
                      </w:r>
                      <w:r>
                        <w:rPr>
                          <w:rFonts w:ascii="Arial" w:hAnsi="Arial"/>
                          <w:b w:val="false"/>
                          <w:i w:val="false"/>
                          <w:caps w:val="false"/>
                          <w:smallCaps w:val="false"/>
                          <w:color w:val="FE5000"/>
                          <w:sz w:val="28"/>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Material topics Responsible and sustainable finance and investments GRI 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Because we understand how our investments can impact the transition to an environmentally sustainable, low-carbon economy, at Credicorp it is essential that we consider ESG issues when analyzing and making investment decisions. Our subsidiaries draw on several responsible and sustainable investment strategies: negative screening, ESG integration, active ownership, best-in-class selection, and thematic and impact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3.3.1. ESG integration</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Credicorp’s subsidiaries Prima AFP, Pacífico Seguros, and Credicorp Capital include ESG factors when analyzing and making investment decisions, including tools such as ESG criteria from external suppliers, questionnaires based on SASB and PRI guidelines, and internal questionnaires. We have assessed a significant percentage of our portfolio under ESG criteria.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color w:val="FF0000"/>
                        </w:rPr>
                      </w:pPr>
                      <w:r>
                        <w:rPr>
                          <w:caps w:val="false"/>
                          <w:smallCaps w:val="false"/>
                          <w:color w:val="FF0000"/>
                        </w:rPr>
                        <w:t> </w:t>
                      </w:r>
                      <w:r>
                        <w:rPr>
                          <w:caps w:val="false"/>
                          <w:smallCaps w:val="false"/>
                          <w:color w:val="FF0000"/>
                        </w:rPr>
                        <w:drawing>
                          <wp:inline distT="0" distB="0" distL="0" distR="0">
                            <wp:extent cx="2381250" cy="1162050"/>
                            <wp:effectExtent l="0" t="0" r="0" b="0"/>
                            <wp:docPr id="267"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109" descr=""/>
                                    <pic:cNvPicPr>
                                      <a:picLocks noChangeAspect="1" noChangeArrowheads="1"/>
                                    </pic:cNvPicPr>
                                  </pic:nvPicPr>
                                  <pic:blipFill>
                                    <a:blip r:embed="rId181"/>
                                    <a:stretch>
                                      <a:fillRect/>
                                    </a:stretch>
                                  </pic:blipFill>
                                  <pic:spPr bwMode="auto">
                                    <a:xfrm>
                                      <a:off x="0" y="0"/>
                                      <a:ext cx="2381250" cy="1162050"/>
                                    </a:xfrm>
                                    <a:prstGeom prst="rect">
                                      <a:avLst/>
                                    </a:prstGeom>
                                  </pic:spPr>
                                </pic:pic>
                              </a:graphicData>
                            </a:graphic>
                          </wp:inline>
                        </w:drawing>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Arial" w:hAnsi="Arial"/>
                          <w:b w:val="false"/>
                          <w:i w:val="false"/>
                          <w:caps w:val="false"/>
                          <w:smallCaps w:val="false"/>
                          <w:sz w:val="16"/>
                        </w:rPr>
                      </w:pPr>
                      <w:r>
                        <w:rPr>
                          <w:rFonts w:ascii="Arial" w:hAnsi="Arial"/>
                          <w:b w:val="false"/>
                          <w:i w:val="false"/>
                          <w:caps w:val="false"/>
                          <w:smallCaps w:val="false"/>
                          <w:sz w:val="16"/>
                        </w:rPr>
                        <w:t>(1) Data to end 2022 (2) and (3) Data to end 2023 | % of total portfolio</w:t>
                      </w:r>
                    </w:p>
                  </w:txbxContent>
                </v:textbox>
                <w10:wrap type="topAndBottom"/>
              </v:rect>
            </w:pict>
          </mc:Fallback>
        </mc:AlternateContent>
      </w:r>
    </w:p>
    <w:p>
      <w:pPr>
        <w:pStyle w:val="TextBody"/>
        <w:bidi w:val="0"/>
        <w:spacing w:before="200" w:after="200"/>
        <w:ind w:left="0" w:right="0" w:hanging="0"/>
        <w:jc w:val="center"/>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41</w:t>
      </w:r>
    </w:p>
    <w:p>
      <w:pPr>
        <w:pStyle w:val="HorizontalLine"/>
        <w:pBdr>
          <w:bottom w:val="single" w:sz="12" w:space="0" w:color="808080"/>
        </w:pBdr>
        <w:bidi w:val="0"/>
        <w:spacing w:before="200" w:after="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olumn">
                  <wp:align>right</wp:align>
                </wp:positionH>
                <wp:positionV relativeFrom="line">
                  <wp:posOffset>635</wp:posOffset>
                </wp:positionV>
                <wp:extent cx="3110230" cy="3512820"/>
                <wp:effectExtent l="0" t="0" r="0" b="0"/>
                <wp:wrapTopAndBottom/>
                <wp:docPr id="268" name="Frame89"/>
                <a:graphic xmlns:a="http://schemas.openxmlformats.org/drawingml/2006/main">
                  <a:graphicData uri="http://schemas.microsoft.com/office/word/2010/wordprocessingShape">
                    <wps:wsp>
                      <wps:cNvSpPr txBox="1"/>
                      <wps:spPr>
                        <a:xfrm>
                          <a:off x="0" y="0"/>
                          <a:ext cx="3110230" cy="3512820"/>
                        </a:xfrm>
                        <a:prstGeom prst="rect"/>
                        <a:solidFill>
                          <a:srgbClr val="FFFFFF"/>
                        </a:solidFill>
                      </wps:spPr>
                      <wps:txbx>
                        <w:txbxContent>
                          <w:p>
                            <w:pPr>
                              <w:pStyle w:val="TextBody"/>
                              <w:bidi w:val="0"/>
                              <w:spacing w:before="0" w:after="0"/>
                              <w:ind w:left="0" w:right="0" w:hanging="0"/>
                              <w:jc w:val="left"/>
                              <w:rPr>
                                <w:rFonts w:ascii="Arial" w:hAnsi="Arial"/>
                                <w:b/>
                                <w:i w:val="false"/>
                                <w:caps w:val="false"/>
                                <w:smallCaps w:val="false"/>
                                <w:color w:val="FE5000"/>
                                <w:sz w:val="24"/>
                              </w:rPr>
                            </w:pPr>
                            <w:r>
                              <w:rPr>
                                <w:rFonts w:ascii="Arial" w:hAnsi="Arial"/>
                                <w:b/>
                                <w:i w:val="false"/>
                                <w:caps w:val="false"/>
                                <w:smallCaps w:val="false"/>
                                <w:color w:val="FE5000"/>
                                <w:sz w:val="24"/>
                              </w:rPr>
                              <w:t>2023 achievements</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center"/>
                              <w:rPr>
                                <w:caps w:val="false"/>
                                <w:smallCaps w:val="false"/>
                                <w:color w:val="FF0000"/>
                              </w:rPr>
                            </w:pPr>
                            <w:r>
                              <w:rPr>
                                <w:caps w:val="false"/>
                                <w:smallCaps w:val="false"/>
                                <w:color w:val="FF0000"/>
                              </w:rPr>
                              <w:drawing>
                                <wp:inline distT="0" distB="0" distL="0" distR="0">
                                  <wp:extent cx="2857500" cy="3162300"/>
                                  <wp:effectExtent l="0" t="0" r="0" b="0"/>
                                  <wp:docPr id="269"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110" descr=""/>
                                          <pic:cNvPicPr>
                                            <a:picLocks noChangeAspect="1" noChangeArrowheads="1"/>
                                          </pic:cNvPicPr>
                                        </pic:nvPicPr>
                                        <pic:blipFill>
                                          <a:blip r:embed="rId182"/>
                                          <a:stretch>
                                            <a:fillRect/>
                                          </a:stretch>
                                        </pic:blipFill>
                                        <pic:spPr bwMode="auto">
                                          <a:xfrm>
                                            <a:off x="0" y="0"/>
                                            <a:ext cx="2857500" cy="3162300"/>
                                          </a:xfrm>
                                          <a:prstGeom prst="rect">
                                            <a:avLst/>
                                          </a:prstGeom>
                                        </pic:spPr>
                                      </pic:pic>
                                    </a:graphicData>
                                  </a:graphic>
                                </wp:inline>
                              </w:drawing>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76.6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left"/>
                        <w:rPr>
                          <w:rFonts w:ascii="Arial" w:hAnsi="Arial"/>
                          <w:b/>
                          <w:i w:val="false"/>
                          <w:caps w:val="false"/>
                          <w:smallCaps w:val="false"/>
                          <w:color w:val="FE5000"/>
                          <w:sz w:val="24"/>
                        </w:rPr>
                      </w:pPr>
                      <w:r>
                        <w:rPr>
                          <w:rFonts w:ascii="Arial" w:hAnsi="Arial"/>
                          <w:b/>
                          <w:i w:val="false"/>
                          <w:caps w:val="false"/>
                          <w:smallCaps w:val="false"/>
                          <w:color w:val="FE5000"/>
                          <w:sz w:val="24"/>
                        </w:rPr>
                        <w:t>2023 achievements</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center"/>
                        <w:rPr>
                          <w:caps w:val="false"/>
                          <w:smallCaps w:val="false"/>
                          <w:color w:val="FF0000"/>
                        </w:rPr>
                      </w:pPr>
                      <w:r>
                        <w:rPr>
                          <w:caps w:val="false"/>
                          <w:smallCaps w:val="false"/>
                          <w:color w:val="FF0000"/>
                        </w:rPr>
                        <w:drawing>
                          <wp:inline distT="0" distB="0" distL="0" distR="0">
                            <wp:extent cx="2857500" cy="3162300"/>
                            <wp:effectExtent l="0" t="0" r="0" b="0"/>
                            <wp:docPr id="27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110" descr=""/>
                                    <pic:cNvPicPr>
                                      <a:picLocks noChangeAspect="1" noChangeArrowheads="1"/>
                                    </pic:cNvPicPr>
                                  </pic:nvPicPr>
                                  <pic:blipFill>
                                    <a:blip r:embed="rId183"/>
                                    <a:stretch>
                                      <a:fillRect/>
                                    </a:stretch>
                                  </pic:blipFill>
                                  <pic:spPr bwMode="auto">
                                    <a:xfrm>
                                      <a:off x="0" y="0"/>
                                      <a:ext cx="2857500" cy="3162300"/>
                                    </a:xfrm>
                                    <a:prstGeom prst="rect">
                                      <a:avLst/>
                                    </a:prstGeom>
                                  </pic:spPr>
                                </pic:pic>
                              </a:graphicData>
                            </a:graphic>
                          </wp:inline>
                        </w:drawing>
                      </w:r>
                    </w:p>
                  </w:txbxContent>
                </v:textbox>
                <w10:wrap type="topAndBottom"/>
              </v:rect>
            </w:pict>
          </mc:Fallback>
        </mc:AlternateContent>
      </w:r>
      <w:r>
        <mc:AlternateContent>
          <mc:Choice Requires="wps">
            <w:drawing>
              <wp:anchor behindDoc="0" distT="0" distB="0" distL="0" distR="0" simplePos="0" locked="0" layoutInCell="1" allowOverlap="1" relativeHeight="292">
                <wp:simplePos x="0" y="0"/>
                <wp:positionH relativeFrom="column">
                  <wp:align>left</wp:align>
                </wp:positionH>
                <wp:positionV relativeFrom="line">
                  <wp:posOffset>635</wp:posOffset>
                </wp:positionV>
                <wp:extent cx="3110230" cy="5374640"/>
                <wp:effectExtent l="0" t="0" r="0" b="0"/>
                <wp:wrapTopAndBottom/>
                <wp:docPr id="271" name="Frame88"/>
                <a:graphic xmlns:a="http://schemas.openxmlformats.org/drawingml/2006/main">
                  <a:graphicData uri="http://schemas.microsoft.com/office/word/2010/wordprocessingShape">
                    <wps:wsp>
                      <wps:cNvSpPr txBox="1"/>
                      <wps:spPr>
                        <a:xfrm>
                          <a:off x="0" y="0"/>
                          <a:ext cx="3110230" cy="5374640"/>
                        </a:xfrm>
                        <a:prstGeom prst="rect"/>
                        <a:solidFill>
                          <a:srgbClr val="FFFFFF"/>
                        </a:solidFill>
                      </wps:spPr>
                      <wps:txbx>
                        <w:txbxContent>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3.3.2 Active Ownership</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At Credicorp, we work to influence companies and guide them towards more sustainable practices. We want our engagement activities to contribute to a more environmentally sustainable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Further details on our engagement initiatives are available in our </w:t>
                            </w:r>
                            <w:r>
                              <w:rPr>
                                <w:rFonts w:ascii="Arial" w:hAnsi="Arial"/>
                                <w:b w:val="false"/>
                                <w:i w:val="false"/>
                                <w:caps w:val="false"/>
                                <w:smallCaps w:val="false"/>
                                <w:color w:val="0563C1"/>
                                <w:sz w:val="20"/>
                                <w:u w:val="single"/>
                              </w:rPr>
                              <w:t>TCFD Report</w:t>
                            </w:r>
                            <w:r>
                              <w:rPr>
                                <w:rFonts w:ascii="Arial" w:hAnsi="Arial"/>
                                <w:b w:val="false"/>
                                <w:i w:val="false"/>
                                <w:caps w:val="false"/>
                                <w:smallCaps w:val="false"/>
                                <w:color w:val="0563C1"/>
                                <w:sz w:val="20"/>
                              </w:rPr>
                              <w:t xml:space="preserve">. </w:t>
                            </w:r>
                            <w:r>
                              <w:rPr>
                                <w:rFonts w:ascii="Arial" w:hAnsi="Arial"/>
                                <w:b w:val="false"/>
                                <w:i w:val="false"/>
                                <w:caps w:val="false"/>
                                <w:smallCaps w:val="false"/>
                                <w:color w:val="000000"/>
                                <w:sz w:val="20"/>
                              </w:rPr>
                              <w:t>For</w:t>
                            </w:r>
                            <w:r>
                              <w:rPr>
                                <w:rFonts w:ascii="Arial" w:hAnsi="Arial"/>
                                <w:b w:val="false"/>
                                <w:i w:val="false"/>
                                <w:caps w:val="false"/>
                                <w:smallCaps w:val="false"/>
                                <w:color w:val="0563C1"/>
                                <w:sz w:val="20"/>
                              </w:rPr>
                              <w:t xml:space="preserve"> </w:t>
                            </w:r>
                            <w:r>
                              <w:rPr>
                                <w:rFonts w:ascii="Arial" w:hAnsi="Arial"/>
                                <w:b w:val="false"/>
                                <w:i w:val="false"/>
                                <w:caps w:val="false"/>
                                <w:smallCaps w:val="false"/>
                                <w:sz w:val="20"/>
                              </w:rPr>
                              <w:t xml:space="preserve">other investment strategies, see the </w:t>
                            </w:r>
                            <w:r>
                              <w:rPr>
                                <w:rFonts w:ascii="Arial" w:hAnsi="Arial"/>
                                <w:b w:val="false"/>
                                <w:i w:val="false"/>
                                <w:caps w:val="false"/>
                                <w:smallCaps w:val="false"/>
                                <w:color w:val="0563C1"/>
                                <w:sz w:val="20"/>
                                <w:u w:val="single"/>
                              </w:rPr>
                              <w:t>Corporate Policy for Responsible and Sustainable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color w:val="FE5000"/>
                                <w:sz w:val="28"/>
                              </w:rPr>
                            </w:pPr>
                            <w:r>
                              <w:rPr>
                                <w:rFonts w:ascii="Arial" w:hAnsi="Arial"/>
                                <w:b/>
                                <w:i w:val="false"/>
                                <w:caps w:val="false"/>
                                <w:smallCaps w:val="false"/>
                                <w:color w:val="FE5000"/>
                                <w:sz w:val="28"/>
                              </w:rPr>
                              <w:t>3.4. ESG RISK MANAGEMENT</w:t>
                            </w:r>
                            <w:r>
                              <w:rPr>
                                <w:rFonts w:ascii="Arial" w:hAnsi="Arial"/>
                                <w:b w:val="false"/>
                                <w:i w:val="false"/>
                                <w:caps w:val="false"/>
                                <w:smallCaps w:val="false"/>
                                <w:color w:val="FE5000"/>
                                <w:sz w:val="28"/>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 xml:space="preserve">Materials topics Comprehensive Risk Management, Economic </w:t>
                              <w:br/>
                              <w:t>Performance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GRI 3-3, 201-2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Through Credicorp’s ESG Risk Management Framework, we gain knowledge about clients that allows us to become a partner as they move toward increasingly sustainable practices. Instead of merely identifying exclusions, our ESG strategy focuses on supporting clients in the transition.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 have set up the ESG risk enabler, bringing together all ESG risk management stakeholders in a monthly forum led by Credicorp’s Chief Risk Officer. This enabler drives initiatives in various subsidiaries and operates through a risk management framework consisting of six focus areas: (1) Appetite; (2) Identification, Assessment, and Treatment; (3) Monitoring; (4) Reporting; (5) Organization and Governance; and (6) Taxonomy (for the identification of green opportunities).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23.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3.3.2 Active Ownership</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At Credicorp, we work to influence companies and guide them towards more sustainable practices. We want our engagement activities to contribute to a more environmentally sustainable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Further details on our engagement initiatives are available in our </w:t>
                      </w:r>
                      <w:r>
                        <w:rPr>
                          <w:rFonts w:ascii="Arial" w:hAnsi="Arial"/>
                          <w:b w:val="false"/>
                          <w:i w:val="false"/>
                          <w:caps w:val="false"/>
                          <w:smallCaps w:val="false"/>
                          <w:color w:val="0563C1"/>
                          <w:sz w:val="20"/>
                          <w:u w:val="single"/>
                        </w:rPr>
                        <w:t>TCFD Report</w:t>
                      </w:r>
                      <w:r>
                        <w:rPr>
                          <w:rFonts w:ascii="Arial" w:hAnsi="Arial"/>
                          <w:b w:val="false"/>
                          <w:i w:val="false"/>
                          <w:caps w:val="false"/>
                          <w:smallCaps w:val="false"/>
                          <w:color w:val="0563C1"/>
                          <w:sz w:val="20"/>
                        </w:rPr>
                        <w:t xml:space="preserve">. </w:t>
                      </w:r>
                      <w:r>
                        <w:rPr>
                          <w:rFonts w:ascii="Arial" w:hAnsi="Arial"/>
                          <w:b w:val="false"/>
                          <w:i w:val="false"/>
                          <w:caps w:val="false"/>
                          <w:smallCaps w:val="false"/>
                          <w:color w:val="000000"/>
                          <w:sz w:val="20"/>
                        </w:rPr>
                        <w:t>For</w:t>
                      </w:r>
                      <w:r>
                        <w:rPr>
                          <w:rFonts w:ascii="Arial" w:hAnsi="Arial"/>
                          <w:b w:val="false"/>
                          <w:i w:val="false"/>
                          <w:caps w:val="false"/>
                          <w:smallCaps w:val="false"/>
                          <w:color w:val="0563C1"/>
                          <w:sz w:val="20"/>
                        </w:rPr>
                        <w:t xml:space="preserve"> </w:t>
                      </w:r>
                      <w:r>
                        <w:rPr>
                          <w:rFonts w:ascii="Arial" w:hAnsi="Arial"/>
                          <w:b w:val="false"/>
                          <w:i w:val="false"/>
                          <w:caps w:val="false"/>
                          <w:smallCaps w:val="false"/>
                          <w:sz w:val="20"/>
                        </w:rPr>
                        <w:t xml:space="preserve">other investment strategies, see the </w:t>
                      </w:r>
                      <w:r>
                        <w:rPr>
                          <w:rFonts w:ascii="Arial" w:hAnsi="Arial"/>
                          <w:b w:val="false"/>
                          <w:i w:val="false"/>
                          <w:caps w:val="false"/>
                          <w:smallCaps w:val="false"/>
                          <w:color w:val="0563C1"/>
                          <w:sz w:val="20"/>
                          <w:u w:val="single"/>
                        </w:rPr>
                        <w:t>Corporate Policy for Responsible and Sustainable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color w:val="FE5000"/>
                          <w:sz w:val="28"/>
                        </w:rPr>
                      </w:pPr>
                      <w:r>
                        <w:rPr>
                          <w:rFonts w:ascii="Arial" w:hAnsi="Arial"/>
                          <w:b/>
                          <w:i w:val="false"/>
                          <w:caps w:val="false"/>
                          <w:smallCaps w:val="false"/>
                          <w:color w:val="FE5000"/>
                          <w:sz w:val="28"/>
                        </w:rPr>
                        <w:t>3.4. ESG RISK MANAGEMENT</w:t>
                      </w:r>
                      <w:r>
                        <w:rPr>
                          <w:rFonts w:ascii="Arial" w:hAnsi="Arial"/>
                          <w:b w:val="false"/>
                          <w:i w:val="false"/>
                          <w:caps w:val="false"/>
                          <w:smallCaps w:val="false"/>
                          <w:color w:val="FE5000"/>
                          <w:sz w:val="28"/>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 xml:space="preserve">Materials topics Comprehensive Risk Management, Economic </w:t>
                        <w:br/>
                        <w:t>Performance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GRI 3-3, 201-2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Through Credicorp’s ESG Risk Management Framework, we gain knowledge about clients that allows us to become a partner as they move toward increasingly sustainable practices. Instead of merely identifying exclusions, our ESG strategy focuses on supporting clients in the transition.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 have set up the ESG risk enabler, bringing together all ESG risk management stakeholders in a monthly forum led by Credicorp’s Chief Risk Officer. This enabler drives initiatives in various subsidiaries and operates through a risk management framework consisting of six focus areas: (1) Appetite; (2) Identification, Assessment, and Treatment; (3) Monitoring; (4) Reporting; (5) Organization and Governance; and (6) Taxonomy (for the identification of green opportunities).</w:t>
                      </w:r>
                    </w:p>
                  </w:txbxContent>
                </v:textbox>
                <w10:wrap type="topAndBottom"/>
              </v:rect>
            </w:pict>
          </mc:Fallback>
        </mc:AlternateContent>
      </w:r>
    </w:p>
    <w:p>
      <w:pPr>
        <w:pStyle w:val="TextBody"/>
        <w:bidi w:val="0"/>
        <w:spacing w:before="200" w:after="200"/>
        <w:ind w:left="0" w:right="0" w:hanging="0"/>
        <w:jc w:val="center"/>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42</w:t>
      </w:r>
    </w:p>
    <w:p>
      <w:pPr>
        <w:pStyle w:val="HorizontalLine"/>
        <w:pBdr>
          <w:bottom w:val="single" w:sz="12" w:space="0" w:color="808080"/>
        </w:pBdr>
        <w:bidi w:val="0"/>
        <w:spacing w:before="200" w:after="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3110230" cy="4840605"/>
                <wp:effectExtent l="0" t="0" r="0" b="0"/>
                <wp:wrapTopAndBottom/>
                <wp:docPr id="272" name="Frame90"/>
                <a:graphic xmlns:a="http://schemas.openxmlformats.org/drawingml/2006/main">
                  <a:graphicData uri="http://schemas.microsoft.com/office/word/2010/wordprocessingShape">
                    <wps:wsp>
                      <wps:cNvSpPr txBox="1"/>
                      <wps:spPr>
                        <a:xfrm>
                          <a:off x="0" y="0"/>
                          <a:ext cx="3110230" cy="4840605"/>
                        </a:xfrm>
                        <a:prstGeom prst="rect"/>
                        <a:solidFill>
                          <a:srgbClr val="FFFFFF"/>
                        </a:solidFill>
                      </wps:spPr>
                      <wps:txbx>
                        <w:txbxContent>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3.4.1. Taxonomy and appetite</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We have advanced along several fronts, from implementing corporate policies that define appetite and identify ESG risks to creating qualitative heat maps of sectoral risks to assess how vulnerable the main economic sectors are to climate-related physical and transition risks. We have also evaluated our clients and issuers under exclusion criteria that include thermal coal production and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color w:val="FF0000"/>
                              </w:rPr>
                            </w:pPr>
                            <w:r>
                              <w:rPr>
                                <w:caps w:val="false"/>
                                <w:smallCaps w:val="false"/>
                                <w:color w:val="FF0000"/>
                              </w:rPr>
                              <w:t> </w:t>
                            </w:r>
                            <w:r>
                              <w:rPr>
                                <w:caps w:val="false"/>
                                <w:smallCaps w:val="false"/>
                                <w:color w:val="FF0000"/>
                              </w:rPr>
                              <w:drawing>
                                <wp:inline distT="0" distB="0" distL="0" distR="0">
                                  <wp:extent cx="2914650" cy="981075"/>
                                  <wp:effectExtent l="0" t="0" r="0" b="0"/>
                                  <wp:docPr id="273"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111" descr=""/>
                                          <pic:cNvPicPr>
                                            <a:picLocks noChangeAspect="1" noChangeArrowheads="1"/>
                                          </pic:cNvPicPr>
                                        </pic:nvPicPr>
                                        <pic:blipFill>
                                          <a:blip r:embed="rId184"/>
                                          <a:stretch>
                                            <a:fillRect/>
                                          </a:stretch>
                                        </pic:blipFill>
                                        <pic:spPr bwMode="auto">
                                          <a:xfrm>
                                            <a:off x="0" y="0"/>
                                            <a:ext cx="2914650" cy="981075"/>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For a loan operation to be labeled green, it must meet the eligibility criteria of BCP’s Environmental Taxonomy. Internal governance is led by the Sustainable Operations Committee, whose objectives are (i) to review loan operations with sustainable potential and approve their categorization for labeling and (ii) to set the guidelines for developing sustainable finance products in BCP.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company’s corporate policies and those of the subsidiaries demonstrate our commitment to responsible climate risk management and integrating ESG into investments and operations.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8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3.4.1. Taxonomy and appetite</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We have advanced along several fronts, from implementing corporate policies that define appetite and identify ESG risks to creating qualitative heat maps of sectoral risks to assess how vulnerable the main economic sectors are to climate-related physical and transition risks. We have also evaluated our clients and issuers under exclusion criteria that include thermal coal production and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color w:val="FF0000"/>
                        </w:rPr>
                      </w:pPr>
                      <w:r>
                        <w:rPr>
                          <w:caps w:val="false"/>
                          <w:smallCaps w:val="false"/>
                          <w:color w:val="FF0000"/>
                        </w:rPr>
                        <w:t> </w:t>
                      </w:r>
                      <w:r>
                        <w:rPr>
                          <w:caps w:val="false"/>
                          <w:smallCaps w:val="false"/>
                          <w:color w:val="FF0000"/>
                        </w:rPr>
                        <w:drawing>
                          <wp:inline distT="0" distB="0" distL="0" distR="0">
                            <wp:extent cx="2914650" cy="981075"/>
                            <wp:effectExtent l="0" t="0" r="0" b="0"/>
                            <wp:docPr id="274"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11" descr=""/>
                                    <pic:cNvPicPr>
                                      <a:picLocks noChangeAspect="1" noChangeArrowheads="1"/>
                                    </pic:cNvPicPr>
                                  </pic:nvPicPr>
                                  <pic:blipFill>
                                    <a:blip r:embed="rId185"/>
                                    <a:stretch>
                                      <a:fillRect/>
                                    </a:stretch>
                                  </pic:blipFill>
                                  <pic:spPr bwMode="auto">
                                    <a:xfrm>
                                      <a:off x="0" y="0"/>
                                      <a:ext cx="2914650" cy="981075"/>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For a loan operation to be labeled green, it must meet the eligibility criteria of BCP’s Environmental Taxonomy. Internal governance is led by the Sustainable Operations Committee, whose objectives are (i) to review loan operations with sustainable potential and approve their categorization for labeling and (ii) to set the guidelines for developing sustainable finance products in BCP.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company’s corporate policies and those of the subsidiaries demonstrate our commitment to responsible climate risk management and integrating ESG into investments and operations.</w:t>
                      </w:r>
                    </w:p>
                  </w:txbxContent>
                </v:textbox>
                <w10:wrap type="topAndBottom"/>
              </v:rect>
            </w:pict>
          </mc:Fallback>
        </mc:AlternateContent>
      </w:r>
      <w:r>
        <mc:AlternateContent>
          <mc:Choice Requires="wps">
            <w:drawing>
              <wp:anchor behindDoc="0" distT="0" distB="0" distL="0" distR="0" simplePos="0" locked="0" layoutInCell="1" allowOverlap="1" relativeHeight="293">
                <wp:simplePos x="0" y="0"/>
                <wp:positionH relativeFrom="column">
                  <wp:align>right</wp:align>
                </wp:positionH>
                <wp:positionV relativeFrom="line">
                  <wp:posOffset>635</wp:posOffset>
                </wp:positionV>
                <wp:extent cx="3110230" cy="6064250"/>
                <wp:effectExtent l="0" t="0" r="0" b="0"/>
                <wp:wrapTopAndBottom/>
                <wp:docPr id="275" name="Frame91"/>
                <a:graphic xmlns:a="http://schemas.openxmlformats.org/drawingml/2006/main">
                  <a:graphicData uri="http://schemas.microsoft.com/office/word/2010/wordprocessingShape">
                    <wps:wsp>
                      <wps:cNvSpPr txBox="1"/>
                      <wps:spPr>
                        <a:xfrm>
                          <a:off x="0" y="0"/>
                          <a:ext cx="3110230" cy="6064250"/>
                        </a:xfrm>
                        <a:prstGeom prst="rect"/>
                        <a:solidFill>
                          <a:srgbClr val="FFFFFF"/>
                        </a:solidFill>
                      </wps:spPr>
                      <wps:txbx>
                        <w:txbxContent>
                          <w:tbl>
                            <w:tblPr>
                              <w:tblW w:w="10205" w:type="dxa"/>
                              <w:jc w:val="left"/>
                              <w:tblInd w:w="-10" w:type="dxa"/>
                              <w:tblLayout w:type="fixed"/>
                              <w:tblCellMar>
                                <w:top w:w="80" w:type="dxa"/>
                                <w:left w:w="80" w:type="dxa"/>
                                <w:bottom w:w="80" w:type="dxa"/>
                                <w:right w:w="80" w:type="dxa"/>
                              </w:tblCellMar>
                            </w:tblPr>
                            <w:tblGrid>
                              <w:gridCol w:w="1903"/>
                              <w:gridCol w:w="3463"/>
                              <w:gridCol w:w="4839"/>
                            </w:tblGrid>
                            <w:tr>
                              <w:trPr/>
                              <w:tc>
                                <w:tcPr>
                                  <w:tcW w:w="1903" w:type="dxa"/>
                                  <w:vMerge w:val="restart"/>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Arial" w:hAnsi="Arial"/>
                                      <w:b/>
                                      <w:color w:val="FE5000"/>
                                      <w:sz w:val="16"/>
                                    </w:rPr>
                                  </w:pPr>
                                  <w:r>
                                    <w:rPr>
                                      <w:rFonts w:ascii="Arial" w:hAnsi="Arial"/>
                                      <w:b/>
                                      <w:color w:val="FE5000"/>
                                      <w:sz w:val="16"/>
                                    </w:rPr>
                                    <w:t>Corporate-level policies and guidelines</w:t>
                                  </w:r>
                                </w:p>
                              </w:tc>
                              <w:tc>
                                <w:tcPr>
                                  <w:tcW w:w="346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Arial" w:hAnsi="Arial"/>
                                      <w:b/>
                                      <w:color w:val="0563C1"/>
                                      <w:sz w:val="16"/>
                                      <w:u w:val="single"/>
                                    </w:rPr>
                                  </w:pPr>
                                  <w:r>
                                    <w:rPr>
                                      <w:rFonts w:ascii="Arial" w:hAnsi="Arial"/>
                                      <w:b/>
                                      <w:color w:val="0563C1"/>
                                      <w:sz w:val="16"/>
                                      <w:u w:val="single"/>
                                    </w:rPr>
                                    <w:t>Corporate Policy for Responsible and Sustainable Investments</w:t>
                                  </w:r>
                                </w:p>
                              </w:tc>
                              <w:tc>
                                <w:tcPr>
                                  <w:tcW w:w="483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Arial" w:hAnsi="Arial"/>
                                      <w:sz w:val="16"/>
                                    </w:rPr>
                                  </w:pPr>
                                  <w:r>
                                    <w:rPr>
                                      <w:rFonts w:ascii="Arial" w:hAnsi="Arial"/>
                                      <w:sz w:val="16"/>
                                    </w:rPr>
                                    <w:t>ESG integration into investment decisions. Exclusion of thermal coal companies</w:t>
                                  </w:r>
                                </w:p>
                              </w:tc>
                            </w:tr>
                            <w:tr>
                              <w:trPr/>
                              <w:tc>
                                <w:tcPr>
                                  <w:tcW w:w="1903"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34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b/>
                                      <w:color w:val="0563C1"/>
                                      <w:sz w:val="16"/>
                                      <w:u w:val="single"/>
                                    </w:rPr>
                                  </w:pPr>
                                  <w:r>
                                    <w:rPr>
                                      <w:rFonts w:ascii="Arial" w:hAnsi="Arial"/>
                                      <w:b/>
                                      <w:color w:val="0563C1"/>
                                      <w:sz w:val="16"/>
                                      <w:u w:val="single"/>
                                    </w:rPr>
                                    <w:t>Environmental Policy Credicorp</w:t>
                                  </w:r>
                                </w:p>
                              </w:tc>
                              <w:tc>
                                <w:tcPr>
                                  <w:tcW w:w="483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Arial" w:hAnsi="Arial"/>
                                      <w:sz w:val="16"/>
                                    </w:rPr>
                                  </w:pPr>
                                  <w:r>
                                    <w:rPr>
                                      <w:rFonts w:ascii="Arial" w:hAnsi="Arial"/>
                                      <w:sz w:val="16"/>
                                    </w:rPr>
                                    <w:t>Carbon neutrality commitment in our direct operations to 2032 (excluding financed emissions)</w:t>
                                  </w:r>
                                </w:p>
                              </w:tc>
                            </w:tr>
                            <w:tr>
                              <w:trPr/>
                              <w:tc>
                                <w:tcPr>
                                  <w:tcW w:w="1903"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34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b/>
                                      <w:sz w:val="16"/>
                                    </w:rPr>
                                  </w:pPr>
                                  <w:r>
                                    <w:rPr>
                                      <w:rFonts w:ascii="Arial" w:hAnsi="Arial"/>
                                      <w:b/>
                                      <w:sz w:val="16"/>
                                    </w:rPr>
                                    <w:t>Supplier Management</w:t>
                                  </w:r>
                                </w:p>
                              </w:tc>
                              <w:tc>
                                <w:tcPr>
                                  <w:tcW w:w="483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Arial" w:hAnsi="Arial"/>
                                      <w:sz w:val="16"/>
                                    </w:rPr>
                                  </w:pPr>
                                  <w:r>
                                    <w:rPr>
                                      <w:rFonts w:ascii="Arial" w:hAnsi="Arial"/>
                                      <w:sz w:val="16"/>
                                    </w:rPr>
                                    <w:t>ESG supplier evaluation employing questions related to Environmental Management System certification  (ISO 14000) or other national and international  standards</w:t>
                                  </w:r>
                                </w:p>
                              </w:tc>
                            </w:tr>
                            <w:tr>
                              <w:trPr/>
                              <w:tc>
                                <w:tcPr>
                                  <w:tcW w:w="1903"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Arial" w:hAnsi="Arial"/>
                                      <w:b/>
                                      <w:color w:val="FE5000"/>
                                      <w:sz w:val="16"/>
                                    </w:rPr>
                                  </w:pPr>
                                  <w:r>
                                    <w:rPr>
                                      <w:rFonts w:ascii="Arial" w:hAnsi="Arial"/>
                                      <w:b/>
                                      <w:color w:val="FE5000"/>
                                      <w:sz w:val="16"/>
                                    </w:rPr>
                                    <w:t>Policies at the subsidiary level</w:t>
                                  </w:r>
                                </w:p>
                              </w:tc>
                              <w:tc>
                                <w:tcPr>
                                  <w:tcW w:w="34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b/>
                                      <w:sz w:val="16"/>
                                    </w:rPr>
                                  </w:pPr>
                                  <w:r>
                                    <w:rPr>
                                      <w:rFonts w:ascii="Arial" w:hAnsi="Arial"/>
                                      <w:b/>
                                      <w:sz w:val="16"/>
                                    </w:rPr>
                                    <w:t>BCP ESG Risk Credit Policy</w:t>
                                  </w:r>
                                </w:p>
                              </w:tc>
                              <w:tc>
                                <w:tcPr>
                                  <w:tcW w:w="483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Arial" w:hAnsi="Arial"/>
                                      <w:sz w:val="16"/>
                                    </w:rPr>
                                  </w:pPr>
                                  <w:r>
                                    <w:rPr>
                                      <w:rFonts w:ascii="Arial" w:hAnsi="Arial"/>
                                      <w:sz w:val="16"/>
                                    </w:rPr>
                                    <w:t>Management of environmental, social, and governance risks and thermal coal financing exclusion</w:t>
                                  </w:r>
                                </w:p>
                              </w:tc>
                            </w:tr>
                            <w:tr>
                              <w:trPr/>
                              <w:tc>
                                <w:tcPr>
                                  <w:tcW w:w="1903"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34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b/>
                                      <w:sz w:val="16"/>
                                    </w:rPr>
                                  </w:pPr>
                                  <w:r>
                                    <w:rPr>
                                      <w:rFonts w:ascii="Arial" w:hAnsi="Arial"/>
                                      <w:b/>
                                      <w:sz w:val="16"/>
                                    </w:rPr>
                                    <w:t>BCP Project Financing Socio-environmental Risk Policy</w:t>
                                  </w:r>
                                </w:p>
                              </w:tc>
                              <w:tc>
                                <w:tcPr>
                                  <w:tcW w:w="483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Arial" w:hAnsi="Arial"/>
                                      <w:sz w:val="16"/>
                                    </w:rPr>
                                  </w:pPr>
                                  <w:r>
                                    <w:rPr>
                                      <w:rFonts w:ascii="Arial" w:hAnsi="Arial"/>
                                      <w:sz w:val="16"/>
                                    </w:rPr>
                                    <w:t>Responsible management of project finance +US$10 million, complying with the Equator Principles and local regulations</w:t>
                                  </w:r>
                                </w:p>
                              </w:tc>
                            </w:tr>
                            <w:tr>
                              <w:trPr/>
                              <w:tc>
                                <w:tcPr>
                                  <w:tcW w:w="1903"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34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b/>
                                      <w:sz w:val="16"/>
                                    </w:rPr>
                                  </w:pPr>
                                  <w:r>
                                    <w:rPr>
                                      <w:rFonts w:ascii="Arial" w:hAnsi="Arial"/>
                                      <w:b/>
                                      <w:sz w:val="16"/>
                                    </w:rPr>
                                    <w:t>Responsible and sustainable investment policies applied by the principal subsidiaries</w:t>
                                  </w:r>
                                </w:p>
                              </w:tc>
                              <w:tc>
                                <w:tcPr>
                                  <w:tcW w:w="483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Arial" w:hAnsi="Arial"/>
                                      <w:sz w:val="16"/>
                                    </w:rPr>
                                  </w:pPr>
                                  <w:r>
                                    <w:rPr>
                                      <w:rFonts w:ascii="Arial" w:hAnsi="Arial"/>
                                      <w:sz w:val="16"/>
                                    </w:rPr>
                                    <w:t>Individual policies for portfolio management</w:t>
                                  </w:r>
                                </w:p>
                              </w:tc>
                            </w:tr>
                          </w:tbl>
                          <w:p>
                            <w:pPr>
                              <w:pStyle w:val="TextBody"/>
                              <w:bidi w:val="0"/>
                              <w:spacing w:before="0" w:after="0"/>
                              <w:ind w:left="32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3.4.2 Identification, Evaluation, and Treatment</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Since June 2023, BCP has been implementing its new ESG Risk Credit Policy. Replacing the previous Environmental Credit Policy, the new policy expanded the scope to clients with approved credit lines starting from US$10 million in ten sectors: mining, hydrocarbons, fisheries, energy, construction, building supplies, real estate, transport, agriculture, and textiles. The previous policy had only covered four environmental risk sectors: mining, hydrocarbons, energy, and fisheries. Noteworthy is that the policy excludes financing for activities such as tobacco, thermal coal, weapons of war, money laundering, human rights abuses, and others in which the bank does not wish to participate.</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77.5pt;mso-wrap-distance-left:0pt;mso-wrap-distance-right:0pt;mso-wrap-distance-top:0pt;mso-wrap-distance-bottom:0pt;margin-top:0pt;mso-position-vertical:top;mso-position-vertical-relative:text;margin-left:265.35pt;mso-position-horizontal:right;mso-position-horizontal-relative:text">
                <v:textbox>
                  <w:txbxContent>
                    <w:tbl>
                      <w:tblPr>
                        <w:tblW w:w="10205" w:type="dxa"/>
                        <w:jc w:val="left"/>
                        <w:tblInd w:w="-10" w:type="dxa"/>
                        <w:tblLayout w:type="fixed"/>
                        <w:tblCellMar>
                          <w:top w:w="80" w:type="dxa"/>
                          <w:left w:w="80" w:type="dxa"/>
                          <w:bottom w:w="80" w:type="dxa"/>
                          <w:right w:w="80" w:type="dxa"/>
                        </w:tblCellMar>
                      </w:tblPr>
                      <w:tblGrid>
                        <w:gridCol w:w="1903"/>
                        <w:gridCol w:w="3463"/>
                        <w:gridCol w:w="4839"/>
                      </w:tblGrid>
                      <w:tr>
                        <w:trPr/>
                        <w:tc>
                          <w:tcPr>
                            <w:tcW w:w="1903" w:type="dxa"/>
                            <w:vMerge w:val="restart"/>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Arial" w:hAnsi="Arial"/>
                                <w:b/>
                                <w:color w:val="FE5000"/>
                                <w:sz w:val="16"/>
                              </w:rPr>
                            </w:pPr>
                            <w:r>
                              <w:rPr>
                                <w:rFonts w:ascii="Arial" w:hAnsi="Arial"/>
                                <w:b/>
                                <w:color w:val="FE5000"/>
                                <w:sz w:val="16"/>
                              </w:rPr>
                              <w:t>Corporate-level policies and guidelines</w:t>
                            </w:r>
                          </w:p>
                        </w:tc>
                        <w:tc>
                          <w:tcPr>
                            <w:tcW w:w="346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Arial" w:hAnsi="Arial"/>
                                <w:b/>
                                <w:color w:val="0563C1"/>
                                <w:sz w:val="16"/>
                                <w:u w:val="single"/>
                              </w:rPr>
                            </w:pPr>
                            <w:r>
                              <w:rPr>
                                <w:rFonts w:ascii="Arial" w:hAnsi="Arial"/>
                                <w:b/>
                                <w:color w:val="0563C1"/>
                                <w:sz w:val="16"/>
                                <w:u w:val="single"/>
                              </w:rPr>
                              <w:t>Corporate Policy for Responsible and Sustainable Investments</w:t>
                            </w:r>
                          </w:p>
                        </w:tc>
                        <w:tc>
                          <w:tcPr>
                            <w:tcW w:w="483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Arial" w:hAnsi="Arial"/>
                                <w:sz w:val="16"/>
                              </w:rPr>
                            </w:pPr>
                            <w:r>
                              <w:rPr>
                                <w:rFonts w:ascii="Arial" w:hAnsi="Arial"/>
                                <w:sz w:val="16"/>
                              </w:rPr>
                              <w:t>ESG integration into investment decisions. Exclusion of thermal coal companies</w:t>
                            </w:r>
                          </w:p>
                        </w:tc>
                      </w:tr>
                      <w:tr>
                        <w:trPr/>
                        <w:tc>
                          <w:tcPr>
                            <w:tcW w:w="1903"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34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b/>
                                <w:color w:val="0563C1"/>
                                <w:sz w:val="16"/>
                                <w:u w:val="single"/>
                              </w:rPr>
                            </w:pPr>
                            <w:r>
                              <w:rPr>
                                <w:rFonts w:ascii="Arial" w:hAnsi="Arial"/>
                                <w:b/>
                                <w:color w:val="0563C1"/>
                                <w:sz w:val="16"/>
                                <w:u w:val="single"/>
                              </w:rPr>
                              <w:t>Environmental Policy Credicorp</w:t>
                            </w:r>
                          </w:p>
                        </w:tc>
                        <w:tc>
                          <w:tcPr>
                            <w:tcW w:w="483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Arial" w:hAnsi="Arial"/>
                                <w:sz w:val="16"/>
                              </w:rPr>
                            </w:pPr>
                            <w:r>
                              <w:rPr>
                                <w:rFonts w:ascii="Arial" w:hAnsi="Arial"/>
                                <w:sz w:val="16"/>
                              </w:rPr>
                              <w:t>Carbon neutrality commitment in our direct operations to 2032 (excluding financed emissions)</w:t>
                            </w:r>
                          </w:p>
                        </w:tc>
                      </w:tr>
                      <w:tr>
                        <w:trPr/>
                        <w:tc>
                          <w:tcPr>
                            <w:tcW w:w="1903"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34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b/>
                                <w:sz w:val="16"/>
                              </w:rPr>
                            </w:pPr>
                            <w:r>
                              <w:rPr>
                                <w:rFonts w:ascii="Arial" w:hAnsi="Arial"/>
                                <w:b/>
                                <w:sz w:val="16"/>
                              </w:rPr>
                              <w:t>Supplier Management</w:t>
                            </w:r>
                          </w:p>
                        </w:tc>
                        <w:tc>
                          <w:tcPr>
                            <w:tcW w:w="483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Arial" w:hAnsi="Arial"/>
                                <w:sz w:val="16"/>
                              </w:rPr>
                            </w:pPr>
                            <w:r>
                              <w:rPr>
                                <w:rFonts w:ascii="Arial" w:hAnsi="Arial"/>
                                <w:sz w:val="16"/>
                              </w:rPr>
                              <w:t>ESG supplier evaluation employing questions related to Environmental Management System certification  (ISO 14000) or other national and international  standards</w:t>
                            </w:r>
                          </w:p>
                        </w:tc>
                      </w:tr>
                      <w:tr>
                        <w:trPr/>
                        <w:tc>
                          <w:tcPr>
                            <w:tcW w:w="1903"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Arial" w:hAnsi="Arial"/>
                                <w:b/>
                                <w:color w:val="FE5000"/>
                                <w:sz w:val="16"/>
                              </w:rPr>
                            </w:pPr>
                            <w:r>
                              <w:rPr>
                                <w:rFonts w:ascii="Arial" w:hAnsi="Arial"/>
                                <w:b/>
                                <w:color w:val="FE5000"/>
                                <w:sz w:val="16"/>
                              </w:rPr>
                              <w:t>Policies at the subsidiary level</w:t>
                            </w:r>
                          </w:p>
                        </w:tc>
                        <w:tc>
                          <w:tcPr>
                            <w:tcW w:w="34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b/>
                                <w:sz w:val="16"/>
                              </w:rPr>
                            </w:pPr>
                            <w:r>
                              <w:rPr>
                                <w:rFonts w:ascii="Arial" w:hAnsi="Arial"/>
                                <w:b/>
                                <w:sz w:val="16"/>
                              </w:rPr>
                              <w:t>BCP ESG Risk Credit Policy</w:t>
                            </w:r>
                          </w:p>
                        </w:tc>
                        <w:tc>
                          <w:tcPr>
                            <w:tcW w:w="483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Arial" w:hAnsi="Arial"/>
                                <w:sz w:val="16"/>
                              </w:rPr>
                            </w:pPr>
                            <w:r>
                              <w:rPr>
                                <w:rFonts w:ascii="Arial" w:hAnsi="Arial"/>
                                <w:sz w:val="16"/>
                              </w:rPr>
                              <w:t>Management of environmental, social, and governance risks and thermal coal financing exclusion</w:t>
                            </w:r>
                          </w:p>
                        </w:tc>
                      </w:tr>
                      <w:tr>
                        <w:trPr/>
                        <w:tc>
                          <w:tcPr>
                            <w:tcW w:w="1903"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34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b/>
                                <w:sz w:val="16"/>
                              </w:rPr>
                            </w:pPr>
                            <w:r>
                              <w:rPr>
                                <w:rFonts w:ascii="Arial" w:hAnsi="Arial"/>
                                <w:b/>
                                <w:sz w:val="16"/>
                              </w:rPr>
                              <w:t>BCP Project Financing Socio-environmental Risk Policy</w:t>
                            </w:r>
                          </w:p>
                        </w:tc>
                        <w:tc>
                          <w:tcPr>
                            <w:tcW w:w="483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Arial" w:hAnsi="Arial"/>
                                <w:sz w:val="16"/>
                              </w:rPr>
                            </w:pPr>
                            <w:r>
                              <w:rPr>
                                <w:rFonts w:ascii="Arial" w:hAnsi="Arial"/>
                                <w:sz w:val="16"/>
                              </w:rPr>
                              <w:t>Responsible management of project finance +US$10 million, complying with the Equator Principles and local regulations</w:t>
                            </w:r>
                          </w:p>
                        </w:tc>
                      </w:tr>
                      <w:tr>
                        <w:trPr/>
                        <w:tc>
                          <w:tcPr>
                            <w:tcW w:w="1903"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34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b/>
                                <w:sz w:val="16"/>
                              </w:rPr>
                            </w:pPr>
                            <w:r>
                              <w:rPr>
                                <w:rFonts w:ascii="Arial" w:hAnsi="Arial"/>
                                <w:b/>
                                <w:sz w:val="16"/>
                              </w:rPr>
                              <w:t>Responsible and sustainable investment policies applied by the principal subsidiaries</w:t>
                            </w:r>
                          </w:p>
                        </w:tc>
                        <w:tc>
                          <w:tcPr>
                            <w:tcW w:w="483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Arial" w:hAnsi="Arial"/>
                                <w:sz w:val="16"/>
                              </w:rPr>
                            </w:pPr>
                            <w:r>
                              <w:rPr>
                                <w:rFonts w:ascii="Arial" w:hAnsi="Arial"/>
                                <w:sz w:val="16"/>
                              </w:rPr>
                              <w:t>Individual policies for portfolio management</w:t>
                            </w:r>
                          </w:p>
                        </w:tc>
                      </w:tr>
                    </w:tbl>
                    <w:p>
                      <w:pPr>
                        <w:pStyle w:val="TextBody"/>
                        <w:bidi w:val="0"/>
                        <w:spacing w:before="0" w:after="0"/>
                        <w:ind w:left="32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3.4.2 Identification, Evaluation, and Treatment</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Since June 2023, BCP has been implementing its new ESG Risk Credit Policy. Replacing the previous Environmental Credit Policy, the new policy expanded the scope to clients with approved credit lines starting from US$10 million in ten sectors: mining, hydrocarbons, fisheries, energy, construction, building supplies, real estate, transport, agriculture, and textiles. The previous policy had only covered four environmental risk sectors: mining, hydrocarbons, energy, and fisheries. Noteworthy is that the policy excludes financing for activities such as tobacco, thermal coal, weapons of war, money laundering, human rights abuses, and others in which the bank does not wish to participate.</w:t>
                      </w:r>
                    </w:p>
                  </w:txbxContent>
                </v:textbox>
                <w10:wrap type="topAndBottom"/>
              </v:rect>
            </w:pict>
          </mc:Fallback>
        </mc:AlternateContent>
      </w:r>
    </w:p>
    <w:p>
      <w:pPr>
        <w:pStyle w:val="TextBody"/>
        <w:bidi w:val="0"/>
        <w:spacing w:before="0" w:after="0"/>
        <w:ind w:left="6740" w:right="0" w:hanging="0"/>
        <w:jc w:val="right"/>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43</w:t>
      </w:r>
    </w:p>
    <w:p>
      <w:pPr>
        <w:pStyle w:val="HorizontalLine"/>
        <w:pBdr>
          <w:bottom w:val="single" w:sz="12" w:space="0" w:color="808080"/>
        </w:pBdr>
        <w:bidi w:val="0"/>
        <w:spacing w:before="200" w:after="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olumn">
                  <wp:align>right</wp:align>
                </wp:positionH>
                <wp:positionV relativeFrom="line">
                  <wp:posOffset>635</wp:posOffset>
                </wp:positionV>
                <wp:extent cx="3110230" cy="4754880"/>
                <wp:effectExtent l="0" t="0" r="0" b="0"/>
                <wp:wrapTopAndBottom/>
                <wp:docPr id="276" name="Frame93"/>
                <a:graphic xmlns:a="http://schemas.openxmlformats.org/drawingml/2006/main">
                  <a:graphicData uri="http://schemas.microsoft.com/office/word/2010/wordprocessingShape">
                    <wps:wsp>
                      <wps:cNvSpPr txBox="1"/>
                      <wps:spPr>
                        <a:xfrm>
                          <a:off x="0" y="0"/>
                          <a:ext cx="3110230" cy="4754880"/>
                        </a:xfrm>
                        <a:prstGeom prst="rect"/>
                        <a:solidFill>
                          <a:srgbClr val="FFFFFF"/>
                        </a:solidFill>
                      </wps:spPr>
                      <wps:txbx>
                        <w:txbxContent>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br/>
                              <w:t>From July 2023 onwards, the participating subsidiaries (BCP, Mibanco, and Pacífico Seguros) carried out preventative training, communication campaigns using various channels (social networks, web series, radio spots, the print media), and decentralized forums and fairs in vulnerable areas of Lima and along the coast (Trujillo, Chiclayo, Piura).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following boxes provide detailed information of our companies’ climate risk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color w:val="FF0000"/>
                              </w:rPr>
                            </w:pPr>
                            <w:r>
                              <w:rPr>
                                <w:caps w:val="false"/>
                                <w:smallCaps w:val="false"/>
                                <w:color w:val="FF0000"/>
                              </w:rPr>
                              <w:drawing>
                                <wp:inline distT="0" distB="0" distL="0" distR="0">
                                  <wp:extent cx="3343275" cy="2476500"/>
                                  <wp:effectExtent l="0" t="0" r="0" b="0"/>
                                  <wp:docPr id="277"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114" descr=""/>
                                          <pic:cNvPicPr>
                                            <a:picLocks noChangeAspect="1" noChangeArrowheads="1"/>
                                          </pic:cNvPicPr>
                                        </pic:nvPicPr>
                                        <pic:blipFill>
                                          <a:blip r:embed="rId186"/>
                                          <a:stretch>
                                            <a:fillRect/>
                                          </a:stretch>
                                        </pic:blipFill>
                                        <pic:spPr bwMode="auto">
                                          <a:xfrm>
                                            <a:off x="0" y="0"/>
                                            <a:ext cx="3343275" cy="2476500"/>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Further details are available at the following websites: </w:t>
                            </w:r>
                            <w:r>
                              <w:rPr>
                                <w:rFonts w:ascii="Arial" w:hAnsi="Arial"/>
                                <w:b w:val="false"/>
                                <w:i w:val="false"/>
                                <w:caps w:val="false"/>
                                <w:smallCaps w:val="false"/>
                                <w:color w:val="0563C1"/>
                                <w:sz w:val="20"/>
                                <w:u w:val="single"/>
                              </w:rPr>
                              <w:t>PreparadosySeguros</w:t>
                            </w:r>
                            <w:r>
                              <w:rPr>
                                <w:rFonts w:ascii="Arial" w:hAnsi="Arial"/>
                                <w:b w:val="false"/>
                                <w:i w:val="false"/>
                                <w:caps w:val="false"/>
                                <w:smallCaps w:val="false"/>
                                <w:sz w:val="20"/>
                              </w:rPr>
                              <w:t xml:space="preserve"> and </w:t>
                            </w:r>
                            <w:r>
                              <w:rPr>
                                <w:rFonts w:ascii="Arial" w:hAnsi="Arial"/>
                                <w:b w:val="false"/>
                                <w:i w:val="false"/>
                                <w:caps w:val="false"/>
                                <w:smallCaps w:val="false"/>
                                <w:color w:val="0563C1"/>
                                <w:sz w:val="20"/>
                                <w:u w:val="single"/>
                              </w:rPr>
                              <w:t>ConLaCamisetaSiempre</w:t>
                            </w:r>
                            <w:r>
                              <w:rPr>
                                <w:rFonts w:ascii="Arial" w:hAnsi="Arial"/>
                                <w:b w:val="false"/>
                                <w:i w:val="false"/>
                                <w:caps w:val="false"/>
                                <w:smallCaps w:val="false"/>
                                <w:sz w:val="20"/>
                              </w:rPr>
                              <w:t>.</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74.4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br/>
                        <w:t>From July 2023 onwards, the participating subsidiaries (BCP, Mibanco, and Pacífico Seguros) carried out preventative training, communication campaigns using various channels (social networks, web series, radio spots, the print media), and decentralized forums and fairs in vulnerable areas of Lima and along the coast (Trujillo, Chiclayo, Piura).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following boxes provide detailed information of our companies’ climate risk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color w:val="FF0000"/>
                        </w:rPr>
                      </w:pPr>
                      <w:r>
                        <w:rPr>
                          <w:caps w:val="false"/>
                          <w:smallCaps w:val="false"/>
                          <w:color w:val="FF0000"/>
                        </w:rPr>
                        <w:drawing>
                          <wp:inline distT="0" distB="0" distL="0" distR="0">
                            <wp:extent cx="3343275" cy="2476500"/>
                            <wp:effectExtent l="0" t="0" r="0" b="0"/>
                            <wp:docPr id="278"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114" descr=""/>
                                    <pic:cNvPicPr>
                                      <a:picLocks noChangeAspect="1" noChangeArrowheads="1"/>
                                    </pic:cNvPicPr>
                                  </pic:nvPicPr>
                                  <pic:blipFill>
                                    <a:blip r:embed="rId187"/>
                                    <a:stretch>
                                      <a:fillRect/>
                                    </a:stretch>
                                  </pic:blipFill>
                                  <pic:spPr bwMode="auto">
                                    <a:xfrm>
                                      <a:off x="0" y="0"/>
                                      <a:ext cx="3343275" cy="2476500"/>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Further details are available at the following websites: </w:t>
                      </w:r>
                      <w:r>
                        <w:rPr>
                          <w:rFonts w:ascii="Arial" w:hAnsi="Arial"/>
                          <w:b w:val="false"/>
                          <w:i w:val="false"/>
                          <w:caps w:val="false"/>
                          <w:smallCaps w:val="false"/>
                          <w:color w:val="0563C1"/>
                          <w:sz w:val="20"/>
                          <w:u w:val="single"/>
                        </w:rPr>
                        <w:t>PreparadosySeguros</w:t>
                      </w:r>
                      <w:r>
                        <w:rPr>
                          <w:rFonts w:ascii="Arial" w:hAnsi="Arial"/>
                          <w:b w:val="false"/>
                          <w:i w:val="false"/>
                          <w:caps w:val="false"/>
                          <w:smallCaps w:val="false"/>
                          <w:sz w:val="20"/>
                        </w:rPr>
                        <w:t xml:space="preserve"> and </w:t>
                      </w:r>
                      <w:r>
                        <w:rPr>
                          <w:rFonts w:ascii="Arial" w:hAnsi="Arial"/>
                          <w:b w:val="false"/>
                          <w:i w:val="false"/>
                          <w:caps w:val="false"/>
                          <w:smallCaps w:val="false"/>
                          <w:color w:val="0563C1"/>
                          <w:sz w:val="20"/>
                          <w:u w:val="single"/>
                        </w:rPr>
                        <w:t>ConLaCamisetaSiempre</w:t>
                      </w:r>
                      <w:r>
                        <w:rPr>
                          <w:rFonts w:ascii="Arial" w:hAnsi="Arial"/>
                          <w:b w:val="false"/>
                          <w:i w:val="false"/>
                          <w:caps w:val="false"/>
                          <w:smallCaps w:val="false"/>
                          <w:sz w:val="20"/>
                        </w:rPr>
                        <w:t>.</w:t>
                      </w:r>
                    </w:p>
                  </w:txbxContent>
                </v:textbox>
                <w10:wrap type="topAndBottom"/>
              </v:rect>
            </w:pict>
          </mc:Fallback>
        </mc:AlternateConten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3110230" cy="6960235"/>
                <wp:effectExtent l="0" t="0" r="0" b="0"/>
                <wp:wrapTopAndBottom/>
                <wp:docPr id="279" name="Frame92"/>
                <a:graphic xmlns:a="http://schemas.openxmlformats.org/drawingml/2006/main">
                  <a:graphicData uri="http://schemas.microsoft.com/office/word/2010/wordprocessingShape">
                    <wps:wsp>
                      <wps:cNvSpPr txBox="1"/>
                      <wps:spPr>
                        <a:xfrm>
                          <a:off x="0" y="0"/>
                          <a:ext cx="3110230" cy="6960235"/>
                        </a:xfrm>
                        <a:prstGeom prst="rect"/>
                        <a:solidFill>
                          <a:srgbClr val="FFFFFF"/>
                        </a:solidFill>
                      </wps:spPr>
                      <wps:txbx>
                        <w:txbxContent>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following table shows the number of clients assessed under the current ESG Risk Credit Policy between June and December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color w:val="FF0000"/>
                              </w:rPr>
                            </w:pPr>
                            <w:r>
                              <w:rPr>
                                <w:caps w:val="false"/>
                                <w:smallCaps w:val="false"/>
                                <w:color w:val="FF0000"/>
                              </w:rPr>
                              <w:drawing>
                                <wp:inline distT="0" distB="0" distL="0" distR="0">
                                  <wp:extent cx="3333750" cy="428625"/>
                                  <wp:effectExtent l="0" t="0" r="0" b="0"/>
                                  <wp:docPr id="280"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112" descr=""/>
                                          <pic:cNvPicPr>
                                            <a:picLocks noChangeAspect="1" noChangeArrowheads="1"/>
                                          </pic:cNvPicPr>
                                        </pic:nvPicPr>
                                        <pic:blipFill>
                                          <a:blip r:embed="rId188"/>
                                          <a:stretch>
                                            <a:fillRect/>
                                          </a:stretch>
                                        </pic:blipFill>
                                        <pic:spPr bwMode="auto">
                                          <a:xfrm>
                                            <a:off x="0" y="0"/>
                                            <a:ext cx="3333750" cy="428625"/>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Further details are available in BCP’s Integrated Annual Report and Sustainability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color w:val="FE5000"/>
                                <w:sz w:val="30"/>
                              </w:rPr>
                            </w:pPr>
                            <w:r>
                              <w:rPr>
                                <w:rFonts w:ascii="Arial" w:hAnsi="Arial"/>
                                <w:b/>
                                <w:i w:val="false"/>
                                <w:caps w:val="false"/>
                                <w:smallCaps w:val="false"/>
                                <w:color w:val="FE5000"/>
                                <w:sz w:val="30"/>
                              </w:rPr>
                              <w:t>3.5. SOCIAL IMPACT OF CLIMATE RISKS</w:t>
                            </w:r>
                            <w:r>
                              <w:rPr>
                                <w:rFonts w:ascii="Arial" w:hAnsi="Arial"/>
                                <w:b w:val="false"/>
                                <w:i w:val="false"/>
                                <w:caps w:val="false"/>
                                <w:smallCaps w:val="false"/>
                                <w:color w:val="FE5000"/>
                                <w:sz w:val="3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Latin America as a region, and Peru in particular, are highly vulnerable to extreme weather events. During 2023, Peru suffered climatic emergencies associated with Cyclone Yaku in the first quarter and then strong rains that began in the final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color w:val="FE5000"/>
                                <w:sz w:val="30"/>
                              </w:rPr>
                            </w:pPr>
                            <w:r>
                              <w:rPr>
                                <w:rFonts w:ascii="Arial" w:hAnsi="Arial"/>
                                <w:b/>
                                <w:i w:val="false"/>
                                <w:caps w:val="false"/>
                                <w:smallCaps w:val="false"/>
                                <w:color w:val="FE5000"/>
                                <w:sz w:val="30"/>
                              </w:rPr>
                              <w:t>Peru is highly vulnerable to climate risks, which affect not just nature, infrastructure, and production, but also people’s lives.</w:t>
                            </w:r>
                          </w:p>
                          <w:p>
                            <w:pPr>
                              <w:pStyle w:val="TextBody"/>
                              <w:bidi w:val="0"/>
                              <w:spacing w:before="0" w:after="0"/>
                              <w:ind w:left="0" w:right="0" w:hanging="0"/>
                              <w:jc w:val="both"/>
                              <w:rPr>
                                <w:caps w:val="false"/>
                                <w:smallCaps w:val="false"/>
                                <w:color w:val="FE5000"/>
                              </w:rPr>
                            </w:pPr>
                            <w:r>
                              <w:rPr>
                                <w:caps w:val="false"/>
                                <w:smallCaps w:val="false"/>
                                <w:color w:val="FE5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With this in mind, Credicorp’s subsidiaries have responded by joining forces for a campaign that aims to raise awareness and improve our stakeholders’ resilience: “</w:t>
                            </w:r>
                            <w:r>
                              <w:rPr>
                                <w:rFonts w:ascii="Arial" w:hAnsi="Arial"/>
                                <w:b/>
                                <w:i w:val="false"/>
                                <w:caps w:val="false"/>
                                <w:smallCaps w:val="false"/>
                                <w:sz w:val="20"/>
                              </w:rPr>
                              <w:t>Con La Camiseta Puesta ante el Fenómeno El Niño”</w:t>
                            </w:r>
                            <w:r>
                              <w:rPr>
                                <w:rFonts w:ascii="Arial" w:hAnsi="Arial"/>
                                <w:b w:val="false"/>
                                <w:i w:val="false"/>
                                <w:caps w:val="false"/>
                                <w:smallCaps w:val="false"/>
                                <w:sz w:val="20"/>
                              </w:rPr>
                              <w:t>. We have also broadened the support we can offer to include recommendations for how to draft an action plan, asynchronous digital advice to clients who need to reorganize their financial affairs, and loans to clients facing financial hardship.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333750" cy="1171575"/>
                                  <wp:effectExtent l="0" t="0" r="0" b="0"/>
                                  <wp:docPr id="281"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113" descr=""/>
                                          <pic:cNvPicPr>
                                            <a:picLocks noChangeAspect="1" noChangeArrowheads="1"/>
                                          </pic:cNvPicPr>
                                        </pic:nvPicPr>
                                        <pic:blipFill>
                                          <a:blip r:embed="rId189"/>
                                          <a:stretch>
                                            <a:fillRect/>
                                          </a:stretch>
                                        </pic:blipFill>
                                        <pic:spPr bwMode="auto">
                                          <a:xfrm>
                                            <a:off x="0" y="0"/>
                                            <a:ext cx="3333750" cy="1171575"/>
                                          </a:xfrm>
                                          <a:prstGeom prst="rect">
                                            <a:avLst/>
                                          </a:prstGeom>
                                        </pic:spPr>
                                      </pic:pic>
                                    </a:graphicData>
                                  </a:graphic>
                                </wp:inline>
                              </w:drawing>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4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The following table shows the number of clients assessed under the current ESG Risk Credit Policy between June and December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color w:val="FF0000"/>
                        </w:rPr>
                      </w:pPr>
                      <w:r>
                        <w:rPr>
                          <w:caps w:val="false"/>
                          <w:smallCaps w:val="false"/>
                          <w:color w:val="FF0000"/>
                        </w:rPr>
                        <w:drawing>
                          <wp:inline distT="0" distB="0" distL="0" distR="0">
                            <wp:extent cx="3333750" cy="428625"/>
                            <wp:effectExtent l="0" t="0" r="0" b="0"/>
                            <wp:docPr id="28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112" descr=""/>
                                    <pic:cNvPicPr>
                                      <a:picLocks noChangeAspect="1" noChangeArrowheads="1"/>
                                    </pic:cNvPicPr>
                                  </pic:nvPicPr>
                                  <pic:blipFill>
                                    <a:blip r:embed="rId190"/>
                                    <a:stretch>
                                      <a:fillRect/>
                                    </a:stretch>
                                  </pic:blipFill>
                                  <pic:spPr bwMode="auto">
                                    <a:xfrm>
                                      <a:off x="0" y="0"/>
                                      <a:ext cx="3333750" cy="428625"/>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Further details are available in BCP’s Integrated Annual Report and Sustainability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color w:val="FE5000"/>
                          <w:sz w:val="30"/>
                        </w:rPr>
                      </w:pPr>
                      <w:r>
                        <w:rPr>
                          <w:rFonts w:ascii="Arial" w:hAnsi="Arial"/>
                          <w:b/>
                          <w:i w:val="false"/>
                          <w:caps w:val="false"/>
                          <w:smallCaps w:val="false"/>
                          <w:color w:val="FE5000"/>
                          <w:sz w:val="30"/>
                        </w:rPr>
                        <w:t>3.5. SOCIAL IMPACT OF CLIMATE RISKS</w:t>
                      </w:r>
                      <w:r>
                        <w:rPr>
                          <w:rFonts w:ascii="Arial" w:hAnsi="Arial"/>
                          <w:b w:val="false"/>
                          <w:i w:val="false"/>
                          <w:caps w:val="false"/>
                          <w:smallCaps w:val="false"/>
                          <w:color w:val="FE5000"/>
                          <w:sz w:val="3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Latin America as a region, and Peru in particular, are highly vulnerable to extreme weather events. During 2023, Peru suffered climatic emergencies associated with Cyclone Yaku in the first quarter and then strong rains that began in the final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i w:val="false"/>
                          <w:caps w:val="false"/>
                          <w:smallCaps w:val="false"/>
                          <w:color w:val="FE5000"/>
                          <w:sz w:val="30"/>
                        </w:rPr>
                      </w:pPr>
                      <w:r>
                        <w:rPr>
                          <w:rFonts w:ascii="Arial" w:hAnsi="Arial"/>
                          <w:b/>
                          <w:i w:val="false"/>
                          <w:caps w:val="false"/>
                          <w:smallCaps w:val="false"/>
                          <w:color w:val="FE5000"/>
                          <w:sz w:val="30"/>
                        </w:rPr>
                        <w:t>Peru is highly vulnerable to climate risks, which affect not just nature, infrastructure, and production, but also people’s lives.</w:t>
                      </w:r>
                    </w:p>
                    <w:p>
                      <w:pPr>
                        <w:pStyle w:val="TextBody"/>
                        <w:bidi w:val="0"/>
                        <w:spacing w:before="0" w:after="0"/>
                        <w:ind w:left="0" w:right="0" w:hanging="0"/>
                        <w:jc w:val="both"/>
                        <w:rPr>
                          <w:caps w:val="false"/>
                          <w:smallCaps w:val="false"/>
                          <w:color w:val="FE5000"/>
                        </w:rPr>
                      </w:pPr>
                      <w:r>
                        <w:rPr>
                          <w:caps w:val="false"/>
                          <w:smallCaps w:val="false"/>
                          <w:color w:val="FE5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With this in mind, Credicorp’s subsidiaries have responded by joining forces for a campaign that aims to raise awareness and improve our stakeholders’ resilience: “</w:t>
                      </w:r>
                      <w:r>
                        <w:rPr>
                          <w:rFonts w:ascii="Arial" w:hAnsi="Arial"/>
                          <w:b/>
                          <w:i w:val="false"/>
                          <w:caps w:val="false"/>
                          <w:smallCaps w:val="false"/>
                          <w:sz w:val="20"/>
                        </w:rPr>
                        <w:t>Con La Camiseta Puesta ante el Fenómeno El Niño”</w:t>
                      </w:r>
                      <w:r>
                        <w:rPr>
                          <w:rFonts w:ascii="Arial" w:hAnsi="Arial"/>
                          <w:b w:val="false"/>
                          <w:i w:val="false"/>
                          <w:caps w:val="false"/>
                          <w:smallCaps w:val="false"/>
                          <w:sz w:val="20"/>
                        </w:rPr>
                        <w:t>. We have also broadened the support we can offer to include recommendations for how to draft an action plan, asynchronous digital advice to clients who need to reorganize their financial affairs, and loans to clients facing financial hardship.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333750" cy="1171575"/>
                            <wp:effectExtent l="0" t="0" r="0" b="0"/>
                            <wp:docPr id="28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113" descr=""/>
                                    <pic:cNvPicPr>
                                      <a:picLocks noChangeAspect="1" noChangeArrowheads="1"/>
                                    </pic:cNvPicPr>
                                  </pic:nvPicPr>
                                  <pic:blipFill>
                                    <a:blip r:embed="rId191"/>
                                    <a:stretch>
                                      <a:fillRect/>
                                    </a:stretch>
                                  </pic:blipFill>
                                  <pic:spPr bwMode="auto">
                                    <a:xfrm>
                                      <a:off x="0" y="0"/>
                                      <a:ext cx="3333750" cy="1171575"/>
                                    </a:xfrm>
                                    <a:prstGeom prst="rect">
                                      <a:avLst/>
                                    </a:prstGeom>
                                  </pic:spPr>
                                </pic:pic>
                              </a:graphicData>
                            </a:graphic>
                          </wp:inline>
                        </w:drawing>
                      </w:r>
                    </w:p>
                  </w:txbxContent>
                </v:textbox>
                <w10:wrap type="topAndBottom"/>
              </v:rect>
            </w:pict>
          </mc:Fallback>
        </mc:AlternateConten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ind w:left="0" w:right="0" w:hanging="0"/>
        <w:jc w:val="center"/>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44</w:t>
      </w:r>
    </w:p>
    <w:p>
      <w:pPr>
        <w:pStyle w:val="HorizontalLine"/>
        <w:pBdr>
          <w:bottom w:val="single" w:sz="12" w:space="0" w:color="808080"/>
        </w:pBdr>
        <w:bidi w:val="0"/>
        <w:spacing w:before="200" w:after="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3110230" cy="5844540"/>
                <wp:effectExtent l="0" t="0" r="0" b="0"/>
                <wp:wrapTopAndBottom/>
                <wp:docPr id="284" name="Frame94"/>
                <a:graphic xmlns:a="http://schemas.openxmlformats.org/drawingml/2006/main">
                  <a:graphicData uri="http://schemas.microsoft.com/office/word/2010/wordprocessingShape">
                    <wps:wsp>
                      <wps:cNvSpPr txBox="1"/>
                      <wps:spPr>
                        <a:xfrm>
                          <a:off x="0" y="0"/>
                          <a:ext cx="3110230" cy="5844540"/>
                        </a:xfrm>
                        <a:prstGeom prst="rect"/>
                        <a:solidFill>
                          <a:srgbClr val="FFFFFF"/>
                        </a:solidFill>
                      </wps:spPr>
                      <wps:txbx>
                        <w:txbxContent>
                          <w:p>
                            <w:pPr>
                              <w:pStyle w:val="TextBody"/>
                              <w:bidi w:val="0"/>
                              <w:spacing w:before="0" w:after="0"/>
                              <w:ind w:left="0" w:right="0" w:hanging="0"/>
                              <w:jc w:val="left"/>
                              <w:rPr>
                                <w:rFonts w:ascii="Arial" w:hAnsi="Arial"/>
                                <w:b/>
                                <w:i w:val="false"/>
                                <w:caps w:val="false"/>
                                <w:smallCaps w:val="false"/>
                                <w:color w:val="FE5000"/>
                                <w:sz w:val="30"/>
                              </w:rPr>
                            </w:pPr>
                            <w:r>
                              <w:rPr>
                                <w:rFonts w:ascii="Arial" w:hAnsi="Arial"/>
                                <w:b/>
                                <w:i w:val="false"/>
                                <w:caps w:val="false"/>
                                <w:smallCaps w:val="false"/>
                                <w:color w:val="FE5000"/>
                                <w:sz w:val="30"/>
                              </w:rPr>
                              <w:t>3.6. OUR DIRECT ENVIRONMENTAL IMPACT</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Since we work in an industry that is not highly polluting, Credicorp’s direct environmental impact is relatively small. Nonetheless, we are committed to eco-efficiency in our operations and more sustainably managing natural resources. Our subsidiaries have rolled out numerous eco-efficiency initiatives pursuant to their environmental plans,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3.6.1. Energy eco-efficiency initiatives</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center"/>
                              <w:rPr>
                                <w:caps w:val="false"/>
                                <w:smallCaps w:val="false"/>
                                <w:color w:val="FF0000"/>
                              </w:rPr>
                            </w:pPr>
                            <w:r>
                              <w:rPr>
                                <w:caps w:val="false"/>
                                <w:smallCaps w:val="false"/>
                                <w:color w:val="FF0000"/>
                              </w:rPr>
                              <w:drawing>
                                <wp:inline distT="0" distB="0" distL="0" distR="0">
                                  <wp:extent cx="3514725" cy="2190750"/>
                                  <wp:effectExtent l="0" t="0" r="0" b="0"/>
                                  <wp:docPr id="28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115" descr=""/>
                                          <pic:cNvPicPr>
                                            <a:picLocks noChangeAspect="1" noChangeArrowheads="1"/>
                                          </pic:cNvPicPr>
                                        </pic:nvPicPr>
                                        <pic:blipFill>
                                          <a:blip r:embed="rId192"/>
                                          <a:stretch>
                                            <a:fillRect/>
                                          </a:stretch>
                                        </pic:blipFill>
                                        <pic:spPr bwMode="auto">
                                          <a:xfrm>
                                            <a:off x="0" y="0"/>
                                            <a:ext cx="3514725" cy="2190750"/>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Arial" w:hAnsi="Arial"/>
                                <w:b/>
                                <w:i w:val="false"/>
                                <w:caps w:val="false"/>
                                <w:smallCaps w:val="false"/>
                                <w:color w:val="FE5000"/>
                                <w:sz w:val="20"/>
                              </w:rPr>
                            </w:pPr>
                            <w:r>
                              <w:rPr>
                                <w:rFonts w:ascii="Arial" w:hAnsi="Arial"/>
                                <w:b/>
                                <w:i w:val="false"/>
                                <w:caps w:val="false"/>
                                <w:smallCaps w:val="false"/>
                                <w:color w:val="FE5000"/>
                                <w:sz w:val="20"/>
                              </w:rPr>
                              <w:t>3.6.2. Water consumption eco-efficiency initiatives</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center"/>
                              <w:rPr>
                                <w:caps w:val="false"/>
                                <w:smallCaps w:val="false"/>
                                <w:color w:val="FF0000"/>
                              </w:rPr>
                            </w:pPr>
                            <w:r>
                              <w:rPr>
                                <w:caps w:val="false"/>
                                <w:smallCaps w:val="false"/>
                                <w:color w:val="FF0000"/>
                              </w:rPr>
                              <w:drawing>
                                <wp:inline distT="0" distB="0" distL="0" distR="0">
                                  <wp:extent cx="3314700" cy="762000"/>
                                  <wp:effectExtent l="0" t="0" r="0" b="0"/>
                                  <wp:docPr id="28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16" descr=""/>
                                          <pic:cNvPicPr>
                                            <a:picLocks noChangeAspect="1" noChangeArrowheads="1"/>
                                          </pic:cNvPicPr>
                                        </pic:nvPicPr>
                                        <pic:blipFill>
                                          <a:blip r:embed="rId193"/>
                                          <a:stretch>
                                            <a:fillRect/>
                                          </a:stretch>
                                        </pic:blipFill>
                                        <pic:spPr bwMode="auto">
                                          <a:xfrm>
                                            <a:off x="0" y="0"/>
                                            <a:ext cx="3314700" cy="762000"/>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6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left"/>
                        <w:rPr>
                          <w:rFonts w:ascii="Arial" w:hAnsi="Arial"/>
                          <w:b/>
                          <w:i w:val="false"/>
                          <w:caps w:val="false"/>
                          <w:smallCaps w:val="false"/>
                          <w:color w:val="FE5000"/>
                          <w:sz w:val="30"/>
                        </w:rPr>
                      </w:pPr>
                      <w:r>
                        <w:rPr>
                          <w:rFonts w:ascii="Arial" w:hAnsi="Arial"/>
                          <w:b/>
                          <w:i w:val="false"/>
                          <w:caps w:val="false"/>
                          <w:smallCaps w:val="false"/>
                          <w:color w:val="FE5000"/>
                          <w:sz w:val="30"/>
                        </w:rPr>
                        <w:t>3.6. OUR DIRECT ENVIRONMENTAL IMPACT</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Since we work in an industry that is not highly polluting, Credicorp’s direct environmental impact is relatively small. Nonetheless, we are committed to eco-efficiency in our operations and more sustainably managing natural resources. Our subsidiaries have rolled out numerous eco-efficiency initiatives pursuant to their environmental plans,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3.6.1. Energy eco-efficiency initiatives</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center"/>
                        <w:rPr>
                          <w:caps w:val="false"/>
                          <w:smallCaps w:val="false"/>
                          <w:color w:val="FF0000"/>
                        </w:rPr>
                      </w:pPr>
                      <w:r>
                        <w:rPr>
                          <w:caps w:val="false"/>
                          <w:smallCaps w:val="false"/>
                          <w:color w:val="FF0000"/>
                        </w:rPr>
                        <w:drawing>
                          <wp:inline distT="0" distB="0" distL="0" distR="0">
                            <wp:extent cx="3514725" cy="2190750"/>
                            <wp:effectExtent l="0" t="0" r="0" b="0"/>
                            <wp:docPr id="287"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115" descr=""/>
                                    <pic:cNvPicPr>
                                      <a:picLocks noChangeAspect="1" noChangeArrowheads="1"/>
                                    </pic:cNvPicPr>
                                  </pic:nvPicPr>
                                  <pic:blipFill>
                                    <a:blip r:embed="rId194"/>
                                    <a:stretch>
                                      <a:fillRect/>
                                    </a:stretch>
                                  </pic:blipFill>
                                  <pic:spPr bwMode="auto">
                                    <a:xfrm>
                                      <a:off x="0" y="0"/>
                                      <a:ext cx="3514725" cy="2190750"/>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Arial" w:hAnsi="Arial"/>
                          <w:b/>
                          <w:i w:val="false"/>
                          <w:caps w:val="false"/>
                          <w:smallCaps w:val="false"/>
                          <w:color w:val="FE5000"/>
                          <w:sz w:val="20"/>
                        </w:rPr>
                      </w:pPr>
                      <w:r>
                        <w:rPr>
                          <w:rFonts w:ascii="Arial" w:hAnsi="Arial"/>
                          <w:b/>
                          <w:i w:val="false"/>
                          <w:caps w:val="false"/>
                          <w:smallCaps w:val="false"/>
                          <w:color w:val="FE5000"/>
                          <w:sz w:val="20"/>
                        </w:rPr>
                        <w:t>3.6.2. Water consumption eco-efficiency initiatives</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center"/>
                        <w:rPr>
                          <w:caps w:val="false"/>
                          <w:smallCaps w:val="false"/>
                          <w:color w:val="FF0000"/>
                        </w:rPr>
                      </w:pPr>
                      <w:r>
                        <w:rPr>
                          <w:caps w:val="false"/>
                          <w:smallCaps w:val="false"/>
                          <w:color w:val="FF0000"/>
                        </w:rPr>
                        <w:drawing>
                          <wp:inline distT="0" distB="0" distL="0" distR="0">
                            <wp:extent cx="3314700" cy="762000"/>
                            <wp:effectExtent l="0" t="0" r="0" b="0"/>
                            <wp:docPr id="288"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116" descr=""/>
                                    <pic:cNvPicPr>
                                      <a:picLocks noChangeAspect="1" noChangeArrowheads="1"/>
                                    </pic:cNvPicPr>
                                  </pic:nvPicPr>
                                  <pic:blipFill>
                                    <a:blip r:embed="rId195"/>
                                    <a:stretch>
                                      <a:fillRect/>
                                    </a:stretch>
                                  </pic:blipFill>
                                  <pic:spPr bwMode="auto">
                                    <a:xfrm>
                                      <a:off x="0" y="0"/>
                                      <a:ext cx="3314700" cy="762000"/>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txbxContent>
                </v:textbox>
                <w10:wrap type="topAndBottom"/>
              </v:rect>
            </w:pict>
          </mc:Fallback>
        </mc:AlternateContent>
      </w:r>
      <w:r>
        <mc:AlternateContent>
          <mc:Choice Requires="wps">
            <w:drawing>
              <wp:anchor behindDoc="0" distT="0" distB="0" distL="0" distR="0" simplePos="0" locked="0" layoutInCell="1" allowOverlap="1" relativeHeight="33">
                <wp:simplePos x="0" y="0"/>
                <wp:positionH relativeFrom="column">
                  <wp:align>right</wp:align>
                </wp:positionH>
                <wp:positionV relativeFrom="line">
                  <wp:posOffset>635</wp:posOffset>
                </wp:positionV>
                <wp:extent cx="3110230" cy="5045075"/>
                <wp:effectExtent l="0" t="0" r="0" b="0"/>
                <wp:wrapTopAndBottom/>
                <wp:docPr id="289" name="Frame95"/>
                <a:graphic xmlns:a="http://schemas.openxmlformats.org/drawingml/2006/main">
                  <a:graphicData uri="http://schemas.microsoft.com/office/word/2010/wordprocessingShape">
                    <wps:wsp>
                      <wps:cNvSpPr txBox="1"/>
                      <wps:spPr>
                        <a:xfrm>
                          <a:off x="0" y="0"/>
                          <a:ext cx="3110230" cy="5045075"/>
                        </a:xfrm>
                        <a:prstGeom prst="rect"/>
                        <a:solidFill>
                          <a:srgbClr val="FFFFFF"/>
                        </a:solidFill>
                      </wps:spPr>
                      <wps:txbx>
                        <w:txbxContent>
                          <w:p>
                            <w:pPr>
                              <w:pStyle w:val="TextBody"/>
                              <w:bidi w:val="0"/>
                              <w:spacing w:before="0" w:after="0"/>
                              <w:ind w:left="0" w:right="0" w:hanging="0"/>
                              <w:jc w:val="left"/>
                              <w:rPr>
                                <w:rFonts w:ascii="Arial" w:hAnsi="Arial"/>
                                <w:b/>
                                <w:i w:val="false"/>
                                <w:caps w:val="false"/>
                                <w:smallCaps w:val="false"/>
                                <w:color w:val="FE5000"/>
                                <w:sz w:val="20"/>
                              </w:rPr>
                            </w:pPr>
                            <w:r>
                              <w:rPr>
                                <w:rFonts w:ascii="Arial" w:hAnsi="Arial"/>
                                <w:b/>
                                <w:i w:val="false"/>
                                <w:caps w:val="false"/>
                                <w:smallCaps w:val="false"/>
                                <w:color w:val="FE5000"/>
                                <w:sz w:val="20"/>
                              </w:rPr>
                              <w:t>3.6.3. Waste eco-efficiency initiatives</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center"/>
                              <w:rPr>
                                <w:caps w:val="false"/>
                                <w:smallCaps w:val="false"/>
                                <w:color w:val="FF0000"/>
                              </w:rPr>
                            </w:pPr>
                            <w:r>
                              <w:rPr>
                                <w:caps w:val="false"/>
                                <w:smallCaps w:val="false"/>
                                <w:color w:val="FF0000"/>
                              </w:rPr>
                              <w:drawing>
                                <wp:inline distT="0" distB="0" distL="0" distR="0">
                                  <wp:extent cx="3343275" cy="1638300"/>
                                  <wp:effectExtent l="0" t="0" r="0" b="0"/>
                                  <wp:docPr id="290"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117" descr=""/>
                                          <pic:cNvPicPr>
                                            <a:picLocks noChangeAspect="1" noChangeArrowheads="1"/>
                                          </pic:cNvPicPr>
                                        </pic:nvPicPr>
                                        <pic:blipFill>
                                          <a:blip r:embed="rId196"/>
                                          <a:stretch>
                                            <a:fillRect/>
                                          </a:stretch>
                                        </pic:blipFill>
                                        <pic:spPr bwMode="auto">
                                          <a:xfrm>
                                            <a:off x="0" y="0"/>
                                            <a:ext cx="3343275" cy="1638300"/>
                                          </a:xfrm>
                                          <a:prstGeom prst="rect">
                                            <a:avLst/>
                                          </a:prstGeom>
                                        </pic:spPr>
                                      </pic:pic>
                                    </a:graphicData>
                                  </a:graphic>
                                </wp:inline>
                              </w:drawing>
                            </w:r>
                            <w:r>
                              <w:rPr>
                                <w:caps w:val="false"/>
                                <w:smallCaps w:val="false"/>
                                <w:color w:val="FF0000"/>
                              </w:rPr>
                              <w:t> </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Arial" w:hAnsi="Arial"/>
                                <w:b/>
                                <w:i w:val="false"/>
                                <w:caps w:val="false"/>
                                <w:smallCaps w:val="false"/>
                                <w:color w:val="FE5000"/>
                                <w:sz w:val="30"/>
                              </w:rPr>
                            </w:pPr>
                            <w:r>
                              <w:rPr>
                                <w:rFonts w:ascii="Arial" w:hAnsi="Arial"/>
                                <w:b/>
                                <w:i w:val="false"/>
                                <w:caps w:val="false"/>
                                <w:smallCaps w:val="false"/>
                                <w:color w:val="FE5000"/>
                                <w:sz w:val="30"/>
                              </w:rPr>
                              <w:t>Our goal is to be carbon neutral in net emissions by 2032 in our operations.</w:t>
                            </w:r>
                          </w:p>
                          <w:p>
                            <w:pPr>
                              <w:pStyle w:val="TextBody"/>
                              <w:bidi w:val="0"/>
                              <w:spacing w:before="0" w:after="0"/>
                              <w:ind w:left="1860" w:right="0" w:hanging="1745"/>
                              <w:jc w:val="left"/>
                              <w:rPr>
                                <w:caps w:val="false"/>
                                <w:smallCaps w:val="false"/>
                                <w:color w:val="FE5000"/>
                              </w:rPr>
                            </w:pPr>
                            <w:r>
                              <w:rPr>
                                <w:caps w:val="false"/>
                                <w:smallCaps w:val="false"/>
                                <w:color w:val="FE5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During 2023, we implemented a series of initiatives pursuant to our environmental management plans that contributed to reducing GHG emissions. These initiatives resulted in a combined reduction of 1,470 tCO2eq; however, our footprint has increased mainly due to increased air travel, air conditioning use and a more emissions-intensive electricity grid in Peru due to higher thermal generation in 2023. In line with our commitment, emissions that could not be reduced will be offset through carbon credits aligned to our offset guidelines to achieve a net annual reduction of 10% from the 2022 baseline. Our subsidiaries Prima and Pacífico Seguros are already carbon neutral in their direct footprint.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97.2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left"/>
                        <w:rPr>
                          <w:rFonts w:ascii="Arial" w:hAnsi="Arial"/>
                          <w:b/>
                          <w:i w:val="false"/>
                          <w:caps w:val="false"/>
                          <w:smallCaps w:val="false"/>
                          <w:color w:val="FE5000"/>
                          <w:sz w:val="20"/>
                        </w:rPr>
                      </w:pPr>
                      <w:r>
                        <w:rPr>
                          <w:rFonts w:ascii="Arial" w:hAnsi="Arial"/>
                          <w:b/>
                          <w:i w:val="false"/>
                          <w:caps w:val="false"/>
                          <w:smallCaps w:val="false"/>
                          <w:color w:val="FE5000"/>
                          <w:sz w:val="20"/>
                        </w:rPr>
                        <w:t>3.6.3. Waste eco-efficiency initiatives</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center"/>
                        <w:rPr>
                          <w:caps w:val="false"/>
                          <w:smallCaps w:val="false"/>
                          <w:color w:val="FF0000"/>
                        </w:rPr>
                      </w:pPr>
                      <w:r>
                        <w:rPr>
                          <w:caps w:val="false"/>
                          <w:smallCaps w:val="false"/>
                          <w:color w:val="FF0000"/>
                        </w:rPr>
                        <w:drawing>
                          <wp:inline distT="0" distB="0" distL="0" distR="0">
                            <wp:extent cx="3343275" cy="1638300"/>
                            <wp:effectExtent l="0" t="0" r="0" b="0"/>
                            <wp:docPr id="291"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117" descr=""/>
                                    <pic:cNvPicPr>
                                      <a:picLocks noChangeAspect="1" noChangeArrowheads="1"/>
                                    </pic:cNvPicPr>
                                  </pic:nvPicPr>
                                  <pic:blipFill>
                                    <a:blip r:embed="rId197"/>
                                    <a:stretch>
                                      <a:fillRect/>
                                    </a:stretch>
                                  </pic:blipFill>
                                  <pic:spPr bwMode="auto">
                                    <a:xfrm>
                                      <a:off x="0" y="0"/>
                                      <a:ext cx="3343275" cy="1638300"/>
                                    </a:xfrm>
                                    <a:prstGeom prst="rect">
                                      <a:avLst/>
                                    </a:prstGeom>
                                  </pic:spPr>
                                </pic:pic>
                              </a:graphicData>
                            </a:graphic>
                          </wp:inline>
                        </w:drawing>
                      </w:r>
                      <w:r>
                        <w:rPr>
                          <w:caps w:val="false"/>
                          <w:smallCaps w:val="false"/>
                          <w:color w:val="FF0000"/>
                        </w:rPr>
                        <w:t> </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Arial" w:hAnsi="Arial"/>
                          <w:b/>
                          <w:i w:val="false"/>
                          <w:caps w:val="false"/>
                          <w:smallCaps w:val="false"/>
                          <w:color w:val="FE5000"/>
                          <w:sz w:val="30"/>
                        </w:rPr>
                      </w:pPr>
                      <w:r>
                        <w:rPr>
                          <w:rFonts w:ascii="Arial" w:hAnsi="Arial"/>
                          <w:b/>
                          <w:i w:val="false"/>
                          <w:caps w:val="false"/>
                          <w:smallCaps w:val="false"/>
                          <w:color w:val="FE5000"/>
                          <w:sz w:val="30"/>
                        </w:rPr>
                        <w:t>Our goal is to be carbon neutral in net emissions by 2032 in our operations.</w:t>
                      </w:r>
                    </w:p>
                    <w:p>
                      <w:pPr>
                        <w:pStyle w:val="TextBody"/>
                        <w:bidi w:val="0"/>
                        <w:spacing w:before="0" w:after="0"/>
                        <w:ind w:left="1860" w:right="0" w:hanging="1745"/>
                        <w:jc w:val="left"/>
                        <w:rPr>
                          <w:caps w:val="false"/>
                          <w:smallCaps w:val="false"/>
                          <w:color w:val="FE5000"/>
                        </w:rPr>
                      </w:pPr>
                      <w:r>
                        <w:rPr>
                          <w:caps w:val="false"/>
                          <w:smallCaps w:val="false"/>
                          <w:color w:val="FE5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During 2023, we implemented a series of initiatives pursuant to our environmental management plans that contributed to reducing GHG emissions. These initiatives resulted in a combined reduction of 1,470 tCO2eq; however, our footprint has increased mainly due to increased air travel, air conditioning use and a more emissions-intensive electricity grid in Peru due to higher thermal generation in 2023. In line with our commitment, emissions that could not be reduced will be offset through carbon credits aligned to our offset guidelines to achieve a net annual reduction of 10% from the 2022 baseline. Our subsidiaries Prima and Pacífico Seguros are already carbon neutral in their direct footprint. </w:t>
                      </w:r>
                    </w:p>
                  </w:txbxContent>
                </v:textbox>
                <w10:wrap type="topAndBottom"/>
              </v:rect>
            </w:pict>
          </mc:Fallback>
        </mc:AlternateContent>
      </w:r>
    </w:p>
    <w:p>
      <w:pPr>
        <w:pStyle w:val="TextBody"/>
        <w:bidi w:val="0"/>
        <w:spacing w:before="0" w:after="0"/>
        <w:ind w:left="20" w:right="0" w:hanging="0"/>
        <w:jc w:val="left"/>
        <w:rPr>
          <w:caps w:val="false"/>
          <w:smallCaps w:val="false"/>
          <w:color w:val="FFFFFF"/>
        </w:rPr>
      </w:pPr>
      <w:r>
        <w:rPr>
          <w:caps w:val="false"/>
          <w:smallCaps w:val="false"/>
          <w:color w:val="FFFFFF"/>
        </w:rPr>
        <w:t> </w:t>
      </w:r>
    </w:p>
    <w:p>
      <w:pPr>
        <w:pStyle w:val="TextBody"/>
        <w:bidi w:val="0"/>
        <w:spacing w:before="200" w:after="200"/>
        <w:ind w:left="20" w:right="0" w:hanging="0"/>
        <w:jc w:val="center"/>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45</w:t>
      </w:r>
    </w:p>
    <w:p>
      <w:pPr>
        <w:pStyle w:val="HorizontalLine"/>
        <w:pBdr>
          <w:bottom w:val="single" w:sz="12" w:space="0" w:color="808080"/>
        </w:pBdr>
        <w:bidi w:val="0"/>
        <w:spacing w:before="200" w:after="200"/>
        <w:jc w:val="left"/>
        <w:rPr/>
      </w:pPr>
      <w:r>
        <w:rPr/>
      </w:r>
    </w:p>
    <w:p>
      <w:pPr>
        <w:pStyle w:val="TextBody"/>
        <w:bidi w:val="0"/>
        <w:spacing w:before="0" w:after="0"/>
        <w:ind w:left="20" w:right="0" w:hanging="0"/>
        <w:jc w:val="left"/>
        <w:rPr>
          <w:caps w:val="false"/>
          <w:smallCaps w:val="false"/>
          <w:color w:val="FFFFFF"/>
        </w:rPr>
      </w:pPr>
      <w:r>
        <w:rPr>
          <w:caps w:val="false"/>
          <w:smallCaps w:val="false"/>
          <w:color w:val="FFFFFF"/>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3110230" cy="2723515"/>
                <wp:effectExtent l="0" t="0" r="0" b="0"/>
                <wp:wrapTopAndBottom/>
                <wp:docPr id="292" name="Frame96"/>
                <a:graphic xmlns:a="http://schemas.openxmlformats.org/drawingml/2006/main">
                  <a:graphicData uri="http://schemas.microsoft.com/office/word/2010/wordprocessingShape">
                    <wps:wsp>
                      <wps:cNvSpPr txBox="1"/>
                      <wps:spPr>
                        <a:xfrm>
                          <a:off x="0" y="0"/>
                          <a:ext cx="3110230" cy="2723515"/>
                        </a:xfrm>
                        <a:prstGeom prst="rect"/>
                        <a:solidFill>
                          <a:srgbClr val="FFFFFF"/>
                        </a:solidFill>
                      </wps:spPr>
                      <wps:txbx>
                        <w:txbxContent>
                          <w:p>
                            <w:pPr>
                              <w:pStyle w:val="TextBody"/>
                              <w:bidi w:val="0"/>
                              <w:spacing w:before="0" w:after="0"/>
                              <w:ind w:left="0" w:right="0" w:hanging="0"/>
                              <w:jc w:val="center"/>
                              <w:rPr>
                                <w:caps w:val="false"/>
                                <w:smallCaps w:val="false"/>
                                <w:color w:val="FFFFFF"/>
                              </w:rPr>
                            </w:pPr>
                            <w:r>
                              <w:rPr>
                                <w:caps w:val="false"/>
                                <w:smallCaps w:val="false"/>
                                <w:color w:val="FFFFFF"/>
                              </w:rPr>
                              <w:drawing>
                                <wp:inline distT="0" distB="0" distL="0" distR="0">
                                  <wp:extent cx="2838450" cy="1171575"/>
                                  <wp:effectExtent l="0" t="0" r="0" b="0"/>
                                  <wp:docPr id="293"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118" descr=""/>
                                          <pic:cNvPicPr>
                                            <a:picLocks noChangeAspect="1" noChangeArrowheads="1"/>
                                          </pic:cNvPicPr>
                                        </pic:nvPicPr>
                                        <pic:blipFill>
                                          <a:blip r:embed="rId198"/>
                                          <a:stretch>
                                            <a:fillRect/>
                                          </a:stretch>
                                        </pic:blipFill>
                                        <pic:spPr bwMode="auto">
                                          <a:xfrm>
                                            <a:off x="0" y="0"/>
                                            <a:ext cx="2838450" cy="1171575"/>
                                          </a:xfrm>
                                          <a:prstGeom prst="rect">
                                            <a:avLst/>
                                          </a:prstGeom>
                                        </pic:spPr>
                                      </pic:pic>
                                    </a:graphicData>
                                  </a:graphic>
                                </wp:inline>
                              </w:drawing>
                            </w:r>
                            <w:r>
                              <w:rPr>
                                <w:caps w:val="false"/>
                                <w:smallCaps w:val="false"/>
                                <w:color w:val="FFFFFF"/>
                              </w:rPr>
                              <w:t> </w:t>
                            </w:r>
                          </w:p>
                          <w:p>
                            <w:pPr>
                              <w:pStyle w:val="TextBody"/>
                              <w:bidi w:val="0"/>
                              <w:spacing w:before="0" w:after="0"/>
                              <w:ind w:left="20" w:right="0" w:hanging="0"/>
                              <w:jc w:val="left"/>
                              <w:rPr>
                                <w:caps w:val="false"/>
                                <w:smallCaps w:val="false"/>
                                <w:color w:val="FFFFFF"/>
                              </w:rPr>
                            </w:pPr>
                            <w:r>
                              <w:rPr>
                                <w:caps w:val="false"/>
                                <w:smallCaps w:val="false"/>
                                <w:color w:val="FFFFFF"/>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 measure our GHG emissions by following to the GHG Protocol standards of the World Resources Institute (WRI) and the World Business Council for Sustainable Development (WBCSD) and ISO 14064-I:2018. The results of the GHG inventories are verified by a third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Further details are available in the environmental chapter in the annexes.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1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center"/>
                        <w:rPr>
                          <w:caps w:val="false"/>
                          <w:smallCaps w:val="false"/>
                          <w:color w:val="FFFFFF"/>
                        </w:rPr>
                      </w:pPr>
                      <w:r>
                        <w:rPr>
                          <w:caps w:val="false"/>
                          <w:smallCaps w:val="false"/>
                          <w:color w:val="FFFFFF"/>
                        </w:rPr>
                        <w:drawing>
                          <wp:inline distT="0" distB="0" distL="0" distR="0">
                            <wp:extent cx="2838450" cy="1171575"/>
                            <wp:effectExtent l="0" t="0" r="0" b="0"/>
                            <wp:docPr id="294"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118" descr=""/>
                                    <pic:cNvPicPr>
                                      <a:picLocks noChangeAspect="1" noChangeArrowheads="1"/>
                                    </pic:cNvPicPr>
                                  </pic:nvPicPr>
                                  <pic:blipFill>
                                    <a:blip r:embed="rId199"/>
                                    <a:stretch>
                                      <a:fillRect/>
                                    </a:stretch>
                                  </pic:blipFill>
                                  <pic:spPr bwMode="auto">
                                    <a:xfrm>
                                      <a:off x="0" y="0"/>
                                      <a:ext cx="2838450" cy="1171575"/>
                                    </a:xfrm>
                                    <a:prstGeom prst="rect">
                                      <a:avLst/>
                                    </a:prstGeom>
                                  </pic:spPr>
                                </pic:pic>
                              </a:graphicData>
                            </a:graphic>
                          </wp:inline>
                        </w:drawing>
                      </w:r>
                      <w:r>
                        <w:rPr>
                          <w:caps w:val="false"/>
                          <w:smallCaps w:val="false"/>
                          <w:color w:val="FFFFFF"/>
                        </w:rPr>
                        <w:t> </w:t>
                      </w:r>
                    </w:p>
                    <w:p>
                      <w:pPr>
                        <w:pStyle w:val="TextBody"/>
                        <w:bidi w:val="0"/>
                        <w:spacing w:before="0" w:after="0"/>
                        <w:ind w:left="20" w:right="0" w:hanging="0"/>
                        <w:jc w:val="left"/>
                        <w:rPr>
                          <w:caps w:val="false"/>
                          <w:smallCaps w:val="false"/>
                          <w:color w:val="FFFFFF"/>
                        </w:rPr>
                      </w:pPr>
                      <w:r>
                        <w:rPr>
                          <w:caps w:val="false"/>
                          <w:smallCaps w:val="false"/>
                          <w:color w:val="FFFFFF"/>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We measure our GHG emissions by following to the GHG Protocol standards of the World Resources Institute (WRI) and the World Business Council for Sustainable Development (WBCSD) and ISO 14064-I:2018. The results of the GHG inventories are verified by a third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Further details are available in the environmental chapter in the annexes.</w:t>
                      </w:r>
                    </w:p>
                  </w:txbxContent>
                </v:textbox>
                <w10:wrap type="topAndBottom"/>
              </v:rect>
            </w:pict>
          </mc:Fallback>
        </mc:AlternateContent>
      </w:r>
      <w:r>
        <mc:AlternateContent>
          <mc:Choice Requires="wps">
            <w:drawing>
              <wp:anchor behindDoc="0" distT="0" distB="0" distL="0" distR="0" simplePos="0" locked="0" layoutInCell="1" allowOverlap="1" relativeHeight="294">
                <wp:simplePos x="0" y="0"/>
                <wp:positionH relativeFrom="column">
                  <wp:align>right</wp:align>
                </wp:positionH>
                <wp:positionV relativeFrom="line">
                  <wp:posOffset>635</wp:posOffset>
                </wp:positionV>
                <wp:extent cx="3110230" cy="175260"/>
                <wp:effectExtent l="0" t="0" r="0" b="0"/>
                <wp:wrapTopAndBottom/>
                <wp:docPr id="295" name="Frame97"/>
                <a:graphic xmlns:a="http://schemas.openxmlformats.org/drawingml/2006/main">
                  <a:graphicData uri="http://schemas.microsoft.com/office/word/2010/wordprocessingShape">
                    <wps:wsp>
                      <wps:cNvSpPr txBox="1"/>
                      <wps:spPr>
                        <a:xfrm>
                          <a:off x="0" y="0"/>
                          <a:ext cx="311023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3.8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283"/>
                        <w:jc w:val="left"/>
                        <w:rPr/>
                      </w:pPr>
                      <w:r>
                        <w:rPr/>
                      </w:r>
                    </w:p>
                  </w:txbxContent>
                </v:textbox>
                <w10:wrap type="topAndBottom"/>
              </v:rect>
            </w:pict>
          </mc:Fallback>
        </mc:AlternateConten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47</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46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Arial" w:hAnsi="Arial"/>
          <w:b/>
          <w:i w:val="false"/>
          <w:caps w:val="false"/>
          <w:smallCaps w:val="false"/>
          <w:color w:val="FE5000"/>
          <w:sz w:val="30"/>
        </w:rPr>
      </w:pPr>
      <w:r>
        <w:rPr>
          <w:rFonts w:ascii="Arial" w:hAnsi="Arial"/>
          <w:b/>
          <w:i w:val="false"/>
          <w:caps w:val="false"/>
          <w:smallCaps w:val="false"/>
          <w:color w:val="FE5000"/>
          <w:sz w:val="30"/>
        </w:rPr>
        <w:t>4. CORPORATE GOVERNANCE</w:t>
      </w:r>
    </w:p>
    <w:p>
      <w:pPr>
        <w:pStyle w:val="TextBody"/>
        <w:bidi w:val="0"/>
        <w:spacing w:before="0" w:after="0"/>
        <w:jc w:val="left"/>
        <w:rPr>
          <w:caps w:val="false"/>
          <w:smallCaps w:val="false"/>
          <w:color w:val="FE5000"/>
        </w:rPr>
      </w:pPr>
      <w:r>
        <w:rPr>
          <w:caps w:val="false"/>
          <w:smallCaps w:val="false"/>
          <w:color w:val="FE5000"/>
        </w:rPr>
        <w:t> </w:t>
      </w:r>
    </w:p>
    <w:tbl>
      <w:tblPr>
        <w:tblW w:w="10205" w:type="dxa"/>
        <w:jc w:val="left"/>
        <w:tblInd w:w="0" w:type="dxa"/>
        <w:tblLayout w:type="fixed"/>
        <w:tblCellMar>
          <w:top w:w="0" w:type="dxa"/>
          <w:left w:w="0" w:type="dxa"/>
          <w:bottom w:w="0" w:type="dxa"/>
          <w:right w:w="0" w:type="dxa"/>
        </w:tblCellMar>
      </w:tblPr>
      <w:tblGrid>
        <w:gridCol w:w="10070"/>
        <w:gridCol w:w="60"/>
        <w:gridCol w:w="75"/>
      </w:tblGrid>
      <w:tr>
        <w:trPr/>
        <w:tc>
          <w:tcPr>
            <w:tcW w:w="10070" w:type="dxa"/>
            <w:tcBorders/>
            <w:vAlign w:val="center"/>
          </w:tcPr>
          <w:p>
            <w:pPr>
              <w:pStyle w:val="TableContents"/>
              <w:bidi w:val="0"/>
              <w:spacing w:before="0" w:after="283"/>
              <w:jc w:val="left"/>
              <w:rPr>
                <w:rFonts w:ascii="Arial" w:hAnsi="Arial"/>
                <w:sz w:val="20"/>
              </w:rPr>
            </w:pPr>
            <w:r>
              <w:rPr>
                <w:rFonts w:ascii="Arial" w:hAnsi="Arial"/>
                <w:sz w:val="20"/>
              </w:rPr>
              <w:t>Corporate governance, ethics, and anti-corruption lie at the heart of our sustainability strategy and are at the top of the list of material topics for the company and its stakeholders. Efficient, effective, and ethical decision-making is essential for business management and ensuring our sustainability strategy is implemented. That’s why we work on a coordinated governance that focuses on continuous improvement of structures, policies, and control mechanisms that strengthen us institutionally, consistent with SDG 16: Peace, justice and strong Institutions.</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47</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color w:val="FE5000"/>
        </w:rPr>
      </w:pPr>
      <w:r>
        <w:rPr>
          <w:caps w:val="false"/>
          <w:smallCaps w:val="false"/>
          <w:color w:val="FE5000"/>
        </w:rPr>
        <w:t> </w:t>
      </w:r>
    </w:p>
    <w:p>
      <w:pPr>
        <w:pStyle w:val="TextBody"/>
        <w:bidi w:val="0"/>
        <w:spacing w:before="0" w:after="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3110230" cy="6932295"/>
                <wp:effectExtent l="0" t="0" r="0" b="0"/>
                <wp:wrapSquare wrapText="right"/>
                <wp:docPr id="296" name="Frame98"/>
                <a:graphic xmlns:a="http://schemas.openxmlformats.org/drawingml/2006/main">
                  <a:graphicData uri="http://schemas.microsoft.com/office/word/2010/wordprocessingShape">
                    <wps:wsp>
                      <wps:cNvSpPr txBox="1"/>
                      <wps:spPr>
                        <a:xfrm>
                          <a:off x="0" y="0"/>
                          <a:ext cx="3110230" cy="6932295"/>
                        </a:xfrm>
                        <a:prstGeom prst="rect"/>
                        <a:solidFill>
                          <a:srgbClr val="FFFFFF"/>
                        </a:solidFill>
                      </wps:spPr>
                      <wps:txbx>
                        <w:txbxContent>
                          <w:p>
                            <w:pPr>
                              <w:pStyle w:val="TextBody"/>
                              <w:bidi w:val="0"/>
                              <w:spacing w:before="0" w:after="0"/>
                              <w:jc w:val="left"/>
                              <w:rPr>
                                <w:rFonts w:ascii="Arial" w:hAnsi="Arial"/>
                                <w:b/>
                                <w:i w:val="false"/>
                                <w:caps w:val="false"/>
                                <w:smallCaps w:val="false"/>
                                <w:color w:val="FE5000"/>
                                <w:sz w:val="28"/>
                              </w:rPr>
                            </w:pPr>
                            <w:r>
                              <w:rPr>
                                <w:rFonts w:ascii="Arial" w:hAnsi="Arial"/>
                                <w:b/>
                                <w:i w:val="false"/>
                                <w:caps w:val="false"/>
                                <w:smallCaps w:val="false"/>
                                <w:color w:val="FE5000"/>
                                <w:sz w:val="28"/>
                              </w:rPr>
                              <w:t>4.1. OUR CORPORATE GOVERNANCE</w:t>
                            </w:r>
                          </w:p>
                          <w:p>
                            <w:pPr>
                              <w:pStyle w:val="TextBody"/>
                              <w:bidi w:val="0"/>
                              <w:spacing w:before="0" w:after="0"/>
                              <w:jc w:val="left"/>
                              <w:rPr>
                                <w:rFonts w:ascii="Arial" w:hAnsi="Arial"/>
                                <w:b w:val="false"/>
                                <w:i w:val="false"/>
                                <w:caps w:val="false"/>
                                <w:smallCaps w:val="false"/>
                                <w:sz w:val="20"/>
                              </w:rPr>
                            </w:pPr>
                            <w:r>
                              <w:rPr>
                                <w:rFonts w:ascii="Arial" w:hAnsi="Arial"/>
                                <w:b w:val="false"/>
                                <w:i w:val="false"/>
                                <w:caps w:val="false"/>
                                <w:smallCaps w:val="false"/>
                                <w:sz w:val="20"/>
                              </w:rPr>
                              <w:t>Material topics Corporate governance, ethics, and anti-corruption GRI 2-9, 2-10, 2-11, 2-12, 2-13, 2-15, 2-16, 2,17, 2-18, 3-3</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Arial" w:hAnsi="Arial"/>
                                <w:b/>
                                <w:i w:val="false"/>
                                <w:caps w:val="false"/>
                                <w:smallCaps w:val="false"/>
                                <w:color w:val="FE5000"/>
                                <w:sz w:val="36"/>
                              </w:rPr>
                            </w:pPr>
                            <w:r>
                              <w:rPr>
                                <w:rFonts w:ascii="Arial" w:hAnsi="Arial"/>
                                <w:b/>
                                <w:i w:val="false"/>
                                <w:caps w:val="false"/>
                                <w:smallCaps w:val="false"/>
                                <w:color w:val="FE5000"/>
                                <w:sz w:val="36"/>
                              </w:rPr>
                              <w:t>Credicorp seeks continuous improvement and alignment of its corporate governance framework with international best practices and standards.</w:t>
                            </w:r>
                          </w:p>
                          <w:p>
                            <w:pPr>
                              <w:pStyle w:val="TextBody"/>
                              <w:bidi w:val="0"/>
                              <w:spacing w:before="0" w:after="0"/>
                              <w:jc w:val="center"/>
                              <w:rPr>
                                <w:caps w:val="false"/>
                                <w:smallCaps w:val="false"/>
                                <w:color w:val="FE5000"/>
                              </w:rPr>
                            </w:pPr>
                            <w:r>
                              <w:rPr>
                                <w:caps w:val="false"/>
                                <w:smallCaps w:val="false"/>
                                <w:color w:val="FE5000"/>
                              </w:rPr>
                              <w:t> </w:t>
                            </w:r>
                          </w:p>
                          <w:p>
                            <w:pPr>
                              <w:pStyle w:val="TextBody"/>
                              <w:bidi w:val="0"/>
                              <w:spacing w:before="0" w:after="0"/>
                              <w:jc w:val="left"/>
                              <w:rPr>
                                <w:rFonts w:ascii="Arial" w:hAnsi="Arial"/>
                                <w:b w:val="false"/>
                                <w:i w:val="false"/>
                                <w:caps w:val="false"/>
                                <w:smallCaps w:val="false"/>
                                <w:sz w:val="20"/>
                              </w:rPr>
                            </w:pPr>
                            <w:r>
                              <w:rPr>
                                <w:rFonts w:ascii="Arial" w:hAnsi="Arial"/>
                                <w:b w:val="false"/>
                                <w:i w:val="false"/>
                                <w:caps w:val="false"/>
                                <w:smallCaps w:val="false"/>
                                <w:sz w:val="20"/>
                              </w:rPr>
                              <w:t>Our corporate governance structure consist of:</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3752850" cy="1457325"/>
                                  <wp:effectExtent l="0" t="0" r="0" b="0"/>
                                  <wp:docPr id="297"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119" descr=""/>
                                          <pic:cNvPicPr>
                                            <a:picLocks noChangeAspect="1" noChangeArrowheads="1"/>
                                          </pic:cNvPicPr>
                                        </pic:nvPicPr>
                                        <pic:blipFill>
                                          <a:blip r:embed="rId200"/>
                                          <a:stretch>
                                            <a:fillRect/>
                                          </a:stretch>
                                        </pic:blipFill>
                                        <pic:spPr bwMode="auto">
                                          <a:xfrm>
                                            <a:off x="0" y="0"/>
                                            <a:ext cx="3752850" cy="1457325"/>
                                          </a:xfrm>
                                          <a:prstGeom prst="rect">
                                            <a:avLst/>
                                          </a:prstGeom>
                                        </pic:spPr>
                                      </pic:pic>
                                    </a:graphicData>
                                  </a:graphic>
                                </wp:inline>
                              </w:drawing>
                            </w: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 w:hAnsi="Arial"/>
                                <w:b/>
                                <w:i w:val="false"/>
                                <w:caps w:val="false"/>
                                <w:smallCaps w:val="false"/>
                                <w:color w:val="FE5000"/>
                                <w:sz w:val="28"/>
                              </w:rPr>
                            </w:pPr>
                            <w:r>
                              <w:rPr>
                                <w:rFonts w:ascii="Arial" w:hAnsi="Arial"/>
                                <w:b/>
                                <w:i w:val="false"/>
                                <w:caps w:val="false"/>
                                <w:smallCaps w:val="false"/>
                                <w:color w:val="FE5000"/>
                                <w:sz w:val="28"/>
                              </w:rPr>
                              <w:t>4.1.1. General Shareholders’ Meeting</w:t>
                            </w:r>
                          </w:p>
                          <w:p>
                            <w:pPr>
                              <w:pStyle w:val="TextBody"/>
                              <w:bidi w:val="0"/>
                              <w:spacing w:before="0" w:after="0"/>
                              <w:jc w:val="left"/>
                              <w:rPr>
                                <w:caps w:val="false"/>
                                <w:smallCaps w:val="false"/>
                                <w:color w:val="FE5000"/>
                              </w:rPr>
                            </w:pPr>
                            <w:r>
                              <w:rPr>
                                <w:caps w:val="false"/>
                                <w:smallCaps w:val="false"/>
                                <w:color w:val="FE5000"/>
                              </w:rPr>
                              <w:t> </w:t>
                            </w:r>
                          </w:p>
                          <w:p>
                            <w:pPr>
                              <w:pStyle w:val="TextBody"/>
                              <w:bidi w:val="0"/>
                              <w:spacing w:before="0" w:after="0"/>
                              <w:jc w:val="left"/>
                              <w:rPr>
                                <w:rFonts w:ascii="Arial" w:hAnsi="Arial"/>
                                <w:b w:val="false"/>
                                <w:i w:val="false"/>
                                <w:caps w:val="false"/>
                                <w:smallCaps w:val="false"/>
                                <w:sz w:val="20"/>
                              </w:rPr>
                            </w:pPr>
                            <w:r>
                              <w:rPr>
                                <w:rFonts w:ascii="Arial" w:hAnsi="Arial"/>
                                <w:b w:val="false"/>
                                <w:i w:val="false"/>
                                <w:caps w:val="false"/>
                                <w:smallCaps w:val="false"/>
                                <w:sz w:val="20"/>
                              </w:rPr>
                              <w:t>The Ordinary General Shareholders Meeting held every year has the following objectives: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To receive the auditor’s annual report and the financial statements for the year ended 31 December of the previous year</w:t>
                                  </w:r>
                                </w:p>
                              </w:tc>
                            </w:tr>
                          </w:tbl>
                          <w:tbl>
                            <w:tblPr>
                              <w:tblW w:w="5808" w:type="dxa"/>
                              <w:jc w:val="left"/>
                              <w:tblInd w:w="0" w:type="dxa"/>
                              <w:tblLayout w:type="fixed"/>
                              <w:tblCellMar>
                                <w:top w:w="0" w:type="dxa"/>
                                <w:left w:w="0" w:type="dxa"/>
                                <w:bottom w:w="0" w:type="dxa"/>
                                <w:right w:w="0" w:type="dxa"/>
                              </w:tblCellMar>
                            </w:tblPr>
                            <w:tblGrid>
                              <w:gridCol w:w="38"/>
                              <w:gridCol w:w="170"/>
                              <w:gridCol w:w="5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00"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To elect directors (3-year periods) and to set their compensation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4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rFonts w:ascii="Arial" w:hAnsi="Arial"/>
                          <w:b/>
                          <w:i w:val="false"/>
                          <w:caps w:val="false"/>
                          <w:smallCaps w:val="false"/>
                          <w:color w:val="FE5000"/>
                          <w:sz w:val="28"/>
                        </w:rPr>
                      </w:pPr>
                      <w:r>
                        <w:rPr>
                          <w:rFonts w:ascii="Arial" w:hAnsi="Arial"/>
                          <w:b/>
                          <w:i w:val="false"/>
                          <w:caps w:val="false"/>
                          <w:smallCaps w:val="false"/>
                          <w:color w:val="FE5000"/>
                          <w:sz w:val="28"/>
                        </w:rPr>
                        <w:t>4.1. OUR CORPORATE GOVERNANCE</w:t>
                      </w:r>
                    </w:p>
                    <w:p>
                      <w:pPr>
                        <w:pStyle w:val="TextBody"/>
                        <w:bidi w:val="0"/>
                        <w:spacing w:before="0" w:after="0"/>
                        <w:jc w:val="left"/>
                        <w:rPr>
                          <w:rFonts w:ascii="Arial" w:hAnsi="Arial"/>
                          <w:b w:val="false"/>
                          <w:i w:val="false"/>
                          <w:caps w:val="false"/>
                          <w:smallCaps w:val="false"/>
                          <w:sz w:val="20"/>
                        </w:rPr>
                      </w:pPr>
                      <w:r>
                        <w:rPr>
                          <w:rFonts w:ascii="Arial" w:hAnsi="Arial"/>
                          <w:b w:val="false"/>
                          <w:i w:val="false"/>
                          <w:caps w:val="false"/>
                          <w:smallCaps w:val="false"/>
                          <w:sz w:val="20"/>
                        </w:rPr>
                        <w:t>Material topics Corporate governance, ethics, and anti-corruption GRI 2-9, 2-10, 2-11, 2-12, 2-13, 2-15, 2-16, 2,17, 2-18, 3-3</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Arial" w:hAnsi="Arial"/>
                          <w:b/>
                          <w:i w:val="false"/>
                          <w:caps w:val="false"/>
                          <w:smallCaps w:val="false"/>
                          <w:color w:val="FE5000"/>
                          <w:sz w:val="36"/>
                        </w:rPr>
                      </w:pPr>
                      <w:r>
                        <w:rPr>
                          <w:rFonts w:ascii="Arial" w:hAnsi="Arial"/>
                          <w:b/>
                          <w:i w:val="false"/>
                          <w:caps w:val="false"/>
                          <w:smallCaps w:val="false"/>
                          <w:color w:val="FE5000"/>
                          <w:sz w:val="36"/>
                        </w:rPr>
                        <w:t>Credicorp seeks continuous improvement and alignment of its corporate governance framework with international best practices and standards.</w:t>
                      </w:r>
                    </w:p>
                    <w:p>
                      <w:pPr>
                        <w:pStyle w:val="TextBody"/>
                        <w:bidi w:val="0"/>
                        <w:spacing w:before="0" w:after="0"/>
                        <w:jc w:val="center"/>
                        <w:rPr>
                          <w:caps w:val="false"/>
                          <w:smallCaps w:val="false"/>
                          <w:color w:val="FE5000"/>
                        </w:rPr>
                      </w:pPr>
                      <w:r>
                        <w:rPr>
                          <w:caps w:val="false"/>
                          <w:smallCaps w:val="false"/>
                          <w:color w:val="FE5000"/>
                        </w:rPr>
                        <w:t> </w:t>
                      </w:r>
                    </w:p>
                    <w:p>
                      <w:pPr>
                        <w:pStyle w:val="TextBody"/>
                        <w:bidi w:val="0"/>
                        <w:spacing w:before="0" w:after="0"/>
                        <w:jc w:val="left"/>
                        <w:rPr>
                          <w:rFonts w:ascii="Arial" w:hAnsi="Arial"/>
                          <w:b w:val="false"/>
                          <w:i w:val="false"/>
                          <w:caps w:val="false"/>
                          <w:smallCaps w:val="false"/>
                          <w:sz w:val="20"/>
                        </w:rPr>
                      </w:pPr>
                      <w:r>
                        <w:rPr>
                          <w:rFonts w:ascii="Arial" w:hAnsi="Arial"/>
                          <w:b w:val="false"/>
                          <w:i w:val="false"/>
                          <w:caps w:val="false"/>
                          <w:smallCaps w:val="false"/>
                          <w:sz w:val="20"/>
                        </w:rPr>
                        <w:t>Our corporate governance structure consist of:</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3752850" cy="1457325"/>
                            <wp:effectExtent l="0" t="0" r="0" b="0"/>
                            <wp:docPr id="298"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19" descr=""/>
                                    <pic:cNvPicPr>
                                      <a:picLocks noChangeAspect="1" noChangeArrowheads="1"/>
                                    </pic:cNvPicPr>
                                  </pic:nvPicPr>
                                  <pic:blipFill>
                                    <a:blip r:embed="rId201"/>
                                    <a:stretch>
                                      <a:fillRect/>
                                    </a:stretch>
                                  </pic:blipFill>
                                  <pic:spPr bwMode="auto">
                                    <a:xfrm>
                                      <a:off x="0" y="0"/>
                                      <a:ext cx="3752850" cy="1457325"/>
                                    </a:xfrm>
                                    <a:prstGeom prst="rect">
                                      <a:avLst/>
                                    </a:prstGeom>
                                  </pic:spPr>
                                </pic:pic>
                              </a:graphicData>
                            </a:graphic>
                          </wp:inline>
                        </w:drawing>
                      </w: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 w:hAnsi="Arial"/>
                          <w:b/>
                          <w:i w:val="false"/>
                          <w:caps w:val="false"/>
                          <w:smallCaps w:val="false"/>
                          <w:color w:val="FE5000"/>
                          <w:sz w:val="28"/>
                        </w:rPr>
                      </w:pPr>
                      <w:r>
                        <w:rPr>
                          <w:rFonts w:ascii="Arial" w:hAnsi="Arial"/>
                          <w:b/>
                          <w:i w:val="false"/>
                          <w:caps w:val="false"/>
                          <w:smallCaps w:val="false"/>
                          <w:color w:val="FE5000"/>
                          <w:sz w:val="28"/>
                        </w:rPr>
                        <w:t>4.1.1. General Shareholders’ Meeting</w:t>
                      </w:r>
                    </w:p>
                    <w:p>
                      <w:pPr>
                        <w:pStyle w:val="TextBody"/>
                        <w:bidi w:val="0"/>
                        <w:spacing w:before="0" w:after="0"/>
                        <w:jc w:val="left"/>
                        <w:rPr>
                          <w:caps w:val="false"/>
                          <w:smallCaps w:val="false"/>
                          <w:color w:val="FE5000"/>
                        </w:rPr>
                      </w:pPr>
                      <w:r>
                        <w:rPr>
                          <w:caps w:val="false"/>
                          <w:smallCaps w:val="false"/>
                          <w:color w:val="FE5000"/>
                        </w:rPr>
                        <w:t> </w:t>
                      </w:r>
                    </w:p>
                    <w:p>
                      <w:pPr>
                        <w:pStyle w:val="TextBody"/>
                        <w:bidi w:val="0"/>
                        <w:spacing w:before="0" w:after="0"/>
                        <w:jc w:val="left"/>
                        <w:rPr>
                          <w:rFonts w:ascii="Arial" w:hAnsi="Arial"/>
                          <w:b w:val="false"/>
                          <w:i w:val="false"/>
                          <w:caps w:val="false"/>
                          <w:smallCaps w:val="false"/>
                          <w:sz w:val="20"/>
                        </w:rPr>
                      </w:pPr>
                      <w:r>
                        <w:rPr>
                          <w:rFonts w:ascii="Arial" w:hAnsi="Arial"/>
                          <w:b w:val="false"/>
                          <w:i w:val="false"/>
                          <w:caps w:val="false"/>
                          <w:smallCaps w:val="false"/>
                          <w:sz w:val="20"/>
                        </w:rPr>
                        <w:t>The Ordinary General Shareholders Meeting held every year has the following objectives: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To receive the auditor’s annual report and the financial statements for the year ended 31 December of the previous year</w:t>
                            </w:r>
                          </w:p>
                        </w:tc>
                      </w:tr>
                    </w:tbl>
                    <w:tbl>
                      <w:tblPr>
                        <w:tblW w:w="5808" w:type="dxa"/>
                        <w:jc w:val="left"/>
                        <w:tblInd w:w="0" w:type="dxa"/>
                        <w:tblLayout w:type="fixed"/>
                        <w:tblCellMar>
                          <w:top w:w="0" w:type="dxa"/>
                          <w:left w:w="0" w:type="dxa"/>
                          <w:bottom w:w="0" w:type="dxa"/>
                          <w:right w:w="0" w:type="dxa"/>
                        </w:tblCellMar>
                      </w:tblPr>
                      <w:tblGrid>
                        <w:gridCol w:w="38"/>
                        <w:gridCol w:w="170"/>
                        <w:gridCol w:w="5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00"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To elect directors (3-year periods) and to set their compensation</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9">
                <wp:simplePos x="0" y="0"/>
                <wp:positionH relativeFrom="column">
                  <wp:align>right</wp:align>
                </wp:positionH>
                <wp:positionV relativeFrom="line">
                  <wp:posOffset>635</wp:posOffset>
                </wp:positionV>
                <wp:extent cx="3110230" cy="6328410"/>
                <wp:effectExtent l="0" t="0" r="0" b="0"/>
                <wp:wrapSquare wrapText="left"/>
                <wp:docPr id="299" name="Frame99"/>
                <a:graphic xmlns:a="http://schemas.openxmlformats.org/drawingml/2006/main">
                  <a:graphicData uri="http://schemas.microsoft.com/office/word/2010/wordprocessingShape">
                    <wps:wsp>
                      <wps:cNvSpPr txBox="1"/>
                      <wps:spPr>
                        <a:xfrm>
                          <a:off x="0" y="0"/>
                          <a:ext cx="3110230" cy="6328410"/>
                        </a:xfrm>
                        <a:prstGeom prst="rect"/>
                        <a:solidFill>
                          <a:srgbClr val="FFFFFF"/>
                        </a:solidFill>
                      </wps:spPr>
                      <wps:txbx>
                        <w:txbxContent>
                          <w:tbl>
                            <w:tblPr>
                              <w:tblW w:w="4683" w:type="dxa"/>
                              <w:jc w:val="left"/>
                              <w:tblInd w:w="0" w:type="dxa"/>
                              <w:tblLayout w:type="fixed"/>
                              <w:tblCellMar>
                                <w:top w:w="0" w:type="dxa"/>
                                <w:left w:w="0" w:type="dxa"/>
                                <w:bottom w:w="0" w:type="dxa"/>
                                <w:right w:w="0" w:type="dxa"/>
                              </w:tblCellMar>
                            </w:tblPr>
                            <w:tblGrid>
                              <w:gridCol w:w="38"/>
                              <w:gridCol w:w="170"/>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75"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To designate the external auditors for the year, and</w:t>
                                  </w:r>
                                </w:p>
                              </w:tc>
                            </w:tr>
                          </w:tbl>
                          <w:tbl>
                            <w:tblPr>
                              <w:tblW w:w="6933" w:type="dxa"/>
                              <w:jc w:val="left"/>
                              <w:tblInd w:w="0" w:type="dxa"/>
                              <w:tblLayout w:type="fixed"/>
                              <w:tblCellMar>
                                <w:top w:w="0" w:type="dxa"/>
                                <w:left w:w="0" w:type="dxa"/>
                                <w:bottom w:w="0" w:type="dxa"/>
                                <w:right w:w="0" w:type="dxa"/>
                              </w:tblCellMar>
                            </w:tblPr>
                            <w:tblGrid>
                              <w:gridCol w:w="38"/>
                              <w:gridCol w:w="170"/>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25"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To decide on any other matter that is submitted to the Shareholders Meeting.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Further details about convening the meeting, shareholder participation, and procedures before and during the meeting are available in our </w:t>
                            </w:r>
                            <w:r>
                              <w:rPr>
                                <w:rFonts w:ascii="Arial" w:hAnsi="Arial"/>
                                <w:b/>
                                <w:i w:val="false"/>
                                <w:caps w:val="false"/>
                                <w:smallCaps w:val="false"/>
                                <w:sz w:val="20"/>
                              </w:rPr>
                              <w:t>Shareholders Guide</w:t>
                            </w:r>
                            <w:r>
                              <w:rPr>
                                <w:rFonts w:ascii="Arial" w:hAnsi="Arial"/>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 w:hAnsi="Arial"/>
                                <w:b/>
                                <w:i w:val="false"/>
                                <w:caps w:val="false"/>
                                <w:smallCaps w:val="false"/>
                                <w:color w:val="FE5000"/>
                                <w:sz w:val="28"/>
                              </w:rPr>
                            </w:pPr>
                            <w:r>
                              <w:rPr>
                                <w:rFonts w:ascii="Arial" w:hAnsi="Arial"/>
                                <w:b/>
                                <w:i w:val="false"/>
                                <w:caps w:val="false"/>
                                <w:smallCaps w:val="false"/>
                                <w:color w:val="FE5000"/>
                                <w:sz w:val="28"/>
                              </w:rPr>
                              <w:t>4.1.2. Our Board</w:t>
                            </w:r>
                          </w:p>
                          <w:p>
                            <w:pPr>
                              <w:pStyle w:val="TextBody"/>
                              <w:bidi w:val="0"/>
                              <w:spacing w:before="0" w:after="0"/>
                              <w:jc w:val="left"/>
                              <w:rPr>
                                <w:caps w:val="false"/>
                                <w:smallCaps w:val="false"/>
                                <w:color w:val="FE5000"/>
                              </w:rPr>
                            </w:pPr>
                            <w:r>
                              <w:rPr>
                                <w:caps w:val="false"/>
                                <w:smallCaps w:val="false"/>
                                <w:color w:val="FE5000"/>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The Board of Directors is responsible for administering and managing the businesses of Credicorp Ltd. The conduct of its members is guided by the principles of loyalty and good faith pursuant to their mandate to ensure long-term benefits for the company and its stakeholders.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The board meets at least once every two months, and the quorum for its sessions is a simple majority of members. For a motion to be carried, the majority of those present must agree. In 2023, nine meetings were held, and all members attended each one.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The following boxes provide more detailed information about the board’s 2023 achievements as part of its continuous improvement process: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524250" cy="1466850"/>
                                  <wp:effectExtent l="0" t="0" r="0" b="0"/>
                                  <wp:docPr id="30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120" descr=""/>
                                          <pic:cNvPicPr>
                                            <a:picLocks noChangeAspect="1" noChangeArrowheads="1"/>
                                          </pic:cNvPicPr>
                                        </pic:nvPicPr>
                                        <pic:blipFill>
                                          <a:blip r:embed="rId202"/>
                                          <a:stretch>
                                            <a:fillRect/>
                                          </a:stretch>
                                        </pic:blipFill>
                                        <pic:spPr bwMode="auto">
                                          <a:xfrm>
                                            <a:off x="0" y="0"/>
                                            <a:ext cx="3524250" cy="1466850"/>
                                          </a:xfrm>
                                          <a:prstGeom prst="rect">
                                            <a:avLst/>
                                          </a:prstGeom>
                                        </pic:spPr>
                                      </pic:pic>
                                    </a:graphicData>
                                  </a:graphic>
                                </wp:inline>
                              </w:drawing>
                            </w:r>
                            <w:r>
                              <w:rPr>
                                <w:caps w:val="false"/>
                                <w:smallCaps w:val="false"/>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98.3pt;mso-wrap-distance-left:0pt;mso-wrap-distance-right:0pt;mso-wrap-distance-top:0pt;mso-wrap-distance-bottom:0pt;margin-top:0pt;mso-position-vertical:top;mso-position-vertical-relative:text;margin-left:265.35pt;mso-position-horizontal:right;mso-position-horizontal-relative:text">
                <v:textbox>
                  <w:txbxContent>
                    <w:tbl>
                      <w:tblPr>
                        <w:tblW w:w="4683" w:type="dxa"/>
                        <w:jc w:val="left"/>
                        <w:tblInd w:w="0" w:type="dxa"/>
                        <w:tblLayout w:type="fixed"/>
                        <w:tblCellMar>
                          <w:top w:w="0" w:type="dxa"/>
                          <w:left w:w="0" w:type="dxa"/>
                          <w:bottom w:w="0" w:type="dxa"/>
                          <w:right w:w="0" w:type="dxa"/>
                        </w:tblCellMar>
                      </w:tblPr>
                      <w:tblGrid>
                        <w:gridCol w:w="38"/>
                        <w:gridCol w:w="170"/>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75"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To designate the external auditors for the year, and</w:t>
                            </w:r>
                          </w:p>
                        </w:tc>
                      </w:tr>
                    </w:tbl>
                    <w:tbl>
                      <w:tblPr>
                        <w:tblW w:w="6933" w:type="dxa"/>
                        <w:jc w:val="left"/>
                        <w:tblInd w:w="0" w:type="dxa"/>
                        <w:tblLayout w:type="fixed"/>
                        <w:tblCellMar>
                          <w:top w:w="0" w:type="dxa"/>
                          <w:left w:w="0" w:type="dxa"/>
                          <w:bottom w:w="0" w:type="dxa"/>
                          <w:right w:w="0" w:type="dxa"/>
                        </w:tblCellMar>
                      </w:tblPr>
                      <w:tblGrid>
                        <w:gridCol w:w="38"/>
                        <w:gridCol w:w="170"/>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25"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To decide on any other matter that is submitted to the Shareholders Meeting.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Further details about convening the meeting, shareholder participation, and procedures before and during the meeting are available in our </w:t>
                      </w:r>
                      <w:r>
                        <w:rPr>
                          <w:rFonts w:ascii="Arial" w:hAnsi="Arial"/>
                          <w:b/>
                          <w:i w:val="false"/>
                          <w:caps w:val="false"/>
                          <w:smallCaps w:val="false"/>
                          <w:sz w:val="20"/>
                        </w:rPr>
                        <w:t>Shareholders Guide</w:t>
                      </w:r>
                      <w:r>
                        <w:rPr>
                          <w:rFonts w:ascii="Arial" w:hAnsi="Arial"/>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 w:hAnsi="Arial"/>
                          <w:b/>
                          <w:i w:val="false"/>
                          <w:caps w:val="false"/>
                          <w:smallCaps w:val="false"/>
                          <w:color w:val="FE5000"/>
                          <w:sz w:val="28"/>
                        </w:rPr>
                      </w:pPr>
                      <w:r>
                        <w:rPr>
                          <w:rFonts w:ascii="Arial" w:hAnsi="Arial"/>
                          <w:b/>
                          <w:i w:val="false"/>
                          <w:caps w:val="false"/>
                          <w:smallCaps w:val="false"/>
                          <w:color w:val="FE5000"/>
                          <w:sz w:val="28"/>
                        </w:rPr>
                        <w:t>4.1.2. Our Board</w:t>
                      </w:r>
                    </w:p>
                    <w:p>
                      <w:pPr>
                        <w:pStyle w:val="TextBody"/>
                        <w:bidi w:val="0"/>
                        <w:spacing w:before="0" w:after="0"/>
                        <w:jc w:val="left"/>
                        <w:rPr>
                          <w:caps w:val="false"/>
                          <w:smallCaps w:val="false"/>
                          <w:color w:val="FE5000"/>
                        </w:rPr>
                      </w:pPr>
                      <w:r>
                        <w:rPr>
                          <w:caps w:val="false"/>
                          <w:smallCaps w:val="false"/>
                          <w:color w:val="FE5000"/>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The Board of Directors is responsible for administering and managing the businesses of Credicorp Ltd. The conduct of its members is guided by the principles of loyalty and good faith pursuant to their mandate to ensure long-term benefits for the company and its stakeholders.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The board meets at least once every two months, and the quorum for its sessions is a simple majority of members. For a motion to be carried, the majority of those present must agree. In 2023, nine meetings were held, and all members attended each one.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The following boxes provide more detailed information about the board’s 2023 achievements as part of its continuous improvement process: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524250" cy="1466850"/>
                            <wp:effectExtent l="0" t="0" r="0" b="0"/>
                            <wp:docPr id="301"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120" descr=""/>
                                    <pic:cNvPicPr>
                                      <a:picLocks noChangeAspect="1" noChangeArrowheads="1"/>
                                    </pic:cNvPicPr>
                                  </pic:nvPicPr>
                                  <pic:blipFill>
                                    <a:blip r:embed="rId203"/>
                                    <a:stretch>
                                      <a:fillRect/>
                                    </a:stretch>
                                  </pic:blipFill>
                                  <pic:spPr bwMode="auto">
                                    <a:xfrm>
                                      <a:off x="0" y="0"/>
                                      <a:ext cx="3524250" cy="1466850"/>
                                    </a:xfrm>
                                    <a:prstGeom prst="rect">
                                      <a:avLst/>
                                    </a:prstGeom>
                                  </pic:spPr>
                                </pic:pic>
                              </a:graphicData>
                            </a:graphic>
                          </wp:inline>
                        </w:drawing>
                      </w:r>
                      <w:r>
                        <w:rPr>
                          <w:caps w:val="false"/>
                          <w:smallCaps w:val="false"/>
                        </w:rPr>
                        <w:t> </w:t>
                      </w:r>
                    </w:p>
                  </w:txbxContent>
                </v:textbox>
                <w10:wrap type="square" side="left"/>
              </v:rect>
            </w:pict>
          </mc:Fallback>
        </mc:AlternateConten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48</w:t>
      </w:r>
    </w:p>
    <w:p>
      <w:pPr>
        <w:pStyle w:val="HorizontalLine"/>
        <w:pBdr>
          <w:bottom w:val="single" w:sz="12" w:space="0" w:color="808080"/>
        </w:pBdr>
        <w:bidi w:val="0"/>
        <w:spacing w:before="200" w:after="200"/>
        <w:jc w:val="left"/>
        <w:rPr/>
      </w:pPr>
      <w:r>
        <w:rPr/>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41">
                <wp:simplePos x="0" y="0"/>
                <wp:positionH relativeFrom="column">
                  <wp:align>right</wp:align>
                </wp:positionH>
                <wp:positionV relativeFrom="line">
                  <wp:posOffset>635</wp:posOffset>
                </wp:positionV>
                <wp:extent cx="3110230" cy="4697095"/>
                <wp:effectExtent l="0" t="0" r="0" b="0"/>
                <wp:wrapSquare wrapText="left"/>
                <wp:docPr id="302" name="Frame101"/>
                <a:graphic xmlns:a="http://schemas.openxmlformats.org/drawingml/2006/main">
                  <a:graphicData uri="http://schemas.microsoft.com/office/word/2010/wordprocessingShape">
                    <wps:wsp>
                      <wps:cNvSpPr txBox="1"/>
                      <wps:spPr>
                        <a:xfrm>
                          <a:off x="0" y="0"/>
                          <a:ext cx="3110230" cy="4697095"/>
                        </a:xfrm>
                        <a:prstGeom prst="rect"/>
                        <a:solidFill>
                          <a:srgbClr val="FFFFFF"/>
                        </a:solidFill>
                      </wps:spPr>
                      <wps:txbx>
                        <w:txbxContent>
                          <w:p>
                            <w:pPr>
                              <w:pStyle w:val="TextBody"/>
                              <w:bidi w:val="0"/>
                              <w:spacing w:before="0" w:after="0"/>
                              <w:jc w:val="center"/>
                              <w:rPr>
                                <w:rFonts w:ascii="Arial" w:hAnsi="Arial"/>
                                <w:b/>
                                <w:i w:val="false"/>
                                <w:caps w:val="false"/>
                                <w:smallCaps w:val="false"/>
                                <w:sz w:val="20"/>
                              </w:rPr>
                            </w:pPr>
                            <w:r>
                              <w:rPr>
                                <w:rFonts w:ascii="Arial" w:hAnsi="Arial"/>
                                <w:b/>
                                <w:i w:val="false"/>
                                <w:caps w:val="false"/>
                                <w:smallCaps w:val="false"/>
                                <w:sz w:val="20"/>
                              </w:rPr>
                              <w:t>Board skills and diversity matrix</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810000" cy="1714500"/>
                                  <wp:effectExtent l="0" t="0" r="0" b="0"/>
                                  <wp:docPr id="303"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121" descr=""/>
                                          <pic:cNvPicPr>
                                            <a:picLocks noChangeAspect="1" noChangeArrowheads="1"/>
                                          </pic:cNvPicPr>
                                        </pic:nvPicPr>
                                        <pic:blipFill>
                                          <a:blip r:embed="rId204"/>
                                          <a:stretch>
                                            <a:fillRect/>
                                          </a:stretch>
                                        </pic:blipFill>
                                        <pic:spPr bwMode="auto">
                                          <a:xfrm>
                                            <a:off x="0" y="0"/>
                                            <a:ext cx="3810000" cy="171450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Complementing the board’s existing independence and gender diversity, its new members have brought additional capacities and in-depth local and international expertise (in banking, finance, insurance, legal, business management, and private equity) and new capabilities (in issues such as digitalization, transformation, commercial, marketing, education, and sustainability).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524250" cy="1076325"/>
                                  <wp:effectExtent l="0" t="0" r="0" b="0"/>
                                  <wp:docPr id="304"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122" descr=""/>
                                          <pic:cNvPicPr>
                                            <a:picLocks noChangeAspect="1" noChangeArrowheads="1"/>
                                          </pic:cNvPicPr>
                                        </pic:nvPicPr>
                                        <pic:blipFill>
                                          <a:blip r:embed="rId205"/>
                                          <a:stretch>
                                            <a:fillRect/>
                                          </a:stretch>
                                        </pic:blipFill>
                                        <pic:spPr bwMode="auto">
                                          <a:xfrm>
                                            <a:off x="0" y="0"/>
                                            <a:ext cx="3524250" cy="1076325"/>
                                          </a:xfrm>
                                          <a:prstGeom prst="rect">
                                            <a:avLst/>
                                          </a:prstGeom>
                                        </pic:spPr>
                                      </pic:pic>
                                    </a:graphicData>
                                  </a:graphic>
                                </wp:inline>
                              </w:drawing>
                            </w:r>
                            <w:r>
                              <w:rPr>
                                <w:caps w:val="false"/>
                                <w:smallCaps w:val="false"/>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69.85pt;mso-wrap-distance-left:0pt;mso-wrap-distance-right:0pt;mso-wrap-distance-top:0pt;mso-wrap-distance-bottom:0pt;margin-top:0pt;mso-position-vertical:top;mso-position-vertical-relative:text;margin-left:20.4pt;mso-position-horizontal:right;mso-position-horizontal-relative:text">
                <v:textbox>
                  <w:txbxContent>
                    <w:p>
                      <w:pPr>
                        <w:pStyle w:val="TextBody"/>
                        <w:bidi w:val="0"/>
                        <w:spacing w:before="0" w:after="0"/>
                        <w:jc w:val="center"/>
                        <w:rPr>
                          <w:rFonts w:ascii="Arial" w:hAnsi="Arial"/>
                          <w:b/>
                          <w:i w:val="false"/>
                          <w:caps w:val="false"/>
                          <w:smallCaps w:val="false"/>
                          <w:sz w:val="20"/>
                        </w:rPr>
                      </w:pPr>
                      <w:r>
                        <w:rPr>
                          <w:rFonts w:ascii="Arial" w:hAnsi="Arial"/>
                          <w:b/>
                          <w:i w:val="false"/>
                          <w:caps w:val="false"/>
                          <w:smallCaps w:val="false"/>
                          <w:sz w:val="20"/>
                        </w:rPr>
                        <w:t>Board skills and diversity matrix</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810000" cy="1714500"/>
                            <wp:effectExtent l="0" t="0" r="0" b="0"/>
                            <wp:docPr id="305"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121" descr=""/>
                                    <pic:cNvPicPr>
                                      <a:picLocks noChangeAspect="1" noChangeArrowheads="1"/>
                                    </pic:cNvPicPr>
                                  </pic:nvPicPr>
                                  <pic:blipFill>
                                    <a:blip r:embed="rId206"/>
                                    <a:stretch>
                                      <a:fillRect/>
                                    </a:stretch>
                                  </pic:blipFill>
                                  <pic:spPr bwMode="auto">
                                    <a:xfrm>
                                      <a:off x="0" y="0"/>
                                      <a:ext cx="3810000" cy="171450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Complementing the board’s existing independence and gender diversity, its new members have brought additional capacities and in-depth local and international expertise (in banking, finance, insurance, legal, business management, and private equity) and new capabilities (in issues such as digitalization, transformation, commercial, marketing, education, and sustainability).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524250" cy="1076325"/>
                            <wp:effectExtent l="0" t="0" r="0" b="0"/>
                            <wp:docPr id="306"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122" descr=""/>
                                    <pic:cNvPicPr>
                                      <a:picLocks noChangeAspect="1" noChangeArrowheads="1"/>
                                    </pic:cNvPicPr>
                                  </pic:nvPicPr>
                                  <pic:blipFill>
                                    <a:blip r:embed="rId207"/>
                                    <a:stretch>
                                      <a:fillRect/>
                                    </a:stretch>
                                  </pic:blipFill>
                                  <pic:spPr bwMode="auto">
                                    <a:xfrm>
                                      <a:off x="0" y="0"/>
                                      <a:ext cx="3524250" cy="1076325"/>
                                    </a:xfrm>
                                    <a:prstGeom prst="rect">
                                      <a:avLst/>
                                    </a:prstGeom>
                                  </pic:spPr>
                                </pic:pic>
                              </a:graphicData>
                            </a:graphic>
                          </wp:inline>
                        </w:drawing>
                      </w:r>
                      <w:r>
                        <w:rPr>
                          <w:caps w:val="false"/>
                          <w:smallCaps w:val="false"/>
                        </w:rPr>
                        <w:t> </w:t>
                      </w:r>
                    </w:p>
                  </w:txbxContent>
                </v:textbox>
                <w10:wrap type="square" side="left"/>
              </v:rect>
            </w:pict>
          </mc:Fallback>
        </mc:AlternateContent>
      </w:r>
      <w:r>
        <mc:AlternateContent>
          <mc:Choice Requires="wps">
            <w:drawing>
              <wp:anchor behindDoc="0" distT="0" distB="0" distL="0" distR="0" simplePos="0" locked="0" layoutInCell="1" allowOverlap="1" relativeHeight="295">
                <wp:simplePos x="0" y="0"/>
                <wp:positionH relativeFrom="column">
                  <wp:align>left</wp:align>
                </wp:positionH>
                <wp:positionV relativeFrom="line">
                  <wp:posOffset>635</wp:posOffset>
                </wp:positionV>
                <wp:extent cx="3110230" cy="5988050"/>
                <wp:effectExtent l="0" t="0" r="0" b="0"/>
                <wp:wrapSquare wrapText="right"/>
                <wp:docPr id="307" name="Frame100"/>
                <a:graphic xmlns:a="http://schemas.openxmlformats.org/drawingml/2006/main">
                  <a:graphicData uri="http://schemas.microsoft.com/office/word/2010/wordprocessingShape">
                    <wps:wsp>
                      <wps:cNvSpPr txBox="1"/>
                      <wps:spPr>
                        <a:xfrm>
                          <a:off x="0" y="0"/>
                          <a:ext cx="3110230" cy="5988050"/>
                        </a:xfrm>
                        <a:prstGeom prst="rect"/>
                        <a:solidFill>
                          <a:srgbClr val="FFFFFF"/>
                        </a:solidFill>
                      </wps:spPr>
                      <wps:txbx>
                        <w:txbxContent>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In 2023, seven directors and four executives (CEO, COO, CINO, and the BCP CEO) undertook a mission of inspiration and education to meet senior executives from global companies working in payments, technology, consulting, and fintech. The main themes covered included technology in the future, cybersecurity, artificial intelligence, trends in financial services (open banking, blockchain, embedded finance), and topics related to how culture evolves and the future role of boards.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Board members also attended several sustainability training programs with a particular emphasis on the environment. Further details are available in the change management section of this report.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 w:hAnsi="Arial"/>
                                <w:b/>
                                <w:i w:val="false"/>
                                <w:caps w:val="false"/>
                                <w:smallCaps w:val="false"/>
                                <w:sz w:val="20"/>
                              </w:rPr>
                            </w:pPr>
                            <w:r>
                              <w:rPr>
                                <w:rFonts w:ascii="Arial" w:hAnsi="Arial"/>
                                <w:b/>
                                <w:i w:val="false"/>
                                <w:caps w:val="false"/>
                                <w:smallCaps w:val="false"/>
                                <w:sz w:val="20"/>
                              </w:rPr>
                              <w:t>4.1.2.1. The board’s 2023 independence, diversity, and competencies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It is essential that we have diverse leadership with capabilities that respond to Credicorp’s current and future strategic needs and that strikes the right balance between independence and non-independence. The board’s nine directors are elected by the General Shareholders Meeting for three years and maybe re-elected. The board should also have no less than three independent directors; where possible, most of its members should be independent. The aim is for at least two women to sit on the board.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Luis Romero Belismelis, as Chair of the Board of Directors of Credicorp Ltd., is responsible for, among other issues, the company’s governance and performance. He must also lead and manage measures to ensure that Credicorp meets its obligations.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Conyers Corporate Services Ltd (Bermuda) performs the Corporate Secretary role. Guillermo Jesús Morales Valentín is the Deputy Secretary.</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71.5pt;mso-wrap-distance-left:0pt;mso-wrap-distance-right:0pt;mso-wrap-distance-top:0pt;mso-wrap-distance-bottom:0pt;margin-top:0pt;mso-position-vertical:top;mso-position-vertical-relative:text;margin-left:244.9pt;mso-position-horizontal:left;mso-position-horizontal-relative:text">
                <v:textbox>
                  <w:txbxContent>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In 2023, seven directors and four executives (CEO, COO, CINO, and the BCP CEO) undertook a mission of inspiration and education to meet senior executives from global companies working in payments, technology, consulting, and fintech. The main themes covered included technology in the future, cybersecurity, artificial intelligence, trends in financial services (open banking, blockchain, embedded finance), and topics related to how culture evolves and the future role of boards.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Board members also attended several sustainability training programs with a particular emphasis on the environment. Further details are available in the change management section of this report.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 w:hAnsi="Arial"/>
                          <w:b/>
                          <w:i w:val="false"/>
                          <w:caps w:val="false"/>
                          <w:smallCaps w:val="false"/>
                          <w:sz w:val="20"/>
                        </w:rPr>
                      </w:pPr>
                      <w:r>
                        <w:rPr>
                          <w:rFonts w:ascii="Arial" w:hAnsi="Arial"/>
                          <w:b/>
                          <w:i w:val="false"/>
                          <w:caps w:val="false"/>
                          <w:smallCaps w:val="false"/>
                          <w:sz w:val="20"/>
                        </w:rPr>
                        <w:t>4.1.2.1. The board’s 2023 independence, diversity, and competencies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It is essential that we have diverse leadership with capabilities that respond to Credicorp’s current and future strategic needs and that strikes the right balance between independence and non-independence. The board’s nine directors are elected by the General Shareholders Meeting for three years and maybe re-elected. The board should also have no less than three independent directors; where possible, most of its members should be independent. The aim is for at least two women to sit on the board.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Luis Romero Belismelis, as Chair of the Board of Directors of Credicorp Ltd., is responsible for, among other issues, the company’s governance and performance. He must also lead and manage measures to ensure that Credicorp meets its obligations.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Conyers Corporate Services Ltd (Bermuda) performs the Corporate Secretary role. Guillermo Jesús Morales Valentín is the Deputy Secretary.</w:t>
                      </w:r>
                    </w:p>
                  </w:txbxContent>
                </v:textbox>
                <w10:wrap type="square" side="right"/>
              </v:rect>
            </w:pict>
          </mc:Fallback>
        </mc:AlternateConten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49</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296">
                <wp:simplePos x="0" y="0"/>
                <wp:positionH relativeFrom="column">
                  <wp:align>left</wp:align>
                </wp:positionH>
                <wp:positionV relativeFrom="line">
                  <wp:posOffset>635</wp:posOffset>
                </wp:positionV>
                <wp:extent cx="3110230" cy="6834505"/>
                <wp:effectExtent l="0" t="0" r="0" b="0"/>
                <wp:wrapSquare wrapText="right"/>
                <wp:docPr id="308" name="Frame102"/>
                <a:graphic xmlns:a="http://schemas.openxmlformats.org/drawingml/2006/main">
                  <a:graphicData uri="http://schemas.microsoft.com/office/word/2010/wordprocessingShape">
                    <wps:wsp>
                      <wps:cNvSpPr txBox="1"/>
                      <wps:spPr>
                        <a:xfrm>
                          <a:off x="0" y="0"/>
                          <a:ext cx="3110230" cy="6834505"/>
                        </a:xfrm>
                        <a:prstGeom prst="rect"/>
                        <a:solidFill>
                          <a:srgbClr val="FFFFFF"/>
                        </a:solidFill>
                      </wps:spPr>
                      <wps:txbx>
                        <w:txbxContent>
                          <w:p>
                            <w:pPr>
                              <w:pStyle w:val="TextBody"/>
                              <w:bidi w:val="0"/>
                              <w:spacing w:before="0" w:after="0"/>
                              <w:jc w:val="left"/>
                              <w:rPr>
                                <w:rFonts w:ascii="Arial" w:hAnsi="Arial"/>
                                <w:b/>
                                <w:i w:val="false"/>
                                <w:caps w:val="false"/>
                                <w:smallCaps w:val="false"/>
                                <w:sz w:val="20"/>
                              </w:rPr>
                            </w:pPr>
                            <w:r>
                              <w:rPr>
                                <w:rFonts w:ascii="Arial" w:hAnsi="Arial"/>
                                <w:b/>
                                <w:i w:val="false"/>
                                <w:caps w:val="false"/>
                                <w:smallCaps w:val="false"/>
                                <w:sz w:val="20"/>
                              </w:rPr>
                              <w:t>4.1.2.2. Board committees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Three of the board’s four committees are chaired by independent directors, and all have at least one female director. During 2023, with the renewal of the board, Pedro Rubio joined the Sustainability Committee, bringing extensive experience in the universal banking business, especially wholesale, which will help us continue to drive into the business the integration of sustainability and the vision of opportunity it presents.</w:t>
                            </w:r>
                          </w:p>
                          <w:p>
                            <w:pPr>
                              <w:pStyle w:val="TextBody"/>
                              <w:bidi w:val="0"/>
                              <w:spacing w:before="0" w:after="0"/>
                              <w:jc w:val="both"/>
                              <w:rPr>
                                <w:caps w:val="false"/>
                                <w:smallCaps w:val="false"/>
                              </w:rPr>
                            </w:pPr>
                            <w:r>
                              <w:rPr>
                                <w:caps w:val="false"/>
                                <w:smallCaps w:val="false"/>
                              </w:rPr>
                              <w:t> </w:t>
                            </w:r>
                          </w:p>
                          <w:tbl>
                            <w:tblPr>
                              <w:tblW w:w="5800" w:type="dxa"/>
                              <w:jc w:val="left"/>
                              <w:tblInd w:w="0" w:type="dxa"/>
                              <w:tblLayout w:type="fixed"/>
                              <w:tblCellMar>
                                <w:top w:w="0" w:type="dxa"/>
                                <w:left w:w="0" w:type="dxa"/>
                                <w:bottom w:w="80" w:type="dxa"/>
                                <w:right w:w="60" w:type="dxa"/>
                              </w:tblCellMar>
                            </w:tblPr>
                            <w:tblGrid>
                              <w:gridCol w:w="1025"/>
                              <w:gridCol w:w="965"/>
                              <w:gridCol w:w="965"/>
                              <w:gridCol w:w="1640"/>
                              <w:gridCol w:w="1205"/>
                            </w:tblGrid>
                            <w:tr>
                              <w:trPr/>
                              <w:tc>
                                <w:tcPr>
                                  <w:tcW w:w="1025" w:type="dxa"/>
                                  <w:tcBorders>
                                    <w:bottom w:val="single" w:sz="8" w:space="0" w:color="FFFFFF"/>
                                    <w:right w:val="single" w:sz="8" w:space="0" w:color="FFFFFF"/>
                                  </w:tcBorders>
                                  <w:shd w:fill="FFFFFF" w:val="clear"/>
                                  <w:vAlign w:val="center"/>
                                </w:tcPr>
                                <w:p>
                                  <w:pPr>
                                    <w:pStyle w:val="TableContents"/>
                                    <w:bidi w:val="0"/>
                                    <w:spacing w:before="0" w:after="283"/>
                                    <w:jc w:val="center"/>
                                    <w:rPr>
                                      <w:caps w:val="false"/>
                                      <w:smallCaps w:val="false"/>
                                      <w:color w:val="FFFFFF"/>
                                    </w:rPr>
                                  </w:pPr>
                                  <w:r>
                                    <w:rPr>
                                      <w:caps w:val="false"/>
                                      <w:smallCaps w:val="false"/>
                                      <w:color w:val="FFFFFF"/>
                                    </w:rPr>
                                    <w:t> </w:t>
                                  </w:r>
                                </w:p>
                              </w:tc>
                              <w:tc>
                                <w:tcPr>
                                  <w:tcW w:w="965" w:type="dxa"/>
                                  <w:tcBorders>
                                    <w:bottom w:val="single" w:sz="8" w:space="0" w:color="FFFFFF"/>
                                    <w:right w:val="single" w:sz="8" w:space="0" w:color="FFFFFF"/>
                                  </w:tcBorders>
                                  <w:shd w:fill="000000" w:val="clear"/>
                                  <w:vAlign w:val="center"/>
                                </w:tcPr>
                                <w:p>
                                  <w:pPr>
                                    <w:pStyle w:val="TableContents"/>
                                    <w:bidi w:val="0"/>
                                    <w:spacing w:before="0" w:after="283"/>
                                    <w:jc w:val="center"/>
                                    <w:rPr>
                                      <w:rFonts w:ascii="Arial" w:hAnsi="Arial"/>
                                      <w:b w:val="false"/>
                                      <w:i w:val="false"/>
                                      <w:caps w:val="false"/>
                                      <w:smallCaps w:val="false"/>
                                      <w:color w:val="FFFFFF"/>
                                      <w:sz w:val="20"/>
                                    </w:rPr>
                                  </w:pPr>
                                  <w:r>
                                    <w:rPr>
                                      <w:rFonts w:ascii="Arial" w:hAnsi="Arial"/>
                                      <w:b w:val="false"/>
                                      <w:i w:val="false"/>
                                      <w:caps w:val="false"/>
                                      <w:smallCaps w:val="false"/>
                                      <w:color w:val="FFFFFF"/>
                                      <w:sz w:val="20"/>
                                    </w:rPr>
                                    <w:t>Audit</w:t>
                                    <w:br/>
                                    <w:t>Committee</w:t>
                                  </w:r>
                                </w:p>
                              </w:tc>
                              <w:tc>
                                <w:tcPr>
                                  <w:tcW w:w="965" w:type="dxa"/>
                                  <w:tcBorders>
                                    <w:bottom w:val="single" w:sz="8" w:space="0" w:color="FFFFFF"/>
                                    <w:right w:val="single" w:sz="8" w:space="0" w:color="FFFFFF"/>
                                  </w:tcBorders>
                                  <w:shd w:fill="000000" w:val="clear"/>
                                  <w:vAlign w:val="center"/>
                                </w:tcPr>
                                <w:p>
                                  <w:pPr>
                                    <w:pStyle w:val="TableContents"/>
                                    <w:bidi w:val="0"/>
                                    <w:spacing w:before="0" w:after="283"/>
                                    <w:jc w:val="center"/>
                                    <w:rPr>
                                      <w:rFonts w:ascii="Arial" w:hAnsi="Arial"/>
                                      <w:b w:val="false"/>
                                      <w:i w:val="false"/>
                                      <w:caps w:val="false"/>
                                      <w:smallCaps w:val="false"/>
                                      <w:color w:val="FFFFFF"/>
                                      <w:sz w:val="20"/>
                                    </w:rPr>
                                  </w:pPr>
                                  <w:r>
                                    <w:rPr>
                                      <w:rFonts w:ascii="Arial" w:hAnsi="Arial"/>
                                      <w:b w:val="false"/>
                                      <w:i w:val="false"/>
                                      <w:caps w:val="false"/>
                                      <w:smallCaps w:val="false"/>
                                      <w:color w:val="FFFFFF"/>
                                      <w:sz w:val="20"/>
                                    </w:rPr>
                                    <w:t>Risk</w:t>
                                    <w:br/>
                                    <w:t>Committee</w:t>
                                  </w:r>
                                </w:p>
                              </w:tc>
                              <w:tc>
                                <w:tcPr>
                                  <w:tcW w:w="1640" w:type="dxa"/>
                                  <w:tcBorders>
                                    <w:bottom w:val="single" w:sz="8" w:space="0" w:color="FFFFFF"/>
                                    <w:right w:val="single" w:sz="8" w:space="0" w:color="FFFFFF"/>
                                  </w:tcBorders>
                                  <w:shd w:fill="000000" w:val="clear"/>
                                  <w:vAlign w:val="center"/>
                                </w:tcPr>
                                <w:p>
                                  <w:pPr>
                                    <w:pStyle w:val="TableContents"/>
                                    <w:bidi w:val="0"/>
                                    <w:spacing w:before="0" w:after="283"/>
                                    <w:jc w:val="center"/>
                                    <w:rPr>
                                      <w:rFonts w:ascii="Arial" w:hAnsi="Arial"/>
                                      <w:b w:val="false"/>
                                      <w:i w:val="false"/>
                                      <w:caps w:val="false"/>
                                      <w:smallCaps w:val="false"/>
                                      <w:color w:val="FFFFFF"/>
                                      <w:sz w:val="20"/>
                                    </w:rPr>
                                  </w:pPr>
                                  <w:r>
                                    <w:rPr>
                                      <w:rFonts w:ascii="Arial" w:hAnsi="Arial"/>
                                      <w:b w:val="false"/>
                                      <w:i w:val="false"/>
                                      <w:caps w:val="false"/>
                                      <w:smallCaps w:val="false"/>
                                      <w:color w:val="FFFFFF"/>
                                      <w:sz w:val="20"/>
                                    </w:rPr>
                                    <w:t>Compensation and</w:t>
                                    <w:br/>
                                    <w:t>Nominations</w:t>
                                    <w:br/>
                                    <w:t>Committee</w:t>
                                  </w:r>
                                </w:p>
                              </w:tc>
                              <w:tc>
                                <w:tcPr>
                                  <w:tcW w:w="1205" w:type="dxa"/>
                                  <w:tcBorders>
                                    <w:bottom w:val="single" w:sz="8" w:space="0" w:color="FFFFFF"/>
                                    <w:right w:val="single" w:sz="8" w:space="0" w:color="FFFFFF"/>
                                  </w:tcBorders>
                                  <w:shd w:fill="000000" w:val="clear"/>
                                  <w:vAlign w:val="center"/>
                                </w:tcPr>
                                <w:p>
                                  <w:pPr>
                                    <w:pStyle w:val="TableContents"/>
                                    <w:bidi w:val="0"/>
                                    <w:spacing w:before="0" w:after="283"/>
                                    <w:jc w:val="center"/>
                                    <w:rPr>
                                      <w:rFonts w:ascii="Arial" w:hAnsi="Arial"/>
                                      <w:b w:val="false"/>
                                      <w:i w:val="false"/>
                                      <w:caps w:val="false"/>
                                      <w:smallCaps w:val="false"/>
                                      <w:color w:val="FFFFFF"/>
                                      <w:sz w:val="20"/>
                                    </w:rPr>
                                  </w:pPr>
                                  <w:r>
                                    <w:rPr>
                                      <w:rFonts w:ascii="Arial" w:hAnsi="Arial"/>
                                      <w:b w:val="false"/>
                                      <w:i w:val="false"/>
                                      <w:caps w:val="false"/>
                                      <w:smallCaps w:val="false"/>
                                      <w:color w:val="FFFFFF"/>
                                      <w:sz w:val="20"/>
                                    </w:rPr>
                                    <w:t>Sustainability</w:t>
                                    <w:br/>
                                    <w:t>Committee</w:t>
                                  </w:r>
                                </w:p>
                              </w:tc>
                            </w:tr>
                            <w:tr>
                              <w:trPr/>
                              <w:tc>
                                <w:tcPr>
                                  <w:tcW w:w="1025" w:type="dxa"/>
                                  <w:tcBorders>
                                    <w:bottom w:val="single" w:sz="8" w:space="0" w:color="FFFFFF"/>
                                    <w:right w:val="single" w:sz="8" w:space="0" w:color="FFFFFF"/>
                                  </w:tcBorders>
                                  <w:shd w:fill="29D2C9" w:val="clear"/>
                                  <w:vAlign w:val="center"/>
                                </w:tcPr>
                                <w:p>
                                  <w:pPr>
                                    <w:pStyle w:val="TableContents"/>
                                    <w:bidi w:val="0"/>
                                    <w:spacing w:before="0" w:after="283"/>
                                    <w:jc w:val="left"/>
                                    <w:rPr>
                                      <w:rFonts w:ascii="Arial" w:hAnsi="Arial"/>
                                      <w:b w:val="false"/>
                                      <w:i w:val="false"/>
                                      <w:caps w:val="false"/>
                                      <w:smallCaps w:val="false"/>
                                      <w:color w:val="FFFFFF"/>
                                      <w:sz w:val="20"/>
                                    </w:rPr>
                                  </w:pPr>
                                  <w:r>
                                    <w:rPr>
                                      <w:rFonts w:ascii="Arial" w:hAnsi="Arial"/>
                                      <w:b w:val="false"/>
                                      <w:i w:val="false"/>
                                      <w:caps w:val="false"/>
                                      <w:smallCaps w:val="false"/>
                                      <w:color w:val="FFFFFF"/>
                                      <w:sz w:val="20"/>
                                    </w:rPr>
                                    <w:t xml:space="preserve"># of </w:t>
                                    <w:br/>
                                    <w:t>meetings</w:t>
                                  </w:r>
                                </w:p>
                              </w:tc>
                              <w:tc>
                                <w:tcPr>
                                  <w:tcW w:w="965" w:type="dxa"/>
                                  <w:tcBorders>
                                    <w:bottom w:val="single" w:sz="8" w:space="0" w:color="FFFFFF"/>
                                    <w:right w:val="single" w:sz="8" w:space="0" w:color="FFFFFF"/>
                                  </w:tcBorders>
                                  <w:shd w:fill="29D2C9" w:val="clear"/>
                                  <w:vAlign w:val="center"/>
                                </w:tcPr>
                                <w:p>
                                  <w:pPr>
                                    <w:pStyle w:val="TableContents"/>
                                    <w:bidi w:val="0"/>
                                    <w:spacing w:before="0" w:after="283"/>
                                    <w:jc w:val="left"/>
                                    <w:rPr>
                                      <w:rFonts w:ascii="Arial" w:hAnsi="Arial"/>
                                      <w:b w:val="false"/>
                                      <w:i w:val="false"/>
                                      <w:caps w:val="false"/>
                                      <w:smallCaps w:val="false"/>
                                      <w:color w:val="FFFFFF"/>
                                      <w:sz w:val="20"/>
                                    </w:rPr>
                                  </w:pPr>
                                  <w:r>
                                    <w:rPr>
                                      <w:rFonts w:ascii="Arial" w:hAnsi="Arial"/>
                                      <w:b w:val="false"/>
                                      <w:i w:val="false"/>
                                      <w:caps w:val="false"/>
                                      <w:smallCaps w:val="false"/>
                                      <w:color w:val="FFFFFF"/>
                                      <w:sz w:val="20"/>
                                    </w:rPr>
                                    <w:t>13</w:t>
                                  </w:r>
                                </w:p>
                              </w:tc>
                              <w:tc>
                                <w:tcPr>
                                  <w:tcW w:w="965" w:type="dxa"/>
                                  <w:tcBorders>
                                    <w:bottom w:val="single" w:sz="8" w:space="0" w:color="FFFFFF"/>
                                    <w:right w:val="single" w:sz="8" w:space="0" w:color="FFFFFF"/>
                                  </w:tcBorders>
                                  <w:shd w:fill="29D2C9" w:val="clear"/>
                                  <w:vAlign w:val="center"/>
                                </w:tcPr>
                                <w:p>
                                  <w:pPr>
                                    <w:pStyle w:val="TableContents"/>
                                    <w:bidi w:val="0"/>
                                    <w:spacing w:before="0" w:after="283"/>
                                    <w:jc w:val="left"/>
                                    <w:rPr>
                                      <w:rFonts w:ascii="Arial" w:hAnsi="Arial"/>
                                      <w:b w:val="false"/>
                                      <w:i w:val="false"/>
                                      <w:caps w:val="false"/>
                                      <w:smallCaps w:val="false"/>
                                      <w:color w:val="FFFFFF"/>
                                      <w:sz w:val="20"/>
                                    </w:rPr>
                                  </w:pPr>
                                  <w:r>
                                    <w:rPr>
                                      <w:rFonts w:ascii="Arial" w:hAnsi="Arial"/>
                                      <w:b w:val="false"/>
                                      <w:i w:val="false"/>
                                      <w:caps w:val="false"/>
                                      <w:smallCaps w:val="false"/>
                                      <w:color w:val="FFFFFF"/>
                                      <w:sz w:val="20"/>
                                    </w:rPr>
                                    <w:t>1</w:t>
                                  </w:r>
                                </w:p>
                              </w:tc>
                              <w:tc>
                                <w:tcPr>
                                  <w:tcW w:w="1640" w:type="dxa"/>
                                  <w:tcBorders>
                                    <w:bottom w:val="single" w:sz="8" w:space="0" w:color="FFFFFF"/>
                                    <w:right w:val="single" w:sz="8" w:space="0" w:color="FFFFFF"/>
                                  </w:tcBorders>
                                  <w:shd w:fill="29D2C9" w:val="clear"/>
                                  <w:vAlign w:val="center"/>
                                </w:tcPr>
                                <w:p>
                                  <w:pPr>
                                    <w:pStyle w:val="TableContents"/>
                                    <w:bidi w:val="0"/>
                                    <w:spacing w:before="0" w:after="283"/>
                                    <w:jc w:val="left"/>
                                    <w:rPr>
                                      <w:rFonts w:ascii="Arial" w:hAnsi="Arial"/>
                                      <w:b w:val="false"/>
                                      <w:i w:val="false"/>
                                      <w:caps w:val="false"/>
                                      <w:smallCaps w:val="false"/>
                                      <w:color w:val="FFFFFF"/>
                                      <w:sz w:val="20"/>
                                    </w:rPr>
                                  </w:pPr>
                                  <w:r>
                                    <w:rPr>
                                      <w:rFonts w:ascii="Arial" w:hAnsi="Arial"/>
                                      <w:b w:val="false"/>
                                      <w:i w:val="false"/>
                                      <w:caps w:val="false"/>
                                      <w:smallCaps w:val="false"/>
                                      <w:color w:val="FFFFFF"/>
                                      <w:sz w:val="20"/>
                                    </w:rPr>
                                    <w:t>1</w:t>
                                  </w:r>
                                </w:p>
                              </w:tc>
                              <w:tc>
                                <w:tcPr>
                                  <w:tcW w:w="1205" w:type="dxa"/>
                                  <w:tcBorders>
                                    <w:bottom w:val="single" w:sz="8" w:space="0" w:color="FFFFFF"/>
                                    <w:right w:val="single" w:sz="8" w:space="0" w:color="FFFFFF"/>
                                  </w:tcBorders>
                                  <w:shd w:fill="29D2C9" w:val="clear"/>
                                  <w:vAlign w:val="center"/>
                                </w:tcPr>
                                <w:p>
                                  <w:pPr>
                                    <w:pStyle w:val="TableContents"/>
                                    <w:bidi w:val="0"/>
                                    <w:spacing w:before="0" w:after="283"/>
                                    <w:jc w:val="left"/>
                                    <w:rPr>
                                      <w:rFonts w:ascii="Arial" w:hAnsi="Arial"/>
                                      <w:b w:val="false"/>
                                      <w:i w:val="false"/>
                                      <w:caps w:val="false"/>
                                      <w:smallCaps w:val="false"/>
                                      <w:color w:val="FFFFFF"/>
                                      <w:sz w:val="20"/>
                                    </w:rPr>
                                  </w:pPr>
                                  <w:r>
                                    <w:rPr>
                                      <w:rFonts w:ascii="Arial" w:hAnsi="Arial"/>
                                      <w:b w:val="false"/>
                                      <w:i w:val="false"/>
                                      <w:caps w:val="false"/>
                                      <w:smallCaps w:val="false"/>
                                      <w:color w:val="FFFFFF"/>
                                      <w:sz w:val="20"/>
                                    </w:rPr>
                                    <w:t>5</w:t>
                                  </w:r>
                                </w:p>
                              </w:tc>
                            </w:tr>
                            <w:tr>
                              <w:trPr/>
                              <w:tc>
                                <w:tcPr>
                                  <w:tcW w:w="1025" w:type="dxa"/>
                                  <w:tcBorders>
                                    <w:bottom w:val="single" w:sz="8" w:space="0" w:color="FFFFFF"/>
                                    <w:right w:val="single" w:sz="8" w:space="0" w:color="FFFFFF"/>
                                  </w:tcBorders>
                                  <w:shd w:fill="29D2C9" w:val="clear"/>
                                  <w:vAlign w:val="center"/>
                                </w:tcPr>
                                <w:p>
                                  <w:pPr>
                                    <w:pStyle w:val="TableContents"/>
                                    <w:bidi w:val="0"/>
                                    <w:spacing w:before="0" w:after="283"/>
                                    <w:jc w:val="left"/>
                                    <w:rPr>
                                      <w:rFonts w:ascii="Arial" w:hAnsi="Arial"/>
                                      <w:b w:val="false"/>
                                      <w:i w:val="false"/>
                                      <w:caps w:val="false"/>
                                      <w:smallCaps w:val="false"/>
                                      <w:color w:val="FFFFFF"/>
                                      <w:sz w:val="20"/>
                                    </w:rPr>
                                  </w:pPr>
                                  <w:r>
                                    <w:rPr>
                                      <w:rFonts w:ascii="Arial" w:hAnsi="Arial"/>
                                      <w:b w:val="false"/>
                                      <w:i w:val="false"/>
                                      <w:caps w:val="false"/>
                                      <w:smallCaps w:val="false"/>
                                      <w:color w:val="FFFFFF"/>
                                      <w:sz w:val="20"/>
                                    </w:rPr>
                                    <w:t>Attendance</w:t>
                                  </w:r>
                                </w:p>
                              </w:tc>
                              <w:tc>
                                <w:tcPr>
                                  <w:tcW w:w="965" w:type="dxa"/>
                                  <w:tcBorders>
                                    <w:bottom w:val="single" w:sz="8" w:space="0" w:color="FFFFFF"/>
                                    <w:right w:val="single" w:sz="8" w:space="0" w:color="FFFFFF"/>
                                  </w:tcBorders>
                                  <w:shd w:fill="29D2C9" w:val="clear"/>
                                  <w:vAlign w:val="center"/>
                                </w:tcPr>
                                <w:p>
                                  <w:pPr>
                                    <w:pStyle w:val="TableContents"/>
                                    <w:bidi w:val="0"/>
                                    <w:spacing w:before="0" w:after="283"/>
                                    <w:jc w:val="left"/>
                                    <w:rPr>
                                      <w:rFonts w:ascii="Arial" w:hAnsi="Arial"/>
                                      <w:b w:val="false"/>
                                      <w:i w:val="false"/>
                                      <w:caps w:val="false"/>
                                      <w:smallCaps w:val="false"/>
                                      <w:color w:val="FFFFFF"/>
                                      <w:sz w:val="20"/>
                                    </w:rPr>
                                  </w:pPr>
                                  <w:r>
                                    <w:rPr>
                                      <w:rFonts w:ascii="Arial" w:hAnsi="Arial"/>
                                      <w:b w:val="false"/>
                                      <w:i w:val="false"/>
                                      <w:caps w:val="false"/>
                                      <w:smallCaps w:val="false"/>
                                      <w:color w:val="FFFFFF"/>
                                      <w:sz w:val="20"/>
                                    </w:rPr>
                                    <w:t>100%</w:t>
                                  </w:r>
                                </w:p>
                              </w:tc>
                              <w:tc>
                                <w:tcPr>
                                  <w:tcW w:w="965" w:type="dxa"/>
                                  <w:tcBorders>
                                    <w:bottom w:val="single" w:sz="8" w:space="0" w:color="FFFFFF"/>
                                    <w:right w:val="single" w:sz="8" w:space="0" w:color="FFFFFF"/>
                                  </w:tcBorders>
                                  <w:shd w:fill="29D2C9" w:val="clear"/>
                                  <w:vAlign w:val="center"/>
                                </w:tcPr>
                                <w:p>
                                  <w:pPr>
                                    <w:pStyle w:val="TableContents"/>
                                    <w:bidi w:val="0"/>
                                    <w:spacing w:before="0" w:after="283"/>
                                    <w:jc w:val="left"/>
                                    <w:rPr>
                                      <w:rFonts w:ascii="Arial" w:hAnsi="Arial"/>
                                      <w:b w:val="false"/>
                                      <w:i w:val="false"/>
                                      <w:caps w:val="false"/>
                                      <w:smallCaps w:val="false"/>
                                      <w:color w:val="FFFFFF"/>
                                      <w:sz w:val="20"/>
                                    </w:rPr>
                                  </w:pPr>
                                  <w:r>
                                    <w:rPr>
                                      <w:rFonts w:ascii="Arial" w:hAnsi="Arial"/>
                                      <w:b w:val="false"/>
                                      <w:i w:val="false"/>
                                      <w:caps w:val="false"/>
                                      <w:smallCaps w:val="false"/>
                                      <w:color w:val="FFFFFF"/>
                                      <w:sz w:val="20"/>
                                    </w:rPr>
                                    <w:t>80%</w:t>
                                  </w:r>
                                </w:p>
                              </w:tc>
                              <w:tc>
                                <w:tcPr>
                                  <w:tcW w:w="1640" w:type="dxa"/>
                                  <w:tcBorders>
                                    <w:bottom w:val="single" w:sz="8" w:space="0" w:color="FFFFFF"/>
                                    <w:right w:val="single" w:sz="8" w:space="0" w:color="FFFFFF"/>
                                  </w:tcBorders>
                                  <w:shd w:fill="29D2C9" w:val="clear"/>
                                  <w:vAlign w:val="center"/>
                                </w:tcPr>
                                <w:p>
                                  <w:pPr>
                                    <w:pStyle w:val="TableContents"/>
                                    <w:bidi w:val="0"/>
                                    <w:spacing w:before="0" w:after="283"/>
                                    <w:jc w:val="left"/>
                                    <w:rPr>
                                      <w:rFonts w:ascii="Arial" w:hAnsi="Arial"/>
                                      <w:b w:val="false"/>
                                      <w:i w:val="false"/>
                                      <w:caps w:val="false"/>
                                      <w:smallCaps w:val="false"/>
                                      <w:color w:val="FFFFFF"/>
                                      <w:sz w:val="20"/>
                                    </w:rPr>
                                  </w:pPr>
                                  <w:r>
                                    <w:rPr>
                                      <w:rFonts w:ascii="Arial" w:hAnsi="Arial"/>
                                      <w:b w:val="false"/>
                                      <w:i w:val="false"/>
                                      <w:caps w:val="false"/>
                                      <w:smallCaps w:val="false"/>
                                      <w:color w:val="FFFFFF"/>
                                      <w:sz w:val="20"/>
                                    </w:rPr>
                                    <w:t>100%</w:t>
                                  </w:r>
                                </w:p>
                              </w:tc>
                              <w:tc>
                                <w:tcPr>
                                  <w:tcW w:w="1205" w:type="dxa"/>
                                  <w:tcBorders>
                                    <w:bottom w:val="single" w:sz="8" w:space="0" w:color="FFFFFF"/>
                                    <w:right w:val="single" w:sz="8" w:space="0" w:color="FFFFFF"/>
                                  </w:tcBorders>
                                  <w:shd w:fill="29D2C9" w:val="clear"/>
                                  <w:vAlign w:val="center"/>
                                </w:tcPr>
                                <w:p>
                                  <w:pPr>
                                    <w:pStyle w:val="TableContents"/>
                                    <w:bidi w:val="0"/>
                                    <w:spacing w:before="0" w:after="283"/>
                                    <w:jc w:val="left"/>
                                    <w:rPr>
                                      <w:rFonts w:ascii="Arial" w:hAnsi="Arial"/>
                                      <w:b w:val="false"/>
                                      <w:i w:val="false"/>
                                      <w:caps w:val="false"/>
                                      <w:smallCaps w:val="false"/>
                                      <w:color w:val="FFFFFF"/>
                                      <w:sz w:val="20"/>
                                    </w:rPr>
                                  </w:pPr>
                                  <w:r>
                                    <w:rPr>
                                      <w:rFonts w:ascii="Arial" w:hAnsi="Arial"/>
                                      <w:b w:val="false"/>
                                      <w:i w:val="false"/>
                                      <w:caps w:val="false"/>
                                      <w:smallCaps w:val="false"/>
                                      <w:color w:val="FFFFFF"/>
                                      <w:sz w:val="20"/>
                                    </w:rPr>
                                    <w:t>96%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 w:hAnsi="Arial"/>
                                <w:b/>
                                <w:i w:val="false"/>
                                <w:caps w:val="false"/>
                                <w:smallCaps w:val="false"/>
                                <w:sz w:val="20"/>
                              </w:rPr>
                            </w:pPr>
                            <w:r>
                              <w:rPr>
                                <w:rFonts w:ascii="Arial" w:hAnsi="Arial"/>
                                <w:b/>
                                <w:i w:val="false"/>
                                <w:caps w:val="false"/>
                                <w:smallCaps w:val="false"/>
                                <w:sz w:val="20"/>
                              </w:rPr>
                              <w:t>4.1.2.3 Board evaluation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In 2023, an external board evaluation was conducted, led by a renowned global consulting firm and expert in corporate governance issues. Its scope included how the board operates as a collegiate body and in coordination with its four committees. The analysis looked at ratings, indexes, proxy advisors, corporate governance codes, and a review of best practices by industry peers. It also drew on interviews with and questionnaires for Credicorp’s directors and management. An important conclusion from the analysis is that, in general terms, Credicorp’s board and committees operate in a structure, composition, and function that is consistent with the good governance recommendations of national bodies, institutional investors, and proxy advisors. Following the final report submitted to the board in December 2023, an action plan was established to execute the recommendations. Implementation will be monitored by the Sustainability</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rFonts w:ascii="Arial" w:hAnsi="Arial"/>
                          <w:b/>
                          <w:i w:val="false"/>
                          <w:caps w:val="false"/>
                          <w:smallCaps w:val="false"/>
                          <w:sz w:val="20"/>
                        </w:rPr>
                      </w:pPr>
                      <w:r>
                        <w:rPr>
                          <w:rFonts w:ascii="Arial" w:hAnsi="Arial"/>
                          <w:b/>
                          <w:i w:val="false"/>
                          <w:caps w:val="false"/>
                          <w:smallCaps w:val="false"/>
                          <w:sz w:val="20"/>
                        </w:rPr>
                        <w:t>4.1.2.2. Board committees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Three of the board’s four committees are chaired by independent directors, and all have at least one female director. During 2023, with the renewal of the board, Pedro Rubio joined the Sustainability Committee, bringing extensive experience in the universal banking business, especially wholesale, which will help us continue to drive into the business the integration of sustainability and the vision of opportunity it presents.</w:t>
                      </w:r>
                    </w:p>
                    <w:p>
                      <w:pPr>
                        <w:pStyle w:val="TextBody"/>
                        <w:bidi w:val="0"/>
                        <w:spacing w:before="0" w:after="0"/>
                        <w:jc w:val="both"/>
                        <w:rPr>
                          <w:caps w:val="false"/>
                          <w:smallCaps w:val="false"/>
                        </w:rPr>
                      </w:pPr>
                      <w:r>
                        <w:rPr>
                          <w:caps w:val="false"/>
                          <w:smallCaps w:val="false"/>
                        </w:rPr>
                        <w:t> </w:t>
                      </w:r>
                    </w:p>
                    <w:tbl>
                      <w:tblPr>
                        <w:tblW w:w="5800" w:type="dxa"/>
                        <w:jc w:val="left"/>
                        <w:tblInd w:w="0" w:type="dxa"/>
                        <w:tblLayout w:type="fixed"/>
                        <w:tblCellMar>
                          <w:top w:w="0" w:type="dxa"/>
                          <w:left w:w="0" w:type="dxa"/>
                          <w:bottom w:w="80" w:type="dxa"/>
                          <w:right w:w="60" w:type="dxa"/>
                        </w:tblCellMar>
                      </w:tblPr>
                      <w:tblGrid>
                        <w:gridCol w:w="1025"/>
                        <w:gridCol w:w="965"/>
                        <w:gridCol w:w="965"/>
                        <w:gridCol w:w="1640"/>
                        <w:gridCol w:w="1205"/>
                      </w:tblGrid>
                      <w:tr>
                        <w:trPr/>
                        <w:tc>
                          <w:tcPr>
                            <w:tcW w:w="1025" w:type="dxa"/>
                            <w:tcBorders>
                              <w:bottom w:val="single" w:sz="8" w:space="0" w:color="FFFFFF"/>
                              <w:right w:val="single" w:sz="8" w:space="0" w:color="FFFFFF"/>
                            </w:tcBorders>
                            <w:shd w:fill="FFFFFF" w:val="clear"/>
                            <w:vAlign w:val="center"/>
                          </w:tcPr>
                          <w:p>
                            <w:pPr>
                              <w:pStyle w:val="TableContents"/>
                              <w:bidi w:val="0"/>
                              <w:spacing w:before="0" w:after="283"/>
                              <w:jc w:val="center"/>
                              <w:rPr>
                                <w:caps w:val="false"/>
                                <w:smallCaps w:val="false"/>
                                <w:color w:val="FFFFFF"/>
                              </w:rPr>
                            </w:pPr>
                            <w:r>
                              <w:rPr>
                                <w:caps w:val="false"/>
                                <w:smallCaps w:val="false"/>
                                <w:color w:val="FFFFFF"/>
                              </w:rPr>
                              <w:t> </w:t>
                            </w:r>
                          </w:p>
                        </w:tc>
                        <w:tc>
                          <w:tcPr>
                            <w:tcW w:w="965" w:type="dxa"/>
                            <w:tcBorders>
                              <w:bottom w:val="single" w:sz="8" w:space="0" w:color="FFFFFF"/>
                              <w:right w:val="single" w:sz="8" w:space="0" w:color="FFFFFF"/>
                            </w:tcBorders>
                            <w:shd w:fill="000000" w:val="clear"/>
                            <w:vAlign w:val="center"/>
                          </w:tcPr>
                          <w:p>
                            <w:pPr>
                              <w:pStyle w:val="TableContents"/>
                              <w:bidi w:val="0"/>
                              <w:spacing w:before="0" w:after="283"/>
                              <w:jc w:val="center"/>
                              <w:rPr>
                                <w:rFonts w:ascii="Arial" w:hAnsi="Arial"/>
                                <w:b w:val="false"/>
                                <w:i w:val="false"/>
                                <w:caps w:val="false"/>
                                <w:smallCaps w:val="false"/>
                                <w:color w:val="FFFFFF"/>
                                <w:sz w:val="20"/>
                              </w:rPr>
                            </w:pPr>
                            <w:r>
                              <w:rPr>
                                <w:rFonts w:ascii="Arial" w:hAnsi="Arial"/>
                                <w:b w:val="false"/>
                                <w:i w:val="false"/>
                                <w:caps w:val="false"/>
                                <w:smallCaps w:val="false"/>
                                <w:color w:val="FFFFFF"/>
                                <w:sz w:val="20"/>
                              </w:rPr>
                              <w:t>Audit</w:t>
                              <w:br/>
                              <w:t>Committee</w:t>
                            </w:r>
                          </w:p>
                        </w:tc>
                        <w:tc>
                          <w:tcPr>
                            <w:tcW w:w="965" w:type="dxa"/>
                            <w:tcBorders>
                              <w:bottom w:val="single" w:sz="8" w:space="0" w:color="FFFFFF"/>
                              <w:right w:val="single" w:sz="8" w:space="0" w:color="FFFFFF"/>
                            </w:tcBorders>
                            <w:shd w:fill="000000" w:val="clear"/>
                            <w:vAlign w:val="center"/>
                          </w:tcPr>
                          <w:p>
                            <w:pPr>
                              <w:pStyle w:val="TableContents"/>
                              <w:bidi w:val="0"/>
                              <w:spacing w:before="0" w:after="283"/>
                              <w:jc w:val="center"/>
                              <w:rPr>
                                <w:rFonts w:ascii="Arial" w:hAnsi="Arial"/>
                                <w:b w:val="false"/>
                                <w:i w:val="false"/>
                                <w:caps w:val="false"/>
                                <w:smallCaps w:val="false"/>
                                <w:color w:val="FFFFFF"/>
                                <w:sz w:val="20"/>
                              </w:rPr>
                            </w:pPr>
                            <w:r>
                              <w:rPr>
                                <w:rFonts w:ascii="Arial" w:hAnsi="Arial"/>
                                <w:b w:val="false"/>
                                <w:i w:val="false"/>
                                <w:caps w:val="false"/>
                                <w:smallCaps w:val="false"/>
                                <w:color w:val="FFFFFF"/>
                                <w:sz w:val="20"/>
                              </w:rPr>
                              <w:t>Risk</w:t>
                              <w:br/>
                              <w:t>Committee</w:t>
                            </w:r>
                          </w:p>
                        </w:tc>
                        <w:tc>
                          <w:tcPr>
                            <w:tcW w:w="1640" w:type="dxa"/>
                            <w:tcBorders>
                              <w:bottom w:val="single" w:sz="8" w:space="0" w:color="FFFFFF"/>
                              <w:right w:val="single" w:sz="8" w:space="0" w:color="FFFFFF"/>
                            </w:tcBorders>
                            <w:shd w:fill="000000" w:val="clear"/>
                            <w:vAlign w:val="center"/>
                          </w:tcPr>
                          <w:p>
                            <w:pPr>
                              <w:pStyle w:val="TableContents"/>
                              <w:bidi w:val="0"/>
                              <w:spacing w:before="0" w:after="283"/>
                              <w:jc w:val="center"/>
                              <w:rPr>
                                <w:rFonts w:ascii="Arial" w:hAnsi="Arial"/>
                                <w:b w:val="false"/>
                                <w:i w:val="false"/>
                                <w:caps w:val="false"/>
                                <w:smallCaps w:val="false"/>
                                <w:color w:val="FFFFFF"/>
                                <w:sz w:val="20"/>
                              </w:rPr>
                            </w:pPr>
                            <w:r>
                              <w:rPr>
                                <w:rFonts w:ascii="Arial" w:hAnsi="Arial"/>
                                <w:b w:val="false"/>
                                <w:i w:val="false"/>
                                <w:caps w:val="false"/>
                                <w:smallCaps w:val="false"/>
                                <w:color w:val="FFFFFF"/>
                                <w:sz w:val="20"/>
                              </w:rPr>
                              <w:t>Compensation and</w:t>
                              <w:br/>
                              <w:t>Nominations</w:t>
                              <w:br/>
                              <w:t>Committee</w:t>
                            </w:r>
                          </w:p>
                        </w:tc>
                        <w:tc>
                          <w:tcPr>
                            <w:tcW w:w="1205" w:type="dxa"/>
                            <w:tcBorders>
                              <w:bottom w:val="single" w:sz="8" w:space="0" w:color="FFFFFF"/>
                              <w:right w:val="single" w:sz="8" w:space="0" w:color="FFFFFF"/>
                            </w:tcBorders>
                            <w:shd w:fill="000000" w:val="clear"/>
                            <w:vAlign w:val="center"/>
                          </w:tcPr>
                          <w:p>
                            <w:pPr>
                              <w:pStyle w:val="TableContents"/>
                              <w:bidi w:val="0"/>
                              <w:spacing w:before="0" w:after="283"/>
                              <w:jc w:val="center"/>
                              <w:rPr>
                                <w:rFonts w:ascii="Arial" w:hAnsi="Arial"/>
                                <w:b w:val="false"/>
                                <w:i w:val="false"/>
                                <w:caps w:val="false"/>
                                <w:smallCaps w:val="false"/>
                                <w:color w:val="FFFFFF"/>
                                <w:sz w:val="20"/>
                              </w:rPr>
                            </w:pPr>
                            <w:r>
                              <w:rPr>
                                <w:rFonts w:ascii="Arial" w:hAnsi="Arial"/>
                                <w:b w:val="false"/>
                                <w:i w:val="false"/>
                                <w:caps w:val="false"/>
                                <w:smallCaps w:val="false"/>
                                <w:color w:val="FFFFFF"/>
                                <w:sz w:val="20"/>
                              </w:rPr>
                              <w:t>Sustainability</w:t>
                              <w:br/>
                              <w:t>Committee</w:t>
                            </w:r>
                          </w:p>
                        </w:tc>
                      </w:tr>
                      <w:tr>
                        <w:trPr/>
                        <w:tc>
                          <w:tcPr>
                            <w:tcW w:w="1025" w:type="dxa"/>
                            <w:tcBorders>
                              <w:bottom w:val="single" w:sz="8" w:space="0" w:color="FFFFFF"/>
                              <w:right w:val="single" w:sz="8" w:space="0" w:color="FFFFFF"/>
                            </w:tcBorders>
                            <w:shd w:fill="29D2C9" w:val="clear"/>
                            <w:vAlign w:val="center"/>
                          </w:tcPr>
                          <w:p>
                            <w:pPr>
                              <w:pStyle w:val="TableContents"/>
                              <w:bidi w:val="0"/>
                              <w:spacing w:before="0" w:after="283"/>
                              <w:jc w:val="left"/>
                              <w:rPr>
                                <w:rFonts w:ascii="Arial" w:hAnsi="Arial"/>
                                <w:b w:val="false"/>
                                <w:i w:val="false"/>
                                <w:caps w:val="false"/>
                                <w:smallCaps w:val="false"/>
                                <w:color w:val="FFFFFF"/>
                                <w:sz w:val="20"/>
                              </w:rPr>
                            </w:pPr>
                            <w:r>
                              <w:rPr>
                                <w:rFonts w:ascii="Arial" w:hAnsi="Arial"/>
                                <w:b w:val="false"/>
                                <w:i w:val="false"/>
                                <w:caps w:val="false"/>
                                <w:smallCaps w:val="false"/>
                                <w:color w:val="FFFFFF"/>
                                <w:sz w:val="20"/>
                              </w:rPr>
                              <w:t xml:space="preserve"># of </w:t>
                              <w:br/>
                              <w:t>meetings</w:t>
                            </w:r>
                          </w:p>
                        </w:tc>
                        <w:tc>
                          <w:tcPr>
                            <w:tcW w:w="965" w:type="dxa"/>
                            <w:tcBorders>
                              <w:bottom w:val="single" w:sz="8" w:space="0" w:color="FFFFFF"/>
                              <w:right w:val="single" w:sz="8" w:space="0" w:color="FFFFFF"/>
                            </w:tcBorders>
                            <w:shd w:fill="29D2C9" w:val="clear"/>
                            <w:vAlign w:val="center"/>
                          </w:tcPr>
                          <w:p>
                            <w:pPr>
                              <w:pStyle w:val="TableContents"/>
                              <w:bidi w:val="0"/>
                              <w:spacing w:before="0" w:after="283"/>
                              <w:jc w:val="left"/>
                              <w:rPr>
                                <w:rFonts w:ascii="Arial" w:hAnsi="Arial"/>
                                <w:b w:val="false"/>
                                <w:i w:val="false"/>
                                <w:caps w:val="false"/>
                                <w:smallCaps w:val="false"/>
                                <w:color w:val="FFFFFF"/>
                                <w:sz w:val="20"/>
                              </w:rPr>
                            </w:pPr>
                            <w:r>
                              <w:rPr>
                                <w:rFonts w:ascii="Arial" w:hAnsi="Arial"/>
                                <w:b w:val="false"/>
                                <w:i w:val="false"/>
                                <w:caps w:val="false"/>
                                <w:smallCaps w:val="false"/>
                                <w:color w:val="FFFFFF"/>
                                <w:sz w:val="20"/>
                              </w:rPr>
                              <w:t>13</w:t>
                            </w:r>
                          </w:p>
                        </w:tc>
                        <w:tc>
                          <w:tcPr>
                            <w:tcW w:w="965" w:type="dxa"/>
                            <w:tcBorders>
                              <w:bottom w:val="single" w:sz="8" w:space="0" w:color="FFFFFF"/>
                              <w:right w:val="single" w:sz="8" w:space="0" w:color="FFFFFF"/>
                            </w:tcBorders>
                            <w:shd w:fill="29D2C9" w:val="clear"/>
                            <w:vAlign w:val="center"/>
                          </w:tcPr>
                          <w:p>
                            <w:pPr>
                              <w:pStyle w:val="TableContents"/>
                              <w:bidi w:val="0"/>
                              <w:spacing w:before="0" w:after="283"/>
                              <w:jc w:val="left"/>
                              <w:rPr>
                                <w:rFonts w:ascii="Arial" w:hAnsi="Arial"/>
                                <w:b w:val="false"/>
                                <w:i w:val="false"/>
                                <w:caps w:val="false"/>
                                <w:smallCaps w:val="false"/>
                                <w:color w:val="FFFFFF"/>
                                <w:sz w:val="20"/>
                              </w:rPr>
                            </w:pPr>
                            <w:r>
                              <w:rPr>
                                <w:rFonts w:ascii="Arial" w:hAnsi="Arial"/>
                                <w:b w:val="false"/>
                                <w:i w:val="false"/>
                                <w:caps w:val="false"/>
                                <w:smallCaps w:val="false"/>
                                <w:color w:val="FFFFFF"/>
                                <w:sz w:val="20"/>
                              </w:rPr>
                              <w:t>1</w:t>
                            </w:r>
                          </w:p>
                        </w:tc>
                        <w:tc>
                          <w:tcPr>
                            <w:tcW w:w="1640" w:type="dxa"/>
                            <w:tcBorders>
                              <w:bottom w:val="single" w:sz="8" w:space="0" w:color="FFFFFF"/>
                              <w:right w:val="single" w:sz="8" w:space="0" w:color="FFFFFF"/>
                            </w:tcBorders>
                            <w:shd w:fill="29D2C9" w:val="clear"/>
                            <w:vAlign w:val="center"/>
                          </w:tcPr>
                          <w:p>
                            <w:pPr>
                              <w:pStyle w:val="TableContents"/>
                              <w:bidi w:val="0"/>
                              <w:spacing w:before="0" w:after="283"/>
                              <w:jc w:val="left"/>
                              <w:rPr>
                                <w:rFonts w:ascii="Arial" w:hAnsi="Arial"/>
                                <w:b w:val="false"/>
                                <w:i w:val="false"/>
                                <w:caps w:val="false"/>
                                <w:smallCaps w:val="false"/>
                                <w:color w:val="FFFFFF"/>
                                <w:sz w:val="20"/>
                              </w:rPr>
                            </w:pPr>
                            <w:r>
                              <w:rPr>
                                <w:rFonts w:ascii="Arial" w:hAnsi="Arial"/>
                                <w:b w:val="false"/>
                                <w:i w:val="false"/>
                                <w:caps w:val="false"/>
                                <w:smallCaps w:val="false"/>
                                <w:color w:val="FFFFFF"/>
                                <w:sz w:val="20"/>
                              </w:rPr>
                              <w:t>1</w:t>
                            </w:r>
                          </w:p>
                        </w:tc>
                        <w:tc>
                          <w:tcPr>
                            <w:tcW w:w="1205" w:type="dxa"/>
                            <w:tcBorders>
                              <w:bottom w:val="single" w:sz="8" w:space="0" w:color="FFFFFF"/>
                              <w:right w:val="single" w:sz="8" w:space="0" w:color="FFFFFF"/>
                            </w:tcBorders>
                            <w:shd w:fill="29D2C9" w:val="clear"/>
                            <w:vAlign w:val="center"/>
                          </w:tcPr>
                          <w:p>
                            <w:pPr>
                              <w:pStyle w:val="TableContents"/>
                              <w:bidi w:val="0"/>
                              <w:spacing w:before="0" w:after="283"/>
                              <w:jc w:val="left"/>
                              <w:rPr>
                                <w:rFonts w:ascii="Arial" w:hAnsi="Arial"/>
                                <w:b w:val="false"/>
                                <w:i w:val="false"/>
                                <w:caps w:val="false"/>
                                <w:smallCaps w:val="false"/>
                                <w:color w:val="FFFFFF"/>
                                <w:sz w:val="20"/>
                              </w:rPr>
                            </w:pPr>
                            <w:r>
                              <w:rPr>
                                <w:rFonts w:ascii="Arial" w:hAnsi="Arial"/>
                                <w:b w:val="false"/>
                                <w:i w:val="false"/>
                                <w:caps w:val="false"/>
                                <w:smallCaps w:val="false"/>
                                <w:color w:val="FFFFFF"/>
                                <w:sz w:val="20"/>
                              </w:rPr>
                              <w:t>5</w:t>
                            </w:r>
                          </w:p>
                        </w:tc>
                      </w:tr>
                      <w:tr>
                        <w:trPr/>
                        <w:tc>
                          <w:tcPr>
                            <w:tcW w:w="1025" w:type="dxa"/>
                            <w:tcBorders>
                              <w:bottom w:val="single" w:sz="8" w:space="0" w:color="FFFFFF"/>
                              <w:right w:val="single" w:sz="8" w:space="0" w:color="FFFFFF"/>
                            </w:tcBorders>
                            <w:shd w:fill="29D2C9" w:val="clear"/>
                            <w:vAlign w:val="center"/>
                          </w:tcPr>
                          <w:p>
                            <w:pPr>
                              <w:pStyle w:val="TableContents"/>
                              <w:bidi w:val="0"/>
                              <w:spacing w:before="0" w:after="283"/>
                              <w:jc w:val="left"/>
                              <w:rPr>
                                <w:rFonts w:ascii="Arial" w:hAnsi="Arial"/>
                                <w:b w:val="false"/>
                                <w:i w:val="false"/>
                                <w:caps w:val="false"/>
                                <w:smallCaps w:val="false"/>
                                <w:color w:val="FFFFFF"/>
                                <w:sz w:val="20"/>
                              </w:rPr>
                            </w:pPr>
                            <w:r>
                              <w:rPr>
                                <w:rFonts w:ascii="Arial" w:hAnsi="Arial"/>
                                <w:b w:val="false"/>
                                <w:i w:val="false"/>
                                <w:caps w:val="false"/>
                                <w:smallCaps w:val="false"/>
                                <w:color w:val="FFFFFF"/>
                                <w:sz w:val="20"/>
                              </w:rPr>
                              <w:t>Attendance</w:t>
                            </w:r>
                          </w:p>
                        </w:tc>
                        <w:tc>
                          <w:tcPr>
                            <w:tcW w:w="965" w:type="dxa"/>
                            <w:tcBorders>
                              <w:bottom w:val="single" w:sz="8" w:space="0" w:color="FFFFFF"/>
                              <w:right w:val="single" w:sz="8" w:space="0" w:color="FFFFFF"/>
                            </w:tcBorders>
                            <w:shd w:fill="29D2C9" w:val="clear"/>
                            <w:vAlign w:val="center"/>
                          </w:tcPr>
                          <w:p>
                            <w:pPr>
                              <w:pStyle w:val="TableContents"/>
                              <w:bidi w:val="0"/>
                              <w:spacing w:before="0" w:after="283"/>
                              <w:jc w:val="left"/>
                              <w:rPr>
                                <w:rFonts w:ascii="Arial" w:hAnsi="Arial"/>
                                <w:b w:val="false"/>
                                <w:i w:val="false"/>
                                <w:caps w:val="false"/>
                                <w:smallCaps w:val="false"/>
                                <w:color w:val="FFFFFF"/>
                                <w:sz w:val="20"/>
                              </w:rPr>
                            </w:pPr>
                            <w:r>
                              <w:rPr>
                                <w:rFonts w:ascii="Arial" w:hAnsi="Arial"/>
                                <w:b w:val="false"/>
                                <w:i w:val="false"/>
                                <w:caps w:val="false"/>
                                <w:smallCaps w:val="false"/>
                                <w:color w:val="FFFFFF"/>
                                <w:sz w:val="20"/>
                              </w:rPr>
                              <w:t>100%</w:t>
                            </w:r>
                          </w:p>
                        </w:tc>
                        <w:tc>
                          <w:tcPr>
                            <w:tcW w:w="965" w:type="dxa"/>
                            <w:tcBorders>
                              <w:bottom w:val="single" w:sz="8" w:space="0" w:color="FFFFFF"/>
                              <w:right w:val="single" w:sz="8" w:space="0" w:color="FFFFFF"/>
                            </w:tcBorders>
                            <w:shd w:fill="29D2C9" w:val="clear"/>
                            <w:vAlign w:val="center"/>
                          </w:tcPr>
                          <w:p>
                            <w:pPr>
                              <w:pStyle w:val="TableContents"/>
                              <w:bidi w:val="0"/>
                              <w:spacing w:before="0" w:after="283"/>
                              <w:jc w:val="left"/>
                              <w:rPr>
                                <w:rFonts w:ascii="Arial" w:hAnsi="Arial"/>
                                <w:b w:val="false"/>
                                <w:i w:val="false"/>
                                <w:caps w:val="false"/>
                                <w:smallCaps w:val="false"/>
                                <w:color w:val="FFFFFF"/>
                                <w:sz w:val="20"/>
                              </w:rPr>
                            </w:pPr>
                            <w:r>
                              <w:rPr>
                                <w:rFonts w:ascii="Arial" w:hAnsi="Arial"/>
                                <w:b w:val="false"/>
                                <w:i w:val="false"/>
                                <w:caps w:val="false"/>
                                <w:smallCaps w:val="false"/>
                                <w:color w:val="FFFFFF"/>
                                <w:sz w:val="20"/>
                              </w:rPr>
                              <w:t>80%</w:t>
                            </w:r>
                          </w:p>
                        </w:tc>
                        <w:tc>
                          <w:tcPr>
                            <w:tcW w:w="1640" w:type="dxa"/>
                            <w:tcBorders>
                              <w:bottom w:val="single" w:sz="8" w:space="0" w:color="FFFFFF"/>
                              <w:right w:val="single" w:sz="8" w:space="0" w:color="FFFFFF"/>
                            </w:tcBorders>
                            <w:shd w:fill="29D2C9" w:val="clear"/>
                            <w:vAlign w:val="center"/>
                          </w:tcPr>
                          <w:p>
                            <w:pPr>
                              <w:pStyle w:val="TableContents"/>
                              <w:bidi w:val="0"/>
                              <w:spacing w:before="0" w:after="283"/>
                              <w:jc w:val="left"/>
                              <w:rPr>
                                <w:rFonts w:ascii="Arial" w:hAnsi="Arial"/>
                                <w:b w:val="false"/>
                                <w:i w:val="false"/>
                                <w:caps w:val="false"/>
                                <w:smallCaps w:val="false"/>
                                <w:color w:val="FFFFFF"/>
                                <w:sz w:val="20"/>
                              </w:rPr>
                            </w:pPr>
                            <w:r>
                              <w:rPr>
                                <w:rFonts w:ascii="Arial" w:hAnsi="Arial"/>
                                <w:b w:val="false"/>
                                <w:i w:val="false"/>
                                <w:caps w:val="false"/>
                                <w:smallCaps w:val="false"/>
                                <w:color w:val="FFFFFF"/>
                                <w:sz w:val="20"/>
                              </w:rPr>
                              <w:t>100%</w:t>
                            </w:r>
                          </w:p>
                        </w:tc>
                        <w:tc>
                          <w:tcPr>
                            <w:tcW w:w="1205" w:type="dxa"/>
                            <w:tcBorders>
                              <w:bottom w:val="single" w:sz="8" w:space="0" w:color="FFFFFF"/>
                              <w:right w:val="single" w:sz="8" w:space="0" w:color="FFFFFF"/>
                            </w:tcBorders>
                            <w:shd w:fill="29D2C9" w:val="clear"/>
                            <w:vAlign w:val="center"/>
                          </w:tcPr>
                          <w:p>
                            <w:pPr>
                              <w:pStyle w:val="TableContents"/>
                              <w:bidi w:val="0"/>
                              <w:spacing w:before="0" w:after="283"/>
                              <w:jc w:val="left"/>
                              <w:rPr>
                                <w:rFonts w:ascii="Arial" w:hAnsi="Arial"/>
                                <w:b w:val="false"/>
                                <w:i w:val="false"/>
                                <w:caps w:val="false"/>
                                <w:smallCaps w:val="false"/>
                                <w:color w:val="FFFFFF"/>
                                <w:sz w:val="20"/>
                              </w:rPr>
                            </w:pPr>
                            <w:r>
                              <w:rPr>
                                <w:rFonts w:ascii="Arial" w:hAnsi="Arial"/>
                                <w:b w:val="false"/>
                                <w:i w:val="false"/>
                                <w:caps w:val="false"/>
                                <w:smallCaps w:val="false"/>
                                <w:color w:val="FFFFFF"/>
                                <w:sz w:val="20"/>
                              </w:rPr>
                              <w:t>96%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 w:hAnsi="Arial"/>
                          <w:b/>
                          <w:i w:val="false"/>
                          <w:caps w:val="false"/>
                          <w:smallCaps w:val="false"/>
                          <w:sz w:val="20"/>
                        </w:rPr>
                      </w:pPr>
                      <w:r>
                        <w:rPr>
                          <w:rFonts w:ascii="Arial" w:hAnsi="Arial"/>
                          <w:b/>
                          <w:i w:val="false"/>
                          <w:caps w:val="false"/>
                          <w:smallCaps w:val="false"/>
                          <w:sz w:val="20"/>
                        </w:rPr>
                        <w:t>4.1.2.3 Board evaluation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In 2023, an external board evaluation was conducted, led by a renowned global consulting firm and expert in corporate governance issues. Its scope included how the board operates as a collegiate body and in coordination with its four committees. The analysis looked at ratings, indexes, proxy advisors, corporate governance codes, and a review of best practices by industry peers. It also drew on interviews with and questionnaires for Credicorp’s directors and management. An important conclusion from the analysis is that, in general terms, Credicorp’s board and committees operate in a structure, composition, and function that is consistent with the good governance recommendations of national bodies, institutional investors, and proxy advisors. Following the final report submitted to the board in December 2023, an action plan was established to execute the recommendations. Implementation will be monitored by the Sustainability</w:t>
                      </w:r>
                    </w:p>
                  </w:txbxContent>
                </v:textbox>
                <w10:wrap type="square" side="right"/>
              </v:rect>
            </w:pict>
          </mc:Fallback>
        </mc:AlternateContent>
      </w:r>
      <w:r>
        <mc:AlternateContent>
          <mc:Choice Requires="wps">
            <w:drawing>
              <wp:anchor behindDoc="0" distT="0" distB="0" distL="0" distR="0" simplePos="0" locked="0" layoutInCell="1" allowOverlap="1" relativeHeight="297">
                <wp:simplePos x="0" y="0"/>
                <wp:positionH relativeFrom="column">
                  <wp:align>right</wp:align>
                </wp:positionH>
                <wp:positionV relativeFrom="line">
                  <wp:posOffset>635</wp:posOffset>
                </wp:positionV>
                <wp:extent cx="3110230" cy="4688205"/>
                <wp:effectExtent l="0" t="0" r="0" b="0"/>
                <wp:wrapSquare wrapText="left"/>
                <wp:docPr id="309" name="Frame103"/>
                <a:graphic xmlns:a="http://schemas.openxmlformats.org/drawingml/2006/main">
                  <a:graphicData uri="http://schemas.microsoft.com/office/word/2010/wordprocessingShape">
                    <wps:wsp>
                      <wps:cNvSpPr txBox="1"/>
                      <wps:spPr>
                        <a:xfrm>
                          <a:off x="0" y="0"/>
                          <a:ext cx="3110230" cy="4688205"/>
                        </a:xfrm>
                        <a:prstGeom prst="rect"/>
                        <a:solidFill>
                          <a:srgbClr val="FFFFFF"/>
                        </a:solidFill>
                      </wps:spPr>
                      <wps:txbx>
                        <w:txbxContent>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Committee. The board also agreed to repeat the exercise every three to five years.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Additionally, each board member completes a performance self-assessment during the year using the following criteria: (i) as an individual—involvement and participation, contribution to the achievement of institutional objectives; and (ii) as a collegiate body—meetings and operativity of the board, board dynamics, members’ knowledge of the company’s strategy, mission, vision, statute, and regulations, among other matters. The insights gathered by this survey inform the board’s continuous improvement initiatives.</w:t>
                            </w:r>
                          </w:p>
                          <w:p>
                            <w:pPr>
                              <w:pStyle w:val="TextBody"/>
                              <w:bidi w:val="0"/>
                              <w:spacing w:before="0" w:after="0"/>
                              <w:jc w:val="both"/>
                              <w:rPr>
                                <w:caps w:val="false"/>
                                <w:smallCaps w:val="false"/>
                              </w:rPr>
                            </w:pPr>
                            <w:r>
                              <w:rPr>
                                <w:caps w:val="false"/>
                                <w:smallCaps w:val="false"/>
                              </w:rPr>
                              <w:t> </w:t>
                            </w:r>
                          </w:p>
                          <w:tbl>
                            <w:tblPr>
                              <w:tblW w:w="8935" w:type="dxa"/>
                              <w:jc w:val="left"/>
                              <w:tblInd w:w="-10" w:type="dxa"/>
                              <w:tblLayout w:type="fixed"/>
                              <w:tblCellMar>
                                <w:top w:w="40" w:type="dxa"/>
                                <w:left w:w="60" w:type="dxa"/>
                                <w:bottom w:w="40" w:type="dxa"/>
                                <w:right w:w="0" w:type="dxa"/>
                              </w:tblCellMar>
                            </w:tblPr>
                            <w:tblGrid>
                              <w:gridCol w:w="4775"/>
                              <w:gridCol w:w="4160"/>
                            </w:tblGrid>
                            <w:tr>
                              <w:trPr/>
                              <w:tc>
                                <w:tcPr>
                                  <w:tcW w:w="4775"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More information about:</w:t>
                                  </w:r>
                                </w:p>
                              </w:tc>
                              <w:tc>
                                <w:tcPr>
                                  <w:tcW w:w="4160" w:type="dxa"/>
                                  <w:tcBorders>
                                    <w:top w:val="single" w:sz="8" w:space="0" w:color="000000"/>
                                    <w:left w:val="single" w:sz="8" w:space="0" w:color="000000"/>
                                    <w:bottom w:val="single" w:sz="8" w:space="0" w:color="000000"/>
                                    <w:right w:val="single" w:sz="8" w:space="0" w:color="000000"/>
                                  </w:tcBorders>
                                  <w:tcMar>
                                    <w:right w:w="60" w:type="dxa"/>
                                  </w:tcM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Consult:</w:t>
                                  </w:r>
                                </w:p>
                              </w:tc>
                            </w:tr>
                            <w:tr>
                              <w:trPr/>
                              <w:tc>
                                <w:tcPr>
                                  <w:tcW w:w="4775"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The objectives and functions of our committees</w:t>
                                  </w:r>
                                </w:p>
                              </w:tc>
                              <w:tc>
                                <w:tcPr>
                                  <w:tcW w:w="4160" w:type="dxa"/>
                                  <w:tcBorders>
                                    <w:left w:val="single" w:sz="8" w:space="0" w:color="000000"/>
                                    <w:bottom w:val="single" w:sz="8" w:space="0" w:color="000000"/>
                                    <w:right w:val="single" w:sz="8" w:space="0" w:color="000000"/>
                                  </w:tcBorders>
                                  <w:tcMar>
                                    <w:top w:w="0" w:type="dxa"/>
                                    <w:right w:w="6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Form 20-F 2022, section GC Board Committee Structure</w:t>
                                  </w:r>
                                </w:p>
                              </w:tc>
                            </w:tr>
                            <w:tr>
                              <w:trPr/>
                              <w:tc>
                                <w:tcPr>
                                  <w:tcW w:w="4775"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The process and selection of our directors</w:t>
                                  </w:r>
                                </w:p>
                              </w:tc>
                              <w:tc>
                                <w:tcPr>
                                  <w:tcW w:w="4160" w:type="dxa"/>
                                  <w:tcBorders>
                                    <w:left w:val="single" w:sz="8" w:space="0" w:color="000000"/>
                                    <w:bottom w:val="single" w:sz="8" w:space="0" w:color="000000"/>
                                    <w:right w:val="single" w:sz="8" w:space="0" w:color="000000"/>
                                  </w:tcBorders>
                                  <w:tcMar>
                                    <w:top w:w="0" w:type="dxa"/>
                                    <w:right w:w="60" w:type="dxa"/>
                                  </w:tcMar>
                                  <w:vAlign w:val="center"/>
                                </w:tcPr>
                                <w:p>
                                  <w:pPr>
                                    <w:pStyle w:val="TableContents"/>
                                    <w:bidi w:val="0"/>
                                    <w:spacing w:before="0" w:after="283"/>
                                    <w:jc w:val="left"/>
                                    <w:rPr>
                                      <w:rFonts w:ascii="Arial" w:hAnsi="Arial"/>
                                      <w:b w:val="false"/>
                                      <w:i w:val="false"/>
                                      <w:caps w:val="false"/>
                                      <w:smallCaps w:val="false"/>
                                      <w:color w:val="0563C1"/>
                                      <w:sz w:val="16"/>
                                      <w:u w:val="single"/>
                                    </w:rPr>
                                  </w:pPr>
                                  <w:r>
                                    <w:rPr>
                                      <w:rFonts w:ascii="Arial" w:hAnsi="Arial"/>
                                      <w:b w:val="false"/>
                                      <w:i w:val="false"/>
                                      <w:caps w:val="false"/>
                                      <w:smallCaps w:val="false"/>
                                      <w:color w:val="0563C1"/>
                                      <w:sz w:val="16"/>
                                      <w:u w:val="single"/>
                                    </w:rPr>
                                    <w:t>Corporate Governance Policy</w:t>
                                  </w:r>
                                </w:p>
                              </w:tc>
                            </w:tr>
                            <w:tr>
                              <w:trPr/>
                              <w:tc>
                                <w:tcPr>
                                  <w:tcW w:w="4775"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The experience of our directors</w:t>
                                  </w:r>
                                </w:p>
                              </w:tc>
                              <w:tc>
                                <w:tcPr>
                                  <w:tcW w:w="4160" w:type="dxa"/>
                                  <w:tcBorders>
                                    <w:left w:val="single" w:sz="8" w:space="0" w:color="000000"/>
                                    <w:bottom w:val="single" w:sz="8" w:space="0" w:color="000000"/>
                                    <w:right w:val="single" w:sz="8" w:space="0" w:color="000000"/>
                                  </w:tcBorders>
                                  <w:tcMar>
                                    <w:top w:w="0" w:type="dxa"/>
                                    <w:right w:w="60" w:type="dxa"/>
                                  </w:tcMar>
                                  <w:vAlign w:val="center"/>
                                </w:tcPr>
                                <w:p>
                                  <w:pPr>
                                    <w:pStyle w:val="TableContents"/>
                                    <w:bidi w:val="0"/>
                                    <w:spacing w:before="0" w:after="283"/>
                                    <w:jc w:val="left"/>
                                    <w:rPr>
                                      <w:rFonts w:ascii="Arial" w:hAnsi="Arial"/>
                                      <w:b w:val="false"/>
                                      <w:i w:val="false"/>
                                      <w:caps w:val="false"/>
                                      <w:smallCaps w:val="false"/>
                                      <w:color w:val="0563C1"/>
                                      <w:sz w:val="16"/>
                                      <w:u w:val="single"/>
                                    </w:rPr>
                                  </w:pPr>
                                  <w:r>
                                    <w:rPr>
                                      <w:rFonts w:ascii="Arial" w:hAnsi="Arial"/>
                                      <w:b w:val="false"/>
                                      <w:i w:val="false"/>
                                      <w:caps w:val="false"/>
                                      <w:smallCaps w:val="false"/>
                                      <w:color w:val="0563C1"/>
                                      <w:sz w:val="16"/>
                                      <w:u w:val="single"/>
                                    </w:rPr>
                                    <w:t>Biographies of directors</w:t>
                                  </w:r>
                                </w:p>
                              </w:tc>
                            </w:tr>
                            <w:tr>
                              <w:trPr/>
                              <w:tc>
                                <w:tcPr>
                                  <w:tcW w:w="4775"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The board’s functions, guidelines, and conflicts of interest policies</w:t>
                                  </w:r>
                                </w:p>
                              </w:tc>
                              <w:tc>
                                <w:tcPr>
                                  <w:tcW w:w="4160" w:type="dxa"/>
                                  <w:tcBorders>
                                    <w:left w:val="single" w:sz="8" w:space="0" w:color="000000"/>
                                    <w:bottom w:val="single" w:sz="8" w:space="0" w:color="000000"/>
                                    <w:right w:val="single" w:sz="8" w:space="0" w:color="000000"/>
                                  </w:tcBorders>
                                  <w:tcMar>
                                    <w:top w:w="0" w:type="dxa"/>
                                    <w:right w:w="6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color w:val="0563C1"/>
                                      <w:sz w:val="16"/>
                                      <w:u w:val="single"/>
                                    </w:rPr>
                                    <w:t>Board Regulations</w:t>
                                  </w:r>
                                  <w:r>
                                    <w:rPr>
                                      <w:rFonts w:ascii="Arial" w:hAnsi="Arial"/>
                                      <w:b w:val="false"/>
                                      <w:i w:val="false"/>
                                      <w:caps w:val="false"/>
                                      <w:smallCaps w:val="false"/>
                                      <w:sz w:val="20"/>
                                    </w:rPr>
                                    <w:t xml:space="preserve"> </w:t>
                                  </w:r>
                                  <w:r>
                                    <w:rPr>
                                      <w:rFonts w:ascii="Arial" w:hAnsi="Arial"/>
                                      <w:b w:val="false"/>
                                      <w:i w:val="false"/>
                                      <w:caps w:val="false"/>
                                      <w:smallCaps w:val="false"/>
                                      <w:sz w:val="16"/>
                                    </w:rPr>
                                    <w:t xml:space="preserve">and </w:t>
                                  </w:r>
                                  <w:r>
                                    <w:rPr>
                                      <w:rFonts w:ascii="Arial" w:hAnsi="Arial"/>
                                      <w:b w:val="false"/>
                                      <w:i w:val="false"/>
                                      <w:caps w:val="false"/>
                                      <w:smallCaps w:val="false"/>
                                      <w:color w:val="0563C1"/>
                                      <w:sz w:val="16"/>
                                      <w:u w:val="single"/>
                                    </w:rPr>
                                    <w:t>Code of Ethics Credicorp.</w:t>
                                  </w:r>
                                </w:p>
                              </w:tc>
                            </w:tr>
                            <w:tr>
                              <w:trPr/>
                              <w:tc>
                                <w:tcPr>
                                  <w:tcW w:w="4775"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The convening of and participation in shareholders meetings</w:t>
                                  </w:r>
                                </w:p>
                              </w:tc>
                              <w:tc>
                                <w:tcPr>
                                  <w:tcW w:w="4160" w:type="dxa"/>
                                  <w:tcBorders>
                                    <w:left w:val="single" w:sz="8" w:space="0" w:color="000000"/>
                                    <w:bottom w:val="single" w:sz="8" w:space="0" w:color="000000"/>
                                    <w:right w:val="single" w:sz="8" w:space="0" w:color="000000"/>
                                  </w:tcBorders>
                                  <w:tcMar>
                                    <w:top w:w="0" w:type="dxa"/>
                                    <w:right w:w="60" w:type="dxa"/>
                                  </w:tcMar>
                                  <w:vAlign w:val="center"/>
                                </w:tcPr>
                                <w:p>
                                  <w:pPr>
                                    <w:pStyle w:val="TableContents"/>
                                    <w:bidi w:val="0"/>
                                    <w:spacing w:before="0" w:after="283"/>
                                    <w:jc w:val="left"/>
                                    <w:rPr>
                                      <w:rFonts w:ascii="Arial" w:hAnsi="Arial"/>
                                      <w:b w:val="false"/>
                                      <w:i w:val="false"/>
                                      <w:caps w:val="false"/>
                                      <w:smallCaps w:val="false"/>
                                      <w:color w:val="0563C1"/>
                                      <w:sz w:val="16"/>
                                      <w:u w:val="single"/>
                                    </w:rPr>
                                  </w:pPr>
                                  <w:r>
                                    <w:rPr>
                                      <w:rFonts w:ascii="Arial" w:hAnsi="Arial"/>
                                      <w:b w:val="false"/>
                                      <w:i w:val="false"/>
                                      <w:caps w:val="false"/>
                                      <w:smallCaps w:val="false"/>
                                      <w:color w:val="0563C1"/>
                                      <w:sz w:val="16"/>
                                      <w:u w:val="single"/>
                                    </w:rPr>
                                    <w:t>Shareholder’s Guide</w:t>
                                  </w:r>
                                </w:p>
                              </w:tc>
                            </w:tr>
                            <w:tr>
                              <w:trPr/>
                              <w:tc>
                                <w:tcPr>
                                  <w:tcW w:w="4775"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Senior leaders</w:t>
                                  </w:r>
                                </w:p>
                              </w:tc>
                              <w:tc>
                                <w:tcPr>
                                  <w:tcW w:w="4160" w:type="dxa"/>
                                  <w:tcBorders>
                                    <w:left w:val="single" w:sz="8" w:space="0" w:color="000000"/>
                                    <w:bottom w:val="single" w:sz="8" w:space="0" w:color="000000"/>
                                    <w:right w:val="single" w:sz="8" w:space="0" w:color="000000"/>
                                  </w:tcBorders>
                                  <w:tcMar>
                                    <w:top w:w="0" w:type="dxa"/>
                                    <w:right w:w="6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 xml:space="preserve">Credicorp website, </w:t>
                                  </w:r>
                                  <w:r>
                                    <w:rPr>
                                      <w:rFonts w:ascii="Arial" w:hAnsi="Arial"/>
                                      <w:b w:val="false"/>
                                      <w:i w:val="false"/>
                                      <w:caps w:val="false"/>
                                      <w:smallCaps w:val="false"/>
                                      <w:color w:val="0563C1"/>
                                      <w:sz w:val="16"/>
                                    </w:rPr>
                                    <w:t> </w:t>
                                  </w:r>
                                  <w:r>
                                    <w:rPr>
                                      <w:rFonts w:ascii="Arial" w:hAnsi="Arial"/>
                                      <w:b w:val="false"/>
                                      <w:i w:val="false"/>
                                      <w:caps w:val="false"/>
                                      <w:smallCaps w:val="false"/>
                                      <w:color w:val="0563C1"/>
                                      <w:sz w:val="16"/>
                                      <w:u w:val="single"/>
                                    </w:rPr>
                                    <w:t>Management Structure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69.1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Committee. The board also agreed to repeat the exercise every three to five years.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Additionally, each board member completes a performance self-assessment during the year using the following criteria: (i) as an individual—involvement and participation, contribution to the achievement of institutional objectives; and (ii) as a collegiate body—meetings and operativity of the board, board dynamics, members’ knowledge of the company’s strategy, mission, vision, statute, and regulations, among other matters. The insights gathered by this survey inform the board’s continuous improvement initiatives.</w:t>
                      </w:r>
                    </w:p>
                    <w:p>
                      <w:pPr>
                        <w:pStyle w:val="TextBody"/>
                        <w:bidi w:val="0"/>
                        <w:spacing w:before="0" w:after="0"/>
                        <w:jc w:val="both"/>
                        <w:rPr>
                          <w:caps w:val="false"/>
                          <w:smallCaps w:val="false"/>
                        </w:rPr>
                      </w:pPr>
                      <w:r>
                        <w:rPr>
                          <w:caps w:val="false"/>
                          <w:smallCaps w:val="false"/>
                        </w:rPr>
                        <w:t> </w:t>
                      </w:r>
                    </w:p>
                    <w:tbl>
                      <w:tblPr>
                        <w:tblW w:w="8935" w:type="dxa"/>
                        <w:jc w:val="left"/>
                        <w:tblInd w:w="-10" w:type="dxa"/>
                        <w:tblLayout w:type="fixed"/>
                        <w:tblCellMar>
                          <w:top w:w="40" w:type="dxa"/>
                          <w:left w:w="60" w:type="dxa"/>
                          <w:bottom w:w="40" w:type="dxa"/>
                          <w:right w:w="0" w:type="dxa"/>
                        </w:tblCellMar>
                      </w:tblPr>
                      <w:tblGrid>
                        <w:gridCol w:w="4775"/>
                        <w:gridCol w:w="4160"/>
                      </w:tblGrid>
                      <w:tr>
                        <w:trPr/>
                        <w:tc>
                          <w:tcPr>
                            <w:tcW w:w="4775"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More information about:</w:t>
                            </w:r>
                          </w:p>
                        </w:tc>
                        <w:tc>
                          <w:tcPr>
                            <w:tcW w:w="4160" w:type="dxa"/>
                            <w:tcBorders>
                              <w:top w:val="single" w:sz="8" w:space="0" w:color="000000"/>
                              <w:left w:val="single" w:sz="8" w:space="0" w:color="000000"/>
                              <w:bottom w:val="single" w:sz="8" w:space="0" w:color="000000"/>
                              <w:right w:val="single" w:sz="8" w:space="0" w:color="000000"/>
                            </w:tcBorders>
                            <w:tcMar>
                              <w:right w:w="60" w:type="dxa"/>
                            </w:tcM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Consult:</w:t>
                            </w:r>
                          </w:p>
                        </w:tc>
                      </w:tr>
                      <w:tr>
                        <w:trPr/>
                        <w:tc>
                          <w:tcPr>
                            <w:tcW w:w="4775"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The objectives and functions of our committees</w:t>
                            </w:r>
                          </w:p>
                        </w:tc>
                        <w:tc>
                          <w:tcPr>
                            <w:tcW w:w="4160" w:type="dxa"/>
                            <w:tcBorders>
                              <w:left w:val="single" w:sz="8" w:space="0" w:color="000000"/>
                              <w:bottom w:val="single" w:sz="8" w:space="0" w:color="000000"/>
                              <w:right w:val="single" w:sz="8" w:space="0" w:color="000000"/>
                            </w:tcBorders>
                            <w:tcMar>
                              <w:top w:w="0" w:type="dxa"/>
                              <w:right w:w="6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Form 20-F 2022, section GC Board Committee Structure</w:t>
                            </w:r>
                          </w:p>
                        </w:tc>
                      </w:tr>
                      <w:tr>
                        <w:trPr/>
                        <w:tc>
                          <w:tcPr>
                            <w:tcW w:w="4775"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The process and selection of our directors</w:t>
                            </w:r>
                          </w:p>
                        </w:tc>
                        <w:tc>
                          <w:tcPr>
                            <w:tcW w:w="4160" w:type="dxa"/>
                            <w:tcBorders>
                              <w:left w:val="single" w:sz="8" w:space="0" w:color="000000"/>
                              <w:bottom w:val="single" w:sz="8" w:space="0" w:color="000000"/>
                              <w:right w:val="single" w:sz="8" w:space="0" w:color="000000"/>
                            </w:tcBorders>
                            <w:tcMar>
                              <w:top w:w="0" w:type="dxa"/>
                              <w:right w:w="60" w:type="dxa"/>
                            </w:tcMar>
                            <w:vAlign w:val="center"/>
                          </w:tcPr>
                          <w:p>
                            <w:pPr>
                              <w:pStyle w:val="TableContents"/>
                              <w:bidi w:val="0"/>
                              <w:spacing w:before="0" w:after="283"/>
                              <w:jc w:val="left"/>
                              <w:rPr>
                                <w:rFonts w:ascii="Arial" w:hAnsi="Arial"/>
                                <w:b w:val="false"/>
                                <w:i w:val="false"/>
                                <w:caps w:val="false"/>
                                <w:smallCaps w:val="false"/>
                                <w:color w:val="0563C1"/>
                                <w:sz w:val="16"/>
                                <w:u w:val="single"/>
                              </w:rPr>
                            </w:pPr>
                            <w:r>
                              <w:rPr>
                                <w:rFonts w:ascii="Arial" w:hAnsi="Arial"/>
                                <w:b w:val="false"/>
                                <w:i w:val="false"/>
                                <w:caps w:val="false"/>
                                <w:smallCaps w:val="false"/>
                                <w:color w:val="0563C1"/>
                                <w:sz w:val="16"/>
                                <w:u w:val="single"/>
                              </w:rPr>
                              <w:t>Corporate Governance Policy</w:t>
                            </w:r>
                          </w:p>
                        </w:tc>
                      </w:tr>
                      <w:tr>
                        <w:trPr/>
                        <w:tc>
                          <w:tcPr>
                            <w:tcW w:w="4775"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The experience of our directors</w:t>
                            </w:r>
                          </w:p>
                        </w:tc>
                        <w:tc>
                          <w:tcPr>
                            <w:tcW w:w="4160" w:type="dxa"/>
                            <w:tcBorders>
                              <w:left w:val="single" w:sz="8" w:space="0" w:color="000000"/>
                              <w:bottom w:val="single" w:sz="8" w:space="0" w:color="000000"/>
                              <w:right w:val="single" w:sz="8" w:space="0" w:color="000000"/>
                            </w:tcBorders>
                            <w:tcMar>
                              <w:top w:w="0" w:type="dxa"/>
                              <w:right w:w="60" w:type="dxa"/>
                            </w:tcMar>
                            <w:vAlign w:val="center"/>
                          </w:tcPr>
                          <w:p>
                            <w:pPr>
                              <w:pStyle w:val="TableContents"/>
                              <w:bidi w:val="0"/>
                              <w:spacing w:before="0" w:after="283"/>
                              <w:jc w:val="left"/>
                              <w:rPr>
                                <w:rFonts w:ascii="Arial" w:hAnsi="Arial"/>
                                <w:b w:val="false"/>
                                <w:i w:val="false"/>
                                <w:caps w:val="false"/>
                                <w:smallCaps w:val="false"/>
                                <w:color w:val="0563C1"/>
                                <w:sz w:val="16"/>
                                <w:u w:val="single"/>
                              </w:rPr>
                            </w:pPr>
                            <w:r>
                              <w:rPr>
                                <w:rFonts w:ascii="Arial" w:hAnsi="Arial"/>
                                <w:b w:val="false"/>
                                <w:i w:val="false"/>
                                <w:caps w:val="false"/>
                                <w:smallCaps w:val="false"/>
                                <w:color w:val="0563C1"/>
                                <w:sz w:val="16"/>
                                <w:u w:val="single"/>
                              </w:rPr>
                              <w:t>Biographies of directors</w:t>
                            </w:r>
                          </w:p>
                        </w:tc>
                      </w:tr>
                      <w:tr>
                        <w:trPr/>
                        <w:tc>
                          <w:tcPr>
                            <w:tcW w:w="4775"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The board’s functions, guidelines, and conflicts of interest policies</w:t>
                            </w:r>
                          </w:p>
                        </w:tc>
                        <w:tc>
                          <w:tcPr>
                            <w:tcW w:w="4160" w:type="dxa"/>
                            <w:tcBorders>
                              <w:left w:val="single" w:sz="8" w:space="0" w:color="000000"/>
                              <w:bottom w:val="single" w:sz="8" w:space="0" w:color="000000"/>
                              <w:right w:val="single" w:sz="8" w:space="0" w:color="000000"/>
                            </w:tcBorders>
                            <w:tcMar>
                              <w:top w:w="0" w:type="dxa"/>
                              <w:right w:w="6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color w:val="0563C1"/>
                                <w:sz w:val="16"/>
                                <w:u w:val="single"/>
                              </w:rPr>
                              <w:t>Board Regulations</w:t>
                            </w:r>
                            <w:r>
                              <w:rPr>
                                <w:rFonts w:ascii="Arial" w:hAnsi="Arial"/>
                                <w:b w:val="false"/>
                                <w:i w:val="false"/>
                                <w:caps w:val="false"/>
                                <w:smallCaps w:val="false"/>
                                <w:sz w:val="20"/>
                              </w:rPr>
                              <w:t xml:space="preserve"> </w:t>
                            </w:r>
                            <w:r>
                              <w:rPr>
                                <w:rFonts w:ascii="Arial" w:hAnsi="Arial"/>
                                <w:b w:val="false"/>
                                <w:i w:val="false"/>
                                <w:caps w:val="false"/>
                                <w:smallCaps w:val="false"/>
                                <w:sz w:val="16"/>
                              </w:rPr>
                              <w:t xml:space="preserve">and </w:t>
                            </w:r>
                            <w:r>
                              <w:rPr>
                                <w:rFonts w:ascii="Arial" w:hAnsi="Arial"/>
                                <w:b w:val="false"/>
                                <w:i w:val="false"/>
                                <w:caps w:val="false"/>
                                <w:smallCaps w:val="false"/>
                                <w:color w:val="0563C1"/>
                                <w:sz w:val="16"/>
                                <w:u w:val="single"/>
                              </w:rPr>
                              <w:t>Code of Ethics Credicorp.</w:t>
                            </w:r>
                          </w:p>
                        </w:tc>
                      </w:tr>
                      <w:tr>
                        <w:trPr/>
                        <w:tc>
                          <w:tcPr>
                            <w:tcW w:w="4775"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The convening of and participation in shareholders meetings</w:t>
                            </w:r>
                          </w:p>
                        </w:tc>
                        <w:tc>
                          <w:tcPr>
                            <w:tcW w:w="4160" w:type="dxa"/>
                            <w:tcBorders>
                              <w:left w:val="single" w:sz="8" w:space="0" w:color="000000"/>
                              <w:bottom w:val="single" w:sz="8" w:space="0" w:color="000000"/>
                              <w:right w:val="single" w:sz="8" w:space="0" w:color="000000"/>
                            </w:tcBorders>
                            <w:tcMar>
                              <w:top w:w="0" w:type="dxa"/>
                              <w:right w:w="60" w:type="dxa"/>
                            </w:tcMar>
                            <w:vAlign w:val="center"/>
                          </w:tcPr>
                          <w:p>
                            <w:pPr>
                              <w:pStyle w:val="TableContents"/>
                              <w:bidi w:val="0"/>
                              <w:spacing w:before="0" w:after="283"/>
                              <w:jc w:val="left"/>
                              <w:rPr>
                                <w:rFonts w:ascii="Arial" w:hAnsi="Arial"/>
                                <w:b w:val="false"/>
                                <w:i w:val="false"/>
                                <w:caps w:val="false"/>
                                <w:smallCaps w:val="false"/>
                                <w:color w:val="0563C1"/>
                                <w:sz w:val="16"/>
                                <w:u w:val="single"/>
                              </w:rPr>
                            </w:pPr>
                            <w:r>
                              <w:rPr>
                                <w:rFonts w:ascii="Arial" w:hAnsi="Arial"/>
                                <w:b w:val="false"/>
                                <w:i w:val="false"/>
                                <w:caps w:val="false"/>
                                <w:smallCaps w:val="false"/>
                                <w:color w:val="0563C1"/>
                                <w:sz w:val="16"/>
                                <w:u w:val="single"/>
                              </w:rPr>
                              <w:t>Shareholder’s Guide</w:t>
                            </w:r>
                          </w:p>
                        </w:tc>
                      </w:tr>
                      <w:tr>
                        <w:trPr/>
                        <w:tc>
                          <w:tcPr>
                            <w:tcW w:w="4775"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Senior leaders</w:t>
                            </w:r>
                          </w:p>
                        </w:tc>
                        <w:tc>
                          <w:tcPr>
                            <w:tcW w:w="4160" w:type="dxa"/>
                            <w:tcBorders>
                              <w:left w:val="single" w:sz="8" w:space="0" w:color="000000"/>
                              <w:bottom w:val="single" w:sz="8" w:space="0" w:color="000000"/>
                              <w:right w:val="single" w:sz="8" w:space="0" w:color="000000"/>
                            </w:tcBorders>
                            <w:tcMar>
                              <w:top w:w="0" w:type="dxa"/>
                              <w:right w:w="6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 xml:space="preserve">Credicorp website, </w:t>
                            </w:r>
                            <w:r>
                              <w:rPr>
                                <w:rFonts w:ascii="Arial" w:hAnsi="Arial"/>
                                <w:b w:val="false"/>
                                <w:i w:val="false"/>
                                <w:caps w:val="false"/>
                                <w:smallCaps w:val="false"/>
                                <w:color w:val="0563C1"/>
                                <w:sz w:val="16"/>
                              </w:rPr>
                              <w:t> </w:t>
                            </w:r>
                            <w:r>
                              <w:rPr>
                                <w:rFonts w:ascii="Arial" w:hAnsi="Arial"/>
                                <w:b w:val="false"/>
                                <w:i w:val="false"/>
                                <w:caps w:val="false"/>
                                <w:smallCaps w:val="false"/>
                                <w:color w:val="0563C1"/>
                                <w:sz w:val="16"/>
                                <w:u w:val="single"/>
                              </w:rPr>
                              <w:t>Management Structure</w:t>
                            </w:r>
                          </w:p>
                        </w:tc>
                      </w:tr>
                    </w:tbl>
                    <w:p>
                      <w:pPr>
                        <w:pStyle w:val="TextBody"/>
                        <w:bidi w:val="0"/>
                        <w:spacing w:before="0" w:after="283"/>
                        <w:jc w:val="left"/>
                        <w:rPr/>
                      </w:pPr>
                      <w:r>
                        <w:rPr/>
                      </w:r>
                    </w:p>
                  </w:txbxContent>
                </v:textbox>
                <w10:wrap type="square" side="left"/>
              </v:rect>
            </w:pict>
          </mc:Fallback>
        </mc:AlternateConten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50</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color w:val="FE5000"/>
        </w:rPr>
      </w:pPr>
      <w:r>
        <w:rPr>
          <w:caps w:val="false"/>
          <w:smallCaps w:val="false"/>
          <w:color w:val="FE5000"/>
        </w:rPr>
        <w:t> </w:t>
      </w:r>
    </w:p>
    <w:p>
      <w:pPr>
        <w:pStyle w:val="TextBody"/>
        <w:bidi w:val="0"/>
        <w:spacing w:before="0" w:after="0"/>
        <w:jc w:val="both"/>
        <w:rPr>
          <w:caps w:val="false"/>
          <w:smallCaps w:val="false"/>
        </w:rPr>
      </w:pPr>
      <w:r>
        <w:rPr>
          <w:caps w:val="false"/>
          <w:smallCaps w:val="false"/>
        </w:rPr>
        <w:t> </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3110230" cy="6998970"/>
                <wp:effectExtent l="0" t="0" r="0" b="0"/>
                <wp:wrapSquare wrapText="right"/>
                <wp:docPr id="310" name="Frame104"/>
                <a:graphic xmlns:a="http://schemas.openxmlformats.org/drawingml/2006/main">
                  <a:graphicData uri="http://schemas.microsoft.com/office/word/2010/wordprocessingShape">
                    <wps:wsp>
                      <wps:cNvSpPr txBox="1"/>
                      <wps:spPr>
                        <a:xfrm>
                          <a:off x="0" y="0"/>
                          <a:ext cx="3110230" cy="6998970"/>
                        </a:xfrm>
                        <a:prstGeom prst="rect"/>
                        <a:solidFill>
                          <a:srgbClr val="FFFFFF"/>
                        </a:solidFill>
                      </wps:spPr>
                      <wps:txbx>
                        <w:txbxContent>
                          <w:p>
                            <w:pPr>
                              <w:pStyle w:val="TextBody"/>
                              <w:bidi w:val="0"/>
                              <w:spacing w:before="0" w:after="0"/>
                              <w:jc w:val="left"/>
                              <w:rPr>
                                <w:rFonts w:ascii="Arial" w:hAnsi="Arial"/>
                                <w:b/>
                                <w:i w:val="false"/>
                                <w:caps w:val="false"/>
                                <w:smallCaps w:val="false"/>
                                <w:color w:val="FE5000"/>
                                <w:sz w:val="28"/>
                              </w:rPr>
                            </w:pPr>
                            <w:r>
                              <w:rPr>
                                <w:rFonts w:ascii="Arial" w:hAnsi="Arial"/>
                                <w:b/>
                                <w:i w:val="false"/>
                                <w:caps w:val="false"/>
                                <w:smallCaps w:val="false"/>
                                <w:color w:val="FE5000"/>
                                <w:sz w:val="28"/>
                              </w:rPr>
                              <w:t>4.2. COMPENSATION MODEL FOR THE BOARD AND EXECUTIVE MANAGEMENT</w:t>
                            </w:r>
                          </w:p>
                          <w:p>
                            <w:pPr>
                              <w:pStyle w:val="TextBody"/>
                              <w:bidi w:val="0"/>
                              <w:spacing w:before="0" w:after="0"/>
                              <w:jc w:val="left"/>
                              <w:rPr>
                                <w:rFonts w:ascii="Arial" w:hAnsi="Arial"/>
                                <w:b w:val="false"/>
                                <w:i w:val="false"/>
                                <w:caps w:val="false"/>
                                <w:smallCaps w:val="false"/>
                                <w:sz w:val="20"/>
                              </w:rPr>
                            </w:pPr>
                            <w:r>
                              <w:rPr>
                                <w:rFonts w:ascii="Arial" w:hAnsi="Arial"/>
                                <w:b w:val="false"/>
                                <w:i w:val="false"/>
                                <w:caps w:val="false"/>
                                <w:smallCaps w:val="false"/>
                                <w:sz w:val="20"/>
                              </w:rPr>
                              <w:t>Material topics Corporate governance, ethics, and anti-corruption GRI 2-19, 2-20, 3-3</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 w:hAnsi="Arial"/>
                                <w:b/>
                                <w:i w:val="false"/>
                                <w:caps w:val="false"/>
                                <w:smallCaps w:val="false"/>
                                <w:color w:val="FE5000"/>
                                <w:sz w:val="28"/>
                              </w:rPr>
                            </w:pPr>
                            <w:r>
                              <w:rPr>
                                <w:rFonts w:ascii="Arial" w:hAnsi="Arial"/>
                                <w:b/>
                                <w:i w:val="false"/>
                                <w:caps w:val="false"/>
                                <w:smallCaps w:val="false"/>
                                <w:color w:val="FE5000"/>
                                <w:sz w:val="28"/>
                              </w:rPr>
                              <w:t>4.2.1. Compensation for the Board of Directors</w:t>
                            </w:r>
                          </w:p>
                          <w:p>
                            <w:pPr>
                              <w:pStyle w:val="TextBody"/>
                              <w:bidi w:val="0"/>
                              <w:spacing w:before="0" w:after="0"/>
                              <w:jc w:val="left"/>
                              <w:rPr>
                                <w:caps w:val="false"/>
                                <w:smallCaps w:val="false"/>
                                <w:color w:val="FE5000"/>
                              </w:rPr>
                            </w:pPr>
                            <w:r>
                              <w:rPr>
                                <w:caps w:val="false"/>
                                <w:smallCaps w:val="false"/>
                                <w:color w:val="FE5000"/>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The compensation for members of the boards of Credicorp and its subsidiaries is proposed by the Credicorp Compensation and Nominations Committee and approved at the General Shareholders Meeting for each company. Each package consists of annual compensation for the individual sitting on the board and additional compensation for those participating on a board committee.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Further details on the composition of the Credicorp board and those of its subsidiaries are available in Form 20-F, published on our website.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Arial" w:hAnsi="Arial"/>
                                <w:b/>
                                <w:i w:val="false"/>
                                <w:caps w:val="false"/>
                                <w:smallCaps w:val="false"/>
                                <w:color w:val="FE5000"/>
                                <w:sz w:val="28"/>
                              </w:rPr>
                            </w:pPr>
                            <w:r>
                              <w:rPr>
                                <w:rFonts w:ascii="Arial" w:hAnsi="Arial"/>
                                <w:b/>
                                <w:i w:val="false"/>
                                <w:caps w:val="false"/>
                                <w:smallCaps w:val="false"/>
                                <w:color w:val="FE5000"/>
                                <w:sz w:val="28"/>
                              </w:rPr>
                              <w:t>4.2.2. Compensation for the Executive Segment</w:t>
                            </w:r>
                          </w:p>
                          <w:p>
                            <w:pPr>
                              <w:pStyle w:val="TextBody"/>
                              <w:bidi w:val="0"/>
                              <w:spacing w:before="0" w:after="0"/>
                              <w:jc w:val="left"/>
                              <w:rPr>
                                <w:caps w:val="false"/>
                                <w:smallCaps w:val="false"/>
                                <w:color w:val="FE5000"/>
                              </w:rPr>
                            </w:pPr>
                            <w:r>
                              <w:rPr>
                                <w:caps w:val="false"/>
                                <w:smallCaps w:val="false"/>
                                <w:color w:val="FE5000"/>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Aiming to have the region’s best Top Management, Credicorp’s compensation model strengthens our attraction and retention strategy. Its components respond to the group’s corporate compensation philosophy:</w:t>
                            </w:r>
                          </w:p>
                          <w:tbl>
                            <w:tblPr>
                              <w:tblW w:w="6598" w:type="dxa"/>
                              <w:jc w:val="left"/>
                              <w:tblInd w:w="0" w:type="dxa"/>
                              <w:tblLayout w:type="fixed"/>
                              <w:tblCellMar>
                                <w:top w:w="0" w:type="dxa"/>
                                <w:left w:w="0" w:type="dxa"/>
                                <w:bottom w:w="0" w:type="dxa"/>
                                <w:right w:w="0" w:type="dxa"/>
                              </w:tblCellMar>
                            </w:tblPr>
                            <w:tblGrid>
                              <w:gridCol w:w="38"/>
                              <w:gridCol w:w="225"/>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42875" cy="104775"/>
                                        <wp:effectExtent l="0" t="0" r="0" b="0"/>
                                        <wp:docPr id="311"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123" descr=""/>
                                                <pic:cNvPicPr>
                                                  <a:picLocks noChangeAspect="1" noChangeArrowheads="1"/>
                                                </pic:cNvPicPr>
                                              </pic:nvPicPr>
                                              <pic:blipFill>
                                                <a:blip r:embed="rId208"/>
                                                <a:stretch>
                                                  <a:fillRect/>
                                                </a:stretch>
                                              </pic:blipFill>
                                              <pic:spPr bwMode="auto">
                                                <a:xfrm>
                                                  <a:off x="0" y="0"/>
                                                  <a:ext cx="142875" cy="104775"/>
                                                </a:xfrm>
                                                <a:prstGeom prst="rect">
                                                  <a:avLst/>
                                                </a:prstGeom>
                                              </pic:spPr>
                                            </pic:pic>
                                          </a:graphicData>
                                        </a:graphic>
                                      </wp:inline>
                                    </w:drawing>
                                  </w:r>
                                </w:p>
                              </w:tc>
                              <w:tc>
                                <w:tcPr>
                                  <w:tcW w:w="6335"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 xml:space="preserve">We attract and retain the best local and international talent for Credicorp </w:t>
                                  </w:r>
                                </w:p>
                              </w:tc>
                            </w:tr>
                          </w:tbl>
                          <w:tbl>
                            <w:tblPr>
                              <w:tblW w:w="8668" w:type="dxa"/>
                              <w:jc w:val="left"/>
                              <w:tblInd w:w="0" w:type="dxa"/>
                              <w:tblLayout w:type="fixed"/>
                              <w:tblCellMar>
                                <w:top w:w="0" w:type="dxa"/>
                                <w:left w:w="0" w:type="dxa"/>
                                <w:bottom w:w="0" w:type="dxa"/>
                                <w:right w:w="0" w:type="dxa"/>
                              </w:tblCellMar>
                            </w:tblPr>
                            <w:tblGrid>
                              <w:gridCol w:w="38"/>
                              <w:gridCol w:w="225"/>
                              <w:gridCol w:w="8405"/>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42875" cy="104775"/>
                                        <wp:effectExtent l="0" t="0" r="0" b="0"/>
                                        <wp:docPr id="312"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124" descr=""/>
                                                <pic:cNvPicPr>
                                                  <a:picLocks noChangeAspect="1" noChangeArrowheads="1"/>
                                                </pic:cNvPicPr>
                                              </pic:nvPicPr>
                                              <pic:blipFill>
                                                <a:blip r:embed="rId209"/>
                                                <a:stretch>
                                                  <a:fillRect/>
                                                </a:stretch>
                                              </pic:blipFill>
                                              <pic:spPr bwMode="auto">
                                                <a:xfrm>
                                                  <a:off x="0" y="0"/>
                                                  <a:ext cx="142875" cy="104775"/>
                                                </a:xfrm>
                                                <a:prstGeom prst="rect">
                                                  <a:avLst/>
                                                </a:prstGeom>
                                              </pic:spPr>
                                            </pic:pic>
                                          </a:graphicData>
                                        </a:graphic>
                                      </wp:inline>
                                    </w:drawing>
                                  </w:r>
                                </w:p>
                              </w:tc>
                              <w:tc>
                                <w:tcPr>
                                  <w:tcW w:w="8405"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 xml:space="preserve">We reward in a differentiated manner our executives’ high performance and their ethical conduct </w:t>
                                  </w:r>
                                </w:p>
                              </w:tc>
                            </w:tr>
                          </w:tbl>
                          <w:tbl>
                            <w:tblPr>
                              <w:tblW w:w="8113" w:type="dxa"/>
                              <w:jc w:val="left"/>
                              <w:tblInd w:w="0" w:type="dxa"/>
                              <w:tblLayout w:type="fixed"/>
                              <w:tblCellMar>
                                <w:top w:w="0" w:type="dxa"/>
                                <w:left w:w="0" w:type="dxa"/>
                                <w:bottom w:w="0" w:type="dxa"/>
                                <w:right w:w="0" w:type="dxa"/>
                              </w:tblCellMar>
                            </w:tblPr>
                            <w:tblGrid>
                              <w:gridCol w:w="38"/>
                              <w:gridCol w:w="225"/>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42875" cy="104775"/>
                                        <wp:effectExtent l="0" t="0" r="0" b="0"/>
                                        <wp:docPr id="313"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125" descr=""/>
                                                <pic:cNvPicPr>
                                                  <a:picLocks noChangeAspect="1" noChangeArrowheads="1"/>
                                                </pic:cNvPicPr>
                                              </pic:nvPicPr>
                                              <pic:blipFill>
                                                <a:blip r:embed="rId210"/>
                                                <a:stretch>
                                                  <a:fillRect/>
                                                </a:stretch>
                                              </pic:blipFill>
                                              <pic:spPr bwMode="auto">
                                                <a:xfrm>
                                                  <a:off x="0" y="0"/>
                                                  <a:ext cx="142875" cy="104775"/>
                                                </a:xfrm>
                                                <a:prstGeom prst="rect">
                                                  <a:avLst/>
                                                </a:prstGeom>
                                              </pic:spPr>
                                            </pic:pic>
                                          </a:graphicData>
                                        </a:graphic>
                                      </wp:inline>
                                    </w:drawing>
                                  </w:r>
                                </w:p>
                              </w:tc>
                              <w:tc>
                                <w:tcPr>
                                  <w:tcW w:w="7850"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 xml:space="preserve">We align executive and shareholder interests by sharing Credicorp’s risks and successes </w:t>
                                  </w:r>
                                </w:p>
                              </w:tc>
                            </w:tr>
                          </w:tbl>
                          <w:tbl>
                            <w:tblPr>
                              <w:tblW w:w="7603" w:type="dxa"/>
                              <w:jc w:val="left"/>
                              <w:tblInd w:w="0" w:type="dxa"/>
                              <w:tblLayout w:type="fixed"/>
                              <w:tblCellMar>
                                <w:top w:w="0" w:type="dxa"/>
                                <w:left w:w="0" w:type="dxa"/>
                                <w:bottom w:w="0" w:type="dxa"/>
                                <w:right w:w="0" w:type="dxa"/>
                              </w:tblCellMar>
                            </w:tblPr>
                            <w:tblGrid>
                              <w:gridCol w:w="38"/>
                              <w:gridCol w:w="225"/>
                              <w:gridCol w:w="7340"/>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42875" cy="104775"/>
                                        <wp:effectExtent l="0" t="0" r="0" b="0"/>
                                        <wp:docPr id="314"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126" descr=""/>
                                                <pic:cNvPicPr>
                                                  <a:picLocks noChangeAspect="1" noChangeArrowheads="1"/>
                                                </pic:cNvPicPr>
                                              </pic:nvPicPr>
                                              <pic:blipFill>
                                                <a:blip r:embed="rId211"/>
                                                <a:stretch>
                                                  <a:fillRect/>
                                                </a:stretch>
                                              </pic:blipFill>
                                              <pic:spPr bwMode="auto">
                                                <a:xfrm>
                                                  <a:off x="0" y="0"/>
                                                  <a:ext cx="142875" cy="104775"/>
                                                </a:xfrm>
                                                <a:prstGeom prst="rect">
                                                  <a:avLst/>
                                                </a:prstGeom>
                                              </pic:spPr>
                                            </pic:pic>
                                          </a:graphicData>
                                        </a:graphic>
                                      </wp:inline>
                                    </w:drawing>
                                  </w:r>
                                </w:p>
                              </w:tc>
                              <w:tc>
                                <w:tcPr>
                                  <w:tcW w:w="7340"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 xml:space="preserve">We generate passion for creating long-term value for Credicorp and its stakeholders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5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rFonts w:ascii="Arial" w:hAnsi="Arial"/>
                          <w:b/>
                          <w:i w:val="false"/>
                          <w:caps w:val="false"/>
                          <w:smallCaps w:val="false"/>
                          <w:color w:val="FE5000"/>
                          <w:sz w:val="28"/>
                        </w:rPr>
                      </w:pPr>
                      <w:r>
                        <w:rPr>
                          <w:rFonts w:ascii="Arial" w:hAnsi="Arial"/>
                          <w:b/>
                          <w:i w:val="false"/>
                          <w:caps w:val="false"/>
                          <w:smallCaps w:val="false"/>
                          <w:color w:val="FE5000"/>
                          <w:sz w:val="28"/>
                        </w:rPr>
                        <w:t>4.2. COMPENSATION MODEL FOR THE BOARD AND EXECUTIVE MANAGEMENT</w:t>
                      </w:r>
                    </w:p>
                    <w:p>
                      <w:pPr>
                        <w:pStyle w:val="TextBody"/>
                        <w:bidi w:val="0"/>
                        <w:spacing w:before="0" w:after="0"/>
                        <w:jc w:val="left"/>
                        <w:rPr>
                          <w:rFonts w:ascii="Arial" w:hAnsi="Arial"/>
                          <w:b w:val="false"/>
                          <w:i w:val="false"/>
                          <w:caps w:val="false"/>
                          <w:smallCaps w:val="false"/>
                          <w:sz w:val="20"/>
                        </w:rPr>
                      </w:pPr>
                      <w:r>
                        <w:rPr>
                          <w:rFonts w:ascii="Arial" w:hAnsi="Arial"/>
                          <w:b w:val="false"/>
                          <w:i w:val="false"/>
                          <w:caps w:val="false"/>
                          <w:smallCaps w:val="false"/>
                          <w:sz w:val="20"/>
                        </w:rPr>
                        <w:t>Material topics Corporate governance, ethics, and anti-corruption GRI 2-19, 2-20, 3-3</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 w:hAnsi="Arial"/>
                          <w:b/>
                          <w:i w:val="false"/>
                          <w:caps w:val="false"/>
                          <w:smallCaps w:val="false"/>
                          <w:color w:val="FE5000"/>
                          <w:sz w:val="28"/>
                        </w:rPr>
                      </w:pPr>
                      <w:r>
                        <w:rPr>
                          <w:rFonts w:ascii="Arial" w:hAnsi="Arial"/>
                          <w:b/>
                          <w:i w:val="false"/>
                          <w:caps w:val="false"/>
                          <w:smallCaps w:val="false"/>
                          <w:color w:val="FE5000"/>
                          <w:sz w:val="28"/>
                        </w:rPr>
                        <w:t>4.2.1. Compensation for the Board of Directors</w:t>
                      </w:r>
                    </w:p>
                    <w:p>
                      <w:pPr>
                        <w:pStyle w:val="TextBody"/>
                        <w:bidi w:val="0"/>
                        <w:spacing w:before="0" w:after="0"/>
                        <w:jc w:val="left"/>
                        <w:rPr>
                          <w:caps w:val="false"/>
                          <w:smallCaps w:val="false"/>
                          <w:color w:val="FE5000"/>
                        </w:rPr>
                      </w:pPr>
                      <w:r>
                        <w:rPr>
                          <w:caps w:val="false"/>
                          <w:smallCaps w:val="false"/>
                          <w:color w:val="FE5000"/>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The compensation for members of the boards of Credicorp and its subsidiaries is proposed by the Credicorp Compensation and Nominations Committee and approved at the General Shareholders Meeting for each company. Each package consists of annual compensation for the individual sitting on the board and additional compensation for those participating on a board committee.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Further details on the composition of the Credicorp board and those of its subsidiaries are available in Form 20-F, published on our website.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Arial" w:hAnsi="Arial"/>
                          <w:b/>
                          <w:i w:val="false"/>
                          <w:caps w:val="false"/>
                          <w:smallCaps w:val="false"/>
                          <w:color w:val="FE5000"/>
                          <w:sz w:val="28"/>
                        </w:rPr>
                      </w:pPr>
                      <w:r>
                        <w:rPr>
                          <w:rFonts w:ascii="Arial" w:hAnsi="Arial"/>
                          <w:b/>
                          <w:i w:val="false"/>
                          <w:caps w:val="false"/>
                          <w:smallCaps w:val="false"/>
                          <w:color w:val="FE5000"/>
                          <w:sz w:val="28"/>
                        </w:rPr>
                        <w:t>4.2.2. Compensation for the Executive Segment</w:t>
                      </w:r>
                    </w:p>
                    <w:p>
                      <w:pPr>
                        <w:pStyle w:val="TextBody"/>
                        <w:bidi w:val="0"/>
                        <w:spacing w:before="0" w:after="0"/>
                        <w:jc w:val="left"/>
                        <w:rPr>
                          <w:caps w:val="false"/>
                          <w:smallCaps w:val="false"/>
                          <w:color w:val="FE5000"/>
                        </w:rPr>
                      </w:pPr>
                      <w:r>
                        <w:rPr>
                          <w:caps w:val="false"/>
                          <w:smallCaps w:val="false"/>
                          <w:color w:val="FE5000"/>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Aiming to have the region’s best Top Management, Credicorp’s compensation model strengthens our attraction and retention strategy. Its components respond to the group’s corporate compensation philosophy:</w:t>
                      </w:r>
                    </w:p>
                    <w:tbl>
                      <w:tblPr>
                        <w:tblW w:w="6598" w:type="dxa"/>
                        <w:jc w:val="left"/>
                        <w:tblInd w:w="0" w:type="dxa"/>
                        <w:tblLayout w:type="fixed"/>
                        <w:tblCellMar>
                          <w:top w:w="0" w:type="dxa"/>
                          <w:left w:w="0" w:type="dxa"/>
                          <w:bottom w:w="0" w:type="dxa"/>
                          <w:right w:w="0" w:type="dxa"/>
                        </w:tblCellMar>
                      </w:tblPr>
                      <w:tblGrid>
                        <w:gridCol w:w="38"/>
                        <w:gridCol w:w="225"/>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42875" cy="104775"/>
                                  <wp:effectExtent l="0" t="0" r="0" b="0"/>
                                  <wp:docPr id="315"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123" descr=""/>
                                          <pic:cNvPicPr>
                                            <a:picLocks noChangeAspect="1" noChangeArrowheads="1"/>
                                          </pic:cNvPicPr>
                                        </pic:nvPicPr>
                                        <pic:blipFill>
                                          <a:blip r:embed="rId212"/>
                                          <a:stretch>
                                            <a:fillRect/>
                                          </a:stretch>
                                        </pic:blipFill>
                                        <pic:spPr bwMode="auto">
                                          <a:xfrm>
                                            <a:off x="0" y="0"/>
                                            <a:ext cx="142875" cy="104775"/>
                                          </a:xfrm>
                                          <a:prstGeom prst="rect">
                                            <a:avLst/>
                                          </a:prstGeom>
                                        </pic:spPr>
                                      </pic:pic>
                                    </a:graphicData>
                                  </a:graphic>
                                </wp:inline>
                              </w:drawing>
                            </w:r>
                          </w:p>
                        </w:tc>
                        <w:tc>
                          <w:tcPr>
                            <w:tcW w:w="6335"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 xml:space="preserve">We attract and retain the best local and international talent for Credicorp </w:t>
                            </w:r>
                          </w:p>
                        </w:tc>
                      </w:tr>
                    </w:tbl>
                    <w:tbl>
                      <w:tblPr>
                        <w:tblW w:w="8668" w:type="dxa"/>
                        <w:jc w:val="left"/>
                        <w:tblInd w:w="0" w:type="dxa"/>
                        <w:tblLayout w:type="fixed"/>
                        <w:tblCellMar>
                          <w:top w:w="0" w:type="dxa"/>
                          <w:left w:w="0" w:type="dxa"/>
                          <w:bottom w:w="0" w:type="dxa"/>
                          <w:right w:w="0" w:type="dxa"/>
                        </w:tblCellMar>
                      </w:tblPr>
                      <w:tblGrid>
                        <w:gridCol w:w="38"/>
                        <w:gridCol w:w="225"/>
                        <w:gridCol w:w="8405"/>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42875" cy="104775"/>
                                  <wp:effectExtent l="0" t="0" r="0" b="0"/>
                                  <wp:docPr id="316"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124" descr=""/>
                                          <pic:cNvPicPr>
                                            <a:picLocks noChangeAspect="1" noChangeArrowheads="1"/>
                                          </pic:cNvPicPr>
                                        </pic:nvPicPr>
                                        <pic:blipFill>
                                          <a:blip r:embed="rId213"/>
                                          <a:stretch>
                                            <a:fillRect/>
                                          </a:stretch>
                                        </pic:blipFill>
                                        <pic:spPr bwMode="auto">
                                          <a:xfrm>
                                            <a:off x="0" y="0"/>
                                            <a:ext cx="142875" cy="104775"/>
                                          </a:xfrm>
                                          <a:prstGeom prst="rect">
                                            <a:avLst/>
                                          </a:prstGeom>
                                        </pic:spPr>
                                      </pic:pic>
                                    </a:graphicData>
                                  </a:graphic>
                                </wp:inline>
                              </w:drawing>
                            </w:r>
                          </w:p>
                        </w:tc>
                        <w:tc>
                          <w:tcPr>
                            <w:tcW w:w="8405"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 xml:space="preserve">We reward in a differentiated manner our executives’ high performance and their ethical conduct </w:t>
                            </w:r>
                          </w:p>
                        </w:tc>
                      </w:tr>
                    </w:tbl>
                    <w:tbl>
                      <w:tblPr>
                        <w:tblW w:w="8113" w:type="dxa"/>
                        <w:jc w:val="left"/>
                        <w:tblInd w:w="0" w:type="dxa"/>
                        <w:tblLayout w:type="fixed"/>
                        <w:tblCellMar>
                          <w:top w:w="0" w:type="dxa"/>
                          <w:left w:w="0" w:type="dxa"/>
                          <w:bottom w:w="0" w:type="dxa"/>
                          <w:right w:w="0" w:type="dxa"/>
                        </w:tblCellMar>
                      </w:tblPr>
                      <w:tblGrid>
                        <w:gridCol w:w="38"/>
                        <w:gridCol w:w="225"/>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42875" cy="104775"/>
                                  <wp:effectExtent l="0" t="0" r="0" b="0"/>
                                  <wp:docPr id="317"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125" descr=""/>
                                          <pic:cNvPicPr>
                                            <a:picLocks noChangeAspect="1" noChangeArrowheads="1"/>
                                          </pic:cNvPicPr>
                                        </pic:nvPicPr>
                                        <pic:blipFill>
                                          <a:blip r:embed="rId214"/>
                                          <a:stretch>
                                            <a:fillRect/>
                                          </a:stretch>
                                        </pic:blipFill>
                                        <pic:spPr bwMode="auto">
                                          <a:xfrm>
                                            <a:off x="0" y="0"/>
                                            <a:ext cx="142875" cy="104775"/>
                                          </a:xfrm>
                                          <a:prstGeom prst="rect">
                                            <a:avLst/>
                                          </a:prstGeom>
                                        </pic:spPr>
                                      </pic:pic>
                                    </a:graphicData>
                                  </a:graphic>
                                </wp:inline>
                              </w:drawing>
                            </w:r>
                          </w:p>
                        </w:tc>
                        <w:tc>
                          <w:tcPr>
                            <w:tcW w:w="7850"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 xml:space="preserve">We align executive and shareholder interests by sharing Credicorp’s risks and successes </w:t>
                            </w:r>
                          </w:p>
                        </w:tc>
                      </w:tr>
                    </w:tbl>
                    <w:tbl>
                      <w:tblPr>
                        <w:tblW w:w="7603" w:type="dxa"/>
                        <w:jc w:val="left"/>
                        <w:tblInd w:w="0" w:type="dxa"/>
                        <w:tblLayout w:type="fixed"/>
                        <w:tblCellMar>
                          <w:top w:w="0" w:type="dxa"/>
                          <w:left w:w="0" w:type="dxa"/>
                          <w:bottom w:w="0" w:type="dxa"/>
                          <w:right w:w="0" w:type="dxa"/>
                        </w:tblCellMar>
                      </w:tblPr>
                      <w:tblGrid>
                        <w:gridCol w:w="38"/>
                        <w:gridCol w:w="225"/>
                        <w:gridCol w:w="7340"/>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42875" cy="104775"/>
                                  <wp:effectExtent l="0" t="0" r="0" b="0"/>
                                  <wp:docPr id="318"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126" descr=""/>
                                          <pic:cNvPicPr>
                                            <a:picLocks noChangeAspect="1" noChangeArrowheads="1"/>
                                          </pic:cNvPicPr>
                                        </pic:nvPicPr>
                                        <pic:blipFill>
                                          <a:blip r:embed="rId215"/>
                                          <a:stretch>
                                            <a:fillRect/>
                                          </a:stretch>
                                        </pic:blipFill>
                                        <pic:spPr bwMode="auto">
                                          <a:xfrm>
                                            <a:off x="0" y="0"/>
                                            <a:ext cx="142875" cy="104775"/>
                                          </a:xfrm>
                                          <a:prstGeom prst="rect">
                                            <a:avLst/>
                                          </a:prstGeom>
                                        </pic:spPr>
                                      </pic:pic>
                                    </a:graphicData>
                                  </a:graphic>
                                </wp:inline>
                              </w:drawing>
                            </w:r>
                          </w:p>
                        </w:tc>
                        <w:tc>
                          <w:tcPr>
                            <w:tcW w:w="7340"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 xml:space="preserve">We generate passion for creating long-term value for Credicorp and its stakeholders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9">
                <wp:simplePos x="0" y="0"/>
                <wp:positionH relativeFrom="column">
                  <wp:align>right</wp:align>
                </wp:positionH>
                <wp:positionV relativeFrom="line">
                  <wp:posOffset>635</wp:posOffset>
                </wp:positionV>
                <wp:extent cx="3110230" cy="8131175"/>
                <wp:effectExtent l="0" t="0" r="0" b="0"/>
                <wp:wrapSquare wrapText="left"/>
                <wp:docPr id="319" name="Frame105"/>
                <a:graphic xmlns:a="http://schemas.openxmlformats.org/drawingml/2006/main">
                  <a:graphicData uri="http://schemas.microsoft.com/office/word/2010/wordprocessingShape">
                    <wps:wsp>
                      <wps:cNvSpPr txBox="1"/>
                      <wps:spPr>
                        <a:xfrm>
                          <a:off x="0" y="0"/>
                          <a:ext cx="3110230" cy="813117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drawing>
                                      <wp:inline distT="0" distB="0" distL="0" distR="0">
                                        <wp:extent cx="142875" cy="104775"/>
                                        <wp:effectExtent l="0" t="0" r="0" b="0"/>
                                        <wp:docPr id="320"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127" descr=""/>
                                                <pic:cNvPicPr>
                                                  <a:picLocks noChangeAspect="1" noChangeArrowheads="1"/>
                                                </pic:cNvPicPr>
                                              </pic:nvPicPr>
                                              <pic:blipFill>
                                                <a:blip r:embed="rId216"/>
                                                <a:stretch>
                                                  <a:fillRect/>
                                                </a:stretch>
                                              </pic:blipFill>
                                              <pic:spPr bwMode="auto">
                                                <a:xfrm>
                                                  <a:off x="0" y="0"/>
                                                  <a:ext cx="142875" cy="104775"/>
                                                </a:xfrm>
                                                <a:prstGeom prst="rect">
                                                  <a:avLst/>
                                                </a:prstGeom>
                                              </pic:spPr>
                                            </pic:pic>
                                          </a:graphicData>
                                        </a:graphic>
                                      </wp:inline>
                                    </w:drawing>
                                  </w:r>
                                </w:p>
                              </w:tc>
                              <w:tc>
                                <w:tcPr>
                                  <w:tcW w:w="9942" w:type="dxa"/>
                                  <w:tcBorders/>
                                  <w:vAlign w:val="center"/>
                                </w:tcPr>
                                <w:p>
                                  <w:pPr>
                                    <w:pStyle w:val="TableContents"/>
                                    <w:bidi w:val="0"/>
                                    <w:spacing w:before="0" w:after="283"/>
                                    <w:jc w:val="left"/>
                                    <w:rPr>
                                      <w:rFonts w:ascii="Arial" w:hAnsi="Arial"/>
                                      <w:sz w:val="20"/>
                                    </w:rPr>
                                  </w:pPr>
                                  <w:r>
                                    <w:rPr>
                                      <w:rFonts w:ascii="Arial" w:hAnsi="Arial"/>
                                      <w:sz w:val="20"/>
                                    </w:rPr>
                                    <w:t>We transparently manage performance and compensation for executives using simple and easy-to-understand models</w:t>
                                  </w:r>
                                </w:p>
                              </w:tc>
                            </w:tr>
                          </w:tbl>
                          <w:tbl>
                            <w:tblPr>
                              <w:tblW w:w="6193" w:type="dxa"/>
                              <w:jc w:val="left"/>
                              <w:tblInd w:w="0" w:type="dxa"/>
                              <w:tblLayout w:type="fixed"/>
                              <w:tblCellMar>
                                <w:top w:w="0" w:type="dxa"/>
                                <w:left w:w="0" w:type="dxa"/>
                                <w:bottom w:w="0" w:type="dxa"/>
                                <w:right w:w="0" w:type="dxa"/>
                              </w:tblCellMar>
                            </w:tblPr>
                            <w:tblGrid>
                              <w:gridCol w:w="38"/>
                              <w:gridCol w:w="225"/>
                              <w:gridCol w:w="5930"/>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drawing>
                                      <wp:inline distT="0" distB="0" distL="0" distR="0">
                                        <wp:extent cx="142875" cy="104775"/>
                                        <wp:effectExtent l="0" t="0" r="0" b="0"/>
                                        <wp:docPr id="321"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128" descr=""/>
                                                <pic:cNvPicPr>
                                                  <a:picLocks noChangeAspect="1" noChangeArrowheads="1"/>
                                                </pic:cNvPicPr>
                                              </pic:nvPicPr>
                                              <pic:blipFill>
                                                <a:blip r:embed="rId217"/>
                                                <a:stretch>
                                                  <a:fillRect/>
                                                </a:stretch>
                                              </pic:blipFill>
                                              <pic:spPr bwMode="auto">
                                                <a:xfrm>
                                                  <a:off x="0" y="0"/>
                                                  <a:ext cx="142875" cy="104775"/>
                                                </a:xfrm>
                                                <a:prstGeom prst="rect">
                                                  <a:avLst/>
                                                </a:prstGeom>
                                              </pic:spPr>
                                            </pic:pic>
                                          </a:graphicData>
                                        </a:graphic>
                                      </wp:inline>
                                    </w:drawing>
                                  </w:r>
                                </w:p>
                              </w:tc>
                              <w:tc>
                                <w:tcPr>
                                  <w:tcW w:w="5930" w:type="dxa"/>
                                  <w:tcBorders/>
                                  <w:vAlign w:val="center"/>
                                </w:tcPr>
                                <w:p>
                                  <w:pPr>
                                    <w:pStyle w:val="TableContents"/>
                                    <w:bidi w:val="0"/>
                                    <w:spacing w:before="0" w:after="283"/>
                                    <w:jc w:val="left"/>
                                    <w:rPr>
                                      <w:rFonts w:ascii="Arial" w:hAnsi="Arial"/>
                                      <w:sz w:val="20"/>
                                    </w:rPr>
                                  </w:pPr>
                                  <w:r>
                                    <w:rPr>
                                      <w:rFonts w:ascii="Arial" w:hAnsi="Arial"/>
                                      <w:sz w:val="20"/>
                                    </w:rPr>
                                    <w:t>We promote diversity and ensure pay equity and equal opportunities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The responsible body is the Credicorp Compensation and Nominations Committee. One of its primary functions on salaries is to set Credicorp’s compensation policy and guidelines and approve the Total Annual Compensation proposals, including incentive plans and payment adjustments for Credicorp’s senior management. The company’s Corporate Talent Manager undertakes the role of Committee Secretary. The Corporate Compensation Manager provides specific technical advice and participates on an ongoing basis.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Compensation management at Credicorp aims to ensure a balance between its executives’ total annual compensation and their competitive ability to:</w:t>
                            </w:r>
                          </w:p>
                          <w:tbl>
                            <w:tblPr>
                              <w:tblW w:w="3463" w:type="dxa"/>
                              <w:jc w:val="left"/>
                              <w:tblInd w:w="0" w:type="dxa"/>
                              <w:tblLayout w:type="fixed"/>
                              <w:tblCellMar>
                                <w:top w:w="0" w:type="dxa"/>
                                <w:left w:w="0" w:type="dxa"/>
                                <w:bottom w:w="0" w:type="dxa"/>
                                <w:right w:w="0" w:type="dxa"/>
                              </w:tblCellMar>
                            </w:tblPr>
                            <w:tblGrid>
                              <w:gridCol w:w="38"/>
                              <w:gridCol w:w="225"/>
                              <w:gridCol w:w="3200"/>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42875" cy="104775"/>
                                        <wp:effectExtent l="0" t="0" r="0" b="0"/>
                                        <wp:docPr id="322"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129" descr=""/>
                                                <pic:cNvPicPr>
                                                  <a:picLocks noChangeAspect="1" noChangeArrowheads="1"/>
                                                </pic:cNvPicPr>
                                              </pic:nvPicPr>
                                              <pic:blipFill>
                                                <a:blip r:embed="rId218"/>
                                                <a:stretch>
                                                  <a:fillRect/>
                                                </a:stretch>
                                              </pic:blipFill>
                                              <pic:spPr bwMode="auto">
                                                <a:xfrm>
                                                  <a:off x="0" y="0"/>
                                                  <a:ext cx="142875" cy="104775"/>
                                                </a:xfrm>
                                                <a:prstGeom prst="rect">
                                                  <a:avLst/>
                                                </a:prstGeom>
                                              </pic:spPr>
                                            </pic:pic>
                                          </a:graphicData>
                                        </a:graphic>
                                      </wp:inline>
                                    </w:drawing>
                                  </w:r>
                                </w:p>
                              </w:tc>
                              <w:tc>
                                <w:tcPr>
                                  <w:tcW w:w="3200"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Attract competent and qualified staff</w:t>
                                  </w:r>
                                </w:p>
                              </w:tc>
                            </w:tr>
                          </w:tbl>
                          <w:tbl>
                            <w:tblPr>
                              <w:tblW w:w="2668" w:type="dxa"/>
                              <w:jc w:val="left"/>
                              <w:tblInd w:w="0" w:type="dxa"/>
                              <w:tblLayout w:type="fixed"/>
                              <w:tblCellMar>
                                <w:top w:w="0" w:type="dxa"/>
                                <w:left w:w="0" w:type="dxa"/>
                                <w:bottom w:w="0" w:type="dxa"/>
                                <w:right w:w="0" w:type="dxa"/>
                              </w:tblCellMar>
                            </w:tblPr>
                            <w:tblGrid>
                              <w:gridCol w:w="38"/>
                              <w:gridCol w:w="225"/>
                              <w:gridCol w:w="2405"/>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color w:val="FB6305"/>
                                    </w:rPr>
                                  </w:pPr>
                                  <w:r>
                                    <w:rPr>
                                      <w:caps w:val="false"/>
                                      <w:smallCaps w:val="false"/>
                                      <w:color w:val="FB6305"/>
                                    </w:rPr>
                                    <w:drawing>
                                      <wp:inline distT="0" distB="0" distL="0" distR="0">
                                        <wp:extent cx="142875" cy="104775"/>
                                        <wp:effectExtent l="0" t="0" r="0" b="0"/>
                                        <wp:docPr id="323"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130" descr=""/>
                                                <pic:cNvPicPr>
                                                  <a:picLocks noChangeAspect="1" noChangeArrowheads="1"/>
                                                </pic:cNvPicPr>
                                              </pic:nvPicPr>
                                              <pic:blipFill>
                                                <a:blip r:embed="rId219"/>
                                                <a:stretch>
                                                  <a:fillRect/>
                                                </a:stretch>
                                              </pic:blipFill>
                                              <pic:spPr bwMode="auto">
                                                <a:xfrm>
                                                  <a:off x="0" y="0"/>
                                                  <a:ext cx="142875" cy="104775"/>
                                                </a:xfrm>
                                                <a:prstGeom prst="rect">
                                                  <a:avLst/>
                                                </a:prstGeom>
                                              </pic:spPr>
                                            </pic:pic>
                                          </a:graphicData>
                                        </a:graphic>
                                      </wp:inline>
                                    </w:drawing>
                                  </w:r>
                                </w:p>
                              </w:tc>
                              <w:tc>
                                <w:tcPr>
                                  <w:tcW w:w="2405"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Retain those most qualified</w:t>
                                  </w:r>
                                </w:p>
                              </w:tc>
                            </w:tr>
                          </w:tbl>
                          <w:tbl>
                            <w:tblPr>
                              <w:tblW w:w="7333" w:type="dxa"/>
                              <w:jc w:val="left"/>
                              <w:tblInd w:w="0" w:type="dxa"/>
                              <w:tblLayout w:type="fixed"/>
                              <w:tblCellMar>
                                <w:top w:w="0" w:type="dxa"/>
                                <w:left w:w="0" w:type="dxa"/>
                                <w:bottom w:w="0" w:type="dxa"/>
                                <w:right w:w="0" w:type="dxa"/>
                              </w:tblCellMar>
                            </w:tblPr>
                            <w:tblGrid>
                              <w:gridCol w:w="38"/>
                              <w:gridCol w:w="225"/>
                              <w:gridCol w:w="7070"/>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color w:val="FB6305"/>
                                    </w:rPr>
                                  </w:pPr>
                                  <w:r>
                                    <w:rPr>
                                      <w:caps w:val="false"/>
                                      <w:smallCaps w:val="false"/>
                                      <w:color w:val="FB6305"/>
                                    </w:rPr>
                                    <w:drawing>
                                      <wp:inline distT="0" distB="0" distL="0" distR="0">
                                        <wp:extent cx="142875" cy="104775"/>
                                        <wp:effectExtent l="0" t="0" r="0" b="0"/>
                                        <wp:docPr id="324"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131" descr=""/>
                                                <pic:cNvPicPr>
                                                  <a:picLocks noChangeAspect="1" noChangeArrowheads="1"/>
                                                </pic:cNvPicPr>
                                              </pic:nvPicPr>
                                              <pic:blipFill>
                                                <a:blip r:embed="rId220"/>
                                                <a:stretch>
                                                  <a:fillRect/>
                                                </a:stretch>
                                              </pic:blipFill>
                                              <pic:spPr bwMode="auto">
                                                <a:xfrm>
                                                  <a:off x="0" y="0"/>
                                                  <a:ext cx="142875" cy="104775"/>
                                                </a:xfrm>
                                                <a:prstGeom prst="rect">
                                                  <a:avLst/>
                                                </a:prstGeom>
                                              </pic:spPr>
                                            </pic:pic>
                                          </a:graphicData>
                                        </a:graphic>
                                      </wp:inline>
                                    </w:drawing>
                                  </w:r>
                                </w:p>
                              </w:tc>
                              <w:tc>
                                <w:tcPr>
                                  <w:tcW w:w="7070"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 xml:space="preserve">Reward those who contribute the most to achieving the organization’s objectives </w:t>
                                  </w:r>
                                </w:p>
                              </w:tc>
                            </w:tr>
                          </w:tbl>
                          <w:tbl>
                            <w:tblPr>
                              <w:tblW w:w="2668" w:type="dxa"/>
                              <w:jc w:val="left"/>
                              <w:tblInd w:w="0" w:type="dxa"/>
                              <w:tblLayout w:type="fixed"/>
                              <w:tblCellMar>
                                <w:top w:w="0" w:type="dxa"/>
                                <w:left w:w="0" w:type="dxa"/>
                                <w:bottom w:w="0" w:type="dxa"/>
                                <w:right w:w="0" w:type="dxa"/>
                              </w:tblCellMar>
                            </w:tblPr>
                            <w:tblGrid>
                              <w:gridCol w:w="38"/>
                              <w:gridCol w:w="225"/>
                              <w:gridCol w:w="2405"/>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color w:val="FB6305"/>
                                    </w:rPr>
                                  </w:pPr>
                                  <w:r>
                                    <w:rPr>
                                      <w:caps w:val="false"/>
                                      <w:smallCaps w:val="false"/>
                                      <w:color w:val="FB6305"/>
                                    </w:rPr>
                                    <w:drawing>
                                      <wp:inline distT="0" distB="0" distL="0" distR="0">
                                        <wp:extent cx="142875" cy="104775"/>
                                        <wp:effectExtent l="0" t="0" r="0" b="0"/>
                                        <wp:docPr id="325"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132" descr=""/>
                                                <pic:cNvPicPr>
                                                  <a:picLocks noChangeAspect="1" noChangeArrowheads="1"/>
                                                </pic:cNvPicPr>
                                              </pic:nvPicPr>
                                              <pic:blipFill>
                                                <a:blip r:embed="rId221"/>
                                                <a:stretch>
                                                  <a:fillRect/>
                                                </a:stretch>
                                              </pic:blipFill>
                                              <pic:spPr bwMode="auto">
                                                <a:xfrm>
                                                  <a:off x="0" y="0"/>
                                                  <a:ext cx="142875" cy="104775"/>
                                                </a:xfrm>
                                                <a:prstGeom prst="rect">
                                                  <a:avLst/>
                                                </a:prstGeom>
                                              </pic:spPr>
                                            </pic:pic>
                                          </a:graphicData>
                                        </a:graphic>
                                      </wp:inline>
                                    </w:drawing>
                                  </w:r>
                                </w:p>
                              </w:tc>
                              <w:tc>
                                <w:tcPr>
                                  <w:tcW w:w="2405"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Keep employees motivated</w:t>
                                  </w:r>
                                </w:p>
                              </w:tc>
                            </w:tr>
                          </w:tbl>
                          <w:tbl>
                            <w:tblPr>
                              <w:tblW w:w="3493" w:type="dxa"/>
                              <w:jc w:val="left"/>
                              <w:tblInd w:w="0" w:type="dxa"/>
                              <w:tblLayout w:type="fixed"/>
                              <w:tblCellMar>
                                <w:top w:w="0" w:type="dxa"/>
                                <w:left w:w="0" w:type="dxa"/>
                                <w:bottom w:w="0" w:type="dxa"/>
                                <w:right w:w="0" w:type="dxa"/>
                              </w:tblCellMar>
                            </w:tblPr>
                            <w:tblGrid>
                              <w:gridCol w:w="38"/>
                              <w:gridCol w:w="225"/>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color w:val="FB6305"/>
                                    </w:rPr>
                                  </w:pPr>
                                  <w:r>
                                    <w:rPr>
                                      <w:caps w:val="false"/>
                                      <w:smallCaps w:val="false"/>
                                      <w:color w:val="FB6305"/>
                                    </w:rPr>
                                    <w:drawing>
                                      <wp:inline distT="0" distB="0" distL="0" distR="0">
                                        <wp:extent cx="142875" cy="104775"/>
                                        <wp:effectExtent l="0" t="0" r="0" b="0"/>
                                        <wp:docPr id="326"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133" descr=""/>
                                                <pic:cNvPicPr>
                                                  <a:picLocks noChangeAspect="1" noChangeArrowheads="1"/>
                                                </pic:cNvPicPr>
                                              </pic:nvPicPr>
                                              <pic:blipFill>
                                                <a:blip r:embed="rId222"/>
                                                <a:stretch>
                                                  <a:fillRect/>
                                                </a:stretch>
                                              </pic:blipFill>
                                              <pic:spPr bwMode="auto">
                                                <a:xfrm>
                                                  <a:off x="0" y="0"/>
                                                  <a:ext cx="142875" cy="104775"/>
                                                </a:xfrm>
                                                <a:prstGeom prst="rect">
                                                  <a:avLst/>
                                                </a:prstGeom>
                                              </pic:spPr>
                                            </pic:pic>
                                          </a:graphicData>
                                        </a:graphic>
                                      </wp:inline>
                                    </w:drawing>
                                  </w:r>
                                </w:p>
                              </w:tc>
                              <w:tc>
                                <w:tcPr>
                                  <w:tcW w:w="3230"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Improve the organization’s efficiency</w:t>
                                  </w:r>
                                </w:p>
                              </w:tc>
                            </w:tr>
                          </w:tbl>
                          <w:tbl>
                            <w:tblPr>
                              <w:tblW w:w="3463" w:type="dxa"/>
                              <w:jc w:val="left"/>
                              <w:tblInd w:w="0" w:type="dxa"/>
                              <w:tblLayout w:type="fixed"/>
                              <w:tblCellMar>
                                <w:top w:w="0" w:type="dxa"/>
                                <w:left w:w="0" w:type="dxa"/>
                                <w:bottom w:w="0" w:type="dxa"/>
                                <w:right w:w="0" w:type="dxa"/>
                              </w:tblCellMar>
                            </w:tblPr>
                            <w:tblGrid>
                              <w:gridCol w:w="38"/>
                              <w:gridCol w:w="225"/>
                              <w:gridCol w:w="3200"/>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color w:val="FB6305"/>
                                    </w:rPr>
                                  </w:pPr>
                                  <w:r>
                                    <w:rPr>
                                      <w:caps w:val="false"/>
                                      <w:smallCaps w:val="false"/>
                                      <w:color w:val="FB6305"/>
                                    </w:rPr>
                                    <w:drawing>
                                      <wp:inline distT="0" distB="0" distL="0" distR="0">
                                        <wp:extent cx="142875" cy="104775"/>
                                        <wp:effectExtent l="0" t="0" r="0" b="0"/>
                                        <wp:docPr id="327"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134" descr=""/>
                                                <pic:cNvPicPr>
                                                  <a:picLocks noChangeAspect="1" noChangeArrowheads="1"/>
                                                </pic:cNvPicPr>
                                              </pic:nvPicPr>
                                              <pic:blipFill>
                                                <a:blip r:embed="rId223"/>
                                                <a:stretch>
                                                  <a:fillRect/>
                                                </a:stretch>
                                              </pic:blipFill>
                                              <pic:spPr bwMode="auto">
                                                <a:xfrm>
                                                  <a:off x="0" y="0"/>
                                                  <a:ext cx="142875" cy="104775"/>
                                                </a:xfrm>
                                                <a:prstGeom prst="rect">
                                                  <a:avLst/>
                                                </a:prstGeom>
                                              </pic:spPr>
                                            </pic:pic>
                                          </a:graphicData>
                                        </a:graphic>
                                      </wp:inline>
                                    </w:drawing>
                                  </w:r>
                                </w:p>
                              </w:tc>
                              <w:tc>
                                <w:tcPr>
                                  <w:tcW w:w="3200"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Ensure the salary budget is sensible</w:t>
                                  </w:r>
                                </w:p>
                              </w:tc>
                            </w:tr>
                          </w:tbl>
                          <w:tbl>
                            <w:tblPr>
                              <w:tblW w:w="3913" w:type="dxa"/>
                              <w:jc w:val="left"/>
                              <w:tblInd w:w="0" w:type="dxa"/>
                              <w:tblLayout w:type="fixed"/>
                              <w:tblCellMar>
                                <w:top w:w="0" w:type="dxa"/>
                                <w:left w:w="0" w:type="dxa"/>
                                <w:bottom w:w="0" w:type="dxa"/>
                                <w:right w:w="0" w:type="dxa"/>
                              </w:tblCellMar>
                            </w:tblPr>
                            <w:tblGrid>
                              <w:gridCol w:w="38"/>
                              <w:gridCol w:w="225"/>
                              <w:gridCol w:w="3650"/>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color w:val="FB6305"/>
                                    </w:rPr>
                                  </w:pPr>
                                  <w:r>
                                    <w:rPr>
                                      <w:caps w:val="false"/>
                                      <w:smallCaps w:val="false"/>
                                      <w:color w:val="FB6305"/>
                                    </w:rPr>
                                    <w:drawing>
                                      <wp:inline distT="0" distB="0" distL="0" distR="0">
                                        <wp:extent cx="142875" cy="104775"/>
                                        <wp:effectExtent l="0" t="0" r="0" b="0"/>
                                        <wp:docPr id="328"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135" descr=""/>
                                                <pic:cNvPicPr>
                                                  <a:picLocks noChangeAspect="1" noChangeArrowheads="1"/>
                                                </pic:cNvPicPr>
                                              </pic:nvPicPr>
                                              <pic:blipFill>
                                                <a:blip r:embed="rId224"/>
                                                <a:stretch>
                                                  <a:fillRect/>
                                                </a:stretch>
                                              </pic:blipFill>
                                              <pic:spPr bwMode="auto">
                                                <a:xfrm>
                                                  <a:off x="0" y="0"/>
                                                  <a:ext cx="142875" cy="104775"/>
                                                </a:xfrm>
                                                <a:prstGeom prst="rect">
                                                  <a:avLst/>
                                                </a:prstGeom>
                                              </pic:spPr>
                                            </pic:pic>
                                          </a:graphicData>
                                        </a:graphic>
                                      </wp:inline>
                                    </w:drawing>
                                  </w:r>
                                </w:p>
                              </w:tc>
                              <w:tc>
                                <w:tcPr>
                                  <w:tcW w:w="3650"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Comply with the relevant legal regulations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To ensure that compensation is internally consistent, we apply the Hay Group’s point factor methodology to analyze the relative value of the positions and the level of executive performance. By classifying and sorting positions based on content and requirements of Knowledge, Complexity and Responsibility over Results, the system allows us to set fair and equitable compensation considering skill, effort, and responsibility, regardless of the individual’s age, race, creed, gender, or marital status.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40.25pt;mso-wrap-distance-left:0pt;mso-wrap-distance-right:0pt;mso-wrap-distance-top:0pt;mso-wrap-distance-bottom:0pt;margin-top:0pt;mso-position-vertical:top;mso-position-vertical-relative:text;margin-left:265.35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drawing>
                                <wp:inline distT="0" distB="0" distL="0" distR="0">
                                  <wp:extent cx="142875" cy="104775"/>
                                  <wp:effectExtent l="0" t="0" r="0" b="0"/>
                                  <wp:docPr id="329"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127" descr=""/>
                                          <pic:cNvPicPr>
                                            <a:picLocks noChangeAspect="1" noChangeArrowheads="1"/>
                                          </pic:cNvPicPr>
                                        </pic:nvPicPr>
                                        <pic:blipFill>
                                          <a:blip r:embed="rId225"/>
                                          <a:stretch>
                                            <a:fillRect/>
                                          </a:stretch>
                                        </pic:blipFill>
                                        <pic:spPr bwMode="auto">
                                          <a:xfrm>
                                            <a:off x="0" y="0"/>
                                            <a:ext cx="142875" cy="104775"/>
                                          </a:xfrm>
                                          <a:prstGeom prst="rect">
                                            <a:avLst/>
                                          </a:prstGeom>
                                        </pic:spPr>
                                      </pic:pic>
                                    </a:graphicData>
                                  </a:graphic>
                                </wp:inline>
                              </w:drawing>
                            </w:r>
                          </w:p>
                        </w:tc>
                        <w:tc>
                          <w:tcPr>
                            <w:tcW w:w="9942" w:type="dxa"/>
                            <w:tcBorders/>
                            <w:vAlign w:val="center"/>
                          </w:tcPr>
                          <w:p>
                            <w:pPr>
                              <w:pStyle w:val="TableContents"/>
                              <w:bidi w:val="0"/>
                              <w:spacing w:before="0" w:after="283"/>
                              <w:jc w:val="left"/>
                              <w:rPr>
                                <w:rFonts w:ascii="Arial" w:hAnsi="Arial"/>
                                <w:sz w:val="20"/>
                              </w:rPr>
                            </w:pPr>
                            <w:r>
                              <w:rPr>
                                <w:rFonts w:ascii="Arial" w:hAnsi="Arial"/>
                                <w:sz w:val="20"/>
                              </w:rPr>
                              <w:t>We transparently manage performance and compensation for executives using simple and easy-to-understand models</w:t>
                            </w:r>
                          </w:p>
                        </w:tc>
                      </w:tr>
                    </w:tbl>
                    <w:tbl>
                      <w:tblPr>
                        <w:tblW w:w="6193" w:type="dxa"/>
                        <w:jc w:val="left"/>
                        <w:tblInd w:w="0" w:type="dxa"/>
                        <w:tblLayout w:type="fixed"/>
                        <w:tblCellMar>
                          <w:top w:w="0" w:type="dxa"/>
                          <w:left w:w="0" w:type="dxa"/>
                          <w:bottom w:w="0" w:type="dxa"/>
                          <w:right w:w="0" w:type="dxa"/>
                        </w:tblCellMar>
                      </w:tblPr>
                      <w:tblGrid>
                        <w:gridCol w:w="38"/>
                        <w:gridCol w:w="225"/>
                        <w:gridCol w:w="5930"/>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drawing>
                                <wp:inline distT="0" distB="0" distL="0" distR="0">
                                  <wp:extent cx="142875" cy="104775"/>
                                  <wp:effectExtent l="0" t="0" r="0" b="0"/>
                                  <wp:docPr id="330"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128" descr=""/>
                                          <pic:cNvPicPr>
                                            <a:picLocks noChangeAspect="1" noChangeArrowheads="1"/>
                                          </pic:cNvPicPr>
                                        </pic:nvPicPr>
                                        <pic:blipFill>
                                          <a:blip r:embed="rId226"/>
                                          <a:stretch>
                                            <a:fillRect/>
                                          </a:stretch>
                                        </pic:blipFill>
                                        <pic:spPr bwMode="auto">
                                          <a:xfrm>
                                            <a:off x="0" y="0"/>
                                            <a:ext cx="142875" cy="104775"/>
                                          </a:xfrm>
                                          <a:prstGeom prst="rect">
                                            <a:avLst/>
                                          </a:prstGeom>
                                        </pic:spPr>
                                      </pic:pic>
                                    </a:graphicData>
                                  </a:graphic>
                                </wp:inline>
                              </w:drawing>
                            </w:r>
                          </w:p>
                        </w:tc>
                        <w:tc>
                          <w:tcPr>
                            <w:tcW w:w="5930" w:type="dxa"/>
                            <w:tcBorders/>
                            <w:vAlign w:val="center"/>
                          </w:tcPr>
                          <w:p>
                            <w:pPr>
                              <w:pStyle w:val="TableContents"/>
                              <w:bidi w:val="0"/>
                              <w:spacing w:before="0" w:after="283"/>
                              <w:jc w:val="left"/>
                              <w:rPr>
                                <w:rFonts w:ascii="Arial" w:hAnsi="Arial"/>
                                <w:sz w:val="20"/>
                              </w:rPr>
                            </w:pPr>
                            <w:r>
                              <w:rPr>
                                <w:rFonts w:ascii="Arial" w:hAnsi="Arial"/>
                                <w:sz w:val="20"/>
                              </w:rPr>
                              <w:t>We promote diversity and ensure pay equity and equal opportunities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The responsible body is the Credicorp Compensation and Nominations Committee. One of its primary functions on salaries is to set Credicorp’s compensation policy and guidelines and approve the Total Annual Compensation proposals, including incentive plans and payment adjustments for Credicorp’s senior management. The company’s Corporate Talent Manager undertakes the role of Committee Secretary. The Corporate Compensation Manager provides specific technical advice and participates on an ongoing basis.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Compensation management at Credicorp aims to ensure a balance between its executives’ total annual compensation and their competitive ability to:</w:t>
                      </w:r>
                    </w:p>
                    <w:tbl>
                      <w:tblPr>
                        <w:tblW w:w="3463" w:type="dxa"/>
                        <w:jc w:val="left"/>
                        <w:tblInd w:w="0" w:type="dxa"/>
                        <w:tblLayout w:type="fixed"/>
                        <w:tblCellMar>
                          <w:top w:w="0" w:type="dxa"/>
                          <w:left w:w="0" w:type="dxa"/>
                          <w:bottom w:w="0" w:type="dxa"/>
                          <w:right w:w="0" w:type="dxa"/>
                        </w:tblCellMar>
                      </w:tblPr>
                      <w:tblGrid>
                        <w:gridCol w:w="38"/>
                        <w:gridCol w:w="225"/>
                        <w:gridCol w:w="3200"/>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42875" cy="104775"/>
                                  <wp:effectExtent l="0" t="0" r="0" b="0"/>
                                  <wp:docPr id="331"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129" descr=""/>
                                          <pic:cNvPicPr>
                                            <a:picLocks noChangeAspect="1" noChangeArrowheads="1"/>
                                          </pic:cNvPicPr>
                                        </pic:nvPicPr>
                                        <pic:blipFill>
                                          <a:blip r:embed="rId227"/>
                                          <a:stretch>
                                            <a:fillRect/>
                                          </a:stretch>
                                        </pic:blipFill>
                                        <pic:spPr bwMode="auto">
                                          <a:xfrm>
                                            <a:off x="0" y="0"/>
                                            <a:ext cx="142875" cy="104775"/>
                                          </a:xfrm>
                                          <a:prstGeom prst="rect">
                                            <a:avLst/>
                                          </a:prstGeom>
                                        </pic:spPr>
                                      </pic:pic>
                                    </a:graphicData>
                                  </a:graphic>
                                </wp:inline>
                              </w:drawing>
                            </w:r>
                          </w:p>
                        </w:tc>
                        <w:tc>
                          <w:tcPr>
                            <w:tcW w:w="3200"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Attract competent and qualified staff</w:t>
                            </w:r>
                          </w:p>
                        </w:tc>
                      </w:tr>
                    </w:tbl>
                    <w:tbl>
                      <w:tblPr>
                        <w:tblW w:w="2668" w:type="dxa"/>
                        <w:jc w:val="left"/>
                        <w:tblInd w:w="0" w:type="dxa"/>
                        <w:tblLayout w:type="fixed"/>
                        <w:tblCellMar>
                          <w:top w:w="0" w:type="dxa"/>
                          <w:left w:w="0" w:type="dxa"/>
                          <w:bottom w:w="0" w:type="dxa"/>
                          <w:right w:w="0" w:type="dxa"/>
                        </w:tblCellMar>
                      </w:tblPr>
                      <w:tblGrid>
                        <w:gridCol w:w="38"/>
                        <w:gridCol w:w="225"/>
                        <w:gridCol w:w="2405"/>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color w:val="FB6305"/>
                              </w:rPr>
                            </w:pPr>
                            <w:r>
                              <w:rPr>
                                <w:caps w:val="false"/>
                                <w:smallCaps w:val="false"/>
                                <w:color w:val="FB6305"/>
                              </w:rPr>
                              <w:drawing>
                                <wp:inline distT="0" distB="0" distL="0" distR="0">
                                  <wp:extent cx="142875" cy="104775"/>
                                  <wp:effectExtent l="0" t="0" r="0" b="0"/>
                                  <wp:docPr id="332"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130" descr=""/>
                                          <pic:cNvPicPr>
                                            <a:picLocks noChangeAspect="1" noChangeArrowheads="1"/>
                                          </pic:cNvPicPr>
                                        </pic:nvPicPr>
                                        <pic:blipFill>
                                          <a:blip r:embed="rId228"/>
                                          <a:stretch>
                                            <a:fillRect/>
                                          </a:stretch>
                                        </pic:blipFill>
                                        <pic:spPr bwMode="auto">
                                          <a:xfrm>
                                            <a:off x="0" y="0"/>
                                            <a:ext cx="142875" cy="104775"/>
                                          </a:xfrm>
                                          <a:prstGeom prst="rect">
                                            <a:avLst/>
                                          </a:prstGeom>
                                        </pic:spPr>
                                      </pic:pic>
                                    </a:graphicData>
                                  </a:graphic>
                                </wp:inline>
                              </w:drawing>
                            </w:r>
                          </w:p>
                        </w:tc>
                        <w:tc>
                          <w:tcPr>
                            <w:tcW w:w="2405"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Retain those most qualified</w:t>
                            </w:r>
                          </w:p>
                        </w:tc>
                      </w:tr>
                    </w:tbl>
                    <w:tbl>
                      <w:tblPr>
                        <w:tblW w:w="7333" w:type="dxa"/>
                        <w:jc w:val="left"/>
                        <w:tblInd w:w="0" w:type="dxa"/>
                        <w:tblLayout w:type="fixed"/>
                        <w:tblCellMar>
                          <w:top w:w="0" w:type="dxa"/>
                          <w:left w:w="0" w:type="dxa"/>
                          <w:bottom w:w="0" w:type="dxa"/>
                          <w:right w:w="0" w:type="dxa"/>
                        </w:tblCellMar>
                      </w:tblPr>
                      <w:tblGrid>
                        <w:gridCol w:w="38"/>
                        <w:gridCol w:w="225"/>
                        <w:gridCol w:w="7070"/>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color w:val="FB6305"/>
                              </w:rPr>
                            </w:pPr>
                            <w:r>
                              <w:rPr>
                                <w:caps w:val="false"/>
                                <w:smallCaps w:val="false"/>
                                <w:color w:val="FB6305"/>
                              </w:rPr>
                              <w:drawing>
                                <wp:inline distT="0" distB="0" distL="0" distR="0">
                                  <wp:extent cx="142875" cy="104775"/>
                                  <wp:effectExtent l="0" t="0" r="0" b="0"/>
                                  <wp:docPr id="333"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131" descr=""/>
                                          <pic:cNvPicPr>
                                            <a:picLocks noChangeAspect="1" noChangeArrowheads="1"/>
                                          </pic:cNvPicPr>
                                        </pic:nvPicPr>
                                        <pic:blipFill>
                                          <a:blip r:embed="rId229"/>
                                          <a:stretch>
                                            <a:fillRect/>
                                          </a:stretch>
                                        </pic:blipFill>
                                        <pic:spPr bwMode="auto">
                                          <a:xfrm>
                                            <a:off x="0" y="0"/>
                                            <a:ext cx="142875" cy="104775"/>
                                          </a:xfrm>
                                          <a:prstGeom prst="rect">
                                            <a:avLst/>
                                          </a:prstGeom>
                                        </pic:spPr>
                                      </pic:pic>
                                    </a:graphicData>
                                  </a:graphic>
                                </wp:inline>
                              </w:drawing>
                            </w:r>
                          </w:p>
                        </w:tc>
                        <w:tc>
                          <w:tcPr>
                            <w:tcW w:w="7070"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 xml:space="preserve">Reward those who contribute the most to achieving the organization’s objectives </w:t>
                            </w:r>
                          </w:p>
                        </w:tc>
                      </w:tr>
                    </w:tbl>
                    <w:tbl>
                      <w:tblPr>
                        <w:tblW w:w="2668" w:type="dxa"/>
                        <w:jc w:val="left"/>
                        <w:tblInd w:w="0" w:type="dxa"/>
                        <w:tblLayout w:type="fixed"/>
                        <w:tblCellMar>
                          <w:top w:w="0" w:type="dxa"/>
                          <w:left w:w="0" w:type="dxa"/>
                          <w:bottom w:w="0" w:type="dxa"/>
                          <w:right w:w="0" w:type="dxa"/>
                        </w:tblCellMar>
                      </w:tblPr>
                      <w:tblGrid>
                        <w:gridCol w:w="38"/>
                        <w:gridCol w:w="225"/>
                        <w:gridCol w:w="2405"/>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color w:val="FB6305"/>
                              </w:rPr>
                            </w:pPr>
                            <w:r>
                              <w:rPr>
                                <w:caps w:val="false"/>
                                <w:smallCaps w:val="false"/>
                                <w:color w:val="FB6305"/>
                              </w:rPr>
                              <w:drawing>
                                <wp:inline distT="0" distB="0" distL="0" distR="0">
                                  <wp:extent cx="142875" cy="104775"/>
                                  <wp:effectExtent l="0" t="0" r="0" b="0"/>
                                  <wp:docPr id="334"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132" descr=""/>
                                          <pic:cNvPicPr>
                                            <a:picLocks noChangeAspect="1" noChangeArrowheads="1"/>
                                          </pic:cNvPicPr>
                                        </pic:nvPicPr>
                                        <pic:blipFill>
                                          <a:blip r:embed="rId230"/>
                                          <a:stretch>
                                            <a:fillRect/>
                                          </a:stretch>
                                        </pic:blipFill>
                                        <pic:spPr bwMode="auto">
                                          <a:xfrm>
                                            <a:off x="0" y="0"/>
                                            <a:ext cx="142875" cy="104775"/>
                                          </a:xfrm>
                                          <a:prstGeom prst="rect">
                                            <a:avLst/>
                                          </a:prstGeom>
                                        </pic:spPr>
                                      </pic:pic>
                                    </a:graphicData>
                                  </a:graphic>
                                </wp:inline>
                              </w:drawing>
                            </w:r>
                          </w:p>
                        </w:tc>
                        <w:tc>
                          <w:tcPr>
                            <w:tcW w:w="2405"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Keep employees motivated</w:t>
                            </w:r>
                          </w:p>
                        </w:tc>
                      </w:tr>
                    </w:tbl>
                    <w:tbl>
                      <w:tblPr>
                        <w:tblW w:w="3493" w:type="dxa"/>
                        <w:jc w:val="left"/>
                        <w:tblInd w:w="0" w:type="dxa"/>
                        <w:tblLayout w:type="fixed"/>
                        <w:tblCellMar>
                          <w:top w:w="0" w:type="dxa"/>
                          <w:left w:w="0" w:type="dxa"/>
                          <w:bottom w:w="0" w:type="dxa"/>
                          <w:right w:w="0" w:type="dxa"/>
                        </w:tblCellMar>
                      </w:tblPr>
                      <w:tblGrid>
                        <w:gridCol w:w="38"/>
                        <w:gridCol w:w="225"/>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color w:val="FB6305"/>
                              </w:rPr>
                            </w:pPr>
                            <w:r>
                              <w:rPr>
                                <w:caps w:val="false"/>
                                <w:smallCaps w:val="false"/>
                                <w:color w:val="FB6305"/>
                              </w:rPr>
                              <w:drawing>
                                <wp:inline distT="0" distB="0" distL="0" distR="0">
                                  <wp:extent cx="142875" cy="104775"/>
                                  <wp:effectExtent l="0" t="0" r="0" b="0"/>
                                  <wp:docPr id="335"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133" descr=""/>
                                          <pic:cNvPicPr>
                                            <a:picLocks noChangeAspect="1" noChangeArrowheads="1"/>
                                          </pic:cNvPicPr>
                                        </pic:nvPicPr>
                                        <pic:blipFill>
                                          <a:blip r:embed="rId231"/>
                                          <a:stretch>
                                            <a:fillRect/>
                                          </a:stretch>
                                        </pic:blipFill>
                                        <pic:spPr bwMode="auto">
                                          <a:xfrm>
                                            <a:off x="0" y="0"/>
                                            <a:ext cx="142875" cy="104775"/>
                                          </a:xfrm>
                                          <a:prstGeom prst="rect">
                                            <a:avLst/>
                                          </a:prstGeom>
                                        </pic:spPr>
                                      </pic:pic>
                                    </a:graphicData>
                                  </a:graphic>
                                </wp:inline>
                              </w:drawing>
                            </w:r>
                          </w:p>
                        </w:tc>
                        <w:tc>
                          <w:tcPr>
                            <w:tcW w:w="3230"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Improve the organization’s efficiency</w:t>
                            </w:r>
                          </w:p>
                        </w:tc>
                      </w:tr>
                    </w:tbl>
                    <w:tbl>
                      <w:tblPr>
                        <w:tblW w:w="3463" w:type="dxa"/>
                        <w:jc w:val="left"/>
                        <w:tblInd w:w="0" w:type="dxa"/>
                        <w:tblLayout w:type="fixed"/>
                        <w:tblCellMar>
                          <w:top w:w="0" w:type="dxa"/>
                          <w:left w:w="0" w:type="dxa"/>
                          <w:bottom w:w="0" w:type="dxa"/>
                          <w:right w:w="0" w:type="dxa"/>
                        </w:tblCellMar>
                      </w:tblPr>
                      <w:tblGrid>
                        <w:gridCol w:w="38"/>
                        <w:gridCol w:w="225"/>
                        <w:gridCol w:w="3200"/>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color w:val="FB6305"/>
                              </w:rPr>
                            </w:pPr>
                            <w:r>
                              <w:rPr>
                                <w:caps w:val="false"/>
                                <w:smallCaps w:val="false"/>
                                <w:color w:val="FB6305"/>
                              </w:rPr>
                              <w:drawing>
                                <wp:inline distT="0" distB="0" distL="0" distR="0">
                                  <wp:extent cx="142875" cy="104775"/>
                                  <wp:effectExtent l="0" t="0" r="0" b="0"/>
                                  <wp:docPr id="336"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134" descr=""/>
                                          <pic:cNvPicPr>
                                            <a:picLocks noChangeAspect="1" noChangeArrowheads="1"/>
                                          </pic:cNvPicPr>
                                        </pic:nvPicPr>
                                        <pic:blipFill>
                                          <a:blip r:embed="rId232"/>
                                          <a:stretch>
                                            <a:fillRect/>
                                          </a:stretch>
                                        </pic:blipFill>
                                        <pic:spPr bwMode="auto">
                                          <a:xfrm>
                                            <a:off x="0" y="0"/>
                                            <a:ext cx="142875" cy="104775"/>
                                          </a:xfrm>
                                          <a:prstGeom prst="rect">
                                            <a:avLst/>
                                          </a:prstGeom>
                                        </pic:spPr>
                                      </pic:pic>
                                    </a:graphicData>
                                  </a:graphic>
                                </wp:inline>
                              </w:drawing>
                            </w:r>
                          </w:p>
                        </w:tc>
                        <w:tc>
                          <w:tcPr>
                            <w:tcW w:w="3200"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Ensure the salary budget is sensible</w:t>
                            </w:r>
                          </w:p>
                        </w:tc>
                      </w:tr>
                    </w:tbl>
                    <w:tbl>
                      <w:tblPr>
                        <w:tblW w:w="3913" w:type="dxa"/>
                        <w:jc w:val="left"/>
                        <w:tblInd w:w="0" w:type="dxa"/>
                        <w:tblLayout w:type="fixed"/>
                        <w:tblCellMar>
                          <w:top w:w="0" w:type="dxa"/>
                          <w:left w:w="0" w:type="dxa"/>
                          <w:bottom w:w="0" w:type="dxa"/>
                          <w:right w:w="0" w:type="dxa"/>
                        </w:tblCellMar>
                      </w:tblPr>
                      <w:tblGrid>
                        <w:gridCol w:w="38"/>
                        <w:gridCol w:w="225"/>
                        <w:gridCol w:w="3650"/>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color w:val="FB6305"/>
                              </w:rPr>
                            </w:pPr>
                            <w:r>
                              <w:rPr>
                                <w:caps w:val="false"/>
                                <w:smallCaps w:val="false"/>
                                <w:color w:val="FB6305"/>
                              </w:rPr>
                              <w:drawing>
                                <wp:inline distT="0" distB="0" distL="0" distR="0">
                                  <wp:extent cx="142875" cy="104775"/>
                                  <wp:effectExtent l="0" t="0" r="0" b="0"/>
                                  <wp:docPr id="337"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135" descr=""/>
                                          <pic:cNvPicPr>
                                            <a:picLocks noChangeAspect="1" noChangeArrowheads="1"/>
                                          </pic:cNvPicPr>
                                        </pic:nvPicPr>
                                        <pic:blipFill>
                                          <a:blip r:embed="rId233"/>
                                          <a:stretch>
                                            <a:fillRect/>
                                          </a:stretch>
                                        </pic:blipFill>
                                        <pic:spPr bwMode="auto">
                                          <a:xfrm>
                                            <a:off x="0" y="0"/>
                                            <a:ext cx="142875" cy="104775"/>
                                          </a:xfrm>
                                          <a:prstGeom prst="rect">
                                            <a:avLst/>
                                          </a:prstGeom>
                                        </pic:spPr>
                                      </pic:pic>
                                    </a:graphicData>
                                  </a:graphic>
                                </wp:inline>
                              </w:drawing>
                            </w:r>
                          </w:p>
                        </w:tc>
                        <w:tc>
                          <w:tcPr>
                            <w:tcW w:w="3650"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Comply with the relevant legal regulations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To ensure that compensation is internally consistent, we apply the Hay Group’s point factor methodology to analyze the relative value of the positions and the level of executive performance. By classifying and sorting positions based on content and requirements of Knowledge, Complexity and Responsibility over Results, the system allows us to set fair and equitable compensation considering skill, effort, and responsibility, regardless of the individual’s age, race, creed, gender, or marital status.</w:t>
                      </w:r>
                    </w:p>
                  </w:txbxContent>
                </v:textbox>
                <w10:wrap type="square" side="left"/>
              </v:rect>
            </w:pict>
          </mc:Fallback>
        </mc:AlternateConten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51</w:t>
      </w:r>
    </w:p>
    <w:p>
      <w:pPr>
        <w:pStyle w:val="HorizontalLine"/>
        <w:pBdr>
          <w:bottom w:val="single" w:sz="12" w:space="0" w:color="808080"/>
        </w:pBdr>
        <w:bidi w:val="0"/>
        <w:spacing w:before="200" w:after="200"/>
        <w:jc w:val="left"/>
        <w:rPr/>
      </w:pPr>
      <w:r>
        <w:rPr/>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123">
                <wp:simplePos x="0" y="0"/>
                <wp:positionH relativeFrom="column">
                  <wp:align>right</wp:align>
                </wp:positionH>
                <wp:positionV relativeFrom="line">
                  <wp:posOffset>635</wp:posOffset>
                </wp:positionV>
                <wp:extent cx="3110230" cy="3138805"/>
                <wp:effectExtent l="0" t="0" r="0" b="0"/>
                <wp:wrapSquare wrapText="left"/>
                <wp:docPr id="338" name="Frame107"/>
                <a:graphic xmlns:a="http://schemas.openxmlformats.org/drawingml/2006/main">
                  <a:graphicData uri="http://schemas.microsoft.com/office/word/2010/wordprocessingShape">
                    <wps:wsp>
                      <wps:cNvSpPr txBox="1"/>
                      <wps:spPr>
                        <a:xfrm>
                          <a:off x="0" y="0"/>
                          <a:ext cx="3110230" cy="3138805"/>
                        </a:xfrm>
                        <a:prstGeom prst="rect"/>
                        <a:solidFill>
                          <a:srgbClr val="FFFFFF"/>
                        </a:solidFill>
                      </wps:spPr>
                      <wps:txbx>
                        <w:txbxContent>
                          <w:tbl>
                            <w:tblPr>
                              <w:tblW w:w="8650" w:type="dxa"/>
                              <w:jc w:val="left"/>
                              <w:tblInd w:w="0" w:type="dxa"/>
                              <w:tblLayout w:type="fixed"/>
                              <w:tblCellMar>
                                <w:top w:w="0" w:type="dxa"/>
                                <w:left w:w="0" w:type="dxa"/>
                                <w:bottom w:w="0" w:type="dxa"/>
                                <w:right w:w="0" w:type="dxa"/>
                              </w:tblCellMar>
                            </w:tblPr>
                            <w:tblGrid>
                              <w:gridCol w:w="3050"/>
                              <w:gridCol w:w="5600"/>
                            </w:tblGrid>
                            <w:tr>
                              <w:trPr/>
                              <w:tc>
                                <w:tcPr>
                                  <w:tcW w:w="3050" w:type="dxa"/>
                                  <w:tcBorders/>
                                  <w:shd w:fill="FE4F00" w:val="cle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Incentive linked to sustainability</w:t>
                                  </w:r>
                                </w:p>
                              </w:tc>
                              <w:tc>
                                <w:tcPr>
                                  <w:tcW w:w="5600" w:type="dxa"/>
                                  <w:tcBorders/>
                                  <w:vAlign w:val="center"/>
                                </w:tcPr>
                                <w:p>
                                  <w:pPr>
                                    <w:pStyle w:val="TableContents"/>
                                    <w:bidi w:val="0"/>
                                    <w:spacing w:before="0" w:after="283"/>
                                    <w:jc w:val="left"/>
                                    <w:rPr>
                                      <w:rFonts w:ascii="Arial" w:hAnsi="Arial"/>
                                      <w:b/>
                                      <w:i w:val="false"/>
                                      <w:caps w:val="false"/>
                                      <w:smallCaps w:val="false"/>
                                      <w:color w:val="FE5000"/>
                                      <w:sz w:val="20"/>
                                    </w:rPr>
                                  </w:pPr>
                                  <w:r>
                                    <w:rPr>
                                      <w:rFonts w:ascii="Arial" w:hAnsi="Arial"/>
                                      <w:b/>
                                      <w:i w:val="false"/>
                                      <w:caps w:val="false"/>
                                      <w:smallCaps w:val="false"/>
                                      <w:color w:val="FE5000"/>
                                      <w:sz w:val="20"/>
                                    </w:rPr>
                                    <w:t>10% - 20% of the performance scorecard (variable incentive)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 w:hAnsi="Arial"/>
                                <w:b/>
                                <w:i w:val="false"/>
                                <w:caps w:val="false"/>
                                <w:smallCaps w:val="false"/>
                                <w:sz w:val="20"/>
                              </w:rPr>
                            </w:pPr>
                            <w:r>
                              <w:rPr>
                                <w:rFonts w:ascii="Arial" w:hAnsi="Arial"/>
                                <w:b/>
                                <w:i w:val="false"/>
                                <w:caps w:val="false"/>
                                <w:smallCaps w:val="false"/>
                                <w:sz w:val="20"/>
                              </w:rPr>
                              <w:t>4.2.3.3. The long-term incentive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The long-term incentive aims to align the interests of executives with those of the shareholders so that they all share Credicorp’s successes and risks and to foster long-term value creation for the organization and its stakeholders.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Arial" w:hAnsi="Arial"/>
                                <w:b w:val="false"/>
                                <w:i w:val="false"/>
                                <w:caps w:val="false"/>
                                <w:smallCaps w:val="false"/>
                                <w:sz w:val="20"/>
                              </w:rPr>
                            </w:pPr>
                            <w:r>
                              <w:rPr>
                                <w:rFonts w:ascii="Arial" w:hAnsi="Arial"/>
                                <w:b w:val="false"/>
                                <w:i w:val="false"/>
                                <w:caps w:val="false"/>
                                <w:smallCaps w:val="false"/>
                                <w:sz w:val="20"/>
                              </w:rPr>
                              <w:t>It has two components:</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color w:val="FB6305"/>
                                    </w:rPr>
                                  </w:pPr>
                                  <w:r>
                                    <w:rPr>
                                      <w:caps w:val="false"/>
                                      <w:smallCaps w:val="false"/>
                                      <w:color w:val="FB6305"/>
                                    </w:rPr>
                                    <w:drawing>
                                      <wp:inline distT="0" distB="0" distL="0" distR="0">
                                        <wp:extent cx="142875" cy="104775"/>
                                        <wp:effectExtent l="0" t="0" r="0" b="0"/>
                                        <wp:docPr id="339"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142" descr=""/>
                                                <pic:cNvPicPr>
                                                  <a:picLocks noChangeAspect="1" noChangeArrowheads="1"/>
                                                </pic:cNvPicPr>
                                              </pic:nvPicPr>
                                              <pic:blipFill>
                                                <a:blip r:embed="rId234"/>
                                                <a:stretch>
                                                  <a:fillRect/>
                                                </a:stretch>
                                              </pic:blipFill>
                                              <pic:spPr bwMode="auto">
                                                <a:xfrm>
                                                  <a:off x="0" y="0"/>
                                                  <a:ext cx="142875" cy="104775"/>
                                                </a:xfrm>
                                                <a:prstGeom prst="rect">
                                                  <a:avLst/>
                                                </a:prstGeom>
                                              </pic:spPr>
                                            </pic:pic>
                                          </a:graphicData>
                                        </a:graphic>
                                      </wp:inline>
                                    </w:drawing>
                                  </w:r>
                                </w:p>
                              </w:tc>
                              <w:tc>
                                <w:tcPr>
                                  <w:tcW w:w="9942"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i w:val="false"/>
                                      <w:caps w:val="false"/>
                                      <w:smallCaps w:val="false"/>
                                      <w:sz w:val="20"/>
                                    </w:rPr>
                                    <w:t xml:space="preserve">Retention: </w:t>
                                  </w:r>
                                  <w:r>
                                    <w:rPr>
                                      <w:rFonts w:ascii="Arial" w:hAnsi="Arial"/>
                                      <w:b w:val="false"/>
                                      <w:i w:val="false"/>
                                      <w:caps w:val="false"/>
                                      <w:smallCaps w:val="false"/>
                                      <w:sz w:val="20"/>
                                    </w:rPr>
                                    <w:t xml:space="preserve">The aim is to retain executives by delivering restricted shares (BAP) over three years, with 1/3 released each year. </w:t>
                                  </w:r>
                                </w:p>
                              </w:tc>
                            </w:tr>
                          </w:tbl>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color w:val="FB6305"/>
                                    </w:rPr>
                                  </w:pPr>
                                  <w:r>
                                    <w:rPr>
                                      <w:caps w:val="false"/>
                                      <w:smallCaps w:val="false"/>
                                      <w:color w:val="FB6305"/>
                                    </w:rPr>
                                    <w:drawing>
                                      <wp:inline distT="0" distB="0" distL="0" distR="0">
                                        <wp:extent cx="142875" cy="104775"/>
                                        <wp:effectExtent l="0" t="0" r="0" b="0"/>
                                        <wp:docPr id="340"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143" descr=""/>
                                                <pic:cNvPicPr>
                                                  <a:picLocks noChangeAspect="1" noChangeArrowheads="1"/>
                                                </pic:cNvPicPr>
                                              </pic:nvPicPr>
                                              <pic:blipFill>
                                                <a:blip r:embed="rId235"/>
                                                <a:stretch>
                                                  <a:fillRect/>
                                                </a:stretch>
                                              </pic:blipFill>
                                              <pic:spPr bwMode="auto">
                                                <a:xfrm>
                                                  <a:off x="0" y="0"/>
                                                  <a:ext cx="142875" cy="104775"/>
                                                </a:xfrm>
                                                <a:prstGeom prst="rect">
                                                  <a:avLst/>
                                                </a:prstGeom>
                                              </pic:spPr>
                                            </pic:pic>
                                          </a:graphicData>
                                        </a:graphic>
                                      </wp:inline>
                                    </w:drawing>
                                  </w:r>
                                </w:p>
                              </w:tc>
                              <w:tc>
                                <w:tcPr>
                                  <w:tcW w:w="9942"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i w:val="false"/>
                                      <w:caps w:val="false"/>
                                      <w:smallCaps w:val="false"/>
                                      <w:sz w:val="20"/>
                                    </w:rPr>
                                    <w:t xml:space="preserve">Value generation: </w:t>
                                  </w:r>
                                  <w:r>
                                    <w:rPr>
                                      <w:rFonts w:ascii="Arial" w:hAnsi="Arial"/>
                                      <w:b w:val="false"/>
                                      <w:i w:val="false"/>
                                      <w:caps w:val="false"/>
                                      <w:smallCaps w:val="false"/>
                                      <w:sz w:val="20"/>
                                    </w:rPr>
                                    <w:t xml:space="preserve">The aim is to guide executives’ performance toward creating long-term value for Credicorp by linking payment to the fulfillment of long-term strategic indicators.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47.15pt;mso-wrap-distance-left:0pt;mso-wrap-distance-right:0pt;mso-wrap-distance-top:0pt;mso-wrap-distance-bottom:0pt;margin-top:0pt;mso-position-vertical:top;mso-position-vertical-relative:text;margin-left:20.4pt;mso-position-horizontal:right;mso-position-horizontal-relative:text">
                <v:textbox>
                  <w:txbxContent>
                    <w:tbl>
                      <w:tblPr>
                        <w:tblW w:w="8650" w:type="dxa"/>
                        <w:jc w:val="left"/>
                        <w:tblInd w:w="0" w:type="dxa"/>
                        <w:tblLayout w:type="fixed"/>
                        <w:tblCellMar>
                          <w:top w:w="0" w:type="dxa"/>
                          <w:left w:w="0" w:type="dxa"/>
                          <w:bottom w:w="0" w:type="dxa"/>
                          <w:right w:w="0" w:type="dxa"/>
                        </w:tblCellMar>
                      </w:tblPr>
                      <w:tblGrid>
                        <w:gridCol w:w="3050"/>
                        <w:gridCol w:w="5600"/>
                      </w:tblGrid>
                      <w:tr>
                        <w:trPr/>
                        <w:tc>
                          <w:tcPr>
                            <w:tcW w:w="3050" w:type="dxa"/>
                            <w:tcBorders/>
                            <w:shd w:fill="FE4F00" w:val="cle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Incentive linked to sustainability</w:t>
                            </w:r>
                          </w:p>
                        </w:tc>
                        <w:tc>
                          <w:tcPr>
                            <w:tcW w:w="5600" w:type="dxa"/>
                            <w:tcBorders/>
                            <w:vAlign w:val="center"/>
                          </w:tcPr>
                          <w:p>
                            <w:pPr>
                              <w:pStyle w:val="TableContents"/>
                              <w:bidi w:val="0"/>
                              <w:spacing w:before="0" w:after="283"/>
                              <w:jc w:val="left"/>
                              <w:rPr>
                                <w:rFonts w:ascii="Arial" w:hAnsi="Arial"/>
                                <w:b/>
                                <w:i w:val="false"/>
                                <w:caps w:val="false"/>
                                <w:smallCaps w:val="false"/>
                                <w:color w:val="FE5000"/>
                                <w:sz w:val="20"/>
                              </w:rPr>
                            </w:pPr>
                            <w:r>
                              <w:rPr>
                                <w:rFonts w:ascii="Arial" w:hAnsi="Arial"/>
                                <w:b/>
                                <w:i w:val="false"/>
                                <w:caps w:val="false"/>
                                <w:smallCaps w:val="false"/>
                                <w:color w:val="FE5000"/>
                                <w:sz w:val="20"/>
                              </w:rPr>
                              <w:t>10% - 20% of the performance scorecard (variable incentive)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 w:hAnsi="Arial"/>
                          <w:b/>
                          <w:i w:val="false"/>
                          <w:caps w:val="false"/>
                          <w:smallCaps w:val="false"/>
                          <w:sz w:val="20"/>
                        </w:rPr>
                      </w:pPr>
                      <w:r>
                        <w:rPr>
                          <w:rFonts w:ascii="Arial" w:hAnsi="Arial"/>
                          <w:b/>
                          <w:i w:val="false"/>
                          <w:caps w:val="false"/>
                          <w:smallCaps w:val="false"/>
                          <w:sz w:val="20"/>
                        </w:rPr>
                        <w:t>4.2.3.3. The long-term incentive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The long-term incentive aims to align the interests of executives with those of the shareholders so that they all share Credicorp’s successes and risks and to foster long-term value creation for the organization and its stakeholders.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Arial" w:hAnsi="Arial"/>
                          <w:b w:val="false"/>
                          <w:i w:val="false"/>
                          <w:caps w:val="false"/>
                          <w:smallCaps w:val="false"/>
                          <w:sz w:val="20"/>
                        </w:rPr>
                      </w:pPr>
                      <w:r>
                        <w:rPr>
                          <w:rFonts w:ascii="Arial" w:hAnsi="Arial"/>
                          <w:b w:val="false"/>
                          <w:i w:val="false"/>
                          <w:caps w:val="false"/>
                          <w:smallCaps w:val="false"/>
                          <w:sz w:val="20"/>
                        </w:rPr>
                        <w:t>It has two components:</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color w:val="FB6305"/>
                              </w:rPr>
                            </w:pPr>
                            <w:r>
                              <w:rPr>
                                <w:caps w:val="false"/>
                                <w:smallCaps w:val="false"/>
                                <w:color w:val="FB6305"/>
                              </w:rPr>
                              <w:drawing>
                                <wp:inline distT="0" distB="0" distL="0" distR="0">
                                  <wp:extent cx="142875" cy="104775"/>
                                  <wp:effectExtent l="0" t="0" r="0" b="0"/>
                                  <wp:docPr id="341"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142" descr=""/>
                                          <pic:cNvPicPr>
                                            <a:picLocks noChangeAspect="1" noChangeArrowheads="1"/>
                                          </pic:cNvPicPr>
                                        </pic:nvPicPr>
                                        <pic:blipFill>
                                          <a:blip r:embed="rId236"/>
                                          <a:stretch>
                                            <a:fillRect/>
                                          </a:stretch>
                                        </pic:blipFill>
                                        <pic:spPr bwMode="auto">
                                          <a:xfrm>
                                            <a:off x="0" y="0"/>
                                            <a:ext cx="142875" cy="104775"/>
                                          </a:xfrm>
                                          <a:prstGeom prst="rect">
                                            <a:avLst/>
                                          </a:prstGeom>
                                        </pic:spPr>
                                      </pic:pic>
                                    </a:graphicData>
                                  </a:graphic>
                                </wp:inline>
                              </w:drawing>
                            </w:r>
                          </w:p>
                        </w:tc>
                        <w:tc>
                          <w:tcPr>
                            <w:tcW w:w="9942"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i w:val="false"/>
                                <w:caps w:val="false"/>
                                <w:smallCaps w:val="false"/>
                                <w:sz w:val="20"/>
                              </w:rPr>
                              <w:t xml:space="preserve">Retention: </w:t>
                            </w:r>
                            <w:r>
                              <w:rPr>
                                <w:rFonts w:ascii="Arial" w:hAnsi="Arial"/>
                                <w:b w:val="false"/>
                                <w:i w:val="false"/>
                                <w:caps w:val="false"/>
                                <w:smallCaps w:val="false"/>
                                <w:sz w:val="20"/>
                              </w:rPr>
                              <w:t xml:space="preserve">The aim is to retain executives by delivering restricted shares (BAP) over three years, with 1/3 released each year. </w:t>
                            </w:r>
                          </w:p>
                        </w:tc>
                      </w:tr>
                    </w:tbl>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color w:val="FB6305"/>
                              </w:rPr>
                            </w:pPr>
                            <w:r>
                              <w:rPr>
                                <w:caps w:val="false"/>
                                <w:smallCaps w:val="false"/>
                                <w:color w:val="FB6305"/>
                              </w:rPr>
                              <w:drawing>
                                <wp:inline distT="0" distB="0" distL="0" distR="0">
                                  <wp:extent cx="142875" cy="104775"/>
                                  <wp:effectExtent l="0" t="0" r="0" b="0"/>
                                  <wp:docPr id="342"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143" descr=""/>
                                          <pic:cNvPicPr>
                                            <a:picLocks noChangeAspect="1" noChangeArrowheads="1"/>
                                          </pic:cNvPicPr>
                                        </pic:nvPicPr>
                                        <pic:blipFill>
                                          <a:blip r:embed="rId237"/>
                                          <a:stretch>
                                            <a:fillRect/>
                                          </a:stretch>
                                        </pic:blipFill>
                                        <pic:spPr bwMode="auto">
                                          <a:xfrm>
                                            <a:off x="0" y="0"/>
                                            <a:ext cx="142875" cy="104775"/>
                                          </a:xfrm>
                                          <a:prstGeom prst="rect">
                                            <a:avLst/>
                                          </a:prstGeom>
                                        </pic:spPr>
                                      </pic:pic>
                                    </a:graphicData>
                                  </a:graphic>
                                </wp:inline>
                              </w:drawing>
                            </w:r>
                          </w:p>
                        </w:tc>
                        <w:tc>
                          <w:tcPr>
                            <w:tcW w:w="9942"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i w:val="false"/>
                                <w:caps w:val="false"/>
                                <w:smallCaps w:val="false"/>
                                <w:sz w:val="20"/>
                              </w:rPr>
                              <w:t xml:space="preserve">Value generation: </w:t>
                            </w:r>
                            <w:r>
                              <w:rPr>
                                <w:rFonts w:ascii="Arial" w:hAnsi="Arial"/>
                                <w:b w:val="false"/>
                                <w:i w:val="false"/>
                                <w:caps w:val="false"/>
                                <w:smallCaps w:val="false"/>
                                <w:sz w:val="20"/>
                              </w:rPr>
                              <w:t xml:space="preserve">The aim is to guide executives’ performance toward creating long-term value for Credicorp by linking payment to the fulfillment of long-term strategic indicators. </w:t>
                            </w:r>
                          </w:p>
                        </w:tc>
                      </w:tr>
                    </w:tbl>
                    <w:p>
                      <w:pPr>
                        <w:pStyle w:val="TextBody"/>
                        <w:bidi w:val="0"/>
                        <w:spacing w:before="0" w:after="283"/>
                        <w:jc w:val="left"/>
                        <w:rPr/>
                      </w:pPr>
                      <w:r>
                        <w:rPr/>
                      </w:r>
                    </w:p>
                  </w:txbxContent>
                </v:textbox>
                <w10:wrap type="square" side="left"/>
              </v:rect>
            </w:pict>
          </mc:Fallback>
        </mc:AlternateContent>
      </w:r>
      <w:r>
        <mc:AlternateContent>
          <mc:Choice Requires="wps">
            <w:drawing>
              <wp:anchor behindDoc="0" distT="0" distB="0" distL="0" distR="0" simplePos="0" locked="0" layoutInCell="1" allowOverlap="1" relativeHeight="132">
                <wp:simplePos x="0" y="0"/>
                <wp:positionH relativeFrom="column">
                  <wp:align>left</wp:align>
                </wp:positionH>
                <wp:positionV relativeFrom="line">
                  <wp:posOffset>635</wp:posOffset>
                </wp:positionV>
                <wp:extent cx="3110230" cy="7621270"/>
                <wp:effectExtent l="0" t="0" r="0" b="0"/>
                <wp:wrapSquare wrapText="right"/>
                <wp:docPr id="343" name="Frame106"/>
                <a:graphic xmlns:a="http://schemas.openxmlformats.org/drawingml/2006/main">
                  <a:graphicData uri="http://schemas.microsoft.com/office/word/2010/wordprocessingShape">
                    <wps:wsp>
                      <wps:cNvSpPr txBox="1"/>
                      <wps:spPr>
                        <a:xfrm>
                          <a:off x="0" y="0"/>
                          <a:ext cx="3110230" cy="7621270"/>
                        </a:xfrm>
                        <a:prstGeom prst="rect"/>
                        <a:solidFill>
                          <a:srgbClr val="FFFFFF"/>
                        </a:solidFill>
                      </wps:spPr>
                      <wps:txbx>
                        <w:txbxContent>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Each executive’s total annual compensation consists of a fixed salary complemented by two variable components: a short-term incentive and a long-term incentive. The higher the executive’s level in the organization, the more significant the variable components become, constituting between 40% and 70% of the total package.</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Arial" w:hAnsi="Arial"/>
                                <w:b/>
                                <w:i w:val="false"/>
                                <w:caps w:val="false"/>
                                <w:smallCaps w:val="false"/>
                                <w:color w:val="FE5000"/>
                                <w:sz w:val="28"/>
                              </w:rPr>
                            </w:pPr>
                            <w:r>
                              <w:rPr>
                                <w:rFonts w:ascii="Arial" w:hAnsi="Arial"/>
                                <w:b/>
                                <w:i w:val="false"/>
                                <w:caps w:val="false"/>
                                <w:smallCaps w:val="false"/>
                                <w:color w:val="FE5000"/>
                                <w:sz w:val="28"/>
                              </w:rPr>
                              <w:t>4.2.3. Fixed and variable compensation</w:t>
                            </w:r>
                          </w:p>
                          <w:p>
                            <w:pPr>
                              <w:pStyle w:val="TextBody"/>
                              <w:bidi w:val="0"/>
                              <w:spacing w:before="0" w:after="0"/>
                              <w:jc w:val="left"/>
                              <w:rPr>
                                <w:caps w:val="false"/>
                                <w:smallCaps w:val="false"/>
                                <w:color w:val="FE5000"/>
                              </w:rPr>
                            </w:pPr>
                            <w:r>
                              <w:rPr>
                                <w:caps w:val="false"/>
                                <w:smallCaps w:val="false"/>
                                <w:color w:val="FE5000"/>
                              </w:rPr>
                              <w:t> </w:t>
                            </w:r>
                          </w:p>
                          <w:p>
                            <w:pPr>
                              <w:pStyle w:val="TextBody"/>
                              <w:bidi w:val="0"/>
                              <w:spacing w:before="0" w:after="0"/>
                              <w:jc w:val="left"/>
                              <w:rPr>
                                <w:rFonts w:ascii="Arial" w:hAnsi="Arial"/>
                                <w:b/>
                                <w:i w:val="false"/>
                                <w:caps w:val="false"/>
                                <w:smallCaps w:val="false"/>
                                <w:sz w:val="20"/>
                              </w:rPr>
                            </w:pPr>
                            <w:r>
                              <w:rPr>
                                <w:rFonts w:ascii="Arial" w:hAnsi="Arial"/>
                                <w:b/>
                                <w:i w:val="false"/>
                                <w:caps w:val="false"/>
                                <w:smallCaps w:val="false"/>
                                <w:sz w:val="20"/>
                              </w:rPr>
                              <w:t>4.2.3.1. The fixed salary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The fixed salary is that assured for under the law of the country where Credicorp operates. It is based on the position’s value and the degree of responsibility, has no variable component and is never linked to results achieved. Salary increases for the executive segment take into account:</w:t>
                            </w:r>
                          </w:p>
                          <w:tbl>
                            <w:tblPr>
                              <w:tblW w:w="5578" w:type="dxa"/>
                              <w:jc w:val="left"/>
                              <w:tblInd w:w="0" w:type="dxa"/>
                              <w:tblLayout w:type="fixed"/>
                              <w:tblCellMar>
                                <w:top w:w="0" w:type="dxa"/>
                                <w:left w:w="0" w:type="dxa"/>
                                <w:bottom w:w="0" w:type="dxa"/>
                                <w:right w:w="0" w:type="dxa"/>
                              </w:tblCellMar>
                            </w:tblPr>
                            <w:tblGrid>
                              <w:gridCol w:w="38"/>
                              <w:gridCol w:w="225"/>
                              <w:gridCol w:w="5315"/>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color w:val="FB6305"/>
                                    </w:rPr>
                                  </w:pPr>
                                  <w:r>
                                    <w:rPr>
                                      <w:caps w:val="false"/>
                                      <w:smallCaps w:val="false"/>
                                      <w:color w:val="FB6305"/>
                                    </w:rPr>
                                    <w:drawing>
                                      <wp:inline distT="0" distB="0" distL="0" distR="0">
                                        <wp:extent cx="142875" cy="104775"/>
                                        <wp:effectExtent l="0" t="0" r="0" b="0"/>
                                        <wp:docPr id="344"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136" descr=""/>
                                                <pic:cNvPicPr>
                                                  <a:picLocks noChangeAspect="1" noChangeArrowheads="1"/>
                                                </pic:cNvPicPr>
                                              </pic:nvPicPr>
                                              <pic:blipFill>
                                                <a:blip r:embed="rId238"/>
                                                <a:stretch>
                                                  <a:fillRect/>
                                                </a:stretch>
                                              </pic:blipFill>
                                              <pic:spPr bwMode="auto">
                                                <a:xfrm>
                                                  <a:off x="0" y="0"/>
                                                  <a:ext cx="142875" cy="104775"/>
                                                </a:xfrm>
                                                <a:prstGeom prst="rect">
                                                  <a:avLst/>
                                                </a:prstGeom>
                                              </pic:spPr>
                                            </pic:pic>
                                          </a:graphicData>
                                        </a:graphic>
                                      </wp:inline>
                                    </w:drawing>
                                  </w:r>
                                </w:p>
                              </w:tc>
                              <w:tc>
                                <w:tcPr>
                                  <w:tcW w:w="5315"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The outcome of the annual individual performance evaluation</w:t>
                                  </w:r>
                                </w:p>
                              </w:tc>
                            </w:tr>
                          </w:tbl>
                          <w:tbl>
                            <w:tblPr>
                              <w:tblW w:w="3988" w:type="dxa"/>
                              <w:jc w:val="left"/>
                              <w:tblInd w:w="0" w:type="dxa"/>
                              <w:tblLayout w:type="fixed"/>
                              <w:tblCellMar>
                                <w:top w:w="0" w:type="dxa"/>
                                <w:left w:w="0" w:type="dxa"/>
                                <w:bottom w:w="0" w:type="dxa"/>
                                <w:right w:w="0" w:type="dxa"/>
                              </w:tblCellMar>
                            </w:tblPr>
                            <w:tblGrid>
                              <w:gridCol w:w="38"/>
                              <w:gridCol w:w="225"/>
                              <w:gridCol w:w="3725"/>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color w:val="FB6305"/>
                                    </w:rPr>
                                  </w:pPr>
                                  <w:r>
                                    <w:rPr>
                                      <w:caps w:val="false"/>
                                      <w:smallCaps w:val="false"/>
                                      <w:color w:val="FB6305"/>
                                    </w:rPr>
                                    <w:drawing>
                                      <wp:inline distT="0" distB="0" distL="0" distR="0">
                                        <wp:extent cx="142875" cy="104775"/>
                                        <wp:effectExtent l="0" t="0" r="0" b="0"/>
                                        <wp:docPr id="345"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137" descr=""/>
                                                <pic:cNvPicPr>
                                                  <a:picLocks noChangeAspect="1" noChangeArrowheads="1"/>
                                                </pic:cNvPicPr>
                                              </pic:nvPicPr>
                                              <pic:blipFill>
                                                <a:blip r:embed="rId239"/>
                                                <a:stretch>
                                                  <a:fillRect/>
                                                </a:stretch>
                                              </pic:blipFill>
                                              <pic:spPr bwMode="auto">
                                                <a:xfrm>
                                                  <a:off x="0" y="0"/>
                                                  <a:ext cx="142875" cy="104775"/>
                                                </a:xfrm>
                                                <a:prstGeom prst="rect">
                                                  <a:avLst/>
                                                </a:prstGeom>
                                              </pic:spPr>
                                            </pic:pic>
                                          </a:graphicData>
                                        </a:graphic>
                                      </wp:inline>
                                    </w:drawing>
                                  </w:r>
                                </w:p>
                              </w:tc>
                              <w:tc>
                                <w:tcPr>
                                  <w:tcW w:w="3725"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The position’s place within the salary band</w:t>
                                  </w:r>
                                </w:p>
                              </w:tc>
                            </w:tr>
                          </w:tbl>
                          <w:tbl>
                            <w:tblPr>
                              <w:tblW w:w="1438" w:type="dxa"/>
                              <w:jc w:val="left"/>
                              <w:tblInd w:w="0" w:type="dxa"/>
                              <w:tblLayout w:type="fixed"/>
                              <w:tblCellMar>
                                <w:top w:w="0" w:type="dxa"/>
                                <w:left w:w="0" w:type="dxa"/>
                                <w:bottom w:w="0" w:type="dxa"/>
                                <w:right w:w="0" w:type="dxa"/>
                              </w:tblCellMar>
                            </w:tblPr>
                            <w:tblGrid>
                              <w:gridCol w:w="38"/>
                              <w:gridCol w:w="225"/>
                              <w:gridCol w:w="1175"/>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color w:val="FB6305"/>
                                    </w:rPr>
                                  </w:pPr>
                                  <w:r>
                                    <w:rPr>
                                      <w:caps w:val="false"/>
                                      <w:smallCaps w:val="false"/>
                                      <w:color w:val="FB6305"/>
                                    </w:rPr>
                                    <w:drawing>
                                      <wp:inline distT="0" distB="0" distL="0" distR="0">
                                        <wp:extent cx="142875" cy="104775"/>
                                        <wp:effectExtent l="0" t="0" r="0" b="0"/>
                                        <wp:docPr id="346"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138" descr=""/>
                                                <pic:cNvPicPr>
                                                  <a:picLocks noChangeAspect="1" noChangeArrowheads="1"/>
                                                </pic:cNvPicPr>
                                              </pic:nvPicPr>
                                              <pic:blipFill>
                                                <a:blip r:embed="rId240"/>
                                                <a:stretch>
                                                  <a:fillRect/>
                                                </a:stretch>
                                              </pic:blipFill>
                                              <pic:spPr bwMode="auto">
                                                <a:xfrm>
                                                  <a:off x="0" y="0"/>
                                                  <a:ext cx="142875" cy="104775"/>
                                                </a:xfrm>
                                                <a:prstGeom prst="rect">
                                                  <a:avLst/>
                                                </a:prstGeom>
                                              </pic:spPr>
                                            </pic:pic>
                                          </a:graphicData>
                                        </a:graphic>
                                      </wp:inline>
                                    </w:drawing>
                                  </w:r>
                                </w:p>
                              </w:tc>
                              <w:tc>
                                <w:tcPr>
                                  <w:tcW w:w="1175"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Salary equity</w:t>
                                  </w:r>
                                </w:p>
                              </w:tc>
                            </w:tr>
                          </w:tbl>
                          <w:tbl>
                            <w:tblPr>
                              <w:tblW w:w="1063" w:type="dxa"/>
                              <w:jc w:val="left"/>
                              <w:tblInd w:w="0" w:type="dxa"/>
                              <w:tblLayout w:type="fixed"/>
                              <w:tblCellMar>
                                <w:top w:w="0" w:type="dxa"/>
                                <w:left w:w="0" w:type="dxa"/>
                                <w:bottom w:w="0" w:type="dxa"/>
                                <w:right w:w="0" w:type="dxa"/>
                              </w:tblCellMar>
                            </w:tblPr>
                            <w:tblGrid>
                              <w:gridCol w:w="38"/>
                              <w:gridCol w:w="225"/>
                              <w:gridCol w:w="800"/>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color w:val="FB6305"/>
                                    </w:rPr>
                                  </w:pPr>
                                  <w:r>
                                    <w:rPr>
                                      <w:caps w:val="false"/>
                                      <w:smallCaps w:val="false"/>
                                      <w:color w:val="FB6305"/>
                                    </w:rPr>
                                    <w:drawing>
                                      <wp:inline distT="0" distB="0" distL="0" distR="0">
                                        <wp:extent cx="142875" cy="104775"/>
                                        <wp:effectExtent l="0" t="0" r="0" b="0"/>
                                        <wp:docPr id="347"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139" descr=""/>
                                                <pic:cNvPicPr>
                                                  <a:picLocks noChangeAspect="1" noChangeArrowheads="1"/>
                                                </pic:cNvPicPr>
                                              </pic:nvPicPr>
                                              <pic:blipFill>
                                                <a:blip r:embed="rId241"/>
                                                <a:stretch>
                                                  <a:fillRect/>
                                                </a:stretch>
                                              </pic:blipFill>
                                              <pic:spPr bwMode="auto">
                                                <a:xfrm>
                                                  <a:off x="0" y="0"/>
                                                  <a:ext cx="142875" cy="104775"/>
                                                </a:xfrm>
                                                <a:prstGeom prst="rect">
                                                  <a:avLst/>
                                                </a:prstGeom>
                                              </pic:spPr>
                                            </pic:pic>
                                          </a:graphicData>
                                        </a:graphic>
                                      </wp:inline>
                                    </w:drawing>
                                  </w:r>
                                </w:p>
                              </w:tc>
                              <w:tc>
                                <w:tcPr>
                                  <w:tcW w:w="800"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Seniority</w:t>
                                  </w:r>
                                </w:p>
                              </w:tc>
                            </w:tr>
                          </w:tbl>
                          <w:tbl>
                            <w:tblPr>
                              <w:tblW w:w="1543" w:type="dxa"/>
                              <w:jc w:val="left"/>
                              <w:tblInd w:w="0" w:type="dxa"/>
                              <w:tblLayout w:type="fixed"/>
                              <w:tblCellMar>
                                <w:top w:w="0" w:type="dxa"/>
                                <w:left w:w="0" w:type="dxa"/>
                                <w:bottom w:w="0" w:type="dxa"/>
                                <w:right w:w="0" w:type="dxa"/>
                              </w:tblCellMar>
                            </w:tblPr>
                            <w:tblGrid>
                              <w:gridCol w:w="38"/>
                              <w:gridCol w:w="225"/>
                              <w:gridCol w:w="1280"/>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color w:val="FB6305"/>
                                    </w:rPr>
                                  </w:pPr>
                                  <w:r>
                                    <w:rPr>
                                      <w:caps w:val="false"/>
                                      <w:smallCaps w:val="false"/>
                                      <w:color w:val="FB6305"/>
                                    </w:rPr>
                                    <w:drawing>
                                      <wp:inline distT="0" distB="0" distL="0" distR="0">
                                        <wp:extent cx="142875" cy="104775"/>
                                        <wp:effectExtent l="0" t="0" r="0" b="0"/>
                                        <wp:docPr id="348"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140" descr=""/>
                                                <pic:cNvPicPr>
                                                  <a:picLocks noChangeAspect="1" noChangeArrowheads="1"/>
                                                </pic:cNvPicPr>
                                              </pic:nvPicPr>
                                              <pic:blipFill>
                                                <a:blip r:embed="rId242"/>
                                                <a:stretch>
                                                  <a:fillRect/>
                                                </a:stretch>
                                              </pic:blipFill>
                                              <pic:spPr bwMode="auto">
                                                <a:xfrm>
                                                  <a:off x="0" y="0"/>
                                                  <a:ext cx="142875" cy="104775"/>
                                                </a:xfrm>
                                                <a:prstGeom prst="rect">
                                                  <a:avLst/>
                                                </a:prstGeom>
                                              </pic:spPr>
                                            </pic:pic>
                                          </a:graphicData>
                                        </a:graphic>
                                      </wp:inline>
                                    </w:drawing>
                                  </w:r>
                                </w:p>
                              </w:tc>
                              <w:tc>
                                <w:tcPr>
                                  <w:tcW w:w="1280"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Talent metrics</w:t>
                                  </w:r>
                                </w:p>
                              </w:tc>
                            </w:tr>
                          </w:tbl>
                          <w:tbl>
                            <w:tblPr>
                              <w:tblW w:w="2188" w:type="dxa"/>
                              <w:jc w:val="left"/>
                              <w:tblInd w:w="0" w:type="dxa"/>
                              <w:tblLayout w:type="fixed"/>
                              <w:tblCellMar>
                                <w:top w:w="0" w:type="dxa"/>
                                <w:left w:w="0" w:type="dxa"/>
                                <w:bottom w:w="0" w:type="dxa"/>
                                <w:right w:w="0" w:type="dxa"/>
                              </w:tblCellMar>
                            </w:tblPr>
                            <w:tblGrid>
                              <w:gridCol w:w="38"/>
                              <w:gridCol w:w="225"/>
                              <w:gridCol w:w="1925"/>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color w:val="FB6305"/>
                                    </w:rPr>
                                  </w:pPr>
                                  <w:r>
                                    <w:rPr>
                                      <w:caps w:val="false"/>
                                      <w:smallCaps w:val="false"/>
                                      <w:color w:val="FB6305"/>
                                    </w:rPr>
                                    <w:drawing>
                                      <wp:inline distT="0" distB="0" distL="0" distR="0">
                                        <wp:extent cx="142875" cy="104775"/>
                                        <wp:effectExtent l="0" t="0" r="0" b="0"/>
                                        <wp:docPr id="349"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141" descr=""/>
                                                <pic:cNvPicPr>
                                                  <a:picLocks noChangeAspect="1" noChangeArrowheads="1"/>
                                                </pic:cNvPicPr>
                                              </pic:nvPicPr>
                                              <pic:blipFill>
                                                <a:blip r:embed="rId243"/>
                                                <a:stretch>
                                                  <a:fillRect/>
                                                </a:stretch>
                                              </pic:blipFill>
                                              <pic:spPr bwMode="auto">
                                                <a:xfrm>
                                                  <a:off x="0" y="0"/>
                                                  <a:ext cx="142875" cy="104775"/>
                                                </a:xfrm>
                                                <a:prstGeom prst="rect">
                                                  <a:avLst/>
                                                </a:prstGeom>
                                              </pic:spPr>
                                            </pic:pic>
                                          </a:graphicData>
                                        </a:graphic>
                                      </wp:inline>
                                    </w:drawing>
                                  </w:r>
                                </w:p>
                              </w:tc>
                              <w:tc>
                                <w:tcPr>
                                  <w:tcW w:w="1925"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Organizational budget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 w:hAnsi="Arial"/>
                                <w:b/>
                                <w:i w:val="false"/>
                                <w:caps w:val="false"/>
                                <w:smallCaps w:val="false"/>
                                <w:sz w:val="20"/>
                              </w:rPr>
                            </w:pPr>
                            <w:r>
                              <w:rPr>
                                <w:rFonts w:ascii="Arial" w:hAnsi="Arial"/>
                                <w:b/>
                                <w:i w:val="false"/>
                                <w:caps w:val="false"/>
                                <w:smallCaps w:val="false"/>
                                <w:sz w:val="20"/>
                              </w:rPr>
                              <w:t>4.2.3.2. The short-term incentive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The short-term incentive encourages executives to achieve Credicorp’s annual goals by meeting individual and organizational objectives. The performance scorecards for top executives consist of profitability, efficiency, customer experience, transformation and sustainability (ESG) indicators that vary by subsidiary and align with the company’s business strategy and/or the overall corporate strategy. This incentive payment is triggered when Credicorp’s minimum net profit is delivered, calculated as a proportion of that total target met, and on the individual’s results against their particular objectives.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00.1pt;mso-wrap-distance-left:0pt;mso-wrap-distance-right:0pt;mso-wrap-distance-top:0pt;mso-wrap-distance-bottom:0pt;margin-top:0pt;mso-position-vertical:top;mso-position-vertical-relative:text;margin-left:244.9pt;mso-position-horizontal:left;mso-position-horizontal-relative:text">
                <v:textbox>
                  <w:txbxContent>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Each executive’s total annual compensation consists of a fixed salary complemented by two variable components: a short-term incentive and a long-term incentive. The higher the executive’s level in the organization, the more significant the variable components become, constituting between 40% and 70% of the total package.</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Arial" w:hAnsi="Arial"/>
                          <w:b/>
                          <w:i w:val="false"/>
                          <w:caps w:val="false"/>
                          <w:smallCaps w:val="false"/>
                          <w:color w:val="FE5000"/>
                          <w:sz w:val="28"/>
                        </w:rPr>
                      </w:pPr>
                      <w:r>
                        <w:rPr>
                          <w:rFonts w:ascii="Arial" w:hAnsi="Arial"/>
                          <w:b/>
                          <w:i w:val="false"/>
                          <w:caps w:val="false"/>
                          <w:smallCaps w:val="false"/>
                          <w:color w:val="FE5000"/>
                          <w:sz w:val="28"/>
                        </w:rPr>
                        <w:t>4.2.3. Fixed and variable compensation</w:t>
                      </w:r>
                    </w:p>
                    <w:p>
                      <w:pPr>
                        <w:pStyle w:val="TextBody"/>
                        <w:bidi w:val="0"/>
                        <w:spacing w:before="0" w:after="0"/>
                        <w:jc w:val="left"/>
                        <w:rPr>
                          <w:caps w:val="false"/>
                          <w:smallCaps w:val="false"/>
                          <w:color w:val="FE5000"/>
                        </w:rPr>
                      </w:pPr>
                      <w:r>
                        <w:rPr>
                          <w:caps w:val="false"/>
                          <w:smallCaps w:val="false"/>
                          <w:color w:val="FE5000"/>
                        </w:rPr>
                        <w:t> </w:t>
                      </w:r>
                    </w:p>
                    <w:p>
                      <w:pPr>
                        <w:pStyle w:val="TextBody"/>
                        <w:bidi w:val="0"/>
                        <w:spacing w:before="0" w:after="0"/>
                        <w:jc w:val="left"/>
                        <w:rPr>
                          <w:rFonts w:ascii="Arial" w:hAnsi="Arial"/>
                          <w:b/>
                          <w:i w:val="false"/>
                          <w:caps w:val="false"/>
                          <w:smallCaps w:val="false"/>
                          <w:sz w:val="20"/>
                        </w:rPr>
                      </w:pPr>
                      <w:r>
                        <w:rPr>
                          <w:rFonts w:ascii="Arial" w:hAnsi="Arial"/>
                          <w:b/>
                          <w:i w:val="false"/>
                          <w:caps w:val="false"/>
                          <w:smallCaps w:val="false"/>
                          <w:sz w:val="20"/>
                        </w:rPr>
                        <w:t>4.2.3.1. The fixed salary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The fixed salary is that assured for under the law of the country where Credicorp operates. It is based on the position’s value and the degree of responsibility, has no variable component and is never linked to results achieved. Salary increases for the executive segment take into account:</w:t>
                      </w:r>
                    </w:p>
                    <w:tbl>
                      <w:tblPr>
                        <w:tblW w:w="5578" w:type="dxa"/>
                        <w:jc w:val="left"/>
                        <w:tblInd w:w="0" w:type="dxa"/>
                        <w:tblLayout w:type="fixed"/>
                        <w:tblCellMar>
                          <w:top w:w="0" w:type="dxa"/>
                          <w:left w:w="0" w:type="dxa"/>
                          <w:bottom w:w="0" w:type="dxa"/>
                          <w:right w:w="0" w:type="dxa"/>
                        </w:tblCellMar>
                      </w:tblPr>
                      <w:tblGrid>
                        <w:gridCol w:w="38"/>
                        <w:gridCol w:w="225"/>
                        <w:gridCol w:w="5315"/>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color w:val="FB6305"/>
                              </w:rPr>
                            </w:pPr>
                            <w:r>
                              <w:rPr>
                                <w:caps w:val="false"/>
                                <w:smallCaps w:val="false"/>
                                <w:color w:val="FB6305"/>
                              </w:rPr>
                              <w:drawing>
                                <wp:inline distT="0" distB="0" distL="0" distR="0">
                                  <wp:extent cx="142875" cy="104775"/>
                                  <wp:effectExtent l="0" t="0" r="0" b="0"/>
                                  <wp:docPr id="350"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136" descr=""/>
                                          <pic:cNvPicPr>
                                            <a:picLocks noChangeAspect="1" noChangeArrowheads="1"/>
                                          </pic:cNvPicPr>
                                        </pic:nvPicPr>
                                        <pic:blipFill>
                                          <a:blip r:embed="rId244"/>
                                          <a:stretch>
                                            <a:fillRect/>
                                          </a:stretch>
                                        </pic:blipFill>
                                        <pic:spPr bwMode="auto">
                                          <a:xfrm>
                                            <a:off x="0" y="0"/>
                                            <a:ext cx="142875" cy="104775"/>
                                          </a:xfrm>
                                          <a:prstGeom prst="rect">
                                            <a:avLst/>
                                          </a:prstGeom>
                                        </pic:spPr>
                                      </pic:pic>
                                    </a:graphicData>
                                  </a:graphic>
                                </wp:inline>
                              </w:drawing>
                            </w:r>
                          </w:p>
                        </w:tc>
                        <w:tc>
                          <w:tcPr>
                            <w:tcW w:w="5315"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The outcome of the annual individual performance evaluation</w:t>
                            </w:r>
                          </w:p>
                        </w:tc>
                      </w:tr>
                    </w:tbl>
                    <w:tbl>
                      <w:tblPr>
                        <w:tblW w:w="3988" w:type="dxa"/>
                        <w:jc w:val="left"/>
                        <w:tblInd w:w="0" w:type="dxa"/>
                        <w:tblLayout w:type="fixed"/>
                        <w:tblCellMar>
                          <w:top w:w="0" w:type="dxa"/>
                          <w:left w:w="0" w:type="dxa"/>
                          <w:bottom w:w="0" w:type="dxa"/>
                          <w:right w:w="0" w:type="dxa"/>
                        </w:tblCellMar>
                      </w:tblPr>
                      <w:tblGrid>
                        <w:gridCol w:w="38"/>
                        <w:gridCol w:w="225"/>
                        <w:gridCol w:w="3725"/>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color w:val="FB6305"/>
                              </w:rPr>
                            </w:pPr>
                            <w:r>
                              <w:rPr>
                                <w:caps w:val="false"/>
                                <w:smallCaps w:val="false"/>
                                <w:color w:val="FB6305"/>
                              </w:rPr>
                              <w:drawing>
                                <wp:inline distT="0" distB="0" distL="0" distR="0">
                                  <wp:extent cx="142875" cy="104775"/>
                                  <wp:effectExtent l="0" t="0" r="0" b="0"/>
                                  <wp:docPr id="351"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137" descr=""/>
                                          <pic:cNvPicPr>
                                            <a:picLocks noChangeAspect="1" noChangeArrowheads="1"/>
                                          </pic:cNvPicPr>
                                        </pic:nvPicPr>
                                        <pic:blipFill>
                                          <a:blip r:embed="rId245"/>
                                          <a:stretch>
                                            <a:fillRect/>
                                          </a:stretch>
                                        </pic:blipFill>
                                        <pic:spPr bwMode="auto">
                                          <a:xfrm>
                                            <a:off x="0" y="0"/>
                                            <a:ext cx="142875" cy="104775"/>
                                          </a:xfrm>
                                          <a:prstGeom prst="rect">
                                            <a:avLst/>
                                          </a:prstGeom>
                                        </pic:spPr>
                                      </pic:pic>
                                    </a:graphicData>
                                  </a:graphic>
                                </wp:inline>
                              </w:drawing>
                            </w:r>
                          </w:p>
                        </w:tc>
                        <w:tc>
                          <w:tcPr>
                            <w:tcW w:w="3725"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The position’s place within the salary band</w:t>
                            </w:r>
                          </w:p>
                        </w:tc>
                      </w:tr>
                    </w:tbl>
                    <w:tbl>
                      <w:tblPr>
                        <w:tblW w:w="1438" w:type="dxa"/>
                        <w:jc w:val="left"/>
                        <w:tblInd w:w="0" w:type="dxa"/>
                        <w:tblLayout w:type="fixed"/>
                        <w:tblCellMar>
                          <w:top w:w="0" w:type="dxa"/>
                          <w:left w:w="0" w:type="dxa"/>
                          <w:bottom w:w="0" w:type="dxa"/>
                          <w:right w:w="0" w:type="dxa"/>
                        </w:tblCellMar>
                      </w:tblPr>
                      <w:tblGrid>
                        <w:gridCol w:w="38"/>
                        <w:gridCol w:w="225"/>
                        <w:gridCol w:w="1175"/>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color w:val="FB6305"/>
                              </w:rPr>
                            </w:pPr>
                            <w:r>
                              <w:rPr>
                                <w:caps w:val="false"/>
                                <w:smallCaps w:val="false"/>
                                <w:color w:val="FB6305"/>
                              </w:rPr>
                              <w:drawing>
                                <wp:inline distT="0" distB="0" distL="0" distR="0">
                                  <wp:extent cx="142875" cy="104775"/>
                                  <wp:effectExtent l="0" t="0" r="0" b="0"/>
                                  <wp:docPr id="352"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138" descr=""/>
                                          <pic:cNvPicPr>
                                            <a:picLocks noChangeAspect="1" noChangeArrowheads="1"/>
                                          </pic:cNvPicPr>
                                        </pic:nvPicPr>
                                        <pic:blipFill>
                                          <a:blip r:embed="rId246"/>
                                          <a:stretch>
                                            <a:fillRect/>
                                          </a:stretch>
                                        </pic:blipFill>
                                        <pic:spPr bwMode="auto">
                                          <a:xfrm>
                                            <a:off x="0" y="0"/>
                                            <a:ext cx="142875" cy="104775"/>
                                          </a:xfrm>
                                          <a:prstGeom prst="rect">
                                            <a:avLst/>
                                          </a:prstGeom>
                                        </pic:spPr>
                                      </pic:pic>
                                    </a:graphicData>
                                  </a:graphic>
                                </wp:inline>
                              </w:drawing>
                            </w:r>
                          </w:p>
                        </w:tc>
                        <w:tc>
                          <w:tcPr>
                            <w:tcW w:w="1175"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Salary equity</w:t>
                            </w:r>
                          </w:p>
                        </w:tc>
                      </w:tr>
                    </w:tbl>
                    <w:tbl>
                      <w:tblPr>
                        <w:tblW w:w="1063" w:type="dxa"/>
                        <w:jc w:val="left"/>
                        <w:tblInd w:w="0" w:type="dxa"/>
                        <w:tblLayout w:type="fixed"/>
                        <w:tblCellMar>
                          <w:top w:w="0" w:type="dxa"/>
                          <w:left w:w="0" w:type="dxa"/>
                          <w:bottom w:w="0" w:type="dxa"/>
                          <w:right w:w="0" w:type="dxa"/>
                        </w:tblCellMar>
                      </w:tblPr>
                      <w:tblGrid>
                        <w:gridCol w:w="38"/>
                        <w:gridCol w:w="225"/>
                        <w:gridCol w:w="800"/>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color w:val="FB6305"/>
                              </w:rPr>
                            </w:pPr>
                            <w:r>
                              <w:rPr>
                                <w:caps w:val="false"/>
                                <w:smallCaps w:val="false"/>
                                <w:color w:val="FB6305"/>
                              </w:rPr>
                              <w:drawing>
                                <wp:inline distT="0" distB="0" distL="0" distR="0">
                                  <wp:extent cx="142875" cy="104775"/>
                                  <wp:effectExtent l="0" t="0" r="0" b="0"/>
                                  <wp:docPr id="353"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139" descr=""/>
                                          <pic:cNvPicPr>
                                            <a:picLocks noChangeAspect="1" noChangeArrowheads="1"/>
                                          </pic:cNvPicPr>
                                        </pic:nvPicPr>
                                        <pic:blipFill>
                                          <a:blip r:embed="rId247"/>
                                          <a:stretch>
                                            <a:fillRect/>
                                          </a:stretch>
                                        </pic:blipFill>
                                        <pic:spPr bwMode="auto">
                                          <a:xfrm>
                                            <a:off x="0" y="0"/>
                                            <a:ext cx="142875" cy="104775"/>
                                          </a:xfrm>
                                          <a:prstGeom prst="rect">
                                            <a:avLst/>
                                          </a:prstGeom>
                                        </pic:spPr>
                                      </pic:pic>
                                    </a:graphicData>
                                  </a:graphic>
                                </wp:inline>
                              </w:drawing>
                            </w:r>
                          </w:p>
                        </w:tc>
                        <w:tc>
                          <w:tcPr>
                            <w:tcW w:w="800"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Seniority</w:t>
                            </w:r>
                          </w:p>
                        </w:tc>
                      </w:tr>
                    </w:tbl>
                    <w:tbl>
                      <w:tblPr>
                        <w:tblW w:w="1543" w:type="dxa"/>
                        <w:jc w:val="left"/>
                        <w:tblInd w:w="0" w:type="dxa"/>
                        <w:tblLayout w:type="fixed"/>
                        <w:tblCellMar>
                          <w:top w:w="0" w:type="dxa"/>
                          <w:left w:w="0" w:type="dxa"/>
                          <w:bottom w:w="0" w:type="dxa"/>
                          <w:right w:w="0" w:type="dxa"/>
                        </w:tblCellMar>
                      </w:tblPr>
                      <w:tblGrid>
                        <w:gridCol w:w="38"/>
                        <w:gridCol w:w="225"/>
                        <w:gridCol w:w="1280"/>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color w:val="FB6305"/>
                              </w:rPr>
                            </w:pPr>
                            <w:r>
                              <w:rPr>
                                <w:caps w:val="false"/>
                                <w:smallCaps w:val="false"/>
                                <w:color w:val="FB6305"/>
                              </w:rPr>
                              <w:drawing>
                                <wp:inline distT="0" distB="0" distL="0" distR="0">
                                  <wp:extent cx="142875" cy="104775"/>
                                  <wp:effectExtent l="0" t="0" r="0" b="0"/>
                                  <wp:docPr id="354"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140" descr=""/>
                                          <pic:cNvPicPr>
                                            <a:picLocks noChangeAspect="1" noChangeArrowheads="1"/>
                                          </pic:cNvPicPr>
                                        </pic:nvPicPr>
                                        <pic:blipFill>
                                          <a:blip r:embed="rId248"/>
                                          <a:stretch>
                                            <a:fillRect/>
                                          </a:stretch>
                                        </pic:blipFill>
                                        <pic:spPr bwMode="auto">
                                          <a:xfrm>
                                            <a:off x="0" y="0"/>
                                            <a:ext cx="142875" cy="104775"/>
                                          </a:xfrm>
                                          <a:prstGeom prst="rect">
                                            <a:avLst/>
                                          </a:prstGeom>
                                        </pic:spPr>
                                      </pic:pic>
                                    </a:graphicData>
                                  </a:graphic>
                                </wp:inline>
                              </w:drawing>
                            </w:r>
                          </w:p>
                        </w:tc>
                        <w:tc>
                          <w:tcPr>
                            <w:tcW w:w="1280"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Talent metrics</w:t>
                            </w:r>
                          </w:p>
                        </w:tc>
                      </w:tr>
                    </w:tbl>
                    <w:tbl>
                      <w:tblPr>
                        <w:tblW w:w="2188" w:type="dxa"/>
                        <w:jc w:val="left"/>
                        <w:tblInd w:w="0" w:type="dxa"/>
                        <w:tblLayout w:type="fixed"/>
                        <w:tblCellMar>
                          <w:top w:w="0" w:type="dxa"/>
                          <w:left w:w="0" w:type="dxa"/>
                          <w:bottom w:w="0" w:type="dxa"/>
                          <w:right w:w="0" w:type="dxa"/>
                        </w:tblCellMar>
                      </w:tblPr>
                      <w:tblGrid>
                        <w:gridCol w:w="38"/>
                        <w:gridCol w:w="225"/>
                        <w:gridCol w:w="1925"/>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color w:val="FB6305"/>
                              </w:rPr>
                            </w:pPr>
                            <w:r>
                              <w:rPr>
                                <w:caps w:val="false"/>
                                <w:smallCaps w:val="false"/>
                                <w:color w:val="FB6305"/>
                              </w:rPr>
                              <w:drawing>
                                <wp:inline distT="0" distB="0" distL="0" distR="0">
                                  <wp:extent cx="142875" cy="104775"/>
                                  <wp:effectExtent l="0" t="0" r="0" b="0"/>
                                  <wp:docPr id="355"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141" descr=""/>
                                          <pic:cNvPicPr>
                                            <a:picLocks noChangeAspect="1" noChangeArrowheads="1"/>
                                          </pic:cNvPicPr>
                                        </pic:nvPicPr>
                                        <pic:blipFill>
                                          <a:blip r:embed="rId249"/>
                                          <a:stretch>
                                            <a:fillRect/>
                                          </a:stretch>
                                        </pic:blipFill>
                                        <pic:spPr bwMode="auto">
                                          <a:xfrm>
                                            <a:off x="0" y="0"/>
                                            <a:ext cx="142875" cy="104775"/>
                                          </a:xfrm>
                                          <a:prstGeom prst="rect">
                                            <a:avLst/>
                                          </a:prstGeom>
                                        </pic:spPr>
                                      </pic:pic>
                                    </a:graphicData>
                                  </a:graphic>
                                </wp:inline>
                              </w:drawing>
                            </w:r>
                          </w:p>
                        </w:tc>
                        <w:tc>
                          <w:tcPr>
                            <w:tcW w:w="1925"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Organizational budget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 w:hAnsi="Arial"/>
                          <w:b/>
                          <w:i w:val="false"/>
                          <w:caps w:val="false"/>
                          <w:smallCaps w:val="false"/>
                          <w:sz w:val="20"/>
                        </w:rPr>
                      </w:pPr>
                      <w:r>
                        <w:rPr>
                          <w:rFonts w:ascii="Arial" w:hAnsi="Arial"/>
                          <w:b/>
                          <w:i w:val="false"/>
                          <w:caps w:val="false"/>
                          <w:smallCaps w:val="false"/>
                          <w:sz w:val="20"/>
                        </w:rPr>
                        <w:t>4.2.3.2. The short-term incentive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The short-term incentive encourages executives to achieve Credicorp’s annual goals by meeting individual and organizational objectives. The performance scorecards for top executives consist of profitability, efficiency, customer experience, transformation and sustainability (ESG) indicators that vary by subsidiary and align with the company’s business strategy and/or the overall corporate strategy. This incentive payment is triggered when Credicorp’s minimum net profit is delivered, calculated as a proportion of that total target met, and on the individual’s results against their particular objectives.</w:t>
                      </w:r>
                    </w:p>
                  </w:txbxContent>
                </v:textbox>
                <w10:wrap type="square" side="right"/>
              </v:rect>
            </w:pict>
          </mc:Fallback>
        </mc:AlternateConten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52</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color w:val="FE5000"/>
        </w:rPr>
      </w:pPr>
      <w:r>
        <w:rPr>
          <w:caps w:val="false"/>
          <w:smallCaps w:val="false"/>
          <w:color w:val="FE5000"/>
        </w:rPr>
        <w:t> </w:t>
      </w:r>
    </w:p>
    <w:p>
      <w:pPr>
        <w:pStyle w:val="TextBody"/>
        <w:bidi w:val="0"/>
        <w:spacing w:before="0" w:after="0"/>
        <w:jc w:val="left"/>
        <w:rPr>
          <w:rFonts w:ascii="Arial" w:hAnsi="Arial"/>
          <w:b/>
          <w:i w:val="false"/>
          <w:caps w:val="false"/>
          <w:smallCaps w:val="false"/>
          <w:color w:val="FE5000"/>
          <w:sz w:val="28"/>
        </w:rPr>
      </w:pPr>
      <w:r>
        <w:rPr>
          <w:rFonts w:ascii="Arial" w:hAnsi="Arial"/>
          <w:b/>
          <w:i w:val="false"/>
          <w:caps w:val="false"/>
          <w:smallCaps w:val="false"/>
          <w:color w:val="FE5000"/>
          <w:sz w:val="28"/>
        </w:rPr>
        <w:t>4.3. SUSTAINABILITY GOVERNANCE</w:t>
      </w:r>
    </w:p>
    <w:p>
      <w:pPr>
        <w:pStyle w:val="TextBody"/>
        <w:bidi w:val="0"/>
        <w:spacing w:before="0" w:after="0"/>
        <w:jc w:val="left"/>
        <w:rPr>
          <w:caps w:val="false"/>
          <w:smallCaps w:val="false"/>
          <w:color w:val="FE5000"/>
        </w:rPr>
      </w:pPr>
      <w:r>
        <w:rPr>
          <w:caps w:val="false"/>
          <w:smallCaps w:val="false"/>
          <w:color w:val="FE5000"/>
        </w:rPr>
        <w:t> </w:t>
      </w:r>
    </w:p>
    <w:tbl>
      <w:tblPr>
        <w:tblW w:w="11760" w:type="dxa"/>
        <w:jc w:val="left"/>
        <w:tblInd w:w="0" w:type="dxa"/>
        <w:tblLayout w:type="fixed"/>
        <w:tblCellMar>
          <w:top w:w="0" w:type="dxa"/>
          <w:left w:w="0" w:type="dxa"/>
          <w:bottom w:w="0" w:type="dxa"/>
          <w:right w:w="0" w:type="dxa"/>
        </w:tblCellMar>
      </w:tblPr>
      <w:tblGrid>
        <w:gridCol w:w="8325"/>
        <w:gridCol w:w="60"/>
        <w:gridCol w:w="3375"/>
      </w:tblGrid>
      <w:tr>
        <w:trPr/>
        <w:tc>
          <w:tcPr>
            <w:tcW w:w="8325" w:type="dxa"/>
            <w:tcBorders/>
            <w:vAlign w:val="center"/>
          </w:tcPr>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Credicorp’s sustainability governance gives </w:t>
            </w:r>
            <w:r>
              <w:rPr>
                <w:rFonts w:ascii="Arial" w:hAnsi="Arial"/>
                <w:b/>
                <w:i w:val="false"/>
                <w:caps w:val="false"/>
                <w:smallCaps w:val="false"/>
                <w:color w:val="FE5000"/>
                <w:sz w:val="20"/>
              </w:rPr>
              <w:t>visibility</w:t>
            </w:r>
            <w:r>
              <w:rPr>
                <w:rFonts w:ascii="Arial" w:hAnsi="Arial"/>
                <w:b w:val="false"/>
                <w:i w:val="false"/>
                <w:caps w:val="false"/>
                <w:smallCaps w:val="false"/>
                <w:sz w:val="20"/>
              </w:rPr>
              <w:t xml:space="preserve"> to the sustainability strategy at various levels of the organization, ensures the </w:t>
            </w:r>
            <w:r>
              <w:rPr>
                <w:rFonts w:ascii="Arial" w:hAnsi="Arial"/>
                <w:b/>
                <w:i w:val="false"/>
                <w:caps w:val="false"/>
                <w:smallCaps w:val="false"/>
                <w:color w:val="FE5000"/>
                <w:sz w:val="20"/>
              </w:rPr>
              <w:t>integration</w:t>
            </w:r>
            <w:r>
              <w:rPr>
                <w:rFonts w:ascii="Arial" w:hAnsi="Arial"/>
                <w:b w:val="false"/>
                <w:i w:val="false"/>
                <w:caps w:val="false"/>
                <w:smallCaps w:val="false"/>
                <w:sz w:val="20"/>
              </w:rPr>
              <w:t xml:space="preserve"> of sustainability into our business management and its alignment with the business strategy, allows for </w:t>
            </w:r>
            <w:r>
              <w:rPr>
                <w:rFonts w:ascii="Arial" w:hAnsi="Arial"/>
                <w:b/>
                <w:i w:val="false"/>
                <w:caps w:val="false"/>
                <w:smallCaps w:val="false"/>
                <w:color w:val="FE5000"/>
                <w:sz w:val="20"/>
              </w:rPr>
              <w:t xml:space="preserve">coordinated </w:t>
            </w:r>
            <w:r>
              <w:rPr>
                <w:rFonts w:ascii="Arial" w:hAnsi="Arial"/>
                <w:b w:val="false"/>
                <w:i w:val="false"/>
                <w:caps w:val="false"/>
                <w:smallCaps w:val="false"/>
                <w:sz w:val="20"/>
              </w:rPr>
              <w:t xml:space="preserve">efforts between corporate and subsidiary teams, generates </w:t>
            </w:r>
            <w:r>
              <w:rPr>
                <w:rFonts w:ascii="Arial" w:hAnsi="Arial"/>
                <w:b/>
                <w:i w:val="false"/>
                <w:caps w:val="false"/>
                <w:smallCaps w:val="false"/>
                <w:color w:val="FE5000"/>
                <w:sz w:val="20"/>
              </w:rPr>
              <w:t>accountability</w:t>
            </w:r>
            <w:r>
              <w:rPr>
                <w:rFonts w:ascii="Arial" w:hAnsi="Arial"/>
                <w:b w:val="false"/>
                <w:i w:val="false"/>
                <w:caps w:val="false"/>
                <w:smallCaps w:val="false"/>
                <w:sz w:val="20"/>
              </w:rPr>
              <w:t xml:space="preserve"> for results, prioritization of initiatives and setting ambitious goals, and moves us forward on our path to becoming a </w:t>
            </w:r>
            <w:r>
              <w:rPr>
                <w:rFonts w:ascii="Arial" w:hAnsi="Arial"/>
                <w:b/>
                <w:i w:val="false"/>
                <w:caps w:val="false"/>
                <w:smallCaps w:val="false"/>
                <w:color w:val="FE5000"/>
                <w:sz w:val="20"/>
              </w:rPr>
              <w:t xml:space="preserve">sustainable financial services leader </w:t>
            </w:r>
            <w:r>
              <w:rPr>
                <w:rFonts w:ascii="Arial" w:hAnsi="Arial"/>
                <w:b w:val="false"/>
                <w:i w:val="false"/>
                <w:caps w:val="false"/>
                <w:smallCaps w:val="false"/>
                <w:sz w:val="20"/>
              </w:rPr>
              <w:t>in the region.</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caps w:val="false"/>
                <w:smallCaps w:val="false"/>
              </w:rPr>
            </w:pPr>
            <w:r>
              <w:rPr>
                <w:caps w:val="false"/>
                <w:smallCaps w:val="false"/>
              </w:rPr>
              <w:drawing>
                <wp:inline distT="0" distB="0" distL="0" distR="0">
                  <wp:extent cx="5238750" cy="1771650"/>
                  <wp:effectExtent l="0" t="0" r="0" b="0"/>
                  <wp:docPr id="356"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144" descr=""/>
                          <pic:cNvPicPr>
                            <a:picLocks noChangeAspect="1" noChangeArrowheads="1"/>
                          </pic:cNvPicPr>
                        </pic:nvPicPr>
                        <pic:blipFill>
                          <a:blip r:embed="rId250"/>
                          <a:stretch>
                            <a:fillRect/>
                          </a:stretch>
                        </pic:blipFill>
                        <pic:spPr bwMode="auto">
                          <a:xfrm>
                            <a:off x="0" y="0"/>
                            <a:ext cx="5238750" cy="1771650"/>
                          </a:xfrm>
                          <a:prstGeom prst="rect">
                            <a:avLst/>
                          </a:prstGeom>
                        </pic:spPr>
                      </pic:pic>
                    </a:graphicData>
                  </a:graphic>
                </wp:inline>
              </w:drawing>
            </w:r>
            <w:r>
              <w:rPr>
                <w:caps w:val="false"/>
                <w:smallCaps w:val="false"/>
              </w:rPr>
              <w:t> </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There is oversight of the sustainability program at all levels, from the board level through to the teams responsible for implementation. Each subsidiary replicates a governance structure similar to that existing at the corporate level but adapted to its own internal arrangements.</w:t>
            </w:r>
          </w:p>
          <w:p>
            <w:pPr>
              <w:pStyle w:val="TableContents"/>
              <w:bidi w:val="0"/>
              <w:spacing w:before="0" w:after="0"/>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375" w:type="dxa"/>
            <w:tcBorders/>
            <w:vAlign w:val="center"/>
          </w:tcPr>
          <w:p>
            <w:pPr>
              <w:pStyle w:val="TableContents"/>
              <w:bidi w:val="0"/>
              <w:spacing w:before="0" w:after="283"/>
              <w:jc w:val="right"/>
              <w:rPr>
                <w:caps w:val="false"/>
                <w:smallCaps w:val="false"/>
              </w:rPr>
            </w:pPr>
            <w:r>
              <w:rPr>
                <w:caps w:val="false"/>
                <w:smallCaps w:val="false"/>
              </w:rPr>
              <w:drawing>
                <wp:inline distT="0" distB="0" distL="0" distR="0">
                  <wp:extent cx="2095500" cy="4038600"/>
                  <wp:effectExtent l="0" t="0" r="0" b="0"/>
                  <wp:docPr id="357"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145" descr=""/>
                          <pic:cNvPicPr>
                            <a:picLocks noChangeAspect="1" noChangeArrowheads="1"/>
                          </pic:cNvPicPr>
                        </pic:nvPicPr>
                        <pic:blipFill>
                          <a:blip r:embed="rId251"/>
                          <a:stretch>
                            <a:fillRect/>
                          </a:stretch>
                        </pic:blipFill>
                        <pic:spPr bwMode="auto">
                          <a:xfrm>
                            <a:off x="0" y="0"/>
                            <a:ext cx="2095500" cy="4038600"/>
                          </a:xfrm>
                          <a:prstGeom prst="rect">
                            <a:avLst/>
                          </a:prstGeom>
                        </pic:spPr>
                      </pic:pic>
                    </a:graphicData>
                  </a:graphic>
                </wp:inline>
              </w:drawing>
            </w:r>
            <w:r>
              <w:rPr>
                <w:caps w:val="false"/>
                <w:smallCaps w:val="false"/>
              </w:rPr>
              <w:t> </w:t>
            </w:r>
          </w:p>
        </w:tc>
      </w:tr>
    </w:tbl>
    <w:p>
      <w:pPr>
        <w:pStyle w:val="TextBody"/>
        <w:bidi w:val="0"/>
        <w:spacing w:before="0" w:after="0"/>
        <w:jc w:val="right"/>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53</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color w:val="FE5000"/>
        </w:rPr>
      </w:pPr>
      <w:r>
        <w:rPr>
          <w:caps w:val="false"/>
          <w:smallCaps w:val="false"/>
          <w:color w:val="FE5000"/>
        </w:rPr>
        <w:t> </w:t>
      </w:r>
    </w:p>
    <w:p>
      <w:pPr>
        <w:pStyle w:val="TextBody"/>
        <w:bidi w:val="0"/>
        <w:spacing w:before="0" w:after="0"/>
        <w:jc w:val="both"/>
        <w:rPr>
          <w:caps w:val="false"/>
          <w:smallCaps w:val="false"/>
        </w:rPr>
      </w:pPr>
      <w:r>
        <w:rPr>
          <w:caps w:val="false"/>
          <w:smallCaps w:val="false"/>
        </w:rPr>
        <w:t> </w:t>
      </w:r>
      <w:r>
        <mc:AlternateContent>
          <mc:Choice Requires="wps">
            <w:drawing>
              <wp:anchor behindDoc="0" distT="0" distB="0" distL="0" distR="0" simplePos="0" locked="0" layoutInCell="1" allowOverlap="1" relativeHeight="143">
                <wp:simplePos x="0" y="0"/>
                <wp:positionH relativeFrom="column">
                  <wp:align>left</wp:align>
                </wp:positionH>
                <wp:positionV relativeFrom="line">
                  <wp:posOffset>635</wp:posOffset>
                </wp:positionV>
                <wp:extent cx="3110230" cy="5631815"/>
                <wp:effectExtent l="0" t="0" r="0" b="0"/>
                <wp:wrapSquare wrapText="right"/>
                <wp:docPr id="358" name="Frame108"/>
                <a:graphic xmlns:a="http://schemas.openxmlformats.org/drawingml/2006/main">
                  <a:graphicData uri="http://schemas.microsoft.com/office/word/2010/wordprocessingShape">
                    <wps:wsp>
                      <wps:cNvSpPr txBox="1"/>
                      <wps:spPr>
                        <a:xfrm>
                          <a:off x="0" y="0"/>
                          <a:ext cx="3110230" cy="5631815"/>
                        </a:xfrm>
                        <a:prstGeom prst="rect"/>
                        <a:solidFill>
                          <a:srgbClr val="FFFFFF"/>
                        </a:solidFill>
                      </wps:spPr>
                      <wps:txbx>
                        <w:txbxContent>
                          <w:p>
                            <w:pPr>
                              <w:pStyle w:val="TextBody"/>
                              <w:bidi w:val="0"/>
                              <w:spacing w:before="0" w:after="0"/>
                              <w:jc w:val="left"/>
                              <w:rPr>
                                <w:rFonts w:ascii="Arial" w:hAnsi="Arial"/>
                                <w:b/>
                                <w:i w:val="false"/>
                                <w:caps w:val="false"/>
                                <w:smallCaps w:val="false"/>
                                <w:color w:val="FE5000"/>
                                <w:sz w:val="28"/>
                              </w:rPr>
                            </w:pPr>
                            <w:r>
                              <w:rPr>
                                <w:rFonts w:ascii="Arial" w:hAnsi="Arial"/>
                                <w:b/>
                                <w:i w:val="false"/>
                                <w:caps w:val="false"/>
                                <w:smallCaps w:val="false"/>
                                <w:color w:val="FE5000"/>
                                <w:sz w:val="28"/>
                              </w:rPr>
                              <w:t>4.4. ETHICS, COMPLIANCE, AND HUMAN RIGHTS</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Material topics: Corporate governance, ethics and anti-corruption, human rights, cybersecurity, privacy, and ethical data management.</w:t>
                            </w:r>
                          </w:p>
                          <w:p>
                            <w:pPr>
                              <w:pStyle w:val="TextBody"/>
                              <w:bidi w:val="0"/>
                              <w:spacing w:before="0" w:after="0"/>
                              <w:jc w:val="left"/>
                              <w:rPr>
                                <w:rFonts w:ascii="Arial" w:hAnsi="Arial"/>
                                <w:b w:val="false"/>
                                <w:i w:val="false"/>
                                <w:caps w:val="false"/>
                                <w:smallCaps w:val="false"/>
                                <w:sz w:val="20"/>
                              </w:rPr>
                            </w:pPr>
                            <w:r>
                              <w:rPr>
                                <w:rFonts w:ascii="Arial" w:hAnsi="Arial"/>
                                <w:b w:val="false"/>
                                <w:i w:val="false"/>
                                <w:caps w:val="false"/>
                                <w:smallCaps w:val="false"/>
                                <w:sz w:val="20"/>
                              </w:rPr>
                              <w:t xml:space="preserve">GRI 2-23, 2-24, 2-25, 2-26, 3-3 </w:t>
                              <w:br/>
                              <w:t>SASB FN-CB-510a.2</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Credicorp’s corporate Compliance and Ethics Division has evolved from its initial focus on ensuring regulatory compliance into one that leads the organization and its employees to contribute to our positive impact on society. Together with corporate governance, compliance and ethics are our principal material topics and key enablers for the sustainability strategy.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 w:hAnsi="Arial"/>
                                <w:b/>
                                <w:i w:val="false"/>
                                <w:caps w:val="false"/>
                                <w:smallCaps w:val="false"/>
                                <w:color w:val="FE5000"/>
                                <w:sz w:val="24"/>
                              </w:rPr>
                            </w:pPr>
                            <w:r>
                              <w:rPr>
                                <w:rFonts w:ascii="Arial" w:hAnsi="Arial"/>
                                <w:b/>
                                <w:i w:val="false"/>
                                <w:caps w:val="false"/>
                                <w:smallCaps w:val="false"/>
                                <w:color w:val="FE5000"/>
                                <w:sz w:val="24"/>
                              </w:rPr>
                              <w:t>THE ETHICS AND COMPLIANCE PROGRAM 2023 ACHIEVEMENTS</w:t>
                            </w:r>
                          </w:p>
                          <w:p>
                            <w:pPr>
                              <w:pStyle w:val="TextBody"/>
                              <w:bidi w:val="0"/>
                              <w:spacing w:before="0" w:after="0"/>
                              <w:jc w:val="left"/>
                              <w:rPr>
                                <w:caps w:val="false"/>
                                <w:smallCaps w:val="false"/>
                                <w:color w:val="FE5000"/>
                              </w:rPr>
                            </w:pPr>
                            <w:r>
                              <w:rPr>
                                <w:caps w:val="false"/>
                                <w:smallCaps w:val="false"/>
                                <w:color w:val="FE5000"/>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color w:val="FB6305"/>
                                    </w:rPr>
                                  </w:pPr>
                                  <w:r>
                                    <w:rPr>
                                      <w:caps w:val="false"/>
                                      <w:smallCaps w:val="false"/>
                                      <w:color w:val="FB6305"/>
                                    </w:rPr>
                                    <w:drawing>
                                      <wp:inline distT="0" distB="0" distL="0" distR="0">
                                        <wp:extent cx="142875" cy="104775"/>
                                        <wp:effectExtent l="0" t="0" r="0" b="0"/>
                                        <wp:docPr id="359"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146" descr=""/>
                                                <pic:cNvPicPr>
                                                  <a:picLocks noChangeAspect="1" noChangeArrowheads="1"/>
                                                </pic:cNvPicPr>
                                              </pic:nvPicPr>
                                              <pic:blipFill>
                                                <a:blip r:embed="rId252"/>
                                                <a:stretch>
                                                  <a:fillRect/>
                                                </a:stretch>
                                              </pic:blipFill>
                                              <pic:spPr bwMode="auto">
                                                <a:xfrm>
                                                  <a:off x="0" y="0"/>
                                                  <a:ext cx="142875" cy="104775"/>
                                                </a:xfrm>
                                                <a:prstGeom prst="rect">
                                                  <a:avLst/>
                                                </a:prstGeom>
                                              </pic:spPr>
                                            </pic:pic>
                                          </a:graphicData>
                                        </a:graphic>
                                      </wp:inline>
                                    </w:drawing>
                                  </w:r>
                                </w:p>
                              </w:tc>
                              <w:tc>
                                <w:tcPr>
                                  <w:tcW w:w="9942" w:type="dxa"/>
                                  <w:tcBorders/>
                                  <w:vAlign w:val="center"/>
                                </w:tcPr>
                                <w:p>
                                  <w:pPr>
                                    <w:pStyle w:val="TableContents"/>
                                    <w:bidi w:val="0"/>
                                    <w:spacing w:lineRule="auto" w:line="240" w:before="0" w:after="283"/>
                                    <w:jc w:val="both"/>
                                    <w:rPr>
                                      <w:rFonts w:ascii="Arial" w:hAnsi="Arial"/>
                                      <w:b w:val="false"/>
                                      <w:i w:val="false"/>
                                      <w:caps w:val="false"/>
                                      <w:smallCaps w:val="false"/>
                                      <w:sz w:val="20"/>
                                    </w:rPr>
                                  </w:pPr>
                                  <w:r>
                                    <w:rPr>
                                      <w:rFonts w:ascii="Arial" w:hAnsi="Arial"/>
                                      <w:b/>
                                      <w:i w:val="false"/>
                                      <w:caps w:val="false"/>
                                      <w:smallCaps w:val="false"/>
                                      <w:sz w:val="20"/>
                                      <w:u w:val="single"/>
                                    </w:rPr>
                                    <w:t xml:space="preserve">Integration with the BCP employee experience model23: </w:t>
                                  </w:r>
                                  <w:r>
                                    <w:rPr>
                                      <w:rFonts w:ascii="Arial" w:hAnsi="Arial"/>
                                      <w:b w:val="false"/>
                                      <w:i w:val="false"/>
                                      <w:caps w:val="false"/>
                                      <w:smallCaps w:val="false"/>
                                      <w:sz w:val="20"/>
                                    </w:rPr>
                                    <w:t xml:space="preserve">Our Credicorp Purpose is the big WHY. At BCP, it is delivered through the principles and behaviors that make up the Samay Culture, which defines HOW we do what we do to achieve the purpose. The past year saw the relaunch of these behaviors and the introduction of compliance with the Code of Ethics as a prerequisite for meeting the company’s “Safe and rule-abiding” principle. Similarly, to leverage the update, BCP implemented initiatives in two of the seven journeys along the employee experience model: Onboarding, and My Development and Learning.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color w:val="FB6305"/>
                                    </w:rPr>
                                  </w:pPr>
                                  <w:r>
                                    <w:rPr>
                                      <w:caps w:val="false"/>
                                      <w:smallCaps w:val="false"/>
                                      <w:color w:val="FB6305"/>
                                    </w:rPr>
                                    <w:drawing>
                                      <wp:inline distT="0" distB="0" distL="0" distR="0">
                                        <wp:extent cx="142875" cy="104775"/>
                                        <wp:effectExtent l="0" t="0" r="0" b="0"/>
                                        <wp:docPr id="360"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147" descr=""/>
                                                <pic:cNvPicPr>
                                                  <a:picLocks noChangeAspect="1" noChangeArrowheads="1"/>
                                                </pic:cNvPicPr>
                                              </pic:nvPicPr>
                                              <pic:blipFill>
                                                <a:blip r:embed="rId253"/>
                                                <a:stretch>
                                                  <a:fillRect/>
                                                </a:stretch>
                                              </pic:blipFill>
                                              <pic:spPr bwMode="auto">
                                                <a:xfrm>
                                                  <a:off x="0" y="0"/>
                                                  <a:ext cx="142875" cy="104775"/>
                                                </a:xfrm>
                                                <a:prstGeom prst="rect">
                                                  <a:avLst/>
                                                </a:prstGeom>
                                              </pic:spPr>
                                            </pic:pic>
                                          </a:graphicData>
                                        </a:graphic>
                                      </wp:inline>
                                    </w:drawing>
                                  </w:r>
                                </w:p>
                              </w:tc>
                              <w:tc>
                                <w:tcPr>
                                  <w:tcW w:w="9942"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i w:val="false"/>
                                      <w:caps w:val="false"/>
                                      <w:smallCaps w:val="false"/>
                                      <w:sz w:val="20"/>
                                      <w:u w:val="single"/>
                                    </w:rPr>
                                    <w:t xml:space="preserve">The ethics indicator: </w:t>
                                  </w:r>
                                  <w:r>
                                    <w:rPr>
                                      <w:rFonts w:ascii="Arial" w:hAnsi="Arial"/>
                                      <w:b w:val="false"/>
                                      <w:i w:val="false"/>
                                      <w:caps w:val="false"/>
                                      <w:smallCaps w:val="false"/>
                                      <w:sz w:val="20"/>
                                    </w:rPr>
                                    <w:t xml:space="preserve">We have developed this indicator to objectively assess the conduct of staff working in commercial areas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60"/>
                              <w:jc w:val="left"/>
                              <w:rPr>
                                <w:bdr w:val="single" w:sz="8" w:space="1" w:color="000000"/>
                              </w:rPr>
                            </w:pPr>
                            <w:r>
                              <w:rPr>
                                <w:bdr w:val="single" w:sz="8" w:space="1" w:color="000000"/>
                              </w:rPr>
                              <w:t> </w:t>
                            </w:r>
                          </w:p>
                          <w:tbl>
                            <w:tblPr>
                              <w:tblW w:w="5178" w:type="dxa"/>
                              <w:jc w:val="left"/>
                              <w:tblInd w:w="0" w:type="dxa"/>
                              <w:tblLayout w:type="fixed"/>
                              <w:tblCellMar>
                                <w:top w:w="0" w:type="dxa"/>
                                <w:left w:w="0" w:type="dxa"/>
                                <w:bottom w:w="0" w:type="dxa"/>
                                <w:right w:w="0" w:type="dxa"/>
                              </w:tblCellMar>
                            </w:tblPr>
                            <w:tblGrid>
                              <w:gridCol w:w="38"/>
                              <w:gridCol w:w="20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lineRule="auto" w:line="240" w:before="0" w:after="283"/>
                                    <w:jc w:val="left"/>
                                    <w:rPr>
                                      <w:rFonts w:ascii="Arial" w:hAnsi="Arial"/>
                                      <w:b w:val="false"/>
                                      <w:i w:val="false"/>
                                      <w:caps w:val="false"/>
                                      <w:smallCaps w:val="false"/>
                                      <w:sz w:val="16"/>
                                    </w:rPr>
                                  </w:pPr>
                                  <w:r>
                                    <w:rPr>
                                      <w:rFonts w:ascii="Arial" w:hAnsi="Arial"/>
                                      <w:b w:val="false"/>
                                      <w:i w:val="false"/>
                                      <w:caps w:val="false"/>
                                      <w:smallCaps w:val="false"/>
                                      <w:sz w:val="16"/>
                                    </w:rPr>
                                    <w:t>23</w:t>
                                  </w:r>
                                </w:p>
                              </w:tc>
                              <w:tc>
                                <w:tcPr>
                                  <w:tcW w:w="4940" w:type="dxa"/>
                                  <w:tcBorders/>
                                  <w:vAlign w:val="center"/>
                                </w:tcPr>
                                <w:p>
                                  <w:pPr>
                                    <w:pStyle w:val="TableContents"/>
                                    <w:bidi w:val="0"/>
                                    <w:spacing w:before="0" w:after="283"/>
                                    <w:jc w:val="both"/>
                                    <w:rPr>
                                      <w:rFonts w:ascii="Arial" w:hAnsi="Arial"/>
                                      <w:b w:val="false"/>
                                      <w:i w:val="false"/>
                                      <w:caps w:val="false"/>
                                      <w:smallCaps w:val="false"/>
                                      <w:sz w:val="16"/>
                                    </w:rPr>
                                  </w:pPr>
                                  <w:r>
                                    <w:rPr>
                                      <w:rFonts w:ascii="Arial" w:hAnsi="Arial"/>
                                      <w:b w:val="false"/>
                                      <w:i w:val="false"/>
                                      <w:caps w:val="false"/>
                                      <w:smallCaps w:val="false"/>
                                      <w:sz w:val="16"/>
                                    </w:rPr>
                                    <w:t xml:space="preserve">Credicorp’s main subsidiary, with 48% of its total workforce in 2023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4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rFonts w:ascii="Arial" w:hAnsi="Arial"/>
                          <w:b/>
                          <w:i w:val="false"/>
                          <w:caps w:val="false"/>
                          <w:smallCaps w:val="false"/>
                          <w:color w:val="FE5000"/>
                          <w:sz w:val="28"/>
                        </w:rPr>
                      </w:pPr>
                      <w:r>
                        <w:rPr>
                          <w:rFonts w:ascii="Arial" w:hAnsi="Arial"/>
                          <w:b/>
                          <w:i w:val="false"/>
                          <w:caps w:val="false"/>
                          <w:smallCaps w:val="false"/>
                          <w:color w:val="FE5000"/>
                          <w:sz w:val="28"/>
                        </w:rPr>
                        <w:t>4.4. ETHICS, COMPLIANCE, AND HUMAN RIGHTS</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Material topics: Corporate governance, ethics and anti-corruption, human rights, cybersecurity, privacy, and ethical data management.</w:t>
                      </w:r>
                    </w:p>
                    <w:p>
                      <w:pPr>
                        <w:pStyle w:val="TextBody"/>
                        <w:bidi w:val="0"/>
                        <w:spacing w:before="0" w:after="0"/>
                        <w:jc w:val="left"/>
                        <w:rPr>
                          <w:rFonts w:ascii="Arial" w:hAnsi="Arial"/>
                          <w:b w:val="false"/>
                          <w:i w:val="false"/>
                          <w:caps w:val="false"/>
                          <w:smallCaps w:val="false"/>
                          <w:sz w:val="20"/>
                        </w:rPr>
                      </w:pPr>
                      <w:r>
                        <w:rPr>
                          <w:rFonts w:ascii="Arial" w:hAnsi="Arial"/>
                          <w:b w:val="false"/>
                          <w:i w:val="false"/>
                          <w:caps w:val="false"/>
                          <w:smallCaps w:val="false"/>
                          <w:sz w:val="20"/>
                        </w:rPr>
                        <w:t xml:space="preserve">GRI 2-23, 2-24, 2-25, 2-26, 3-3 </w:t>
                        <w:br/>
                        <w:t>SASB FN-CB-510a.2</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Credicorp’s corporate Compliance and Ethics Division has evolved from its initial focus on ensuring regulatory compliance into one that leads the organization and its employees to contribute to our positive impact on society. Together with corporate governance, compliance and ethics are our principal material topics and key enablers for the sustainability strategy.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 w:hAnsi="Arial"/>
                          <w:b/>
                          <w:i w:val="false"/>
                          <w:caps w:val="false"/>
                          <w:smallCaps w:val="false"/>
                          <w:color w:val="FE5000"/>
                          <w:sz w:val="24"/>
                        </w:rPr>
                      </w:pPr>
                      <w:r>
                        <w:rPr>
                          <w:rFonts w:ascii="Arial" w:hAnsi="Arial"/>
                          <w:b/>
                          <w:i w:val="false"/>
                          <w:caps w:val="false"/>
                          <w:smallCaps w:val="false"/>
                          <w:color w:val="FE5000"/>
                          <w:sz w:val="24"/>
                        </w:rPr>
                        <w:t>THE ETHICS AND COMPLIANCE PROGRAM 2023 ACHIEVEMENTS</w:t>
                      </w:r>
                    </w:p>
                    <w:p>
                      <w:pPr>
                        <w:pStyle w:val="TextBody"/>
                        <w:bidi w:val="0"/>
                        <w:spacing w:before="0" w:after="0"/>
                        <w:jc w:val="left"/>
                        <w:rPr>
                          <w:caps w:val="false"/>
                          <w:smallCaps w:val="false"/>
                          <w:color w:val="FE5000"/>
                        </w:rPr>
                      </w:pPr>
                      <w:r>
                        <w:rPr>
                          <w:caps w:val="false"/>
                          <w:smallCaps w:val="false"/>
                          <w:color w:val="FE5000"/>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color w:val="FB6305"/>
                              </w:rPr>
                            </w:pPr>
                            <w:r>
                              <w:rPr>
                                <w:caps w:val="false"/>
                                <w:smallCaps w:val="false"/>
                                <w:color w:val="FB6305"/>
                              </w:rPr>
                              <w:drawing>
                                <wp:inline distT="0" distB="0" distL="0" distR="0">
                                  <wp:extent cx="142875" cy="104775"/>
                                  <wp:effectExtent l="0" t="0" r="0" b="0"/>
                                  <wp:docPr id="361"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146" descr=""/>
                                          <pic:cNvPicPr>
                                            <a:picLocks noChangeAspect="1" noChangeArrowheads="1"/>
                                          </pic:cNvPicPr>
                                        </pic:nvPicPr>
                                        <pic:blipFill>
                                          <a:blip r:embed="rId254"/>
                                          <a:stretch>
                                            <a:fillRect/>
                                          </a:stretch>
                                        </pic:blipFill>
                                        <pic:spPr bwMode="auto">
                                          <a:xfrm>
                                            <a:off x="0" y="0"/>
                                            <a:ext cx="142875" cy="104775"/>
                                          </a:xfrm>
                                          <a:prstGeom prst="rect">
                                            <a:avLst/>
                                          </a:prstGeom>
                                        </pic:spPr>
                                      </pic:pic>
                                    </a:graphicData>
                                  </a:graphic>
                                </wp:inline>
                              </w:drawing>
                            </w:r>
                          </w:p>
                        </w:tc>
                        <w:tc>
                          <w:tcPr>
                            <w:tcW w:w="9942" w:type="dxa"/>
                            <w:tcBorders/>
                            <w:vAlign w:val="center"/>
                          </w:tcPr>
                          <w:p>
                            <w:pPr>
                              <w:pStyle w:val="TableContents"/>
                              <w:bidi w:val="0"/>
                              <w:spacing w:lineRule="auto" w:line="240" w:before="0" w:after="283"/>
                              <w:jc w:val="both"/>
                              <w:rPr>
                                <w:rFonts w:ascii="Arial" w:hAnsi="Arial"/>
                                <w:b w:val="false"/>
                                <w:i w:val="false"/>
                                <w:caps w:val="false"/>
                                <w:smallCaps w:val="false"/>
                                <w:sz w:val="20"/>
                              </w:rPr>
                            </w:pPr>
                            <w:r>
                              <w:rPr>
                                <w:rFonts w:ascii="Arial" w:hAnsi="Arial"/>
                                <w:b/>
                                <w:i w:val="false"/>
                                <w:caps w:val="false"/>
                                <w:smallCaps w:val="false"/>
                                <w:sz w:val="20"/>
                                <w:u w:val="single"/>
                              </w:rPr>
                              <w:t xml:space="preserve">Integration with the BCP employee experience model23: </w:t>
                            </w:r>
                            <w:r>
                              <w:rPr>
                                <w:rFonts w:ascii="Arial" w:hAnsi="Arial"/>
                                <w:b w:val="false"/>
                                <w:i w:val="false"/>
                                <w:caps w:val="false"/>
                                <w:smallCaps w:val="false"/>
                                <w:sz w:val="20"/>
                              </w:rPr>
                              <w:t xml:space="preserve">Our Credicorp Purpose is the big WHY. At BCP, it is delivered through the principles and behaviors that make up the Samay Culture, which defines HOW we do what we do to achieve the purpose. The past year saw the relaunch of these behaviors and the introduction of compliance with the Code of Ethics as a prerequisite for meeting the company’s “Safe and rule-abiding” principle. Similarly, to leverage the update, BCP implemented initiatives in two of the seven journeys along the employee experience model: Onboarding, and My Development and Learning.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color w:val="FB6305"/>
                              </w:rPr>
                            </w:pPr>
                            <w:r>
                              <w:rPr>
                                <w:caps w:val="false"/>
                                <w:smallCaps w:val="false"/>
                                <w:color w:val="FB6305"/>
                              </w:rPr>
                              <w:drawing>
                                <wp:inline distT="0" distB="0" distL="0" distR="0">
                                  <wp:extent cx="142875" cy="104775"/>
                                  <wp:effectExtent l="0" t="0" r="0" b="0"/>
                                  <wp:docPr id="362"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147" descr=""/>
                                          <pic:cNvPicPr>
                                            <a:picLocks noChangeAspect="1" noChangeArrowheads="1"/>
                                          </pic:cNvPicPr>
                                        </pic:nvPicPr>
                                        <pic:blipFill>
                                          <a:blip r:embed="rId255"/>
                                          <a:stretch>
                                            <a:fillRect/>
                                          </a:stretch>
                                        </pic:blipFill>
                                        <pic:spPr bwMode="auto">
                                          <a:xfrm>
                                            <a:off x="0" y="0"/>
                                            <a:ext cx="142875" cy="104775"/>
                                          </a:xfrm>
                                          <a:prstGeom prst="rect">
                                            <a:avLst/>
                                          </a:prstGeom>
                                        </pic:spPr>
                                      </pic:pic>
                                    </a:graphicData>
                                  </a:graphic>
                                </wp:inline>
                              </w:drawing>
                            </w:r>
                          </w:p>
                        </w:tc>
                        <w:tc>
                          <w:tcPr>
                            <w:tcW w:w="9942"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i w:val="false"/>
                                <w:caps w:val="false"/>
                                <w:smallCaps w:val="false"/>
                                <w:sz w:val="20"/>
                                <w:u w:val="single"/>
                              </w:rPr>
                              <w:t xml:space="preserve">The ethics indicator: </w:t>
                            </w:r>
                            <w:r>
                              <w:rPr>
                                <w:rFonts w:ascii="Arial" w:hAnsi="Arial"/>
                                <w:b w:val="false"/>
                                <w:i w:val="false"/>
                                <w:caps w:val="false"/>
                                <w:smallCaps w:val="false"/>
                                <w:sz w:val="20"/>
                              </w:rPr>
                              <w:t xml:space="preserve">We have developed this indicator to objectively assess the conduct of staff working in commercial areas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60"/>
                        <w:jc w:val="left"/>
                        <w:rPr>
                          <w:bdr w:val="single" w:sz="8" w:space="1" w:color="000000"/>
                        </w:rPr>
                      </w:pPr>
                      <w:r>
                        <w:rPr>
                          <w:bdr w:val="single" w:sz="8" w:space="1" w:color="000000"/>
                        </w:rPr>
                        <w:t> </w:t>
                      </w:r>
                    </w:p>
                    <w:tbl>
                      <w:tblPr>
                        <w:tblW w:w="5178" w:type="dxa"/>
                        <w:jc w:val="left"/>
                        <w:tblInd w:w="0" w:type="dxa"/>
                        <w:tblLayout w:type="fixed"/>
                        <w:tblCellMar>
                          <w:top w:w="0" w:type="dxa"/>
                          <w:left w:w="0" w:type="dxa"/>
                          <w:bottom w:w="0" w:type="dxa"/>
                          <w:right w:w="0" w:type="dxa"/>
                        </w:tblCellMar>
                      </w:tblPr>
                      <w:tblGrid>
                        <w:gridCol w:w="38"/>
                        <w:gridCol w:w="20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lineRule="auto" w:line="240" w:before="0" w:after="283"/>
                              <w:jc w:val="left"/>
                              <w:rPr>
                                <w:rFonts w:ascii="Arial" w:hAnsi="Arial"/>
                                <w:b w:val="false"/>
                                <w:i w:val="false"/>
                                <w:caps w:val="false"/>
                                <w:smallCaps w:val="false"/>
                                <w:sz w:val="16"/>
                              </w:rPr>
                            </w:pPr>
                            <w:r>
                              <w:rPr>
                                <w:rFonts w:ascii="Arial" w:hAnsi="Arial"/>
                                <w:b w:val="false"/>
                                <w:i w:val="false"/>
                                <w:caps w:val="false"/>
                                <w:smallCaps w:val="false"/>
                                <w:sz w:val="16"/>
                              </w:rPr>
                              <w:t>23</w:t>
                            </w:r>
                          </w:p>
                        </w:tc>
                        <w:tc>
                          <w:tcPr>
                            <w:tcW w:w="4940" w:type="dxa"/>
                            <w:tcBorders/>
                            <w:vAlign w:val="center"/>
                          </w:tcPr>
                          <w:p>
                            <w:pPr>
                              <w:pStyle w:val="TableContents"/>
                              <w:bidi w:val="0"/>
                              <w:spacing w:before="0" w:after="283"/>
                              <w:jc w:val="both"/>
                              <w:rPr>
                                <w:rFonts w:ascii="Arial" w:hAnsi="Arial"/>
                                <w:b w:val="false"/>
                                <w:i w:val="false"/>
                                <w:caps w:val="false"/>
                                <w:smallCaps w:val="false"/>
                                <w:sz w:val="16"/>
                              </w:rPr>
                            </w:pPr>
                            <w:r>
                              <w:rPr>
                                <w:rFonts w:ascii="Arial" w:hAnsi="Arial"/>
                                <w:b w:val="false"/>
                                <w:i w:val="false"/>
                                <w:caps w:val="false"/>
                                <w:smallCaps w:val="false"/>
                                <w:sz w:val="16"/>
                              </w:rPr>
                              <w:t xml:space="preserve">Credicorp’s main subsidiary, with 48% of its total workforce in 2023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46">
                <wp:simplePos x="0" y="0"/>
                <wp:positionH relativeFrom="column">
                  <wp:align>right</wp:align>
                </wp:positionH>
                <wp:positionV relativeFrom="line">
                  <wp:posOffset>635</wp:posOffset>
                </wp:positionV>
                <wp:extent cx="3110230" cy="4613910"/>
                <wp:effectExtent l="0" t="0" r="0" b="0"/>
                <wp:wrapSquare wrapText="left"/>
                <wp:docPr id="363" name="Frame109"/>
                <a:graphic xmlns:a="http://schemas.openxmlformats.org/drawingml/2006/main">
                  <a:graphicData uri="http://schemas.microsoft.com/office/word/2010/wordprocessingShape">
                    <wps:wsp>
                      <wps:cNvSpPr txBox="1"/>
                      <wps:spPr>
                        <a:xfrm>
                          <a:off x="0" y="0"/>
                          <a:ext cx="3110230" cy="4613910"/>
                        </a:xfrm>
                        <a:prstGeom prst="rect"/>
                        <a:solidFill>
                          <a:srgbClr val="FFFFFF"/>
                        </a:solidFill>
                      </wps:spPr>
                      <wps:txbx>
                        <w:txbxContent>
                          <w:p>
                            <w:pPr>
                              <w:pStyle w:val="TextBody"/>
                              <w:bidi w:val="0"/>
                              <w:spacing w:before="0" w:after="0"/>
                              <w:ind w:left="720" w:right="0" w:hanging="0"/>
                              <w:jc w:val="both"/>
                              <w:rPr>
                                <w:rFonts w:ascii="Arial" w:hAnsi="Arial"/>
                                <w:b w:val="false"/>
                                <w:i w:val="false"/>
                                <w:caps w:val="false"/>
                                <w:smallCaps w:val="false"/>
                                <w:sz w:val="20"/>
                              </w:rPr>
                            </w:pPr>
                            <w:r>
                              <w:rPr>
                                <w:rFonts w:ascii="Arial" w:hAnsi="Arial"/>
                                <w:b w:val="false"/>
                                <w:i w:val="false"/>
                                <w:caps w:val="false"/>
                                <w:smallCaps w:val="false"/>
                                <w:sz w:val="20"/>
                              </w:rPr>
                              <w:t>and ensure relationships with our clients are ethically grounded. The initiative will also make each team’s ethical performance visible to the relevant Credicorp leaders. We aim for this indicator to become part of the performance checklist for leaders and employees alike.</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drawing>
                                      <wp:inline distT="0" distB="0" distL="0" distR="0">
                                        <wp:extent cx="142875" cy="104775"/>
                                        <wp:effectExtent l="0" t="0" r="0" b="0"/>
                                        <wp:docPr id="364"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148" descr=""/>
                                                <pic:cNvPicPr>
                                                  <a:picLocks noChangeAspect="1" noChangeArrowheads="1"/>
                                                </pic:cNvPicPr>
                                              </pic:nvPicPr>
                                              <pic:blipFill>
                                                <a:blip r:embed="rId256"/>
                                                <a:stretch>
                                                  <a:fillRect/>
                                                </a:stretch>
                                              </pic:blipFill>
                                              <pic:spPr bwMode="auto">
                                                <a:xfrm>
                                                  <a:off x="0" y="0"/>
                                                  <a:ext cx="142875" cy="104775"/>
                                                </a:xfrm>
                                                <a:prstGeom prst="rect">
                                                  <a:avLst/>
                                                </a:prstGeom>
                                              </pic:spPr>
                                            </pic:pic>
                                          </a:graphicData>
                                        </a:graphic>
                                      </wp:inline>
                                    </w:drawing>
                                  </w:r>
                                </w:p>
                              </w:tc>
                              <w:tc>
                                <w:tcPr>
                                  <w:tcW w:w="9942" w:type="dxa"/>
                                  <w:tcBorders/>
                                  <w:vAlign w:val="center"/>
                                </w:tcPr>
                                <w:p>
                                  <w:pPr>
                                    <w:pStyle w:val="TableContents"/>
                                    <w:bidi w:val="0"/>
                                    <w:spacing w:before="0" w:after="283"/>
                                    <w:jc w:val="left"/>
                                    <w:rPr>
                                      <w:rFonts w:ascii="Arial" w:hAnsi="Arial"/>
                                      <w:sz w:val="20"/>
                                    </w:rPr>
                                  </w:pPr>
                                  <w:r>
                                    <w:rPr>
                                      <w:rFonts w:ascii="Arial" w:hAnsi="Arial"/>
                                      <w:b/>
                                      <w:sz w:val="20"/>
                                      <w:u w:val="single"/>
                                    </w:rPr>
                                    <w:t xml:space="preserve">Measuring the ethical culture: </w:t>
                                  </w:r>
                                  <w:r>
                                    <w:rPr>
                                      <w:rFonts w:ascii="Arial" w:hAnsi="Arial"/>
                                      <w:sz w:val="20"/>
                                    </w:rPr>
                                    <w:t>We conducted a survey on the perception of our ethical culture to obtain an objective and external measure of how Credicorp disseminates the Code of Ethics, how far the staff trusts the reporting channel, and how well Credicorp manages issues such as ethical leadership and fairness within the organization. The contractor, Ethisphere, is a leading company in ethical matters. It promotes, defines, and measures related corporate standards. The results at the Credicorp level were positive: we exceeded the benchmark by seven points. The project also helped us put in place action plans that will close gaps identified in some teams at the corporate level. Implementation is scheduled for 2024.</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3495675" cy="2009775"/>
                                  <wp:effectExtent l="0" t="0" r="0" b="0"/>
                                  <wp:docPr id="365"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149" descr=""/>
                                          <pic:cNvPicPr>
                                            <a:picLocks noChangeAspect="1" noChangeArrowheads="1"/>
                                          </pic:cNvPicPr>
                                        </pic:nvPicPr>
                                        <pic:blipFill>
                                          <a:blip r:embed="rId257"/>
                                          <a:stretch>
                                            <a:fillRect/>
                                          </a:stretch>
                                        </pic:blipFill>
                                        <pic:spPr bwMode="auto">
                                          <a:xfrm>
                                            <a:off x="0" y="0"/>
                                            <a:ext cx="3495675" cy="2009775"/>
                                          </a:xfrm>
                                          <a:prstGeom prst="rect">
                                            <a:avLst/>
                                          </a:prstGeom>
                                        </pic:spPr>
                                      </pic:pic>
                                    </a:graphicData>
                                  </a:graphic>
                                </wp:inline>
                              </w:drawing>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63.3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720" w:right="0" w:hanging="0"/>
                        <w:jc w:val="both"/>
                        <w:rPr>
                          <w:rFonts w:ascii="Arial" w:hAnsi="Arial"/>
                          <w:b w:val="false"/>
                          <w:i w:val="false"/>
                          <w:caps w:val="false"/>
                          <w:smallCaps w:val="false"/>
                          <w:sz w:val="20"/>
                        </w:rPr>
                      </w:pPr>
                      <w:r>
                        <w:rPr>
                          <w:rFonts w:ascii="Arial" w:hAnsi="Arial"/>
                          <w:b w:val="false"/>
                          <w:i w:val="false"/>
                          <w:caps w:val="false"/>
                          <w:smallCaps w:val="false"/>
                          <w:sz w:val="20"/>
                        </w:rPr>
                        <w:t>and ensure relationships with our clients are ethically grounded. The initiative will also make each team’s ethical performance visible to the relevant Credicorp leaders. We aim for this indicator to become part of the performance checklist for leaders and employees alike.</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drawing>
                                <wp:inline distT="0" distB="0" distL="0" distR="0">
                                  <wp:extent cx="142875" cy="104775"/>
                                  <wp:effectExtent l="0" t="0" r="0" b="0"/>
                                  <wp:docPr id="366"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148" descr=""/>
                                          <pic:cNvPicPr>
                                            <a:picLocks noChangeAspect="1" noChangeArrowheads="1"/>
                                          </pic:cNvPicPr>
                                        </pic:nvPicPr>
                                        <pic:blipFill>
                                          <a:blip r:embed="rId258"/>
                                          <a:stretch>
                                            <a:fillRect/>
                                          </a:stretch>
                                        </pic:blipFill>
                                        <pic:spPr bwMode="auto">
                                          <a:xfrm>
                                            <a:off x="0" y="0"/>
                                            <a:ext cx="142875" cy="104775"/>
                                          </a:xfrm>
                                          <a:prstGeom prst="rect">
                                            <a:avLst/>
                                          </a:prstGeom>
                                        </pic:spPr>
                                      </pic:pic>
                                    </a:graphicData>
                                  </a:graphic>
                                </wp:inline>
                              </w:drawing>
                            </w:r>
                          </w:p>
                        </w:tc>
                        <w:tc>
                          <w:tcPr>
                            <w:tcW w:w="9942" w:type="dxa"/>
                            <w:tcBorders/>
                            <w:vAlign w:val="center"/>
                          </w:tcPr>
                          <w:p>
                            <w:pPr>
                              <w:pStyle w:val="TableContents"/>
                              <w:bidi w:val="0"/>
                              <w:spacing w:before="0" w:after="283"/>
                              <w:jc w:val="left"/>
                              <w:rPr>
                                <w:rFonts w:ascii="Arial" w:hAnsi="Arial"/>
                                <w:sz w:val="20"/>
                              </w:rPr>
                            </w:pPr>
                            <w:r>
                              <w:rPr>
                                <w:rFonts w:ascii="Arial" w:hAnsi="Arial"/>
                                <w:b/>
                                <w:sz w:val="20"/>
                                <w:u w:val="single"/>
                              </w:rPr>
                              <w:t xml:space="preserve">Measuring the ethical culture: </w:t>
                            </w:r>
                            <w:r>
                              <w:rPr>
                                <w:rFonts w:ascii="Arial" w:hAnsi="Arial"/>
                                <w:sz w:val="20"/>
                              </w:rPr>
                              <w:t>We conducted a survey on the perception of our ethical culture to obtain an objective and external measure of how Credicorp disseminates the Code of Ethics, how far the staff trusts the reporting channel, and how well Credicorp manages issues such as ethical leadership and fairness within the organization. The contractor, Ethisphere, is a leading company in ethical matters. It promotes, defines, and measures related corporate standards. The results at the Credicorp level were positive: we exceeded the benchmark by seven points. The project also helped us put in place action plans that will close gaps identified in some teams at the corporate level. Implementation is scheduled for 2024.</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3495675" cy="2009775"/>
                            <wp:effectExtent l="0" t="0" r="0" b="0"/>
                            <wp:docPr id="367"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149" descr=""/>
                                    <pic:cNvPicPr>
                                      <a:picLocks noChangeAspect="1" noChangeArrowheads="1"/>
                                    </pic:cNvPicPr>
                                  </pic:nvPicPr>
                                  <pic:blipFill>
                                    <a:blip r:embed="rId259"/>
                                    <a:stretch>
                                      <a:fillRect/>
                                    </a:stretch>
                                  </pic:blipFill>
                                  <pic:spPr bwMode="auto">
                                    <a:xfrm>
                                      <a:off x="0" y="0"/>
                                      <a:ext cx="3495675" cy="2009775"/>
                                    </a:xfrm>
                                    <a:prstGeom prst="rect">
                                      <a:avLst/>
                                    </a:prstGeom>
                                  </pic:spPr>
                                </pic:pic>
                              </a:graphicData>
                            </a:graphic>
                          </wp:inline>
                        </w:drawing>
                      </w:r>
                    </w:p>
                  </w:txbxContent>
                </v:textbox>
                <w10:wrap type="square" side="left"/>
              </v:rect>
            </w:pict>
          </mc:Fallback>
        </mc:AlternateConten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54</w:t>
      </w:r>
    </w:p>
    <w:p>
      <w:pPr>
        <w:pStyle w:val="HorizontalLine"/>
        <w:pBdr>
          <w:bottom w:val="single" w:sz="12" w:space="0" w:color="808080"/>
        </w:pBdr>
        <w:bidi w:val="0"/>
        <w:spacing w:before="200" w:after="200"/>
        <w:jc w:val="left"/>
        <w:rPr/>
      </w:pPr>
      <w:r>
        <w:rPr/>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r>
        <mc:AlternateContent>
          <mc:Choice Requires="wps">
            <w:drawing>
              <wp:anchor behindDoc="0" distT="0" distB="0" distL="0" distR="0" simplePos="0" locked="0" layoutInCell="1" allowOverlap="1" relativeHeight="149">
                <wp:simplePos x="0" y="0"/>
                <wp:positionH relativeFrom="column">
                  <wp:align>left</wp:align>
                </wp:positionH>
                <wp:positionV relativeFrom="line">
                  <wp:posOffset>635</wp:posOffset>
                </wp:positionV>
                <wp:extent cx="3110230" cy="4077970"/>
                <wp:effectExtent l="0" t="0" r="0" b="0"/>
                <wp:wrapSquare wrapText="right"/>
                <wp:docPr id="368" name="Frame110"/>
                <a:graphic xmlns:a="http://schemas.openxmlformats.org/drawingml/2006/main">
                  <a:graphicData uri="http://schemas.microsoft.com/office/word/2010/wordprocessingShape">
                    <wps:wsp>
                      <wps:cNvSpPr txBox="1"/>
                      <wps:spPr>
                        <a:xfrm>
                          <a:off x="0" y="0"/>
                          <a:ext cx="3110230" cy="4077970"/>
                        </a:xfrm>
                        <a:prstGeom prst="rect"/>
                        <a:solidFill>
                          <a:srgbClr val="FFFFFF"/>
                        </a:solidFill>
                      </wps:spPr>
                      <wps:txbx>
                        <w:txbxContent>
                          <w:p>
                            <w:pPr>
                              <w:pStyle w:val="TextBody"/>
                              <w:bidi w:val="0"/>
                              <w:spacing w:lineRule="auto" w:line="240" w:before="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On the Ethisphere scale for how well staff know the code and </w:t>
                            </w:r>
                            <w:r>
                              <w:rPr>
                                <w:rFonts w:ascii="Arial" w:hAnsi="Arial"/>
                                <w:b w:val="false"/>
                                <w:i/>
                                <w:caps w:val="false"/>
                                <w:smallCaps w:val="false"/>
                                <w:sz w:val="20"/>
                              </w:rPr>
                              <w:t>Alerta GenETICA24</w:t>
                            </w:r>
                            <w:r>
                              <w:rPr>
                                <w:rFonts w:ascii="Arial" w:hAnsi="Arial"/>
                                <w:b w:val="false"/>
                                <w:i w:val="false"/>
                                <w:caps w:val="false"/>
                                <w:smallCaps w:val="false"/>
                                <w:sz w:val="20"/>
                              </w:rPr>
                              <w:t xml:space="preserve"> we recorded an index of 92/100, one point above the reference benchmark. This result stems from the campaigns undertaken during 2022, the year in which we revised our </w:t>
                            </w:r>
                            <w:r>
                              <w:rPr>
                                <w:rFonts w:ascii="Arial" w:hAnsi="Arial"/>
                                <w:b w:val="false"/>
                                <w:i w:val="false"/>
                                <w:caps w:val="false"/>
                                <w:smallCaps w:val="false"/>
                                <w:color w:val="0563C1"/>
                                <w:sz w:val="20"/>
                                <w:u w:val="single"/>
                              </w:rPr>
                              <w:t>Code of Ethics</w:t>
                            </w:r>
                            <w:r>
                              <w:rPr>
                                <w:rFonts w:ascii="Arial" w:hAnsi="Arial"/>
                                <w:b w:val="false"/>
                                <w:i w:val="false"/>
                                <w:caps w:val="false"/>
                                <w:smallCaps w:val="false"/>
                                <w:sz w:val="20"/>
                                <w:u w:val="single"/>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drawing>
                                <wp:inline distT="0" distB="0" distL="0" distR="0">
                                  <wp:extent cx="3048000" cy="647700"/>
                                  <wp:effectExtent l="0" t="0" r="0" b="0"/>
                                  <wp:docPr id="369"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150" descr=""/>
                                          <pic:cNvPicPr>
                                            <a:picLocks noChangeAspect="1" noChangeArrowheads="1"/>
                                          </pic:cNvPicPr>
                                        </pic:nvPicPr>
                                        <pic:blipFill>
                                          <a:blip r:embed="rId260"/>
                                          <a:stretch>
                                            <a:fillRect/>
                                          </a:stretch>
                                        </pic:blipFill>
                                        <pic:spPr bwMode="auto">
                                          <a:xfrm>
                                            <a:off x="0" y="0"/>
                                            <a:ext cx="3048000" cy="647700"/>
                                          </a:xfrm>
                                          <a:prstGeom prst="rect">
                                            <a:avLst/>
                                          </a:prstGeom>
                                        </pic:spPr>
                                      </pic:pic>
                                    </a:graphicData>
                                  </a:graphic>
                                </wp:inline>
                              </w:drawing>
                            </w:r>
                            <w:r>
                              <w:rPr>
                                <w:caps w:val="false"/>
                                <w:smallCaps w:val="false"/>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color w:val="FB6305"/>
                                    </w:rPr>
                                  </w:pPr>
                                  <w:r>
                                    <w:rPr>
                                      <w:caps w:val="false"/>
                                      <w:smallCaps w:val="false"/>
                                      <w:color w:val="FB6305"/>
                                    </w:rPr>
                                    <w:drawing>
                                      <wp:inline distT="0" distB="0" distL="0" distR="0">
                                        <wp:extent cx="142875" cy="104775"/>
                                        <wp:effectExtent l="0" t="0" r="0" b="0"/>
                                        <wp:docPr id="370"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151" descr=""/>
                                                <pic:cNvPicPr>
                                                  <a:picLocks noChangeAspect="1" noChangeArrowheads="1"/>
                                                </pic:cNvPicPr>
                                              </pic:nvPicPr>
                                              <pic:blipFill>
                                                <a:blip r:embed="rId261"/>
                                                <a:stretch>
                                                  <a:fillRect/>
                                                </a:stretch>
                                              </pic:blipFill>
                                              <pic:spPr bwMode="auto">
                                                <a:xfrm>
                                                  <a:off x="0" y="0"/>
                                                  <a:ext cx="142875" cy="104775"/>
                                                </a:xfrm>
                                                <a:prstGeom prst="rect">
                                                  <a:avLst/>
                                                </a:prstGeom>
                                              </pic:spPr>
                                            </pic:pic>
                                          </a:graphicData>
                                        </a:graphic>
                                      </wp:inline>
                                    </w:drawing>
                                  </w:r>
                                </w:p>
                              </w:tc>
                              <w:tc>
                                <w:tcPr>
                                  <w:tcW w:w="9942"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i w:val="false"/>
                                      <w:caps w:val="false"/>
                                      <w:smallCaps w:val="false"/>
                                      <w:sz w:val="20"/>
                                      <w:u w:val="single"/>
                                    </w:rPr>
                                    <w:t xml:space="preserve">GenÉtica Lab: </w:t>
                                  </w:r>
                                  <w:r>
                                    <w:rPr>
                                      <w:rFonts w:ascii="Arial" w:hAnsi="Arial"/>
                                      <w:b w:val="false"/>
                                      <w:i w:val="false"/>
                                      <w:caps w:val="false"/>
                                      <w:smallCaps w:val="false"/>
                                      <w:sz w:val="20"/>
                                    </w:rPr>
                                    <w:t>Our training and awareness format is aimed at Credicorp leaders working in teams where risks are high. In 2023, 129 leaders from Credicorp’s Peruvian subsidiaries attended 13 workshops that reinforced in a fun and practical way our compliance guidelines, ethics policies, and the ethical behaviors that apply to leadership. The workshops achieved a 98% NPS.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color w:val="FB6305"/>
                                    </w:rPr>
                                  </w:pPr>
                                  <w:r>
                                    <w:rPr>
                                      <w:caps w:val="false"/>
                                      <w:smallCaps w:val="false"/>
                                      <w:color w:val="FB6305"/>
                                    </w:rPr>
                                    <w:drawing>
                                      <wp:inline distT="0" distB="0" distL="0" distR="0">
                                        <wp:extent cx="142875" cy="104775"/>
                                        <wp:effectExtent l="0" t="0" r="0" b="0"/>
                                        <wp:docPr id="371"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152" descr=""/>
                                                <pic:cNvPicPr>
                                                  <a:picLocks noChangeAspect="1" noChangeArrowheads="1"/>
                                                </pic:cNvPicPr>
                                              </pic:nvPicPr>
                                              <pic:blipFill>
                                                <a:blip r:embed="rId262"/>
                                                <a:stretch>
                                                  <a:fillRect/>
                                                </a:stretch>
                                              </pic:blipFill>
                                              <pic:spPr bwMode="auto">
                                                <a:xfrm>
                                                  <a:off x="0" y="0"/>
                                                  <a:ext cx="142875" cy="104775"/>
                                                </a:xfrm>
                                                <a:prstGeom prst="rect">
                                                  <a:avLst/>
                                                </a:prstGeom>
                                              </pic:spPr>
                                            </pic:pic>
                                          </a:graphicData>
                                        </a:graphic>
                                      </wp:inline>
                                    </w:drawing>
                                  </w:r>
                                </w:p>
                              </w:tc>
                              <w:tc>
                                <w:tcPr>
                                  <w:tcW w:w="9942" w:type="dxa"/>
                                  <w:tcBorders/>
                                  <w:vAlign w:val="center"/>
                                </w:tcPr>
                                <w:p>
                                  <w:pPr>
                                    <w:pStyle w:val="TableContents"/>
                                    <w:bidi w:val="0"/>
                                    <w:spacing w:lineRule="auto" w:line="240" w:before="0" w:after="283"/>
                                    <w:jc w:val="both"/>
                                    <w:rPr>
                                      <w:rFonts w:ascii="Arial" w:hAnsi="Arial"/>
                                      <w:b w:val="false"/>
                                      <w:i w:val="false"/>
                                      <w:caps w:val="false"/>
                                      <w:smallCaps w:val="false"/>
                                      <w:sz w:val="20"/>
                                    </w:rPr>
                                  </w:pPr>
                                  <w:r>
                                    <w:rPr>
                                      <w:rFonts w:ascii="Arial" w:hAnsi="Arial"/>
                                      <w:b/>
                                      <w:i w:val="false"/>
                                      <w:caps w:val="false"/>
                                      <w:smallCaps w:val="false"/>
                                      <w:sz w:val="20"/>
                                      <w:u w:val="single"/>
                                    </w:rPr>
                                    <w:t xml:space="preserve">Alerta GenÉtica Corporate Campaign: </w:t>
                                  </w:r>
                                  <w:r>
                                    <w:rPr>
                                      <w:rFonts w:ascii="Arial" w:hAnsi="Arial"/>
                                      <w:b w:val="false"/>
                                      <w:i w:val="false"/>
                                      <w:caps w:val="false"/>
                                      <w:smallCaps w:val="false"/>
                                      <w:sz w:val="20"/>
                                    </w:rPr>
                                    <w:t>The objective was to increase the effectiveness25 of the reports we receive. The result was 35% effectiveness, a figure still below the standard of 41%26.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In 2024, we will continue implementing innovative initiatives that help disseminate best practices, foster ethical employee behavior, and lift the effectiveness of reports. These include:</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21.1pt;mso-wrap-distance-left:0pt;mso-wrap-distance-right:0pt;mso-wrap-distance-top:0pt;mso-wrap-distance-bottom:0pt;margin-top:0pt;mso-position-vertical:top;mso-position-vertical-relative:text;margin-left:244.9pt;mso-position-horizontal:left;mso-position-horizontal-relative:text">
                <v:textbox>
                  <w:txbxContent>
                    <w:p>
                      <w:pPr>
                        <w:pStyle w:val="TextBody"/>
                        <w:bidi w:val="0"/>
                        <w:spacing w:lineRule="auto" w:line="240" w:before="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On the Ethisphere scale for how well staff know the code and </w:t>
                      </w:r>
                      <w:r>
                        <w:rPr>
                          <w:rFonts w:ascii="Arial" w:hAnsi="Arial"/>
                          <w:b w:val="false"/>
                          <w:i/>
                          <w:caps w:val="false"/>
                          <w:smallCaps w:val="false"/>
                          <w:sz w:val="20"/>
                        </w:rPr>
                        <w:t>Alerta GenETICA24</w:t>
                      </w:r>
                      <w:r>
                        <w:rPr>
                          <w:rFonts w:ascii="Arial" w:hAnsi="Arial"/>
                          <w:b w:val="false"/>
                          <w:i w:val="false"/>
                          <w:caps w:val="false"/>
                          <w:smallCaps w:val="false"/>
                          <w:sz w:val="20"/>
                        </w:rPr>
                        <w:t xml:space="preserve"> we recorded an index of 92/100, one point above the reference benchmark. This result stems from the campaigns undertaken during 2022, the year in which we revised our </w:t>
                      </w:r>
                      <w:r>
                        <w:rPr>
                          <w:rFonts w:ascii="Arial" w:hAnsi="Arial"/>
                          <w:b w:val="false"/>
                          <w:i w:val="false"/>
                          <w:caps w:val="false"/>
                          <w:smallCaps w:val="false"/>
                          <w:color w:val="0563C1"/>
                          <w:sz w:val="20"/>
                          <w:u w:val="single"/>
                        </w:rPr>
                        <w:t>Code of Ethics</w:t>
                      </w:r>
                      <w:r>
                        <w:rPr>
                          <w:rFonts w:ascii="Arial" w:hAnsi="Arial"/>
                          <w:b w:val="false"/>
                          <w:i w:val="false"/>
                          <w:caps w:val="false"/>
                          <w:smallCaps w:val="false"/>
                          <w:sz w:val="20"/>
                          <w:u w:val="single"/>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drawing>
                          <wp:inline distT="0" distB="0" distL="0" distR="0">
                            <wp:extent cx="3048000" cy="647700"/>
                            <wp:effectExtent l="0" t="0" r="0" b="0"/>
                            <wp:docPr id="372"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150" descr=""/>
                                    <pic:cNvPicPr>
                                      <a:picLocks noChangeAspect="1" noChangeArrowheads="1"/>
                                    </pic:cNvPicPr>
                                  </pic:nvPicPr>
                                  <pic:blipFill>
                                    <a:blip r:embed="rId263"/>
                                    <a:stretch>
                                      <a:fillRect/>
                                    </a:stretch>
                                  </pic:blipFill>
                                  <pic:spPr bwMode="auto">
                                    <a:xfrm>
                                      <a:off x="0" y="0"/>
                                      <a:ext cx="3048000" cy="647700"/>
                                    </a:xfrm>
                                    <a:prstGeom prst="rect">
                                      <a:avLst/>
                                    </a:prstGeom>
                                  </pic:spPr>
                                </pic:pic>
                              </a:graphicData>
                            </a:graphic>
                          </wp:inline>
                        </w:drawing>
                      </w:r>
                      <w:r>
                        <w:rPr>
                          <w:caps w:val="false"/>
                          <w:smallCaps w:val="false"/>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color w:val="FB6305"/>
                              </w:rPr>
                            </w:pPr>
                            <w:r>
                              <w:rPr>
                                <w:caps w:val="false"/>
                                <w:smallCaps w:val="false"/>
                                <w:color w:val="FB6305"/>
                              </w:rPr>
                              <w:drawing>
                                <wp:inline distT="0" distB="0" distL="0" distR="0">
                                  <wp:extent cx="142875" cy="104775"/>
                                  <wp:effectExtent l="0" t="0" r="0" b="0"/>
                                  <wp:docPr id="373"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151" descr=""/>
                                          <pic:cNvPicPr>
                                            <a:picLocks noChangeAspect="1" noChangeArrowheads="1"/>
                                          </pic:cNvPicPr>
                                        </pic:nvPicPr>
                                        <pic:blipFill>
                                          <a:blip r:embed="rId264"/>
                                          <a:stretch>
                                            <a:fillRect/>
                                          </a:stretch>
                                        </pic:blipFill>
                                        <pic:spPr bwMode="auto">
                                          <a:xfrm>
                                            <a:off x="0" y="0"/>
                                            <a:ext cx="142875" cy="104775"/>
                                          </a:xfrm>
                                          <a:prstGeom prst="rect">
                                            <a:avLst/>
                                          </a:prstGeom>
                                        </pic:spPr>
                                      </pic:pic>
                                    </a:graphicData>
                                  </a:graphic>
                                </wp:inline>
                              </w:drawing>
                            </w:r>
                          </w:p>
                        </w:tc>
                        <w:tc>
                          <w:tcPr>
                            <w:tcW w:w="9942"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i w:val="false"/>
                                <w:caps w:val="false"/>
                                <w:smallCaps w:val="false"/>
                                <w:sz w:val="20"/>
                                <w:u w:val="single"/>
                              </w:rPr>
                              <w:t xml:space="preserve">GenÉtica Lab: </w:t>
                            </w:r>
                            <w:r>
                              <w:rPr>
                                <w:rFonts w:ascii="Arial" w:hAnsi="Arial"/>
                                <w:b w:val="false"/>
                                <w:i w:val="false"/>
                                <w:caps w:val="false"/>
                                <w:smallCaps w:val="false"/>
                                <w:sz w:val="20"/>
                              </w:rPr>
                              <w:t>Our training and awareness format is aimed at Credicorp leaders working in teams where risks are high. In 2023, 129 leaders from Credicorp’s Peruvian subsidiaries attended 13 workshops that reinforced in a fun and practical way our compliance guidelines, ethics policies, and the ethical behaviors that apply to leadership. The workshops achieved a 98% NPS.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color w:val="FB6305"/>
                              </w:rPr>
                            </w:pPr>
                            <w:r>
                              <w:rPr>
                                <w:caps w:val="false"/>
                                <w:smallCaps w:val="false"/>
                                <w:color w:val="FB6305"/>
                              </w:rPr>
                              <w:drawing>
                                <wp:inline distT="0" distB="0" distL="0" distR="0">
                                  <wp:extent cx="142875" cy="104775"/>
                                  <wp:effectExtent l="0" t="0" r="0" b="0"/>
                                  <wp:docPr id="374"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152" descr=""/>
                                          <pic:cNvPicPr>
                                            <a:picLocks noChangeAspect="1" noChangeArrowheads="1"/>
                                          </pic:cNvPicPr>
                                        </pic:nvPicPr>
                                        <pic:blipFill>
                                          <a:blip r:embed="rId265"/>
                                          <a:stretch>
                                            <a:fillRect/>
                                          </a:stretch>
                                        </pic:blipFill>
                                        <pic:spPr bwMode="auto">
                                          <a:xfrm>
                                            <a:off x="0" y="0"/>
                                            <a:ext cx="142875" cy="104775"/>
                                          </a:xfrm>
                                          <a:prstGeom prst="rect">
                                            <a:avLst/>
                                          </a:prstGeom>
                                        </pic:spPr>
                                      </pic:pic>
                                    </a:graphicData>
                                  </a:graphic>
                                </wp:inline>
                              </w:drawing>
                            </w:r>
                          </w:p>
                        </w:tc>
                        <w:tc>
                          <w:tcPr>
                            <w:tcW w:w="9942" w:type="dxa"/>
                            <w:tcBorders/>
                            <w:vAlign w:val="center"/>
                          </w:tcPr>
                          <w:p>
                            <w:pPr>
                              <w:pStyle w:val="TableContents"/>
                              <w:bidi w:val="0"/>
                              <w:spacing w:lineRule="auto" w:line="240" w:before="0" w:after="283"/>
                              <w:jc w:val="both"/>
                              <w:rPr>
                                <w:rFonts w:ascii="Arial" w:hAnsi="Arial"/>
                                <w:b w:val="false"/>
                                <w:i w:val="false"/>
                                <w:caps w:val="false"/>
                                <w:smallCaps w:val="false"/>
                                <w:sz w:val="20"/>
                              </w:rPr>
                            </w:pPr>
                            <w:r>
                              <w:rPr>
                                <w:rFonts w:ascii="Arial" w:hAnsi="Arial"/>
                                <w:b/>
                                <w:i w:val="false"/>
                                <w:caps w:val="false"/>
                                <w:smallCaps w:val="false"/>
                                <w:sz w:val="20"/>
                                <w:u w:val="single"/>
                              </w:rPr>
                              <w:t xml:space="preserve">Alerta GenÉtica Corporate Campaign: </w:t>
                            </w:r>
                            <w:r>
                              <w:rPr>
                                <w:rFonts w:ascii="Arial" w:hAnsi="Arial"/>
                                <w:b w:val="false"/>
                                <w:i w:val="false"/>
                                <w:caps w:val="false"/>
                                <w:smallCaps w:val="false"/>
                                <w:sz w:val="20"/>
                              </w:rPr>
                              <w:t>The objective was to increase the effectiveness25 of the reports we receive. The result was 35% effectiveness, a figure still below the standard of 41%26.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In 2024, we will continue implementing innovative initiatives that help disseminate best practices, foster ethical employee behavior, and lift the effectiveness of reports. These include:</w:t>
                      </w:r>
                    </w:p>
                  </w:txbxContent>
                </v:textbox>
                <w10:wrap type="square" side="right"/>
              </v:rect>
            </w:pict>
          </mc:Fallback>
        </mc:AlternateContent>
      </w:r>
      <w:r>
        <mc:AlternateContent>
          <mc:Choice Requires="wps">
            <w:drawing>
              <wp:anchor behindDoc="0" distT="0" distB="0" distL="0" distR="0" simplePos="0" locked="0" layoutInCell="1" allowOverlap="1" relativeHeight="298">
                <wp:simplePos x="0" y="0"/>
                <wp:positionH relativeFrom="column">
                  <wp:align>right</wp:align>
                </wp:positionH>
                <wp:positionV relativeFrom="line">
                  <wp:posOffset>635</wp:posOffset>
                </wp:positionV>
                <wp:extent cx="3110230" cy="4565650"/>
                <wp:effectExtent l="0" t="0" r="0" b="0"/>
                <wp:wrapSquare wrapText="left"/>
                <wp:docPr id="375" name="Frame111"/>
                <a:graphic xmlns:a="http://schemas.openxmlformats.org/drawingml/2006/main">
                  <a:graphicData uri="http://schemas.microsoft.com/office/word/2010/wordprocessingShape">
                    <wps:wsp>
                      <wps:cNvSpPr txBox="1"/>
                      <wps:spPr>
                        <a:xfrm>
                          <a:off x="0" y="0"/>
                          <a:ext cx="3110230" cy="456565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i w:val="false"/>
                                      <w:caps w:val="false"/>
                                      <w:smallCaps w:val="false"/>
                                      <w:sz w:val="20"/>
                                    </w:rPr>
                                    <w:t xml:space="preserve">Proyecto Aliados: </w:t>
                                  </w:r>
                                  <w:r>
                                    <w:rPr>
                                      <w:rFonts w:ascii="Arial" w:hAnsi="Arial"/>
                                      <w:b w:val="false"/>
                                      <w:i w:val="false"/>
                                      <w:caps w:val="false"/>
                                      <w:smallCaps w:val="false"/>
                                      <w:sz w:val="20"/>
                                    </w:rPr>
                                    <w:t>The “Partner’s” project designates employees in strategic areas to promote compliance and ethics topics. It will help identify and mitigate risks, disseminate best practices, develop controls, and reward positive behavior.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i w:val="false"/>
                                      <w:caps w:val="false"/>
                                      <w:smallCaps w:val="false"/>
                                      <w:sz w:val="20"/>
                                    </w:rPr>
                                    <w:t xml:space="preserve">Alertas Éticas: </w:t>
                                  </w:r>
                                  <w:r>
                                    <w:rPr>
                                      <w:rFonts w:ascii="Arial" w:hAnsi="Arial"/>
                                      <w:b w:val="false"/>
                                      <w:i w:val="false"/>
                                      <w:caps w:val="false"/>
                                      <w:smallCaps w:val="false"/>
                                      <w:sz w:val="20"/>
                                    </w:rPr>
                                    <w:t>“Ethical Alerts” sets out possible scenarios of alerts for timely identification of behaviors that breach the Code of Ethics.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 w:hAnsi="Arial"/>
                                <w:b/>
                                <w:i w:val="false"/>
                                <w:caps w:val="false"/>
                                <w:smallCaps w:val="false"/>
                                <w:color w:val="FE5000"/>
                                <w:sz w:val="28"/>
                              </w:rPr>
                            </w:pPr>
                            <w:r>
                              <w:rPr>
                                <w:rFonts w:ascii="Arial" w:hAnsi="Arial"/>
                                <w:b/>
                                <w:i w:val="false"/>
                                <w:caps w:val="false"/>
                                <w:smallCaps w:val="false"/>
                                <w:color w:val="FE5000"/>
                                <w:sz w:val="28"/>
                              </w:rPr>
                              <w:t>4.4.1. The Code of Ethics &amp; GenÉtica Credicorp</w:t>
                            </w:r>
                          </w:p>
                          <w:p>
                            <w:pPr>
                              <w:pStyle w:val="TextBody"/>
                              <w:bidi w:val="0"/>
                              <w:spacing w:before="0" w:after="0"/>
                              <w:jc w:val="left"/>
                              <w:rPr>
                                <w:caps w:val="false"/>
                                <w:smallCaps w:val="false"/>
                                <w:color w:val="FE5000"/>
                              </w:rPr>
                            </w:pPr>
                            <w:r>
                              <w:rPr>
                                <w:caps w:val="false"/>
                                <w:smallCaps w:val="false"/>
                                <w:color w:val="FE5000"/>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Our Code of Ethics guides the conduct of every individual in Credicorp in their relationships with the company’s stakeholders. Employees undertake to comply with it when the employment relationship begins and then renew that commitment each year using digital means.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The code is freely available on our website. We recorded over 1,500 more consultations during 2023 than occurred in 2022 (7,000).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Our ethical approach is more than just a manual: it has become how we do business. That is why we came up with GenÉTICA, a concept that guides us when making daily decisions and reminds us that everyone, whether employees or directors, can use ethics to deliver our purpose. More information is available </w:t>
                            </w:r>
                            <w:r>
                              <w:rPr>
                                <w:rFonts w:ascii="Arial" w:hAnsi="Arial"/>
                                <w:b w:val="false"/>
                                <w:i w:val="false"/>
                                <w:caps w:val="false"/>
                                <w:smallCaps w:val="false"/>
                                <w:color w:val="0563C1"/>
                                <w:sz w:val="20"/>
                                <w:u w:val="single"/>
                              </w:rPr>
                              <w:t>here</w:t>
                            </w:r>
                            <w:r>
                              <w:rPr>
                                <w:rFonts w:ascii="Arial" w:hAnsi="Arial"/>
                                <w:b w:val="false"/>
                                <w:i w:val="false"/>
                                <w:caps w:val="false"/>
                                <w:smallCaps w:val="false"/>
                                <w:sz w:val="20"/>
                                <w:u w:val="single"/>
                              </w:rPr>
                              <w:t>.</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59.5pt;mso-wrap-distance-left:0pt;mso-wrap-distance-right:0pt;mso-wrap-distance-top:0pt;mso-wrap-distance-bottom:0pt;margin-top:0pt;mso-position-vertical:top;mso-position-vertical-relative:text;margin-left:20.4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i w:val="false"/>
                                <w:caps w:val="false"/>
                                <w:smallCaps w:val="false"/>
                                <w:sz w:val="20"/>
                              </w:rPr>
                              <w:t xml:space="preserve">Proyecto Aliados: </w:t>
                            </w:r>
                            <w:r>
                              <w:rPr>
                                <w:rFonts w:ascii="Arial" w:hAnsi="Arial"/>
                                <w:b w:val="false"/>
                                <w:i w:val="false"/>
                                <w:caps w:val="false"/>
                                <w:smallCaps w:val="false"/>
                                <w:sz w:val="20"/>
                              </w:rPr>
                              <w:t>The “Partner’s” project designates employees in strategic areas to promote compliance and ethics topics. It will help identify and mitigate risks, disseminate best practices, develop controls, and reward positive behavior.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i w:val="false"/>
                                <w:caps w:val="false"/>
                                <w:smallCaps w:val="false"/>
                                <w:sz w:val="20"/>
                              </w:rPr>
                              <w:t xml:space="preserve">Alertas Éticas: </w:t>
                            </w:r>
                            <w:r>
                              <w:rPr>
                                <w:rFonts w:ascii="Arial" w:hAnsi="Arial"/>
                                <w:b w:val="false"/>
                                <w:i w:val="false"/>
                                <w:caps w:val="false"/>
                                <w:smallCaps w:val="false"/>
                                <w:sz w:val="20"/>
                              </w:rPr>
                              <w:t>“Ethical Alerts” sets out possible scenarios of alerts for timely identification of behaviors that breach the Code of Ethics.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 w:hAnsi="Arial"/>
                          <w:b/>
                          <w:i w:val="false"/>
                          <w:caps w:val="false"/>
                          <w:smallCaps w:val="false"/>
                          <w:color w:val="FE5000"/>
                          <w:sz w:val="28"/>
                        </w:rPr>
                      </w:pPr>
                      <w:r>
                        <w:rPr>
                          <w:rFonts w:ascii="Arial" w:hAnsi="Arial"/>
                          <w:b/>
                          <w:i w:val="false"/>
                          <w:caps w:val="false"/>
                          <w:smallCaps w:val="false"/>
                          <w:color w:val="FE5000"/>
                          <w:sz w:val="28"/>
                        </w:rPr>
                        <w:t>4.4.1. The Code of Ethics &amp; GenÉtica Credicorp</w:t>
                      </w:r>
                    </w:p>
                    <w:p>
                      <w:pPr>
                        <w:pStyle w:val="TextBody"/>
                        <w:bidi w:val="0"/>
                        <w:spacing w:before="0" w:after="0"/>
                        <w:jc w:val="left"/>
                        <w:rPr>
                          <w:caps w:val="false"/>
                          <w:smallCaps w:val="false"/>
                          <w:color w:val="FE5000"/>
                        </w:rPr>
                      </w:pPr>
                      <w:r>
                        <w:rPr>
                          <w:caps w:val="false"/>
                          <w:smallCaps w:val="false"/>
                          <w:color w:val="FE5000"/>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Our Code of Ethics guides the conduct of every individual in Credicorp in their relationships with the company’s stakeholders. Employees undertake to comply with it when the employment relationship begins and then renew that commitment each year using digital means.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The code is freely available on our website. We recorded over 1,500 more consultations during 2023 than occurred in 2022 (7,000).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Our ethical approach is more than just a manual: it has become how we do business. That is why we came up with GenÉTICA, a concept that guides us when making daily decisions and reminds us that everyone, whether employees or directors, can use ethics to deliver our purpose. More information is available </w:t>
                      </w:r>
                      <w:r>
                        <w:rPr>
                          <w:rFonts w:ascii="Arial" w:hAnsi="Arial"/>
                          <w:b w:val="false"/>
                          <w:i w:val="false"/>
                          <w:caps w:val="false"/>
                          <w:smallCaps w:val="false"/>
                          <w:color w:val="0563C1"/>
                          <w:sz w:val="20"/>
                          <w:u w:val="single"/>
                        </w:rPr>
                        <w:t>here</w:t>
                      </w:r>
                      <w:r>
                        <w:rPr>
                          <w:rFonts w:ascii="Arial" w:hAnsi="Arial"/>
                          <w:b w:val="false"/>
                          <w:i w:val="false"/>
                          <w:caps w:val="false"/>
                          <w:smallCaps w:val="false"/>
                          <w:sz w:val="20"/>
                          <w:u w:val="single"/>
                        </w:rPr>
                        <w:t>.</w:t>
                      </w:r>
                    </w:p>
                  </w:txbxContent>
                </v:textbox>
                <w10:wrap type="square" side="left"/>
              </v:rect>
            </w:pict>
          </mc:Fallback>
        </mc:AlternateContent>
      </w:r>
    </w:p>
    <w:p>
      <w:pPr>
        <w:pStyle w:val="TextBody"/>
        <w:bidi w:val="0"/>
        <w:spacing w:before="0" w:after="6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299">
                <wp:simplePos x="0" y="0"/>
                <wp:positionH relativeFrom="column">
                  <wp:align>left</wp:align>
                </wp:positionH>
                <wp:positionV relativeFrom="line">
                  <wp:posOffset>635</wp:posOffset>
                </wp:positionV>
                <wp:extent cx="3110230" cy="350520"/>
                <wp:effectExtent l="0" t="0" r="0" b="0"/>
                <wp:wrapSquare wrapText="right"/>
                <wp:docPr id="376" name="Frame112"/>
                <a:graphic xmlns:a="http://schemas.openxmlformats.org/drawingml/2006/main">
                  <a:graphicData uri="http://schemas.microsoft.com/office/word/2010/wordprocessingShape">
                    <wps:wsp>
                      <wps:cNvSpPr txBox="1"/>
                      <wps:spPr>
                        <a:xfrm>
                          <a:off x="0" y="0"/>
                          <a:ext cx="3110230" cy="350520"/>
                        </a:xfrm>
                        <a:prstGeom prst="rect"/>
                        <a:solidFill>
                          <a:srgbClr val="FFFFFF"/>
                        </a:solidFill>
                      </wps:spPr>
                      <wps:txbx>
                        <w:txbxContent>
                          <w:p>
                            <w:pPr>
                              <w:pStyle w:val="TextBody"/>
                              <w:bidi w:val="0"/>
                              <w:spacing w:lineRule="auto" w:line="240" w:before="0" w:after="0"/>
                              <w:jc w:val="left"/>
                              <w:rPr>
                                <w:rFonts w:ascii="Arial" w:hAnsi="Arial"/>
                                <w:b w:val="false"/>
                                <w:i w:val="false"/>
                                <w:caps w:val="false"/>
                                <w:smallCaps w:val="false"/>
                                <w:sz w:val="16"/>
                              </w:rPr>
                            </w:pPr>
                            <w:r>
                              <w:rPr>
                                <w:rFonts w:ascii="Arial" w:hAnsi="Arial"/>
                                <w:b w:val="false"/>
                                <w:i w:val="false"/>
                                <w:caps w:val="false"/>
                                <w:smallCaps w:val="false"/>
                                <w:sz w:val="16"/>
                              </w:rPr>
                              <w:t>24 Alerta GenÉTICA is our complaints channel available to our employees, clients, suppliers and any other individual seeking to report conduct of members of Credicorp that may violate our Code.</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7.6pt;mso-wrap-distance-left:0pt;mso-wrap-distance-right:0pt;mso-wrap-distance-top:0pt;mso-wrap-distance-bottom:0pt;margin-top:0pt;mso-position-vertical:top;mso-position-vertical-relative:text;margin-left:244.9pt;mso-position-horizontal:left;mso-position-horizontal-relative:text">
                <v:textbox>
                  <w:txbxContent>
                    <w:p>
                      <w:pPr>
                        <w:pStyle w:val="TextBody"/>
                        <w:bidi w:val="0"/>
                        <w:spacing w:lineRule="auto" w:line="240" w:before="0" w:after="0"/>
                        <w:jc w:val="left"/>
                        <w:rPr>
                          <w:rFonts w:ascii="Arial" w:hAnsi="Arial"/>
                          <w:b w:val="false"/>
                          <w:i w:val="false"/>
                          <w:caps w:val="false"/>
                          <w:smallCaps w:val="false"/>
                          <w:sz w:val="16"/>
                        </w:rPr>
                      </w:pPr>
                      <w:r>
                        <w:rPr>
                          <w:rFonts w:ascii="Arial" w:hAnsi="Arial"/>
                          <w:b w:val="false"/>
                          <w:i w:val="false"/>
                          <w:caps w:val="false"/>
                          <w:smallCaps w:val="false"/>
                          <w:sz w:val="16"/>
                        </w:rPr>
                        <w:t>24 Alerta GenÉTICA is our complaints channel available to our employees, clients, suppliers and any other individual seeking to report conduct of members of Credicorp that may violate our Code.</w:t>
                      </w:r>
                    </w:p>
                  </w:txbxContent>
                </v:textbox>
                <w10:wrap type="square" side="right"/>
              </v:rect>
            </w:pict>
          </mc:Fallback>
        </mc:AlternateContent>
      </w:r>
      <w:r>
        <mc:AlternateContent>
          <mc:Choice Requires="wps">
            <w:drawing>
              <wp:anchor behindDoc="0" distT="0" distB="0" distL="0" distR="0" simplePos="0" locked="0" layoutInCell="1" allowOverlap="1" relativeHeight="300">
                <wp:simplePos x="0" y="0"/>
                <wp:positionH relativeFrom="column">
                  <wp:align>right</wp:align>
                </wp:positionH>
                <wp:positionV relativeFrom="line">
                  <wp:posOffset>635</wp:posOffset>
                </wp:positionV>
                <wp:extent cx="3110230" cy="817880"/>
                <wp:effectExtent l="0" t="0" r="0" b="0"/>
                <wp:wrapSquare wrapText="left"/>
                <wp:docPr id="377" name="Frame113"/>
                <a:graphic xmlns:a="http://schemas.openxmlformats.org/drawingml/2006/main">
                  <a:graphicData uri="http://schemas.microsoft.com/office/word/2010/wordprocessingShape">
                    <wps:wsp>
                      <wps:cNvSpPr txBox="1"/>
                      <wps:spPr>
                        <a:xfrm>
                          <a:off x="0" y="0"/>
                          <a:ext cx="3110230" cy="817880"/>
                        </a:xfrm>
                        <a:prstGeom prst="rect"/>
                        <a:solidFill>
                          <a:srgbClr val="FFFFFF"/>
                        </a:solidFill>
                      </wps:spPr>
                      <wps:txbx>
                        <w:txbxContent>
                          <w:p>
                            <w:pPr>
                              <w:pStyle w:val="TextBody"/>
                              <w:bidi w:val="0"/>
                              <w:spacing w:lineRule="auto" w:line="240" w:before="0" w:after="0"/>
                              <w:jc w:val="both"/>
                              <w:rPr>
                                <w:rFonts w:ascii="Arial" w:hAnsi="Arial"/>
                                <w:b w:val="false"/>
                                <w:i w:val="false"/>
                                <w:caps w:val="false"/>
                                <w:smallCaps w:val="false"/>
                                <w:sz w:val="16"/>
                              </w:rPr>
                            </w:pPr>
                            <w:r>
                              <w:rPr>
                                <w:rFonts w:ascii="Arial" w:hAnsi="Arial"/>
                                <w:b w:val="false"/>
                                <w:i w:val="false"/>
                                <w:caps w:val="false"/>
                                <w:smallCaps w:val="false"/>
                                <w:sz w:val="16"/>
                              </w:rPr>
                              <w:t>25 An effective report is one that is verified and / or leads to corrective measures. In 2023, we began to assess the effectiveness of the reports we receive. Our measurement consists of calculating what percentage of the valid reports received each year qualify as effective.</w:t>
                            </w:r>
                          </w:p>
                          <w:p>
                            <w:pPr>
                              <w:pStyle w:val="TextBody"/>
                              <w:bidi w:val="0"/>
                              <w:spacing w:lineRule="auto" w:line="240"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26 Source: Hotline &amp; Incident Management. Benchmark Report 2023. NAVEX</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4.4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lineRule="auto" w:line="240" w:before="0" w:after="0"/>
                        <w:jc w:val="both"/>
                        <w:rPr>
                          <w:rFonts w:ascii="Arial" w:hAnsi="Arial"/>
                          <w:b w:val="false"/>
                          <w:i w:val="false"/>
                          <w:caps w:val="false"/>
                          <w:smallCaps w:val="false"/>
                          <w:sz w:val="16"/>
                        </w:rPr>
                      </w:pPr>
                      <w:r>
                        <w:rPr>
                          <w:rFonts w:ascii="Arial" w:hAnsi="Arial"/>
                          <w:b w:val="false"/>
                          <w:i w:val="false"/>
                          <w:caps w:val="false"/>
                          <w:smallCaps w:val="false"/>
                          <w:sz w:val="16"/>
                        </w:rPr>
                        <w:t>25 An effective report is one that is verified and / or leads to corrective measures. In 2023, we began to assess the effectiveness of the reports we receive. Our measurement consists of calculating what percentage of the valid reports received each year qualify as effective.</w:t>
                      </w:r>
                    </w:p>
                    <w:p>
                      <w:pPr>
                        <w:pStyle w:val="TextBody"/>
                        <w:bidi w:val="0"/>
                        <w:spacing w:lineRule="auto" w:line="240"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26 Source: Hotline &amp; Incident Management. Benchmark Report 2023. NAVEX</w:t>
                      </w:r>
                    </w:p>
                  </w:txbxContent>
                </v:textbox>
                <w10:wrap type="square" side="left"/>
              </v:rect>
            </w:pict>
          </mc:Fallback>
        </mc:AlternateConten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55</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301">
                <wp:simplePos x="0" y="0"/>
                <wp:positionH relativeFrom="column">
                  <wp:align>left</wp:align>
                </wp:positionH>
                <wp:positionV relativeFrom="line">
                  <wp:posOffset>635</wp:posOffset>
                </wp:positionV>
                <wp:extent cx="3110230" cy="6790055"/>
                <wp:effectExtent l="0" t="0" r="0" b="0"/>
                <wp:wrapSquare wrapText="right"/>
                <wp:docPr id="378" name="Frame114"/>
                <a:graphic xmlns:a="http://schemas.openxmlformats.org/drawingml/2006/main">
                  <a:graphicData uri="http://schemas.microsoft.com/office/word/2010/wordprocessingShape">
                    <wps:wsp>
                      <wps:cNvSpPr txBox="1"/>
                      <wps:spPr>
                        <a:xfrm>
                          <a:off x="0" y="0"/>
                          <a:ext cx="3110230" cy="6790055"/>
                        </a:xfrm>
                        <a:prstGeom prst="rect"/>
                        <a:solidFill>
                          <a:srgbClr val="FFFFFF"/>
                        </a:solidFill>
                      </wps:spPr>
                      <wps:txbx>
                        <w:txbxContent>
                          <w:p>
                            <w:pPr>
                              <w:pStyle w:val="TextBody"/>
                              <w:bidi w:val="0"/>
                              <w:spacing w:before="0" w:after="0"/>
                              <w:jc w:val="left"/>
                              <w:rPr>
                                <w:rFonts w:ascii="Arial" w:hAnsi="Arial"/>
                                <w:b/>
                                <w:i w:val="false"/>
                                <w:caps w:val="false"/>
                                <w:smallCaps w:val="false"/>
                                <w:sz w:val="20"/>
                                <w:u w:val="single"/>
                              </w:rPr>
                            </w:pPr>
                            <w:r>
                              <w:rPr>
                                <w:rFonts w:ascii="Arial" w:hAnsi="Arial"/>
                                <w:b/>
                                <w:i w:val="false"/>
                                <w:caps w:val="false"/>
                                <w:smallCaps w:val="false"/>
                                <w:sz w:val="20"/>
                                <w:u w:val="single"/>
                              </w:rPr>
                              <w:t>Suppliers aligned with our ethics and integrity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Credicorp’s Code of Conduct for Suppliers and Third Parties recognizes that these organizations are partners in delivering our purpose. We seek service providers that share our values: respect, equity, honesty, and sustainability. Aligned with the sustainability approach and our updated Code of Ethics, we have reinforced with suppliers topics such as human rights, social responsibility, and occupational health and safety (OH&amp;S).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In 2023, we also provided training on human rights-related aspects of the Code of Conduct (OH&amp;S, anti-corruption, use of our ethics line) to 227 suppliers and obtained a satisfaction level of 93% T2B.</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Arial" w:hAnsi="Arial"/>
                                <w:b/>
                                <w:i w:val="false"/>
                                <w:caps w:val="false"/>
                                <w:smallCaps w:val="false"/>
                                <w:color w:val="FE5000"/>
                                <w:sz w:val="28"/>
                              </w:rPr>
                            </w:pPr>
                            <w:r>
                              <w:rPr>
                                <w:rFonts w:ascii="Arial" w:hAnsi="Arial"/>
                                <w:b/>
                                <w:i w:val="false"/>
                                <w:caps w:val="false"/>
                                <w:smallCaps w:val="false"/>
                                <w:color w:val="FE5000"/>
                                <w:sz w:val="28"/>
                              </w:rPr>
                              <w:t>4.4.2. Alerta GenÉTICA – Reporting channel</w:t>
                            </w:r>
                          </w:p>
                          <w:p>
                            <w:pPr>
                              <w:pStyle w:val="TextBody"/>
                              <w:bidi w:val="0"/>
                              <w:spacing w:before="0" w:after="0"/>
                              <w:jc w:val="left"/>
                              <w:rPr>
                                <w:caps w:val="false"/>
                                <w:smallCaps w:val="false"/>
                                <w:color w:val="FE5000"/>
                              </w:rPr>
                            </w:pPr>
                            <w:r>
                              <w:rPr>
                                <w:caps w:val="false"/>
                                <w:smallCaps w:val="false"/>
                                <w:color w:val="FE5000"/>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Alerta GenÉTICA is the channel we make available to all our stakeholders should they witness or suspect a violation of the Code of Ethics. All reports received are reviewed and investigated by control units. If, after the investigation, non-compliance with the Code or its complementary policies is found, the Labor Relations or Human Management and Development teams choose and apply the corresponding disciplinary measure, ranging from a reprimand letter to dismissal, and without prejudice to any legal consequences arising from prevailing laws.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Arial" w:hAnsi="Arial"/>
                                <w:b w:val="false"/>
                                <w:i w:val="false"/>
                                <w:caps w:val="false"/>
                                <w:smallCaps w:val="false"/>
                                <w:sz w:val="20"/>
                              </w:rPr>
                            </w:pPr>
                            <w:r>
                              <w:rPr>
                                <w:rFonts w:ascii="Arial" w:hAnsi="Arial"/>
                                <w:b w:val="false"/>
                                <w:i w:val="false"/>
                                <w:caps w:val="false"/>
                                <w:smallCaps w:val="false"/>
                                <w:sz w:val="20"/>
                              </w:rPr>
                              <w:t xml:space="preserve">Our Credicorp Alerta GenÉtica Corporate Policy is available on our website here in </w:t>
                            </w:r>
                            <w:r>
                              <w:rPr>
                                <w:rFonts w:ascii="Arial" w:hAnsi="Arial"/>
                                <w:b w:val="false"/>
                                <w:i w:val="false"/>
                                <w:caps w:val="false"/>
                                <w:smallCaps w:val="false"/>
                                <w:color w:val="0563C1"/>
                                <w:sz w:val="20"/>
                                <w:u w:val="single"/>
                              </w:rPr>
                              <w:t>Spanish</w:t>
                            </w:r>
                            <w:r>
                              <w:rPr>
                                <w:rFonts w:ascii="Arial" w:hAnsi="Arial"/>
                                <w:b w:val="false"/>
                                <w:i w:val="false"/>
                                <w:caps w:val="false"/>
                                <w:smallCaps w:val="false"/>
                                <w:sz w:val="20"/>
                              </w:rPr>
                              <w:t xml:space="preserve"> and here in </w:t>
                            </w:r>
                            <w:r>
                              <w:rPr>
                                <w:rFonts w:ascii="Arial" w:hAnsi="Arial"/>
                                <w:b w:val="false"/>
                                <w:i w:val="false"/>
                                <w:caps w:val="false"/>
                                <w:smallCaps w:val="false"/>
                                <w:color w:val="0563C1"/>
                                <w:sz w:val="20"/>
                                <w:u w:val="single"/>
                              </w:rPr>
                              <w:t>English</w:t>
                            </w:r>
                            <w:r>
                              <w:rPr>
                                <w:rFonts w:ascii="Arial" w:hAnsi="Arial"/>
                                <w:b w:val="false"/>
                                <w:i w:val="false"/>
                                <w:caps w:val="false"/>
                                <w:smallCaps w:val="false"/>
                                <w:sz w:val="20"/>
                                <w:u w:val="single"/>
                              </w:rPr>
                              <w:t>.</w:t>
                            </w:r>
                          </w:p>
                          <w:p>
                            <w:pPr>
                              <w:pStyle w:val="TextBody"/>
                              <w:bidi w:val="0"/>
                              <w:spacing w:before="0" w:after="0"/>
                              <w:jc w:val="left"/>
                              <w:rPr>
                                <w:caps w:val="false"/>
                                <w:smallCaps w:val="false"/>
                              </w:rPr>
                            </w:pPr>
                            <w:r>
                              <w:rPr>
                                <w:caps w:val="false"/>
                                <w:smallCaps w:val="false"/>
                              </w:rPr>
                              <w:t> </w:t>
                            </w:r>
                          </w:p>
                          <w:tbl>
                            <w:tblPr>
                              <w:tblW w:w="2688" w:type="dxa"/>
                              <w:jc w:val="left"/>
                              <w:tblInd w:w="0" w:type="dxa"/>
                              <w:tblLayout w:type="fixed"/>
                              <w:tblCellMar>
                                <w:top w:w="0" w:type="dxa"/>
                                <w:left w:w="0" w:type="dxa"/>
                                <w:bottom w:w="0" w:type="dxa"/>
                                <w:right w:w="0" w:type="dxa"/>
                              </w:tblCellMar>
                            </w:tblPr>
                            <w:tblGrid>
                              <w:gridCol w:w="38"/>
                              <w:gridCol w:w="170"/>
                              <w:gridCol w:w="2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80" w:type="dxa"/>
                                  <w:tcBorders/>
                                  <w:vAlign w:val="center"/>
                                </w:tcPr>
                                <w:p>
                                  <w:pPr>
                                    <w:pStyle w:val="TableContents"/>
                                    <w:bidi w:val="0"/>
                                    <w:spacing w:before="0" w:after="283"/>
                                    <w:jc w:val="both"/>
                                    <w:rPr>
                                      <w:rFonts w:ascii="Arial" w:hAnsi="Arial"/>
                                      <w:b/>
                                      <w:i w:val="false"/>
                                      <w:caps w:val="false"/>
                                      <w:smallCaps w:val="false"/>
                                      <w:sz w:val="20"/>
                                    </w:rPr>
                                  </w:pPr>
                                  <w:r>
                                    <w:rPr>
                                      <w:rFonts w:ascii="Arial" w:hAnsi="Arial"/>
                                      <w:b/>
                                      <w:i w:val="false"/>
                                      <w:caps w:val="false"/>
                                      <w:smallCaps w:val="false"/>
                                      <w:sz w:val="20"/>
                                    </w:rPr>
                                    <w:t xml:space="preserve">How do we make it work? </w:t>
                                  </w:r>
                                </w:p>
                              </w:tc>
                            </w:tr>
                          </w:tbl>
                          <w:tbl>
                            <w:tblPr>
                              <w:tblW w:w="1608" w:type="dxa"/>
                              <w:jc w:val="left"/>
                              <w:tblInd w:w="0" w:type="dxa"/>
                              <w:tblLayout w:type="fixed"/>
                              <w:tblCellMar>
                                <w:top w:w="0" w:type="dxa"/>
                                <w:left w:w="0" w:type="dxa"/>
                                <w:bottom w:w="0" w:type="dxa"/>
                                <w:right w:w="0" w:type="dxa"/>
                              </w:tblCellMar>
                            </w:tblPr>
                            <w:tblGrid>
                              <w:gridCol w:w="38"/>
                              <w:gridCol w:w="170"/>
                              <w:gridCol w:w="14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00" w:type="dxa"/>
                                  <w:tcBorders/>
                                  <w:vAlign w:val="center"/>
                                </w:tcPr>
                                <w:p>
                                  <w:pPr>
                                    <w:pStyle w:val="TableContents"/>
                                    <w:bidi w:val="0"/>
                                    <w:spacing w:before="0" w:after="283"/>
                                    <w:jc w:val="both"/>
                                    <w:rPr>
                                      <w:rFonts w:ascii="Arial" w:hAnsi="Arial"/>
                                      <w:b/>
                                      <w:i w:val="false"/>
                                      <w:caps w:val="false"/>
                                      <w:smallCaps w:val="false"/>
                                      <w:sz w:val="20"/>
                                    </w:rPr>
                                  </w:pPr>
                                  <w:r>
                                    <w:rPr>
                                      <w:rFonts w:ascii="Arial" w:hAnsi="Arial"/>
                                      <w:b/>
                                      <w:i w:val="false"/>
                                      <w:caps w:val="false"/>
                                      <w:smallCaps w:val="false"/>
                                      <w:sz w:val="20"/>
                                    </w:rPr>
                                    <w:t xml:space="preserve">We always act </w:t>
                                  </w:r>
                                </w:p>
                              </w:tc>
                            </w:tr>
                          </w:tbl>
                          <w:tbl>
                            <w:tblPr>
                              <w:tblW w:w="1713" w:type="dxa"/>
                              <w:jc w:val="left"/>
                              <w:tblInd w:w="0" w:type="dxa"/>
                              <w:tblLayout w:type="fixed"/>
                              <w:tblCellMar>
                                <w:top w:w="0" w:type="dxa"/>
                                <w:left w:w="0" w:type="dxa"/>
                                <w:bottom w:w="0" w:type="dxa"/>
                                <w:right w:w="0" w:type="dxa"/>
                              </w:tblCellMar>
                            </w:tblPr>
                            <w:tblGrid>
                              <w:gridCol w:w="38"/>
                              <w:gridCol w:w="170"/>
                              <w:gridCol w:w="1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505" w:type="dxa"/>
                                  <w:tcBorders/>
                                  <w:vAlign w:val="center"/>
                                </w:tcPr>
                                <w:p>
                                  <w:pPr>
                                    <w:pStyle w:val="TableContents"/>
                                    <w:bidi w:val="0"/>
                                    <w:spacing w:before="0" w:after="283"/>
                                    <w:jc w:val="both"/>
                                    <w:rPr>
                                      <w:rFonts w:ascii="Arial" w:hAnsi="Arial"/>
                                      <w:b/>
                                      <w:i w:val="false"/>
                                      <w:caps w:val="false"/>
                                      <w:smallCaps w:val="false"/>
                                      <w:sz w:val="20"/>
                                    </w:rPr>
                                  </w:pPr>
                                  <w:r>
                                    <w:rPr>
                                      <w:rFonts w:ascii="Arial" w:hAnsi="Arial"/>
                                      <w:b/>
                                      <w:i w:val="false"/>
                                      <w:caps w:val="false"/>
                                      <w:smallCaps w:val="false"/>
                                      <w:sz w:val="20"/>
                                    </w:rPr>
                                    <w:t xml:space="preserve">Zero retaliation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3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rFonts w:ascii="Arial" w:hAnsi="Arial"/>
                          <w:b/>
                          <w:i w:val="false"/>
                          <w:caps w:val="false"/>
                          <w:smallCaps w:val="false"/>
                          <w:sz w:val="20"/>
                          <w:u w:val="single"/>
                        </w:rPr>
                      </w:pPr>
                      <w:r>
                        <w:rPr>
                          <w:rFonts w:ascii="Arial" w:hAnsi="Arial"/>
                          <w:b/>
                          <w:i w:val="false"/>
                          <w:caps w:val="false"/>
                          <w:smallCaps w:val="false"/>
                          <w:sz w:val="20"/>
                          <w:u w:val="single"/>
                        </w:rPr>
                        <w:t>Suppliers aligned with our ethics and integrity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Credicorp’s Code of Conduct for Suppliers and Third Parties recognizes that these organizations are partners in delivering our purpose. We seek service providers that share our values: respect, equity, honesty, and sustainability. Aligned with the sustainability approach and our updated Code of Ethics, we have reinforced with suppliers topics such as human rights, social responsibility, and occupational health and safety (OH&amp;S).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In 2023, we also provided training on human rights-related aspects of the Code of Conduct (OH&amp;S, anti-corruption, use of our ethics line) to 227 suppliers and obtained a satisfaction level of 93% T2B.</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Arial" w:hAnsi="Arial"/>
                          <w:b/>
                          <w:i w:val="false"/>
                          <w:caps w:val="false"/>
                          <w:smallCaps w:val="false"/>
                          <w:color w:val="FE5000"/>
                          <w:sz w:val="28"/>
                        </w:rPr>
                      </w:pPr>
                      <w:r>
                        <w:rPr>
                          <w:rFonts w:ascii="Arial" w:hAnsi="Arial"/>
                          <w:b/>
                          <w:i w:val="false"/>
                          <w:caps w:val="false"/>
                          <w:smallCaps w:val="false"/>
                          <w:color w:val="FE5000"/>
                          <w:sz w:val="28"/>
                        </w:rPr>
                        <w:t>4.4.2. Alerta GenÉTICA – Reporting channel</w:t>
                      </w:r>
                    </w:p>
                    <w:p>
                      <w:pPr>
                        <w:pStyle w:val="TextBody"/>
                        <w:bidi w:val="0"/>
                        <w:spacing w:before="0" w:after="0"/>
                        <w:jc w:val="left"/>
                        <w:rPr>
                          <w:caps w:val="false"/>
                          <w:smallCaps w:val="false"/>
                          <w:color w:val="FE5000"/>
                        </w:rPr>
                      </w:pPr>
                      <w:r>
                        <w:rPr>
                          <w:caps w:val="false"/>
                          <w:smallCaps w:val="false"/>
                          <w:color w:val="FE5000"/>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Alerta GenÉTICA is the channel we make available to all our stakeholders should they witness or suspect a violation of the Code of Ethics. All reports received are reviewed and investigated by control units. If, after the investigation, non-compliance with the Code or its complementary policies is found, the Labor Relations or Human Management and Development teams choose and apply the corresponding disciplinary measure, ranging from a reprimand letter to dismissal, and without prejudice to any legal consequences arising from prevailing laws.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Arial" w:hAnsi="Arial"/>
                          <w:b w:val="false"/>
                          <w:i w:val="false"/>
                          <w:caps w:val="false"/>
                          <w:smallCaps w:val="false"/>
                          <w:sz w:val="20"/>
                        </w:rPr>
                      </w:pPr>
                      <w:r>
                        <w:rPr>
                          <w:rFonts w:ascii="Arial" w:hAnsi="Arial"/>
                          <w:b w:val="false"/>
                          <w:i w:val="false"/>
                          <w:caps w:val="false"/>
                          <w:smallCaps w:val="false"/>
                          <w:sz w:val="20"/>
                        </w:rPr>
                        <w:t xml:space="preserve">Our Credicorp Alerta GenÉtica Corporate Policy is available on our website here in </w:t>
                      </w:r>
                      <w:r>
                        <w:rPr>
                          <w:rFonts w:ascii="Arial" w:hAnsi="Arial"/>
                          <w:b w:val="false"/>
                          <w:i w:val="false"/>
                          <w:caps w:val="false"/>
                          <w:smallCaps w:val="false"/>
                          <w:color w:val="0563C1"/>
                          <w:sz w:val="20"/>
                          <w:u w:val="single"/>
                        </w:rPr>
                        <w:t>Spanish</w:t>
                      </w:r>
                      <w:r>
                        <w:rPr>
                          <w:rFonts w:ascii="Arial" w:hAnsi="Arial"/>
                          <w:b w:val="false"/>
                          <w:i w:val="false"/>
                          <w:caps w:val="false"/>
                          <w:smallCaps w:val="false"/>
                          <w:sz w:val="20"/>
                        </w:rPr>
                        <w:t xml:space="preserve"> and here in </w:t>
                      </w:r>
                      <w:r>
                        <w:rPr>
                          <w:rFonts w:ascii="Arial" w:hAnsi="Arial"/>
                          <w:b w:val="false"/>
                          <w:i w:val="false"/>
                          <w:caps w:val="false"/>
                          <w:smallCaps w:val="false"/>
                          <w:color w:val="0563C1"/>
                          <w:sz w:val="20"/>
                          <w:u w:val="single"/>
                        </w:rPr>
                        <w:t>English</w:t>
                      </w:r>
                      <w:r>
                        <w:rPr>
                          <w:rFonts w:ascii="Arial" w:hAnsi="Arial"/>
                          <w:b w:val="false"/>
                          <w:i w:val="false"/>
                          <w:caps w:val="false"/>
                          <w:smallCaps w:val="false"/>
                          <w:sz w:val="20"/>
                          <w:u w:val="single"/>
                        </w:rPr>
                        <w:t>.</w:t>
                      </w:r>
                    </w:p>
                    <w:p>
                      <w:pPr>
                        <w:pStyle w:val="TextBody"/>
                        <w:bidi w:val="0"/>
                        <w:spacing w:before="0" w:after="0"/>
                        <w:jc w:val="left"/>
                        <w:rPr>
                          <w:caps w:val="false"/>
                          <w:smallCaps w:val="false"/>
                        </w:rPr>
                      </w:pPr>
                      <w:r>
                        <w:rPr>
                          <w:caps w:val="false"/>
                          <w:smallCaps w:val="false"/>
                        </w:rPr>
                        <w:t> </w:t>
                      </w:r>
                    </w:p>
                    <w:tbl>
                      <w:tblPr>
                        <w:tblW w:w="2688" w:type="dxa"/>
                        <w:jc w:val="left"/>
                        <w:tblInd w:w="0" w:type="dxa"/>
                        <w:tblLayout w:type="fixed"/>
                        <w:tblCellMar>
                          <w:top w:w="0" w:type="dxa"/>
                          <w:left w:w="0" w:type="dxa"/>
                          <w:bottom w:w="0" w:type="dxa"/>
                          <w:right w:w="0" w:type="dxa"/>
                        </w:tblCellMar>
                      </w:tblPr>
                      <w:tblGrid>
                        <w:gridCol w:w="38"/>
                        <w:gridCol w:w="170"/>
                        <w:gridCol w:w="2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80" w:type="dxa"/>
                            <w:tcBorders/>
                            <w:vAlign w:val="center"/>
                          </w:tcPr>
                          <w:p>
                            <w:pPr>
                              <w:pStyle w:val="TableContents"/>
                              <w:bidi w:val="0"/>
                              <w:spacing w:before="0" w:after="283"/>
                              <w:jc w:val="both"/>
                              <w:rPr>
                                <w:rFonts w:ascii="Arial" w:hAnsi="Arial"/>
                                <w:b/>
                                <w:i w:val="false"/>
                                <w:caps w:val="false"/>
                                <w:smallCaps w:val="false"/>
                                <w:sz w:val="20"/>
                              </w:rPr>
                            </w:pPr>
                            <w:r>
                              <w:rPr>
                                <w:rFonts w:ascii="Arial" w:hAnsi="Arial"/>
                                <w:b/>
                                <w:i w:val="false"/>
                                <w:caps w:val="false"/>
                                <w:smallCaps w:val="false"/>
                                <w:sz w:val="20"/>
                              </w:rPr>
                              <w:t xml:space="preserve">How do we make it work? </w:t>
                            </w:r>
                          </w:p>
                        </w:tc>
                      </w:tr>
                    </w:tbl>
                    <w:tbl>
                      <w:tblPr>
                        <w:tblW w:w="1608" w:type="dxa"/>
                        <w:jc w:val="left"/>
                        <w:tblInd w:w="0" w:type="dxa"/>
                        <w:tblLayout w:type="fixed"/>
                        <w:tblCellMar>
                          <w:top w:w="0" w:type="dxa"/>
                          <w:left w:w="0" w:type="dxa"/>
                          <w:bottom w:w="0" w:type="dxa"/>
                          <w:right w:w="0" w:type="dxa"/>
                        </w:tblCellMar>
                      </w:tblPr>
                      <w:tblGrid>
                        <w:gridCol w:w="38"/>
                        <w:gridCol w:w="170"/>
                        <w:gridCol w:w="14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00" w:type="dxa"/>
                            <w:tcBorders/>
                            <w:vAlign w:val="center"/>
                          </w:tcPr>
                          <w:p>
                            <w:pPr>
                              <w:pStyle w:val="TableContents"/>
                              <w:bidi w:val="0"/>
                              <w:spacing w:before="0" w:after="283"/>
                              <w:jc w:val="both"/>
                              <w:rPr>
                                <w:rFonts w:ascii="Arial" w:hAnsi="Arial"/>
                                <w:b/>
                                <w:i w:val="false"/>
                                <w:caps w:val="false"/>
                                <w:smallCaps w:val="false"/>
                                <w:sz w:val="20"/>
                              </w:rPr>
                            </w:pPr>
                            <w:r>
                              <w:rPr>
                                <w:rFonts w:ascii="Arial" w:hAnsi="Arial"/>
                                <w:b/>
                                <w:i w:val="false"/>
                                <w:caps w:val="false"/>
                                <w:smallCaps w:val="false"/>
                                <w:sz w:val="20"/>
                              </w:rPr>
                              <w:t xml:space="preserve">We always act </w:t>
                            </w:r>
                          </w:p>
                        </w:tc>
                      </w:tr>
                    </w:tbl>
                    <w:tbl>
                      <w:tblPr>
                        <w:tblW w:w="1713" w:type="dxa"/>
                        <w:jc w:val="left"/>
                        <w:tblInd w:w="0" w:type="dxa"/>
                        <w:tblLayout w:type="fixed"/>
                        <w:tblCellMar>
                          <w:top w:w="0" w:type="dxa"/>
                          <w:left w:w="0" w:type="dxa"/>
                          <w:bottom w:w="0" w:type="dxa"/>
                          <w:right w:w="0" w:type="dxa"/>
                        </w:tblCellMar>
                      </w:tblPr>
                      <w:tblGrid>
                        <w:gridCol w:w="38"/>
                        <w:gridCol w:w="170"/>
                        <w:gridCol w:w="1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505" w:type="dxa"/>
                            <w:tcBorders/>
                            <w:vAlign w:val="center"/>
                          </w:tcPr>
                          <w:p>
                            <w:pPr>
                              <w:pStyle w:val="TableContents"/>
                              <w:bidi w:val="0"/>
                              <w:spacing w:before="0" w:after="283"/>
                              <w:jc w:val="both"/>
                              <w:rPr>
                                <w:rFonts w:ascii="Arial" w:hAnsi="Arial"/>
                                <w:b/>
                                <w:i w:val="false"/>
                                <w:caps w:val="false"/>
                                <w:smallCaps w:val="false"/>
                                <w:sz w:val="20"/>
                              </w:rPr>
                            </w:pPr>
                            <w:r>
                              <w:rPr>
                                <w:rFonts w:ascii="Arial" w:hAnsi="Arial"/>
                                <w:b/>
                                <w:i w:val="false"/>
                                <w:caps w:val="false"/>
                                <w:smallCaps w:val="false"/>
                                <w:sz w:val="20"/>
                              </w:rPr>
                              <w:t xml:space="preserve">Zero retaliation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02">
                <wp:simplePos x="0" y="0"/>
                <wp:positionH relativeFrom="column">
                  <wp:align>right</wp:align>
                </wp:positionH>
                <wp:positionV relativeFrom="line">
                  <wp:posOffset>635</wp:posOffset>
                </wp:positionV>
                <wp:extent cx="3110230" cy="6499860"/>
                <wp:effectExtent l="0" t="0" r="0" b="0"/>
                <wp:wrapSquare wrapText="left"/>
                <wp:docPr id="379" name="Frame115"/>
                <a:graphic xmlns:a="http://schemas.openxmlformats.org/drawingml/2006/main">
                  <a:graphicData uri="http://schemas.microsoft.com/office/word/2010/wordprocessingShape">
                    <wps:wsp>
                      <wps:cNvSpPr txBox="1"/>
                      <wps:spPr>
                        <a:xfrm>
                          <a:off x="0" y="0"/>
                          <a:ext cx="3110230" cy="6499860"/>
                        </a:xfrm>
                        <a:prstGeom prst="rect"/>
                        <a:solidFill>
                          <a:srgbClr val="FFFFFF"/>
                        </a:solidFill>
                      </wps:spPr>
                      <wps:txbx>
                        <w:txbxContent>
                          <w:tbl>
                            <w:tblPr>
                              <w:tblW w:w="1893" w:type="dxa"/>
                              <w:jc w:val="left"/>
                              <w:tblInd w:w="0" w:type="dxa"/>
                              <w:tblLayout w:type="fixed"/>
                              <w:tblCellMar>
                                <w:top w:w="0" w:type="dxa"/>
                                <w:left w:w="0" w:type="dxa"/>
                                <w:bottom w:w="0" w:type="dxa"/>
                                <w:right w:w="0" w:type="dxa"/>
                              </w:tblCellMar>
                            </w:tblPr>
                            <w:tblGrid>
                              <w:gridCol w:w="38"/>
                              <w:gridCol w:w="170"/>
                              <w:gridCol w:w="1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685" w:type="dxa"/>
                                  <w:tcBorders/>
                                  <w:vAlign w:val="center"/>
                                </w:tcPr>
                                <w:p>
                                  <w:pPr>
                                    <w:pStyle w:val="TableContents"/>
                                    <w:bidi w:val="0"/>
                                    <w:spacing w:before="0" w:after="283"/>
                                    <w:jc w:val="left"/>
                                    <w:rPr>
                                      <w:rFonts w:ascii="Arial" w:hAnsi="Arial"/>
                                      <w:b/>
                                      <w:sz w:val="20"/>
                                    </w:rPr>
                                  </w:pPr>
                                  <w:r>
                                    <w:rPr>
                                      <w:rFonts w:ascii="Arial" w:hAnsi="Arial"/>
                                      <w:b/>
                                      <w:sz w:val="20"/>
                                    </w:rPr>
                                    <w:t>100% confidential</w:t>
                                  </w:r>
                                </w:p>
                              </w:tc>
                            </w:tr>
                          </w:tbl>
                          <w:p>
                            <w:pPr>
                              <w:pStyle w:val="TextBody"/>
                              <w:bidi w:val="0"/>
                              <w:spacing w:before="0" w:after="0"/>
                              <w:jc w:val="left"/>
                              <w:rPr>
                                <w:caps w:val="false"/>
                                <w:smallCaps w:val="false"/>
                                <w:color w:val="FE5000"/>
                              </w:rPr>
                            </w:pPr>
                            <w:r>
                              <w:rPr>
                                <w:caps w:val="false"/>
                                <w:smallCaps w:val="false"/>
                                <w:color w:val="FE5000"/>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Organizational justice demands that we take action on reports and, once a breach of our Code and our values is confirmed, take the necessary corrective and disciplinary measures. This key element for fostering a trusting environment among our employees allows them to experience how ethics is immersed in our organizational culture.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Arial" w:hAnsi="Arial"/>
                                <w:b w:val="false"/>
                                <w:i w:val="false"/>
                                <w:caps w:val="false"/>
                                <w:smallCaps w:val="false"/>
                                <w:color w:val="121212"/>
                                <w:sz w:val="20"/>
                              </w:rPr>
                            </w:pPr>
                            <w:r>
                              <w:rPr>
                                <w:rFonts w:ascii="Arial" w:hAnsi="Arial"/>
                                <w:b w:val="false"/>
                                <w:i w:val="false"/>
                                <w:caps w:val="false"/>
                                <w:smallCaps w:val="false"/>
                                <w:color w:val="121212"/>
                                <w:sz w:val="20"/>
                              </w:rPr>
                              <w:t>In 2023, Alerta GenÉTICA delivered the following results:</w:t>
                            </w:r>
                          </w:p>
                          <w:p>
                            <w:pPr>
                              <w:pStyle w:val="TextBody"/>
                              <w:bidi w:val="0"/>
                              <w:spacing w:before="0" w:after="0"/>
                              <w:jc w:val="left"/>
                              <w:rPr>
                                <w:caps w:val="false"/>
                                <w:smallCaps w:val="false"/>
                                <w:color w:val="121212"/>
                              </w:rPr>
                            </w:pPr>
                            <w:r>
                              <w:rPr>
                                <w:caps w:val="false"/>
                                <w:smallCaps w:val="false"/>
                                <w:color w:val="121212"/>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729 reports were received, an increase of 43% on the 2022 result. This outcome stems from training and awareness-raising that motivated our employees to speak up.</w:t>
                                  </w:r>
                                </w:p>
                              </w:tc>
                            </w:tr>
                          </w:tbl>
                          <w:tbl>
                            <w:tblPr>
                              <w:tblW w:w="6393" w:type="dxa"/>
                              <w:jc w:val="left"/>
                              <w:tblInd w:w="0" w:type="dxa"/>
                              <w:tblLayout w:type="fixed"/>
                              <w:tblCellMar>
                                <w:top w:w="0" w:type="dxa"/>
                                <w:left w:w="0" w:type="dxa"/>
                                <w:bottom w:w="0" w:type="dxa"/>
                                <w:right w:w="0" w:type="dxa"/>
                              </w:tblCellMar>
                            </w:tblPr>
                            <w:tblGrid>
                              <w:gridCol w:w="38"/>
                              <w:gridCol w:w="170"/>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85"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84% of the reports received were anonymous (a similar result to 2022).</w:t>
                                  </w:r>
                                </w:p>
                              </w:tc>
                            </w:tr>
                          </w:tbl>
                          <w:tbl>
                            <w:tblPr>
                              <w:tblW w:w="8148" w:type="dxa"/>
                              <w:jc w:val="left"/>
                              <w:tblInd w:w="0" w:type="dxa"/>
                              <w:tblLayout w:type="fixed"/>
                              <w:tblCellMar>
                                <w:top w:w="0" w:type="dxa"/>
                                <w:left w:w="0" w:type="dxa"/>
                                <w:bottom w:w="0" w:type="dxa"/>
                                <w:right w:w="0" w:type="dxa"/>
                              </w:tblCellMar>
                            </w:tblPr>
                            <w:tblGrid>
                              <w:gridCol w:w="38"/>
                              <w:gridCol w:w="170"/>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40"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65% of the reports were from BCP Perú, the holding’s largest employer (48% of total staff).</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63% of the reports were valid: they contained sufficient information for an investigation to commence. Of these, and following investigation, 186 corrective and disciplinary measures were sought and applied, as follows:</w:t>
                                  </w:r>
                                </w:p>
                              </w:tc>
                            </w:tr>
                          </w:tbl>
                          <w:tbl>
                            <w:tblPr>
                              <w:tblW w:w="1713" w:type="dxa"/>
                              <w:jc w:val="left"/>
                              <w:tblInd w:w="0" w:type="dxa"/>
                              <w:tblLayout w:type="fixed"/>
                              <w:tblCellMar>
                                <w:top w:w="0" w:type="dxa"/>
                                <w:left w:w="0" w:type="dxa"/>
                                <w:bottom w:w="0" w:type="dxa"/>
                                <w:right w:w="0" w:type="dxa"/>
                              </w:tblCellMar>
                            </w:tblPr>
                            <w:tblGrid>
                              <w:gridCol w:w="38"/>
                              <w:gridCol w:w="170"/>
                              <w:gridCol w:w="1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505"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termination: 14%</w:t>
                                  </w:r>
                                </w:p>
                              </w:tc>
                            </w:tr>
                          </w:tbl>
                          <w:tbl>
                            <w:tblPr>
                              <w:tblW w:w="1743" w:type="dxa"/>
                              <w:jc w:val="left"/>
                              <w:tblInd w:w="0" w:type="dxa"/>
                              <w:tblLayout w:type="fixed"/>
                              <w:tblCellMar>
                                <w:top w:w="0" w:type="dxa"/>
                                <w:left w:w="0" w:type="dxa"/>
                                <w:bottom w:w="0" w:type="dxa"/>
                                <w:right w:w="0" w:type="dxa"/>
                              </w:tblCellMar>
                            </w:tblPr>
                            <w:tblGrid>
                              <w:gridCol w:w="38"/>
                              <w:gridCol w:w="17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535"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suspension: 15%</w:t>
                                  </w:r>
                                </w:p>
                              </w:tc>
                            </w:tr>
                          </w:tbl>
                          <w:tbl>
                            <w:tblPr>
                              <w:tblW w:w="2208" w:type="dxa"/>
                              <w:jc w:val="left"/>
                              <w:tblInd w:w="0" w:type="dxa"/>
                              <w:tblLayout w:type="fixed"/>
                              <w:tblCellMar>
                                <w:top w:w="0" w:type="dxa"/>
                                <w:left w:w="0" w:type="dxa"/>
                                <w:bottom w:w="0" w:type="dxa"/>
                                <w:right w:w="0" w:type="dxa"/>
                              </w:tblCellMar>
                            </w:tblPr>
                            <w:tblGrid>
                              <w:gridCol w:w="38"/>
                              <w:gridCol w:w="170"/>
                              <w:gridCol w:w="2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00"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reprimand letters: 15%</w:t>
                                  </w:r>
                                </w:p>
                              </w:tc>
                            </w:tr>
                          </w:tbl>
                          <w:tbl>
                            <w:tblPr>
                              <w:tblW w:w="2043" w:type="dxa"/>
                              <w:jc w:val="left"/>
                              <w:tblInd w:w="0" w:type="dxa"/>
                              <w:tblLayout w:type="fixed"/>
                              <w:tblCellMar>
                                <w:top w:w="0" w:type="dxa"/>
                                <w:left w:w="0" w:type="dxa"/>
                                <w:bottom w:w="0" w:type="dxa"/>
                                <w:right w:w="0" w:type="dxa"/>
                              </w:tblCellMar>
                            </w:tblPr>
                            <w:tblGrid>
                              <w:gridCol w:w="38"/>
                              <w:gridCol w:w="170"/>
                              <w:gridCol w:w="18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35"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warning emails: 11%</w:t>
                                  </w:r>
                                </w:p>
                              </w:tc>
                            </w:tr>
                          </w:tbl>
                          <w:tbl>
                            <w:tblPr>
                              <w:tblW w:w="3873" w:type="dxa"/>
                              <w:jc w:val="left"/>
                              <w:tblInd w:w="0" w:type="dxa"/>
                              <w:tblLayout w:type="fixed"/>
                              <w:tblCellMar>
                                <w:top w:w="0" w:type="dxa"/>
                                <w:left w:w="0" w:type="dxa"/>
                                <w:bottom w:w="0" w:type="dxa"/>
                                <w:right w:w="0" w:type="dxa"/>
                              </w:tblCellMar>
                            </w:tblPr>
                            <w:tblGrid>
                              <w:gridCol w:w="38"/>
                              <w:gridCol w:w="170"/>
                              <w:gridCol w:w="3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65"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Other (feedback and improvements): 46%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11.8pt;mso-wrap-distance-left:0pt;mso-wrap-distance-right:0pt;mso-wrap-distance-top:0pt;mso-wrap-distance-bottom:0pt;margin-top:0pt;mso-position-vertical:top;mso-position-vertical-relative:text;margin-left:265.35pt;mso-position-horizontal:right;mso-position-horizontal-relative:text">
                <v:textbox>
                  <w:txbxContent>
                    <w:tbl>
                      <w:tblPr>
                        <w:tblW w:w="1893" w:type="dxa"/>
                        <w:jc w:val="left"/>
                        <w:tblInd w:w="0" w:type="dxa"/>
                        <w:tblLayout w:type="fixed"/>
                        <w:tblCellMar>
                          <w:top w:w="0" w:type="dxa"/>
                          <w:left w:w="0" w:type="dxa"/>
                          <w:bottom w:w="0" w:type="dxa"/>
                          <w:right w:w="0" w:type="dxa"/>
                        </w:tblCellMar>
                      </w:tblPr>
                      <w:tblGrid>
                        <w:gridCol w:w="38"/>
                        <w:gridCol w:w="170"/>
                        <w:gridCol w:w="1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685" w:type="dxa"/>
                            <w:tcBorders/>
                            <w:vAlign w:val="center"/>
                          </w:tcPr>
                          <w:p>
                            <w:pPr>
                              <w:pStyle w:val="TableContents"/>
                              <w:bidi w:val="0"/>
                              <w:spacing w:before="0" w:after="283"/>
                              <w:jc w:val="left"/>
                              <w:rPr>
                                <w:rFonts w:ascii="Arial" w:hAnsi="Arial"/>
                                <w:b/>
                                <w:sz w:val="20"/>
                              </w:rPr>
                            </w:pPr>
                            <w:r>
                              <w:rPr>
                                <w:rFonts w:ascii="Arial" w:hAnsi="Arial"/>
                                <w:b/>
                                <w:sz w:val="20"/>
                              </w:rPr>
                              <w:t>100% confidential</w:t>
                            </w:r>
                          </w:p>
                        </w:tc>
                      </w:tr>
                    </w:tbl>
                    <w:p>
                      <w:pPr>
                        <w:pStyle w:val="TextBody"/>
                        <w:bidi w:val="0"/>
                        <w:spacing w:before="0" w:after="0"/>
                        <w:jc w:val="left"/>
                        <w:rPr>
                          <w:caps w:val="false"/>
                          <w:smallCaps w:val="false"/>
                          <w:color w:val="FE5000"/>
                        </w:rPr>
                      </w:pPr>
                      <w:r>
                        <w:rPr>
                          <w:caps w:val="false"/>
                          <w:smallCaps w:val="false"/>
                          <w:color w:val="FE5000"/>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Organizational justice demands that we take action on reports and, once a breach of our Code and our values is confirmed, take the necessary corrective and disciplinary measures. This key element for fostering a trusting environment among our employees allows them to experience how ethics is immersed in our organizational culture.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Arial" w:hAnsi="Arial"/>
                          <w:b w:val="false"/>
                          <w:i w:val="false"/>
                          <w:caps w:val="false"/>
                          <w:smallCaps w:val="false"/>
                          <w:color w:val="121212"/>
                          <w:sz w:val="20"/>
                        </w:rPr>
                      </w:pPr>
                      <w:r>
                        <w:rPr>
                          <w:rFonts w:ascii="Arial" w:hAnsi="Arial"/>
                          <w:b w:val="false"/>
                          <w:i w:val="false"/>
                          <w:caps w:val="false"/>
                          <w:smallCaps w:val="false"/>
                          <w:color w:val="121212"/>
                          <w:sz w:val="20"/>
                        </w:rPr>
                        <w:t>In 2023, Alerta GenÉTICA delivered the following results:</w:t>
                      </w:r>
                    </w:p>
                    <w:p>
                      <w:pPr>
                        <w:pStyle w:val="TextBody"/>
                        <w:bidi w:val="0"/>
                        <w:spacing w:before="0" w:after="0"/>
                        <w:jc w:val="left"/>
                        <w:rPr>
                          <w:caps w:val="false"/>
                          <w:smallCaps w:val="false"/>
                          <w:color w:val="121212"/>
                        </w:rPr>
                      </w:pPr>
                      <w:r>
                        <w:rPr>
                          <w:caps w:val="false"/>
                          <w:smallCaps w:val="false"/>
                          <w:color w:val="121212"/>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729 reports were received, an increase of 43% on the 2022 result. This outcome stems from training and awareness-raising that motivated our employees to speak up.</w:t>
                            </w:r>
                          </w:p>
                        </w:tc>
                      </w:tr>
                    </w:tbl>
                    <w:tbl>
                      <w:tblPr>
                        <w:tblW w:w="6393" w:type="dxa"/>
                        <w:jc w:val="left"/>
                        <w:tblInd w:w="0" w:type="dxa"/>
                        <w:tblLayout w:type="fixed"/>
                        <w:tblCellMar>
                          <w:top w:w="0" w:type="dxa"/>
                          <w:left w:w="0" w:type="dxa"/>
                          <w:bottom w:w="0" w:type="dxa"/>
                          <w:right w:w="0" w:type="dxa"/>
                        </w:tblCellMar>
                      </w:tblPr>
                      <w:tblGrid>
                        <w:gridCol w:w="38"/>
                        <w:gridCol w:w="170"/>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85"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84% of the reports received were anonymous (a similar result to 2022).</w:t>
                            </w:r>
                          </w:p>
                        </w:tc>
                      </w:tr>
                    </w:tbl>
                    <w:tbl>
                      <w:tblPr>
                        <w:tblW w:w="8148" w:type="dxa"/>
                        <w:jc w:val="left"/>
                        <w:tblInd w:w="0" w:type="dxa"/>
                        <w:tblLayout w:type="fixed"/>
                        <w:tblCellMar>
                          <w:top w:w="0" w:type="dxa"/>
                          <w:left w:w="0" w:type="dxa"/>
                          <w:bottom w:w="0" w:type="dxa"/>
                          <w:right w:w="0" w:type="dxa"/>
                        </w:tblCellMar>
                      </w:tblPr>
                      <w:tblGrid>
                        <w:gridCol w:w="38"/>
                        <w:gridCol w:w="170"/>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40"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65% of the reports were from BCP Perú, the holding’s largest employer (48% of total staff).</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63% of the reports were valid: they contained sufficient information for an investigation to commence. Of these, and following investigation, 186 corrective and disciplinary measures were sought and applied, as follows:</w:t>
                            </w:r>
                          </w:p>
                        </w:tc>
                      </w:tr>
                    </w:tbl>
                    <w:tbl>
                      <w:tblPr>
                        <w:tblW w:w="1713" w:type="dxa"/>
                        <w:jc w:val="left"/>
                        <w:tblInd w:w="0" w:type="dxa"/>
                        <w:tblLayout w:type="fixed"/>
                        <w:tblCellMar>
                          <w:top w:w="0" w:type="dxa"/>
                          <w:left w:w="0" w:type="dxa"/>
                          <w:bottom w:w="0" w:type="dxa"/>
                          <w:right w:w="0" w:type="dxa"/>
                        </w:tblCellMar>
                      </w:tblPr>
                      <w:tblGrid>
                        <w:gridCol w:w="38"/>
                        <w:gridCol w:w="170"/>
                        <w:gridCol w:w="1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505"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termination: 14%</w:t>
                            </w:r>
                          </w:p>
                        </w:tc>
                      </w:tr>
                    </w:tbl>
                    <w:tbl>
                      <w:tblPr>
                        <w:tblW w:w="1743" w:type="dxa"/>
                        <w:jc w:val="left"/>
                        <w:tblInd w:w="0" w:type="dxa"/>
                        <w:tblLayout w:type="fixed"/>
                        <w:tblCellMar>
                          <w:top w:w="0" w:type="dxa"/>
                          <w:left w:w="0" w:type="dxa"/>
                          <w:bottom w:w="0" w:type="dxa"/>
                          <w:right w:w="0" w:type="dxa"/>
                        </w:tblCellMar>
                      </w:tblPr>
                      <w:tblGrid>
                        <w:gridCol w:w="38"/>
                        <w:gridCol w:w="17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535"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suspension: 15%</w:t>
                            </w:r>
                          </w:p>
                        </w:tc>
                      </w:tr>
                    </w:tbl>
                    <w:tbl>
                      <w:tblPr>
                        <w:tblW w:w="2208" w:type="dxa"/>
                        <w:jc w:val="left"/>
                        <w:tblInd w:w="0" w:type="dxa"/>
                        <w:tblLayout w:type="fixed"/>
                        <w:tblCellMar>
                          <w:top w:w="0" w:type="dxa"/>
                          <w:left w:w="0" w:type="dxa"/>
                          <w:bottom w:w="0" w:type="dxa"/>
                          <w:right w:w="0" w:type="dxa"/>
                        </w:tblCellMar>
                      </w:tblPr>
                      <w:tblGrid>
                        <w:gridCol w:w="38"/>
                        <w:gridCol w:w="170"/>
                        <w:gridCol w:w="2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00"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reprimand letters: 15%</w:t>
                            </w:r>
                          </w:p>
                        </w:tc>
                      </w:tr>
                    </w:tbl>
                    <w:tbl>
                      <w:tblPr>
                        <w:tblW w:w="2043" w:type="dxa"/>
                        <w:jc w:val="left"/>
                        <w:tblInd w:w="0" w:type="dxa"/>
                        <w:tblLayout w:type="fixed"/>
                        <w:tblCellMar>
                          <w:top w:w="0" w:type="dxa"/>
                          <w:left w:w="0" w:type="dxa"/>
                          <w:bottom w:w="0" w:type="dxa"/>
                          <w:right w:w="0" w:type="dxa"/>
                        </w:tblCellMar>
                      </w:tblPr>
                      <w:tblGrid>
                        <w:gridCol w:w="38"/>
                        <w:gridCol w:w="170"/>
                        <w:gridCol w:w="18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35"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warning emails: 11%</w:t>
                            </w:r>
                          </w:p>
                        </w:tc>
                      </w:tr>
                    </w:tbl>
                    <w:tbl>
                      <w:tblPr>
                        <w:tblW w:w="3873" w:type="dxa"/>
                        <w:jc w:val="left"/>
                        <w:tblInd w:w="0" w:type="dxa"/>
                        <w:tblLayout w:type="fixed"/>
                        <w:tblCellMar>
                          <w:top w:w="0" w:type="dxa"/>
                          <w:left w:w="0" w:type="dxa"/>
                          <w:bottom w:w="0" w:type="dxa"/>
                          <w:right w:w="0" w:type="dxa"/>
                        </w:tblCellMar>
                      </w:tblPr>
                      <w:tblGrid>
                        <w:gridCol w:w="38"/>
                        <w:gridCol w:w="170"/>
                        <w:gridCol w:w="3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65"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Other (feedback and improvements): 46%</w:t>
                            </w:r>
                          </w:p>
                        </w:tc>
                      </w:tr>
                    </w:tbl>
                    <w:p>
                      <w:pPr>
                        <w:pStyle w:val="TextBody"/>
                        <w:bidi w:val="0"/>
                        <w:spacing w:before="0" w:after="283"/>
                        <w:jc w:val="left"/>
                        <w:rPr/>
                      </w:pPr>
                      <w:r>
                        <w:rPr/>
                      </w:r>
                    </w:p>
                  </w:txbxContent>
                </v:textbox>
                <w10:wrap type="square" side="left"/>
              </v:rect>
            </w:pict>
          </mc:Fallback>
        </mc:AlternateConten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56</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r>
        <mc:AlternateContent>
          <mc:Choice Requires="wps">
            <w:drawing>
              <wp:anchor behindDoc="0" distT="0" distB="0" distL="0" distR="0" simplePos="0" locked="0" layoutInCell="1" allowOverlap="1" relativeHeight="303">
                <wp:simplePos x="0" y="0"/>
                <wp:positionH relativeFrom="column">
                  <wp:align>left</wp:align>
                </wp:positionH>
                <wp:positionV relativeFrom="line">
                  <wp:posOffset>635</wp:posOffset>
                </wp:positionV>
                <wp:extent cx="3110230" cy="9911080"/>
                <wp:effectExtent l="0" t="0" r="0" b="0"/>
                <wp:wrapSquare wrapText="right"/>
                <wp:docPr id="380" name="Frame116"/>
                <a:graphic xmlns:a="http://schemas.openxmlformats.org/drawingml/2006/main">
                  <a:graphicData uri="http://schemas.microsoft.com/office/word/2010/wordprocessingShape">
                    <wps:wsp>
                      <wps:cNvSpPr txBox="1"/>
                      <wps:spPr>
                        <a:xfrm>
                          <a:off x="0" y="0"/>
                          <a:ext cx="3110230" cy="9911080"/>
                        </a:xfrm>
                        <a:prstGeom prst="rect"/>
                        <a:solidFill>
                          <a:srgbClr val="FFFFFF"/>
                        </a:solidFill>
                      </wps:spPr>
                      <wps:txbx>
                        <w:txbxContent>
                          <w:p>
                            <w:pPr>
                              <w:pStyle w:val="TextBody"/>
                              <w:bidi w:val="0"/>
                              <w:spacing w:before="0" w:after="0"/>
                              <w:jc w:val="left"/>
                              <w:rPr>
                                <w:rFonts w:ascii="Arial" w:hAnsi="Arial"/>
                                <w:b/>
                                <w:i w:val="false"/>
                                <w:caps w:val="false"/>
                                <w:smallCaps w:val="false"/>
                                <w:sz w:val="20"/>
                              </w:rPr>
                            </w:pPr>
                            <w:r>
                              <w:rPr>
                                <w:rFonts w:ascii="Arial" w:hAnsi="Arial"/>
                                <w:b/>
                                <w:i w:val="false"/>
                                <w:caps w:val="false"/>
                                <w:smallCaps w:val="false"/>
                                <w:sz w:val="20"/>
                              </w:rPr>
                              <w:t>Distribution by category of valid reports received in the last three years</w:t>
                            </w:r>
                          </w:p>
                          <w:p>
                            <w:pPr>
                              <w:pStyle w:val="TextBody"/>
                              <w:bidi w:val="0"/>
                              <w:spacing w:before="0" w:after="0"/>
                              <w:jc w:val="left"/>
                              <w:rPr>
                                <w:caps w:val="false"/>
                                <w:smallCaps w:val="false"/>
                              </w:rPr>
                            </w:pPr>
                            <w:r>
                              <w:rPr>
                                <w:caps w:val="false"/>
                                <w:smallCaps w:val="false"/>
                              </w:rPr>
                              <w:t> </w:t>
                            </w:r>
                          </w:p>
                          <w:tbl>
                            <w:tblPr>
                              <w:tblW w:w="5075" w:type="dxa"/>
                              <w:jc w:val="left"/>
                              <w:tblInd w:w="-10" w:type="dxa"/>
                              <w:tblLayout w:type="fixed"/>
                              <w:tblCellMar>
                                <w:top w:w="28" w:type="dxa"/>
                                <w:left w:w="60" w:type="dxa"/>
                                <w:bottom w:w="28" w:type="dxa"/>
                                <w:right w:w="0" w:type="dxa"/>
                              </w:tblCellMar>
                            </w:tblPr>
                            <w:tblGrid>
                              <w:gridCol w:w="3740"/>
                              <w:gridCol w:w="440"/>
                              <w:gridCol w:w="440"/>
                              <w:gridCol w:w="455"/>
                            </w:tblGrid>
                            <w:tr>
                              <w:trPr/>
                              <w:tc>
                                <w:tcPr>
                                  <w:tcW w:w="3740" w:type="dxa"/>
                                  <w:tcBorders>
                                    <w:top w:val="single" w:sz="8" w:space="0" w:color="ED7D31"/>
                                    <w:left w:val="single" w:sz="8" w:space="0" w:color="F4AF83"/>
                                    <w:bottom w:val="single" w:sz="8" w:space="0" w:color="ED7D31"/>
                                  </w:tcBorders>
                                  <w:shd w:fill="ED7C30" w:val="clear"/>
                                  <w:vAlign w:val="center"/>
                                </w:tcPr>
                                <w:p>
                                  <w:pPr>
                                    <w:pStyle w:val="TableContents"/>
                                    <w:bidi w:val="0"/>
                                    <w:spacing w:before="0" w:after="283"/>
                                    <w:jc w:val="left"/>
                                    <w:rPr>
                                      <w:rFonts w:ascii="Arial" w:hAnsi="Arial"/>
                                      <w:b/>
                                      <w:i w:val="false"/>
                                      <w:caps w:val="false"/>
                                      <w:smallCaps w:val="false"/>
                                      <w:color w:val="FFFFFF"/>
                                      <w:sz w:val="20"/>
                                    </w:rPr>
                                  </w:pPr>
                                  <w:r>
                                    <w:rPr>
                                      <w:rFonts w:ascii="Arial" w:hAnsi="Arial"/>
                                      <w:b/>
                                      <w:i w:val="false"/>
                                      <w:caps w:val="false"/>
                                      <w:smallCaps w:val="false"/>
                                      <w:color w:val="FFFFFF"/>
                                      <w:sz w:val="20"/>
                                    </w:rPr>
                                    <w:t>Valid reports by category</w:t>
                                  </w:r>
                                </w:p>
                              </w:tc>
                              <w:tc>
                                <w:tcPr>
                                  <w:tcW w:w="440" w:type="dxa"/>
                                  <w:tcBorders>
                                    <w:top w:val="single" w:sz="8" w:space="0" w:color="ED7D31"/>
                                    <w:left w:val="single" w:sz="8" w:space="0" w:color="F4AF83"/>
                                    <w:bottom w:val="single" w:sz="8" w:space="0" w:color="ED7D31"/>
                                  </w:tcBorders>
                                  <w:shd w:fill="ED7C30" w:val="cle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2023</w:t>
                                  </w:r>
                                </w:p>
                              </w:tc>
                              <w:tc>
                                <w:tcPr>
                                  <w:tcW w:w="440" w:type="dxa"/>
                                  <w:tcBorders>
                                    <w:top w:val="single" w:sz="8" w:space="0" w:color="ED7D31"/>
                                    <w:left w:val="single" w:sz="8" w:space="0" w:color="F4AF83"/>
                                    <w:bottom w:val="single" w:sz="8" w:space="0" w:color="ED7D31"/>
                                  </w:tcBorders>
                                  <w:shd w:fill="ED7C30" w:val="cle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2022</w:t>
                                  </w:r>
                                </w:p>
                              </w:tc>
                              <w:tc>
                                <w:tcPr>
                                  <w:tcW w:w="455" w:type="dxa"/>
                                  <w:tcBorders>
                                    <w:top w:val="single" w:sz="8" w:space="0" w:color="ED7D31"/>
                                    <w:left w:val="single" w:sz="8" w:space="0" w:color="F4AF83"/>
                                    <w:bottom w:val="single" w:sz="8" w:space="0" w:color="ED7D31"/>
                                    <w:right w:val="single" w:sz="8" w:space="0" w:color="F4AF83"/>
                                  </w:tcBorders>
                                  <w:shd w:fill="ED7C30" w:val="clear"/>
                                  <w:tcMar>
                                    <w:right w:w="60" w:type="dxa"/>
                                  </w:tcM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2021</w:t>
                                  </w:r>
                                </w:p>
                              </w:tc>
                            </w:tr>
                            <w:tr>
                              <w:trPr/>
                              <w:tc>
                                <w:tcPr>
                                  <w:tcW w:w="3740" w:type="dxa"/>
                                  <w:tcBorders>
                                    <w:left w:val="single" w:sz="8" w:space="0" w:color="F4AF83"/>
                                    <w:bottom w:val="single" w:sz="8" w:space="0" w:color="F4B083"/>
                                  </w:tcBorders>
                                  <w:shd w:fill="FBE4D5" w:val="clear"/>
                                  <w:tcMar>
                                    <w:top w:w="0"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Workplace hostility</w:t>
                                  </w:r>
                                </w:p>
                              </w:tc>
                              <w:tc>
                                <w:tcPr>
                                  <w:tcW w:w="440" w:type="dxa"/>
                                  <w:tcBorders>
                                    <w:left w:val="single" w:sz="8" w:space="0" w:color="F4AF83"/>
                                    <w:bottom w:val="single" w:sz="8" w:space="0" w:color="F4B083"/>
                                  </w:tcBorders>
                                  <w:shd w:fill="FBE4D5" w:val="clear"/>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233</w:t>
                                  </w:r>
                                </w:p>
                              </w:tc>
                              <w:tc>
                                <w:tcPr>
                                  <w:tcW w:w="440" w:type="dxa"/>
                                  <w:tcBorders>
                                    <w:left w:val="single" w:sz="8" w:space="0" w:color="F4AF83"/>
                                    <w:bottom w:val="single" w:sz="8" w:space="0" w:color="F4B083"/>
                                  </w:tcBorders>
                                  <w:shd w:fill="FBE4D5" w:val="clear"/>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182</w:t>
                                  </w:r>
                                </w:p>
                              </w:tc>
                              <w:tc>
                                <w:tcPr>
                                  <w:tcW w:w="455" w:type="dxa"/>
                                  <w:tcBorders>
                                    <w:left w:val="single" w:sz="8" w:space="0" w:color="F4AF83"/>
                                    <w:bottom w:val="single" w:sz="8" w:space="0" w:color="F4B083"/>
                                    <w:right w:val="single" w:sz="8" w:space="0" w:color="F4AF83"/>
                                  </w:tcBorders>
                                  <w:shd w:fill="FBE4D5" w:val="clear"/>
                                  <w:tcMar>
                                    <w:top w:w="0" w:type="dxa"/>
                                    <w:right w:w="6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169</w:t>
                                  </w:r>
                                </w:p>
                              </w:tc>
                            </w:tr>
                            <w:tr>
                              <w:trPr/>
                              <w:tc>
                                <w:tcPr>
                                  <w:tcW w:w="3740" w:type="dxa"/>
                                  <w:tcBorders>
                                    <w:left w:val="single" w:sz="8" w:space="0" w:color="F4AF83"/>
                                    <w:bottom w:val="single" w:sz="8" w:space="0" w:color="F4B083"/>
                                  </w:tcBorders>
                                  <w:shd w:fill="FFFFFF" w:val="clear"/>
                                  <w:tcMar>
                                    <w:top w:w="0"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Unfair practices and conflicts of interest</w:t>
                                  </w:r>
                                </w:p>
                              </w:tc>
                              <w:tc>
                                <w:tcPr>
                                  <w:tcW w:w="440" w:type="dxa"/>
                                  <w:tcBorders>
                                    <w:left w:val="single" w:sz="8" w:space="0" w:color="F4AF83"/>
                                    <w:bottom w:val="single" w:sz="8" w:space="0" w:color="F4B083"/>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93</w:t>
                                  </w:r>
                                </w:p>
                              </w:tc>
                              <w:tc>
                                <w:tcPr>
                                  <w:tcW w:w="440" w:type="dxa"/>
                                  <w:tcBorders>
                                    <w:left w:val="single" w:sz="8" w:space="0" w:color="F4AF83"/>
                                    <w:bottom w:val="single" w:sz="8" w:space="0" w:color="F4B083"/>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84</w:t>
                                  </w:r>
                                </w:p>
                              </w:tc>
                              <w:tc>
                                <w:tcPr>
                                  <w:tcW w:w="455" w:type="dxa"/>
                                  <w:tcBorders>
                                    <w:left w:val="single" w:sz="8" w:space="0" w:color="F4AF83"/>
                                    <w:bottom w:val="single" w:sz="8" w:space="0" w:color="F4B083"/>
                                    <w:right w:val="single" w:sz="8" w:space="0" w:color="F4AF83"/>
                                  </w:tcBorders>
                                  <w:shd w:fill="FFFFFF" w:val="clear"/>
                                  <w:tcMar>
                                    <w:top w:w="0" w:type="dxa"/>
                                    <w:right w:w="6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65</w:t>
                                  </w:r>
                                </w:p>
                              </w:tc>
                            </w:tr>
                            <w:tr>
                              <w:trPr/>
                              <w:tc>
                                <w:tcPr>
                                  <w:tcW w:w="3740" w:type="dxa"/>
                                  <w:tcBorders>
                                    <w:left w:val="single" w:sz="8" w:space="0" w:color="F4AF83"/>
                                    <w:bottom w:val="single" w:sz="8" w:space="0" w:color="F4B083"/>
                                  </w:tcBorders>
                                  <w:shd w:fill="FBE4D5" w:val="clear"/>
                                  <w:tcMar>
                                    <w:top w:w="0"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Fraud</w:t>
                                  </w:r>
                                </w:p>
                              </w:tc>
                              <w:tc>
                                <w:tcPr>
                                  <w:tcW w:w="440" w:type="dxa"/>
                                  <w:tcBorders>
                                    <w:left w:val="single" w:sz="8" w:space="0" w:color="F4AF83"/>
                                    <w:bottom w:val="single" w:sz="8" w:space="0" w:color="F4B083"/>
                                  </w:tcBorders>
                                  <w:shd w:fill="FBE4D5" w:val="clear"/>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27</w:t>
                                  </w:r>
                                </w:p>
                              </w:tc>
                              <w:tc>
                                <w:tcPr>
                                  <w:tcW w:w="440" w:type="dxa"/>
                                  <w:tcBorders>
                                    <w:left w:val="single" w:sz="8" w:space="0" w:color="F4AF83"/>
                                    <w:bottom w:val="single" w:sz="8" w:space="0" w:color="F4B083"/>
                                  </w:tcBorders>
                                  <w:shd w:fill="FBE4D5" w:val="clear"/>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41</w:t>
                                  </w:r>
                                </w:p>
                              </w:tc>
                              <w:tc>
                                <w:tcPr>
                                  <w:tcW w:w="455" w:type="dxa"/>
                                  <w:tcBorders>
                                    <w:left w:val="single" w:sz="8" w:space="0" w:color="F4AF83"/>
                                    <w:bottom w:val="single" w:sz="8" w:space="0" w:color="F4B083"/>
                                    <w:right w:val="single" w:sz="8" w:space="0" w:color="F4AF83"/>
                                  </w:tcBorders>
                                  <w:shd w:fill="FBE4D5" w:val="clear"/>
                                  <w:tcMar>
                                    <w:top w:w="0" w:type="dxa"/>
                                    <w:right w:w="6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65</w:t>
                                  </w:r>
                                </w:p>
                              </w:tc>
                            </w:tr>
                            <w:tr>
                              <w:trPr/>
                              <w:tc>
                                <w:tcPr>
                                  <w:tcW w:w="3740" w:type="dxa"/>
                                  <w:tcBorders>
                                    <w:left w:val="single" w:sz="8" w:space="0" w:color="F4AF83"/>
                                    <w:bottom w:val="single" w:sz="8" w:space="0" w:color="F4B083"/>
                                  </w:tcBorders>
                                  <w:shd w:fill="FFFFFF" w:val="clear"/>
                                  <w:tcMar>
                                    <w:top w:w="0"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Unethical behavior</w:t>
                                  </w:r>
                                </w:p>
                              </w:tc>
                              <w:tc>
                                <w:tcPr>
                                  <w:tcW w:w="440" w:type="dxa"/>
                                  <w:tcBorders>
                                    <w:left w:val="single" w:sz="8" w:space="0" w:color="F4AF83"/>
                                    <w:bottom w:val="single" w:sz="8" w:space="0" w:color="F4B083"/>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55</w:t>
                                  </w:r>
                                </w:p>
                              </w:tc>
                              <w:tc>
                                <w:tcPr>
                                  <w:tcW w:w="440" w:type="dxa"/>
                                  <w:tcBorders>
                                    <w:left w:val="single" w:sz="8" w:space="0" w:color="F4AF83"/>
                                    <w:bottom w:val="single" w:sz="8" w:space="0" w:color="F4B083"/>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55</w:t>
                                  </w:r>
                                </w:p>
                              </w:tc>
                              <w:tc>
                                <w:tcPr>
                                  <w:tcW w:w="455" w:type="dxa"/>
                                  <w:tcBorders>
                                    <w:left w:val="single" w:sz="8" w:space="0" w:color="F4AF83"/>
                                    <w:bottom w:val="single" w:sz="8" w:space="0" w:color="F4B083"/>
                                    <w:right w:val="single" w:sz="8" w:space="0" w:color="F4AF83"/>
                                  </w:tcBorders>
                                  <w:shd w:fill="FFFFFF" w:val="clear"/>
                                  <w:tcMar>
                                    <w:top w:w="0" w:type="dxa"/>
                                    <w:right w:w="6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58</w:t>
                                  </w:r>
                                </w:p>
                              </w:tc>
                            </w:tr>
                            <w:tr>
                              <w:trPr/>
                              <w:tc>
                                <w:tcPr>
                                  <w:tcW w:w="3740" w:type="dxa"/>
                                  <w:tcBorders>
                                    <w:left w:val="single" w:sz="8" w:space="0" w:color="F4AF83"/>
                                    <w:bottom w:val="single" w:sz="8" w:space="0" w:color="F4B083"/>
                                  </w:tcBorders>
                                  <w:shd w:fill="FBE4D5" w:val="clear"/>
                                  <w:tcMar>
                                    <w:top w:w="0"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Other</w:t>
                                  </w:r>
                                </w:p>
                              </w:tc>
                              <w:tc>
                                <w:tcPr>
                                  <w:tcW w:w="440" w:type="dxa"/>
                                  <w:tcBorders>
                                    <w:left w:val="single" w:sz="8" w:space="0" w:color="F4AF83"/>
                                    <w:bottom w:val="single" w:sz="8" w:space="0" w:color="F4B083"/>
                                  </w:tcBorders>
                                  <w:shd w:fill="FBE4D5" w:val="clear"/>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47</w:t>
                                  </w:r>
                                </w:p>
                              </w:tc>
                              <w:tc>
                                <w:tcPr>
                                  <w:tcW w:w="440" w:type="dxa"/>
                                  <w:tcBorders>
                                    <w:left w:val="single" w:sz="8" w:space="0" w:color="F4AF83"/>
                                    <w:bottom w:val="single" w:sz="8" w:space="0" w:color="F4B083"/>
                                  </w:tcBorders>
                                  <w:shd w:fill="FBE4D5" w:val="clear"/>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17</w:t>
                                  </w:r>
                                </w:p>
                              </w:tc>
                              <w:tc>
                                <w:tcPr>
                                  <w:tcW w:w="455" w:type="dxa"/>
                                  <w:tcBorders>
                                    <w:left w:val="single" w:sz="8" w:space="0" w:color="F4AF83"/>
                                    <w:bottom w:val="single" w:sz="8" w:space="0" w:color="F4B083"/>
                                    <w:right w:val="single" w:sz="8" w:space="0" w:color="F4AF83"/>
                                  </w:tcBorders>
                                  <w:shd w:fill="FBE4D5" w:val="clear"/>
                                  <w:tcMar>
                                    <w:top w:w="0" w:type="dxa"/>
                                    <w:right w:w="6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28</w:t>
                                  </w:r>
                                </w:p>
                              </w:tc>
                            </w:tr>
                            <w:tr>
                              <w:trPr/>
                              <w:tc>
                                <w:tcPr>
                                  <w:tcW w:w="3740" w:type="dxa"/>
                                  <w:tcBorders>
                                    <w:left w:val="single" w:sz="8" w:space="0" w:color="F4AF83"/>
                                    <w:bottom w:val="single" w:sz="8" w:space="0" w:color="F4B083"/>
                                  </w:tcBorders>
                                  <w:shd w:fill="FFFFFF" w:val="clear"/>
                                  <w:tcMar>
                                    <w:top w:w="0"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Bribery and corruption</w:t>
                                  </w:r>
                                </w:p>
                              </w:tc>
                              <w:tc>
                                <w:tcPr>
                                  <w:tcW w:w="440" w:type="dxa"/>
                                  <w:tcBorders>
                                    <w:left w:val="single" w:sz="8" w:space="0" w:color="F4AF83"/>
                                    <w:bottom w:val="single" w:sz="8" w:space="0" w:color="F4B083"/>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4</w:t>
                                  </w:r>
                                </w:p>
                              </w:tc>
                              <w:tc>
                                <w:tcPr>
                                  <w:tcW w:w="440" w:type="dxa"/>
                                  <w:tcBorders>
                                    <w:left w:val="single" w:sz="8" w:space="0" w:color="F4AF83"/>
                                    <w:bottom w:val="single" w:sz="8" w:space="0" w:color="F4B083"/>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2</w:t>
                                  </w:r>
                                </w:p>
                              </w:tc>
                              <w:tc>
                                <w:tcPr>
                                  <w:tcW w:w="455" w:type="dxa"/>
                                  <w:tcBorders>
                                    <w:left w:val="single" w:sz="8" w:space="0" w:color="F4AF83"/>
                                    <w:bottom w:val="single" w:sz="8" w:space="0" w:color="F4B083"/>
                                    <w:right w:val="single" w:sz="8" w:space="0" w:color="F4AF83"/>
                                  </w:tcBorders>
                                  <w:shd w:fill="FFFFFF" w:val="clear"/>
                                  <w:tcMar>
                                    <w:top w:w="0" w:type="dxa"/>
                                    <w:right w:w="6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8</w:t>
                                  </w:r>
                                </w:p>
                              </w:tc>
                            </w:tr>
                            <w:tr>
                              <w:trPr/>
                              <w:tc>
                                <w:tcPr>
                                  <w:tcW w:w="3740" w:type="dxa"/>
                                  <w:tcBorders>
                                    <w:left w:val="single" w:sz="8" w:space="0" w:color="F4AF83"/>
                                    <w:bottom w:val="single" w:sz="8" w:space="0" w:color="F4B083"/>
                                  </w:tcBorders>
                                  <w:shd w:fill="FBE4D5" w:val="clear"/>
                                  <w:tcMar>
                                    <w:top w:w="0"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Total (general)</w:t>
                                  </w:r>
                                </w:p>
                              </w:tc>
                              <w:tc>
                                <w:tcPr>
                                  <w:tcW w:w="440" w:type="dxa"/>
                                  <w:tcBorders>
                                    <w:left w:val="single" w:sz="8" w:space="0" w:color="F4AF83"/>
                                    <w:bottom w:val="single" w:sz="8" w:space="0" w:color="F4B083"/>
                                  </w:tcBorders>
                                  <w:shd w:fill="FBE4D5" w:val="clear"/>
                                  <w:tcMar>
                                    <w:top w:w="0" w:type="dxa"/>
                                  </w:tcMar>
                                  <w:vAlign w:val="center"/>
                                </w:tcPr>
                                <w:p>
                                  <w:pPr>
                                    <w:pStyle w:val="TableContents"/>
                                    <w:bidi w:val="0"/>
                                    <w:spacing w:before="0" w:after="283"/>
                                    <w:jc w:val="center"/>
                                    <w:rPr>
                                      <w:rFonts w:ascii="Arial" w:hAnsi="Arial"/>
                                      <w:b/>
                                      <w:i w:val="false"/>
                                      <w:caps w:val="false"/>
                                      <w:smallCaps w:val="false"/>
                                      <w:sz w:val="20"/>
                                    </w:rPr>
                                  </w:pPr>
                                  <w:r>
                                    <w:rPr>
                                      <w:rFonts w:ascii="Arial" w:hAnsi="Arial"/>
                                      <w:b/>
                                      <w:i w:val="false"/>
                                      <w:caps w:val="false"/>
                                      <w:smallCaps w:val="false"/>
                                      <w:sz w:val="20"/>
                                    </w:rPr>
                                    <w:t>459</w:t>
                                  </w:r>
                                </w:p>
                              </w:tc>
                              <w:tc>
                                <w:tcPr>
                                  <w:tcW w:w="440" w:type="dxa"/>
                                  <w:tcBorders>
                                    <w:left w:val="single" w:sz="8" w:space="0" w:color="F4AF83"/>
                                    <w:bottom w:val="single" w:sz="8" w:space="0" w:color="F4B083"/>
                                  </w:tcBorders>
                                  <w:shd w:fill="FBE4D5" w:val="clear"/>
                                  <w:tcMar>
                                    <w:top w:w="0" w:type="dxa"/>
                                  </w:tcMar>
                                  <w:vAlign w:val="center"/>
                                </w:tcPr>
                                <w:p>
                                  <w:pPr>
                                    <w:pStyle w:val="TableContents"/>
                                    <w:bidi w:val="0"/>
                                    <w:spacing w:before="0" w:after="283"/>
                                    <w:jc w:val="center"/>
                                    <w:rPr>
                                      <w:rFonts w:ascii="Arial" w:hAnsi="Arial"/>
                                      <w:b/>
                                      <w:i w:val="false"/>
                                      <w:caps w:val="false"/>
                                      <w:smallCaps w:val="false"/>
                                      <w:sz w:val="20"/>
                                    </w:rPr>
                                  </w:pPr>
                                  <w:r>
                                    <w:rPr>
                                      <w:rFonts w:ascii="Arial" w:hAnsi="Arial"/>
                                      <w:b/>
                                      <w:i w:val="false"/>
                                      <w:caps w:val="false"/>
                                      <w:smallCaps w:val="false"/>
                                      <w:sz w:val="20"/>
                                    </w:rPr>
                                    <w:t>381</w:t>
                                  </w:r>
                                </w:p>
                              </w:tc>
                              <w:tc>
                                <w:tcPr>
                                  <w:tcW w:w="455" w:type="dxa"/>
                                  <w:tcBorders>
                                    <w:left w:val="single" w:sz="8" w:space="0" w:color="F4AF83"/>
                                    <w:bottom w:val="single" w:sz="8" w:space="0" w:color="F4B083"/>
                                    <w:right w:val="single" w:sz="8" w:space="0" w:color="F4AF83"/>
                                  </w:tcBorders>
                                  <w:shd w:fill="FBE4D5" w:val="clear"/>
                                  <w:tcMar>
                                    <w:top w:w="0" w:type="dxa"/>
                                    <w:right w:w="60" w:type="dxa"/>
                                  </w:tcMar>
                                  <w:vAlign w:val="center"/>
                                </w:tcPr>
                                <w:p>
                                  <w:pPr>
                                    <w:pStyle w:val="TableContents"/>
                                    <w:bidi w:val="0"/>
                                    <w:spacing w:before="0" w:after="283"/>
                                    <w:jc w:val="center"/>
                                    <w:rPr>
                                      <w:rFonts w:ascii="Arial" w:hAnsi="Arial"/>
                                      <w:b/>
                                      <w:i w:val="false"/>
                                      <w:caps w:val="false"/>
                                      <w:smallCaps w:val="false"/>
                                      <w:sz w:val="20"/>
                                    </w:rPr>
                                  </w:pPr>
                                  <w:r>
                                    <w:rPr>
                                      <w:rFonts w:ascii="Arial" w:hAnsi="Arial"/>
                                      <w:b/>
                                      <w:i w:val="false"/>
                                      <w:caps w:val="false"/>
                                      <w:smallCaps w:val="false"/>
                                      <w:sz w:val="20"/>
                                    </w:rPr>
                                    <w:t>393</w:t>
                                  </w:r>
                                </w:p>
                              </w:tc>
                            </w:tr>
                          </w:tbl>
                          <w:p>
                            <w:pPr>
                              <w:pStyle w:val="TextBody"/>
                              <w:bidi w:val="0"/>
                              <w:spacing w:before="0" w:after="0"/>
                              <w:jc w:val="left"/>
                              <w:rPr>
                                <w:caps w:val="false"/>
                                <w:smallCaps w:val="false"/>
                                <w:color w:val="FF0000"/>
                              </w:rPr>
                            </w:pPr>
                            <w:r>
                              <w:rPr>
                                <w:caps w:val="false"/>
                                <w:smallCaps w:val="false"/>
                                <w:color w:val="FF0000"/>
                              </w:rPr>
                              <w:t> </w:t>
                            </w:r>
                          </w:p>
                          <w:p>
                            <w:pPr>
                              <w:pStyle w:val="TextBody"/>
                              <w:bidi w:val="0"/>
                              <w:spacing w:before="0" w:after="0"/>
                              <w:jc w:val="left"/>
                              <w:rPr>
                                <w:rFonts w:ascii="Arial" w:hAnsi="Arial"/>
                                <w:b/>
                                <w:i w:val="false"/>
                                <w:caps w:val="false"/>
                                <w:smallCaps w:val="false"/>
                                <w:sz w:val="20"/>
                              </w:rPr>
                            </w:pPr>
                            <w:r>
                              <w:rPr>
                                <w:rFonts w:ascii="Arial" w:hAnsi="Arial"/>
                                <w:b/>
                                <w:i w:val="false"/>
                                <w:caps w:val="false"/>
                                <w:smallCaps w:val="false"/>
                                <w:sz w:val="20"/>
                              </w:rPr>
                              <w:t>Distribution by company of valid reports received in the last three years</w:t>
                            </w:r>
                          </w:p>
                          <w:p>
                            <w:pPr>
                              <w:pStyle w:val="TextBody"/>
                              <w:bidi w:val="0"/>
                              <w:spacing w:before="0" w:after="0"/>
                              <w:jc w:val="left"/>
                              <w:rPr>
                                <w:caps w:val="false"/>
                                <w:smallCaps w:val="false"/>
                              </w:rPr>
                            </w:pPr>
                            <w:r>
                              <w:rPr>
                                <w:caps w:val="false"/>
                                <w:smallCaps w:val="false"/>
                              </w:rPr>
                              <w:t> </w:t>
                            </w:r>
                          </w:p>
                          <w:tbl>
                            <w:tblPr>
                              <w:tblW w:w="3530" w:type="dxa"/>
                              <w:jc w:val="left"/>
                              <w:tblInd w:w="-10" w:type="dxa"/>
                              <w:tblLayout w:type="fixed"/>
                              <w:tblCellMar>
                                <w:top w:w="28" w:type="dxa"/>
                                <w:left w:w="60" w:type="dxa"/>
                                <w:bottom w:w="0" w:type="dxa"/>
                                <w:right w:w="0" w:type="dxa"/>
                              </w:tblCellMar>
                            </w:tblPr>
                            <w:tblGrid>
                              <w:gridCol w:w="2195"/>
                              <w:gridCol w:w="440"/>
                              <w:gridCol w:w="440"/>
                              <w:gridCol w:w="455"/>
                            </w:tblGrid>
                            <w:tr>
                              <w:trPr/>
                              <w:tc>
                                <w:tcPr>
                                  <w:tcW w:w="2195" w:type="dxa"/>
                                  <w:tcBorders>
                                    <w:top w:val="single" w:sz="8" w:space="0" w:color="ED7D31"/>
                                    <w:left w:val="single" w:sz="8" w:space="0" w:color="F4AF83"/>
                                  </w:tcBorders>
                                  <w:shd w:fill="ED7C30" w:val="cle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Valid reports by the</w:t>
                                  </w:r>
                                </w:p>
                              </w:tc>
                              <w:tc>
                                <w:tcPr>
                                  <w:tcW w:w="440" w:type="dxa"/>
                                  <w:tcBorders>
                                    <w:top w:val="single" w:sz="8" w:space="0" w:color="ED7D31"/>
                                    <w:left w:val="single" w:sz="8" w:space="0" w:color="F4AF83"/>
                                  </w:tcBorders>
                                  <w:shd w:fill="ED7C30" w:val="cle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2023</w:t>
                                  </w:r>
                                </w:p>
                              </w:tc>
                              <w:tc>
                                <w:tcPr>
                                  <w:tcW w:w="440" w:type="dxa"/>
                                  <w:tcBorders>
                                    <w:top w:val="single" w:sz="8" w:space="0" w:color="ED7D31"/>
                                    <w:left w:val="single" w:sz="8" w:space="0" w:color="F4AF83"/>
                                  </w:tcBorders>
                                  <w:shd w:fill="ED7C30" w:val="cle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2022</w:t>
                                  </w:r>
                                </w:p>
                              </w:tc>
                              <w:tc>
                                <w:tcPr>
                                  <w:tcW w:w="455" w:type="dxa"/>
                                  <w:tcBorders>
                                    <w:top w:val="single" w:sz="8" w:space="0" w:color="ED7D31"/>
                                    <w:left w:val="single" w:sz="8" w:space="0" w:color="F4AF83"/>
                                    <w:right w:val="single" w:sz="8" w:space="0" w:color="F4AF83"/>
                                  </w:tcBorders>
                                  <w:shd w:fill="ED7C30" w:val="clear"/>
                                  <w:tcMar>
                                    <w:right w:w="60" w:type="dxa"/>
                                  </w:tcM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2021</w:t>
                                  </w:r>
                                </w:p>
                              </w:tc>
                            </w:tr>
                            <w:tr>
                              <w:trPr/>
                              <w:tc>
                                <w:tcPr>
                                  <w:tcW w:w="2195" w:type="dxa"/>
                                  <w:tcBorders>
                                    <w:left w:val="single" w:sz="8" w:space="0" w:color="F4AF83"/>
                                    <w:bottom w:val="single" w:sz="8" w:space="0" w:color="ED7D31"/>
                                  </w:tcBorders>
                                  <w:shd w:fill="ED7C30" w:val="clear"/>
                                  <w:tcMar>
                                    <w:top w:w="0" w:type="dxa"/>
                                    <w:bottom w:w="28" w:type="dxa"/>
                                  </w:tcM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company</w:t>
                                  </w:r>
                                </w:p>
                              </w:tc>
                              <w:tc>
                                <w:tcPr>
                                  <w:tcW w:w="440" w:type="dxa"/>
                                  <w:tcBorders>
                                    <w:left w:val="single" w:sz="8" w:space="0" w:color="F4AF83"/>
                                    <w:bottom w:val="single" w:sz="8" w:space="0" w:color="ED7D31"/>
                                  </w:tcBorders>
                                  <w:shd w:fill="ED7C30"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left w:val="single" w:sz="8" w:space="0" w:color="F4AF83"/>
                                    <w:bottom w:val="single" w:sz="8" w:space="0" w:color="ED7D31"/>
                                  </w:tcBorders>
                                  <w:shd w:fill="ED7C30"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455" w:type="dxa"/>
                                  <w:tcBorders>
                                    <w:left w:val="single" w:sz="8" w:space="0" w:color="F4AF83"/>
                                    <w:bottom w:val="single" w:sz="8" w:space="0" w:color="ED7D31"/>
                                    <w:right w:val="single" w:sz="8" w:space="0" w:color="F4AF83"/>
                                  </w:tcBorders>
                                  <w:shd w:fill="ED7C30" w:val="clear"/>
                                  <w:tcMar>
                                    <w:top w:w="0" w:type="dxa"/>
                                    <w:bottom w:w="28" w:type="dxa"/>
                                    <w:right w:w="6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left w:val="single" w:sz="8" w:space="0" w:color="F4AF83"/>
                                    <w:bottom w:val="single" w:sz="8" w:space="0" w:color="F4B083"/>
                                  </w:tcBorders>
                                  <w:shd w:fill="FBE4D5" w:val="clear"/>
                                  <w:tcMar>
                                    <w:top w:w="0" w:type="dxa"/>
                                    <w:bottom w:w="28"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BCP</w:t>
                                  </w:r>
                                </w:p>
                              </w:tc>
                              <w:tc>
                                <w:tcPr>
                                  <w:tcW w:w="440" w:type="dxa"/>
                                  <w:tcBorders>
                                    <w:left w:val="single" w:sz="8" w:space="0" w:color="F4AF83"/>
                                    <w:bottom w:val="single" w:sz="8" w:space="0" w:color="F4B083"/>
                                  </w:tcBorders>
                                  <w:shd w:fill="FBE4D5" w:val="clear"/>
                                  <w:tcMar>
                                    <w:top w:w="0" w:type="dxa"/>
                                    <w:bottom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290</w:t>
                                  </w:r>
                                </w:p>
                              </w:tc>
                              <w:tc>
                                <w:tcPr>
                                  <w:tcW w:w="440" w:type="dxa"/>
                                  <w:tcBorders>
                                    <w:left w:val="single" w:sz="8" w:space="0" w:color="F4AF83"/>
                                    <w:bottom w:val="single" w:sz="8" w:space="0" w:color="F4B083"/>
                                  </w:tcBorders>
                                  <w:shd w:fill="FBE4D5" w:val="clear"/>
                                  <w:tcMar>
                                    <w:top w:w="0" w:type="dxa"/>
                                    <w:bottom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254</w:t>
                                  </w:r>
                                </w:p>
                              </w:tc>
                              <w:tc>
                                <w:tcPr>
                                  <w:tcW w:w="455" w:type="dxa"/>
                                  <w:tcBorders>
                                    <w:left w:val="single" w:sz="8" w:space="0" w:color="F4AF83"/>
                                    <w:bottom w:val="single" w:sz="8" w:space="0" w:color="F4B083"/>
                                    <w:right w:val="single" w:sz="8" w:space="0" w:color="F4AF83"/>
                                  </w:tcBorders>
                                  <w:shd w:fill="FBE4D5" w:val="clear"/>
                                  <w:tcMar>
                                    <w:top w:w="0" w:type="dxa"/>
                                    <w:bottom w:w="28" w:type="dxa"/>
                                    <w:right w:w="6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250</w:t>
                                  </w:r>
                                </w:p>
                              </w:tc>
                            </w:tr>
                            <w:tr>
                              <w:trPr/>
                              <w:tc>
                                <w:tcPr>
                                  <w:tcW w:w="2195" w:type="dxa"/>
                                  <w:tcBorders>
                                    <w:left w:val="single" w:sz="8" w:space="0" w:color="F4AF83"/>
                                    <w:bottom w:val="single" w:sz="8" w:space="0" w:color="F4B083"/>
                                  </w:tcBorders>
                                  <w:shd w:fill="FFFFFF" w:val="clear"/>
                                  <w:tcMar>
                                    <w:top w:w="0" w:type="dxa"/>
                                    <w:bottom w:w="28"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Mibanco</w:t>
                                  </w:r>
                                </w:p>
                              </w:tc>
                              <w:tc>
                                <w:tcPr>
                                  <w:tcW w:w="440" w:type="dxa"/>
                                  <w:tcBorders>
                                    <w:left w:val="single" w:sz="8" w:space="0" w:color="F4AF83"/>
                                    <w:bottom w:val="single" w:sz="8" w:space="0" w:color="F4B083"/>
                                  </w:tcBorders>
                                  <w:shd w:fill="FFFFFF" w:val="clear"/>
                                  <w:tcMar>
                                    <w:top w:w="0" w:type="dxa"/>
                                    <w:bottom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105</w:t>
                                  </w:r>
                                </w:p>
                              </w:tc>
                              <w:tc>
                                <w:tcPr>
                                  <w:tcW w:w="440" w:type="dxa"/>
                                  <w:tcBorders>
                                    <w:left w:val="single" w:sz="8" w:space="0" w:color="F4AF83"/>
                                    <w:bottom w:val="single" w:sz="8" w:space="0" w:color="F4B083"/>
                                  </w:tcBorders>
                                  <w:shd w:fill="FFFFFF" w:val="clear"/>
                                  <w:tcMar>
                                    <w:top w:w="0" w:type="dxa"/>
                                    <w:bottom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80</w:t>
                                  </w:r>
                                </w:p>
                              </w:tc>
                              <w:tc>
                                <w:tcPr>
                                  <w:tcW w:w="455" w:type="dxa"/>
                                  <w:tcBorders>
                                    <w:left w:val="single" w:sz="8" w:space="0" w:color="F4AF83"/>
                                    <w:bottom w:val="single" w:sz="8" w:space="0" w:color="F4B083"/>
                                    <w:right w:val="single" w:sz="8" w:space="0" w:color="F4AF83"/>
                                  </w:tcBorders>
                                  <w:shd w:fill="FFFFFF" w:val="clear"/>
                                  <w:tcMar>
                                    <w:top w:w="0" w:type="dxa"/>
                                    <w:bottom w:w="28" w:type="dxa"/>
                                    <w:right w:w="6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92</w:t>
                                  </w:r>
                                </w:p>
                              </w:tc>
                            </w:tr>
                            <w:tr>
                              <w:trPr/>
                              <w:tc>
                                <w:tcPr>
                                  <w:tcW w:w="2195" w:type="dxa"/>
                                  <w:tcBorders>
                                    <w:left w:val="single" w:sz="8" w:space="0" w:color="F4AF83"/>
                                    <w:bottom w:val="single" w:sz="8" w:space="0" w:color="F4B083"/>
                                  </w:tcBorders>
                                  <w:shd w:fill="FBE4D5" w:val="clear"/>
                                  <w:tcMar>
                                    <w:top w:w="0" w:type="dxa"/>
                                    <w:bottom w:w="28"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Mibanco Colombia</w:t>
                                  </w:r>
                                </w:p>
                              </w:tc>
                              <w:tc>
                                <w:tcPr>
                                  <w:tcW w:w="440" w:type="dxa"/>
                                  <w:tcBorders>
                                    <w:left w:val="single" w:sz="8" w:space="0" w:color="F4AF83"/>
                                    <w:bottom w:val="single" w:sz="8" w:space="0" w:color="F4B083"/>
                                  </w:tcBorders>
                                  <w:shd w:fill="FBE4D5" w:val="clear"/>
                                  <w:tcMar>
                                    <w:top w:w="0" w:type="dxa"/>
                                    <w:bottom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15</w:t>
                                  </w:r>
                                </w:p>
                              </w:tc>
                              <w:tc>
                                <w:tcPr>
                                  <w:tcW w:w="440" w:type="dxa"/>
                                  <w:tcBorders>
                                    <w:left w:val="single" w:sz="8" w:space="0" w:color="F4AF83"/>
                                    <w:bottom w:val="single" w:sz="8" w:space="0" w:color="F4B083"/>
                                  </w:tcBorders>
                                  <w:shd w:fill="FBE4D5" w:val="clear"/>
                                  <w:tcMar>
                                    <w:top w:w="0" w:type="dxa"/>
                                    <w:bottom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8</w:t>
                                  </w:r>
                                </w:p>
                              </w:tc>
                              <w:tc>
                                <w:tcPr>
                                  <w:tcW w:w="455" w:type="dxa"/>
                                  <w:tcBorders>
                                    <w:left w:val="single" w:sz="8" w:space="0" w:color="F4AF83"/>
                                    <w:bottom w:val="single" w:sz="8" w:space="0" w:color="F4B083"/>
                                    <w:right w:val="single" w:sz="8" w:space="0" w:color="F4AF83"/>
                                  </w:tcBorders>
                                  <w:shd w:fill="FBE4D5" w:val="clear"/>
                                  <w:tcMar>
                                    <w:top w:w="0" w:type="dxa"/>
                                    <w:bottom w:w="28" w:type="dxa"/>
                                    <w:right w:w="6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15</w:t>
                                  </w:r>
                                </w:p>
                              </w:tc>
                            </w:tr>
                            <w:tr>
                              <w:trPr/>
                              <w:tc>
                                <w:tcPr>
                                  <w:tcW w:w="2195" w:type="dxa"/>
                                  <w:tcBorders>
                                    <w:left w:val="single" w:sz="8" w:space="0" w:color="F4AF83"/>
                                    <w:bottom w:val="single" w:sz="8" w:space="0" w:color="F4B083"/>
                                  </w:tcBorders>
                                  <w:shd w:fill="FFFFFF" w:val="clear"/>
                                  <w:tcMar>
                                    <w:top w:w="0" w:type="dxa"/>
                                    <w:bottom w:w="28"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BCP Bolivia</w:t>
                                  </w:r>
                                </w:p>
                              </w:tc>
                              <w:tc>
                                <w:tcPr>
                                  <w:tcW w:w="440" w:type="dxa"/>
                                  <w:tcBorders>
                                    <w:left w:val="single" w:sz="8" w:space="0" w:color="F4AF83"/>
                                    <w:bottom w:val="single" w:sz="8" w:space="0" w:color="F4B083"/>
                                  </w:tcBorders>
                                  <w:shd w:fill="FFFFFF" w:val="clear"/>
                                  <w:tcMar>
                                    <w:top w:w="0" w:type="dxa"/>
                                    <w:bottom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25</w:t>
                                  </w:r>
                                </w:p>
                              </w:tc>
                              <w:tc>
                                <w:tcPr>
                                  <w:tcW w:w="440" w:type="dxa"/>
                                  <w:tcBorders>
                                    <w:left w:val="single" w:sz="8" w:space="0" w:color="F4AF83"/>
                                    <w:bottom w:val="single" w:sz="8" w:space="0" w:color="F4B083"/>
                                  </w:tcBorders>
                                  <w:shd w:fill="FFFFFF" w:val="clear"/>
                                  <w:tcMar>
                                    <w:top w:w="0" w:type="dxa"/>
                                    <w:bottom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23</w:t>
                                  </w:r>
                                </w:p>
                              </w:tc>
                              <w:tc>
                                <w:tcPr>
                                  <w:tcW w:w="455" w:type="dxa"/>
                                  <w:tcBorders>
                                    <w:left w:val="single" w:sz="8" w:space="0" w:color="F4AF83"/>
                                    <w:bottom w:val="single" w:sz="8" w:space="0" w:color="F4B083"/>
                                    <w:right w:val="single" w:sz="8" w:space="0" w:color="F4AF83"/>
                                  </w:tcBorders>
                                  <w:shd w:fill="FFFFFF" w:val="clear"/>
                                  <w:tcMar>
                                    <w:top w:w="0" w:type="dxa"/>
                                    <w:bottom w:w="28" w:type="dxa"/>
                                    <w:right w:w="6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15</w:t>
                                  </w:r>
                                </w:p>
                              </w:tc>
                            </w:tr>
                            <w:tr>
                              <w:trPr/>
                              <w:tc>
                                <w:tcPr>
                                  <w:tcW w:w="2195" w:type="dxa"/>
                                  <w:tcBorders>
                                    <w:left w:val="single" w:sz="8" w:space="0" w:color="F4AF83"/>
                                  </w:tcBorders>
                                  <w:shd w:fill="FBE4D5" w:val="clear"/>
                                  <w:tcMar>
                                    <w:top w:w="0"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Credicorp Capital</w:t>
                                  </w:r>
                                </w:p>
                              </w:tc>
                              <w:tc>
                                <w:tcPr>
                                  <w:tcW w:w="440" w:type="dxa"/>
                                  <w:tcBorders>
                                    <w:left w:val="single" w:sz="8" w:space="0" w:color="F4AF83"/>
                                  </w:tcBorders>
                                  <w:shd w:fill="FBE4D5" w:val="clear"/>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2</w:t>
                                  </w:r>
                                </w:p>
                              </w:tc>
                              <w:tc>
                                <w:tcPr>
                                  <w:tcW w:w="440" w:type="dxa"/>
                                  <w:tcBorders>
                                    <w:left w:val="single" w:sz="8" w:space="0" w:color="F4AF83"/>
                                  </w:tcBorders>
                                  <w:shd w:fill="FBE4D5" w:val="clear"/>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6</w:t>
                                  </w:r>
                                </w:p>
                              </w:tc>
                              <w:tc>
                                <w:tcPr>
                                  <w:tcW w:w="455" w:type="dxa"/>
                                  <w:tcBorders>
                                    <w:left w:val="single" w:sz="8" w:space="0" w:color="F4AF83"/>
                                    <w:right w:val="single" w:sz="8" w:space="0" w:color="F4AF83"/>
                                  </w:tcBorders>
                                  <w:shd w:fill="FBE4D5" w:val="clear"/>
                                  <w:tcMar>
                                    <w:top w:w="0" w:type="dxa"/>
                                    <w:right w:w="6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6</w:t>
                                  </w:r>
                                </w:p>
                              </w:tc>
                            </w:tr>
                            <w:tr>
                              <w:trPr/>
                              <w:tc>
                                <w:tcPr>
                                  <w:tcW w:w="2195" w:type="dxa"/>
                                  <w:tcBorders>
                                    <w:left w:val="single" w:sz="8" w:space="0" w:color="F4AF83"/>
                                    <w:bottom w:val="single" w:sz="8" w:space="0" w:color="F4B083"/>
                                  </w:tcBorders>
                                  <w:shd w:fill="FBE4D5" w:val="clear"/>
                                  <w:tcMar>
                                    <w:top w:w="0" w:type="dxa"/>
                                    <w:bottom w:w="28"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Colombia</w:t>
                                  </w:r>
                                </w:p>
                              </w:tc>
                              <w:tc>
                                <w:tcPr>
                                  <w:tcW w:w="440" w:type="dxa"/>
                                  <w:tcBorders>
                                    <w:left w:val="single" w:sz="8" w:space="0" w:color="F4AF83"/>
                                    <w:bottom w:val="single" w:sz="8" w:space="0" w:color="F4B083"/>
                                  </w:tcBorders>
                                  <w:shd w:fill="FBE4D5"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left w:val="single" w:sz="8" w:space="0" w:color="F4AF83"/>
                                    <w:bottom w:val="single" w:sz="8" w:space="0" w:color="F4B083"/>
                                  </w:tcBorders>
                                  <w:shd w:fill="FBE4D5"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455" w:type="dxa"/>
                                  <w:tcBorders>
                                    <w:left w:val="single" w:sz="8" w:space="0" w:color="F4AF83"/>
                                    <w:bottom w:val="single" w:sz="8" w:space="0" w:color="F4B083"/>
                                    <w:right w:val="single" w:sz="8" w:space="0" w:color="F4AF83"/>
                                  </w:tcBorders>
                                  <w:shd w:fill="FBE4D5" w:val="clear"/>
                                  <w:tcMar>
                                    <w:top w:w="0" w:type="dxa"/>
                                    <w:bottom w:w="28" w:type="dxa"/>
                                    <w:right w:w="6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left w:val="single" w:sz="8" w:space="0" w:color="F4AF83"/>
                                    <w:bottom w:val="single" w:sz="8" w:space="0" w:color="F4B083"/>
                                  </w:tcBorders>
                                  <w:shd w:fill="FFFFFF" w:val="clear"/>
                                  <w:tcMar>
                                    <w:top w:w="0" w:type="dxa"/>
                                    <w:bottom w:w="28"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Pacífico Seguros</w:t>
                                  </w:r>
                                </w:p>
                              </w:tc>
                              <w:tc>
                                <w:tcPr>
                                  <w:tcW w:w="440" w:type="dxa"/>
                                  <w:tcBorders>
                                    <w:left w:val="single" w:sz="8" w:space="0" w:color="F4AF83"/>
                                    <w:bottom w:val="single" w:sz="8" w:space="0" w:color="F4B083"/>
                                  </w:tcBorders>
                                  <w:shd w:fill="FFFFFF" w:val="clear"/>
                                  <w:tcMar>
                                    <w:top w:w="0" w:type="dxa"/>
                                    <w:bottom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12</w:t>
                                  </w:r>
                                </w:p>
                              </w:tc>
                              <w:tc>
                                <w:tcPr>
                                  <w:tcW w:w="440" w:type="dxa"/>
                                  <w:tcBorders>
                                    <w:left w:val="single" w:sz="8" w:space="0" w:color="F4AF83"/>
                                    <w:bottom w:val="single" w:sz="8" w:space="0" w:color="F4B083"/>
                                  </w:tcBorders>
                                  <w:shd w:fill="FFFFFF" w:val="clear"/>
                                  <w:tcMar>
                                    <w:top w:w="0" w:type="dxa"/>
                                    <w:bottom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5</w:t>
                                  </w:r>
                                </w:p>
                              </w:tc>
                              <w:tc>
                                <w:tcPr>
                                  <w:tcW w:w="455" w:type="dxa"/>
                                  <w:tcBorders>
                                    <w:left w:val="single" w:sz="8" w:space="0" w:color="F4AF83"/>
                                    <w:bottom w:val="single" w:sz="8" w:space="0" w:color="F4B083"/>
                                    <w:right w:val="single" w:sz="8" w:space="0" w:color="F4AF83"/>
                                  </w:tcBorders>
                                  <w:shd w:fill="FFFFFF" w:val="clear"/>
                                  <w:tcMar>
                                    <w:top w:w="0" w:type="dxa"/>
                                    <w:bottom w:w="28" w:type="dxa"/>
                                    <w:right w:w="6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13</w:t>
                                  </w:r>
                                </w:p>
                              </w:tc>
                            </w:tr>
                            <w:tr>
                              <w:trPr/>
                              <w:tc>
                                <w:tcPr>
                                  <w:tcW w:w="2195" w:type="dxa"/>
                                  <w:tcBorders>
                                    <w:left w:val="single" w:sz="8" w:space="0" w:color="F4AF83"/>
                                    <w:bottom w:val="single" w:sz="8" w:space="0" w:color="F4B083"/>
                                  </w:tcBorders>
                                  <w:shd w:fill="FBE4D5" w:val="clear"/>
                                  <w:tcMar>
                                    <w:top w:w="0" w:type="dxa"/>
                                    <w:bottom w:w="28"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Prima AFP</w:t>
                                  </w:r>
                                </w:p>
                              </w:tc>
                              <w:tc>
                                <w:tcPr>
                                  <w:tcW w:w="440" w:type="dxa"/>
                                  <w:tcBorders>
                                    <w:left w:val="single" w:sz="8" w:space="0" w:color="F4AF83"/>
                                    <w:bottom w:val="single" w:sz="8" w:space="0" w:color="F4B083"/>
                                  </w:tcBorders>
                                  <w:shd w:fill="FBE4D5" w:val="clear"/>
                                  <w:tcMar>
                                    <w:top w:w="0" w:type="dxa"/>
                                    <w:bottom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3</w:t>
                                  </w:r>
                                </w:p>
                              </w:tc>
                              <w:tc>
                                <w:tcPr>
                                  <w:tcW w:w="440" w:type="dxa"/>
                                  <w:tcBorders>
                                    <w:left w:val="single" w:sz="8" w:space="0" w:color="F4AF83"/>
                                    <w:bottom w:val="single" w:sz="8" w:space="0" w:color="F4B083"/>
                                  </w:tcBorders>
                                  <w:shd w:fill="FBE4D5" w:val="clear"/>
                                  <w:tcMar>
                                    <w:top w:w="0" w:type="dxa"/>
                                    <w:bottom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0</w:t>
                                  </w:r>
                                </w:p>
                              </w:tc>
                              <w:tc>
                                <w:tcPr>
                                  <w:tcW w:w="455" w:type="dxa"/>
                                  <w:tcBorders>
                                    <w:left w:val="single" w:sz="8" w:space="0" w:color="F4AF83"/>
                                    <w:bottom w:val="single" w:sz="8" w:space="0" w:color="F4B083"/>
                                    <w:right w:val="single" w:sz="8" w:space="0" w:color="F4AF83"/>
                                  </w:tcBorders>
                                  <w:shd w:fill="FBE4D5" w:val="clear"/>
                                  <w:tcMar>
                                    <w:top w:w="0" w:type="dxa"/>
                                    <w:bottom w:w="28" w:type="dxa"/>
                                    <w:right w:w="6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w:t>
                                  </w:r>
                                </w:p>
                              </w:tc>
                            </w:tr>
                            <w:tr>
                              <w:trPr/>
                              <w:tc>
                                <w:tcPr>
                                  <w:tcW w:w="2195" w:type="dxa"/>
                                  <w:tcBorders>
                                    <w:left w:val="single" w:sz="8" w:space="0" w:color="F4AF83"/>
                                    <w:bottom w:val="single" w:sz="8" w:space="0" w:color="F4B083"/>
                                  </w:tcBorders>
                                  <w:shd w:fill="FFFFFF" w:val="clear"/>
                                  <w:tcMar>
                                    <w:top w:w="0" w:type="dxa"/>
                                    <w:bottom w:w="28"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Credicorp Capital Perú</w:t>
                                  </w:r>
                                </w:p>
                              </w:tc>
                              <w:tc>
                                <w:tcPr>
                                  <w:tcW w:w="440" w:type="dxa"/>
                                  <w:tcBorders>
                                    <w:left w:val="single" w:sz="8" w:space="0" w:color="F4AF83"/>
                                    <w:bottom w:val="single" w:sz="8" w:space="0" w:color="F4B083"/>
                                  </w:tcBorders>
                                  <w:shd w:fill="FFFFFF" w:val="clear"/>
                                  <w:tcMar>
                                    <w:top w:w="0" w:type="dxa"/>
                                    <w:bottom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w:t>
                                  </w:r>
                                </w:p>
                              </w:tc>
                              <w:tc>
                                <w:tcPr>
                                  <w:tcW w:w="440" w:type="dxa"/>
                                  <w:tcBorders>
                                    <w:left w:val="single" w:sz="8" w:space="0" w:color="F4AF83"/>
                                    <w:bottom w:val="single" w:sz="8" w:space="0" w:color="F4B083"/>
                                  </w:tcBorders>
                                  <w:shd w:fill="FFFFFF" w:val="clear"/>
                                  <w:tcMar>
                                    <w:top w:w="0" w:type="dxa"/>
                                    <w:bottom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2</w:t>
                                  </w:r>
                                </w:p>
                              </w:tc>
                              <w:tc>
                                <w:tcPr>
                                  <w:tcW w:w="455" w:type="dxa"/>
                                  <w:tcBorders>
                                    <w:left w:val="single" w:sz="8" w:space="0" w:color="F4AF83"/>
                                    <w:bottom w:val="single" w:sz="8" w:space="0" w:color="F4B083"/>
                                    <w:right w:val="single" w:sz="8" w:space="0" w:color="F4AF83"/>
                                  </w:tcBorders>
                                  <w:shd w:fill="FFFFFF" w:val="clear"/>
                                  <w:tcMar>
                                    <w:top w:w="0" w:type="dxa"/>
                                    <w:bottom w:w="28" w:type="dxa"/>
                                    <w:right w:w="6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w:t>
                                  </w:r>
                                </w:p>
                              </w:tc>
                            </w:tr>
                            <w:tr>
                              <w:trPr/>
                              <w:tc>
                                <w:tcPr>
                                  <w:tcW w:w="2195" w:type="dxa"/>
                                  <w:tcBorders>
                                    <w:left w:val="single" w:sz="8" w:space="0" w:color="F4AF83"/>
                                    <w:bottom w:val="single" w:sz="8" w:space="0" w:color="F4B083"/>
                                  </w:tcBorders>
                                  <w:shd w:fill="FBE4D5" w:val="clear"/>
                                  <w:tcMar>
                                    <w:top w:w="0" w:type="dxa"/>
                                    <w:bottom w:w="28"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Credicorp Capital Chile</w:t>
                                  </w:r>
                                </w:p>
                              </w:tc>
                              <w:tc>
                                <w:tcPr>
                                  <w:tcW w:w="440" w:type="dxa"/>
                                  <w:tcBorders>
                                    <w:left w:val="single" w:sz="8" w:space="0" w:color="F4AF83"/>
                                    <w:bottom w:val="single" w:sz="8" w:space="0" w:color="F4B083"/>
                                  </w:tcBorders>
                                  <w:shd w:fill="FBE4D5" w:val="clear"/>
                                  <w:tcMar>
                                    <w:top w:w="0" w:type="dxa"/>
                                    <w:bottom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0</w:t>
                                  </w:r>
                                </w:p>
                              </w:tc>
                              <w:tc>
                                <w:tcPr>
                                  <w:tcW w:w="440" w:type="dxa"/>
                                  <w:tcBorders>
                                    <w:left w:val="single" w:sz="8" w:space="0" w:color="F4AF83"/>
                                    <w:bottom w:val="single" w:sz="8" w:space="0" w:color="F4B083"/>
                                  </w:tcBorders>
                                  <w:shd w:fill="FBE4D5" w:val="clear"/>
                                  <w:tcMar>
                                    <w:top w:w="0" w:type="dxa"/>
                                    <w:bottom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0</w:t>
                                  </w:r>
                                </w:p>
                              </w:tc>
                              <w:tc>
                                <w:tcPr>
                                  <w:tcW w:w="455" w:type="dxa"/>
                                  <w:tcBorders>
                                    <w:left w:val="single" w:sz="8" w:space="0" w:color="F4AF83"/>
                                    <w:bottom w:val="single" w:sz="8" w:space="0" w:color="F4B083"/>
                                    <w:right w:val="single" w:sz="8" w:space="0" w:color="F4AF83"/>
                                  </w:tcBorders>
                                  <w:shd w:fill="FBE4D5" w:val="clear"/>
                                  <w:tcMar>
                                    <w:top w:w="0" w:type="dxa"/>
                                    <w:bottom w:w="28" w:type="dxa"/>
                                    <w:right w:w="6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0</w:t>
                                  </w:r>
                                </w:p>
                              </w:tc>
                            </w:tr>
                            <w:tr>
                              <w:trPr/>
                              <w:tc>
                                <w:tcPr>
                                  <w:tcW w:w="2195" w:type="dxa"/>
                                  <w:tcBorders>
                                    <w:left w:val="single" w:sz="8" w:space="0" w:color="F4AF83"/>
                                    <w:bottom w:val="single" w:sz="8" w:space="0" w:color="F4B083"/>
                                  </w:tcBorders>
                                  <w:shd w:fill="FFFFFF" w:val="clear"/>
                                  <w:tcMar>
                                    <w:top w:w="0" w:type="dxa"/>
                                    <w:bottom w:w="28"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Other</w:t>
                                  </w:r>
                                </w:p>
                              </w:tc>
                              <w:tc>
                                <w:tcPr>
                                  <w:tcW w:w="440" w:type="dxa"/>
                                  <w:tcBorders>
                                    <w:left w:val="single" w:sz="8" w:space="0" w:color="F4AF83"/>
                                    <w:bottom w:val="single" w:sz="8" w:space="0" w:color="F4B083"/>
                                  </w:tcBorders>
                                  <w:shd w:fill="FFFFFF" w:val="clear"/>
                                  <w:tcMar>
                                    <w:top w:w="0" w:type="dxa"/>
                                    <w:bottom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6</w:t>
                                  </w:r>
                                </w:p>
                              </w:tc>
                              <w:tc>
                                <w:tcPr>
                                  <w:tcW w:w="440" w:type="dxa"/>
                                  <w:tcBorders>
                                    <w:left w:val="single" w:sz="8" w:space="0" w:color="F4AF83"/>
                                    <w:bottom w:val="single" w:sz="8" w:space="0" w:color="F4B083"/>
                                  </w:tcBorders>
                                  <w:shd w:fill="FFFFFF" w:val="clear"/>
                                  <w:tcMar>
                                    <w:top w:w="0" w:type="dxa"/>
                                    <w:bottom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3</w:t>
                                  </w:r>
                                </w:p>
                              </w:tc>
                              <w:tc>
                                <w:tcPr>
                                  <w:tcW w:w="455" w:type="dxa"/>
                                  <w:tcBorders>
                                    <w:left w:val="single" w:sz="8" w:space="0" w:color="F4AF83"/>
                                    <w:bottom w:val="single" w:sz="8" w:space="0" w:color="F4B083"/>
                                    <w:right w:val="single" w:sz="8" w:space="0" w:color="F4AF83"/>
                                  </w:tcBorders>
                                  <w:shd w:fill="FFFFFF" w:val="clear"/>
                                  <w:tcMar>
                                    <w:top w:w="0" w:type="dxa"/>
                                    <w:bottom w:w="28" w:type="dxa"/>
                                    <w:right w:w="6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0</w:t>
                                  </w:r>
                                </w:p>
                              </w:tc>
                            </w:tr>
                            <w:tr>
                              <w:trPr/>
                              <w:tc>
                                <w:tcPr>
                                  <w:tcW w:w="2195" w:type="dxa"/>
                                  <w:tcBorders>
                                    <w:left w:val="single" w:sz="8" w:space="0" w:color="F4AF83"/>
                                    <w:bottom w:val="single" w:sz="8" w:space="0" w:color="F4B083"/>
                                  </w:tcBorders>
                                  <w:shd w:fill="FBE4D5" w:val="clear"/>
                                  <w:tcMar>
                                    <w:top w:w="0" w:type="dxa"/>
                                    <w:bottom w:w="28"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Total (general)</w:t>
                                  </w:r>
                                </w:p>
                              </w:tc>
                              <w:tc>
                                <w:tcPr>
                                  <w:tcW w:w="440" w:type="dxa"/>
                                  <w:tcBorders>
                                    <w:left w:val="single" w:sz="8" w:space="0" w:color="F4AF83"/>
                                    <w:bottom w:val="single" w:sz="8" w:space="0" w:color="F4B083"/>
                                  </w:tcBorders>
                                  <w:shd w:fill="FBE4D5" w:val="clear"/>
                                  <w:tcMar>
                                    <w:top w:w="0" w:type="dxa"/>
                                    <w:bottom w:w="28" w:type="dxa"/>
                                  </w:tcMar>
                                  <w:vAlign w:val="center"/>
                                </w:tcPr>
                                <w:p>
                                  <w:pPr>
                                    <w:pStyle w:val="TableContents"/>
                                    <w:bidi w:val="0"/>
                                    <w:spacing w:before="0" w:after="283"/>
                                    <w:jc w:val="center"/>
                                    <w:rPr>
                                      <w:rFonts w:ascii="Arial" w:hAnsi="Arial"/>
                                      <w:b/>
                                      <w:i w:val="false"/>
                                      <w:caps w:val="false"/>
                                      <w:smallCaps w:val="false"/>
                                      <w:sz w:val="20"/>
                                    </w:rPr>
                                  </w:pPr>
                                  <w:r>
                                    <w:rPr>
                                      <w:rFonts w:ascii="Arial" w:hAnsi="Arial"/>
                                      <w:b/>
                                      <w:i w:val="false"/>
                                      <w:caps w:val="false"/>
                                      <w:smallCaps w:val="false"/>
                                      <w:sz w:val="20"/>
                                    </w:rPr>
                                    <w:t>459</w:t>
                                  </w:r>
                                </w:p>
                              </w:tc>
                              <w:tc>
                                <w:tcPr>
                                  <w:tcW w:w="440" w:type="dxa"/>
                                  <w:tcBorders>
                                    <w:left w:val="single" w:sz="8" w:space="0" w:color="F4AF83"/>
                                    <w:bottom w:val="single" w:sz="8" w:space="0" w:color="F4B083"/>
                                  </w:tcBorders>
                                  <w:shd w:fill="FBE4D5" w:val="clear"/>
                                  <w:tcMar>
                                    <w:top w:w="0" w:type="dxa"/>
                                    <w:bottom w:w="28" w:type="dxa"/>
                                  </w:tcMar>
                                  <w:vAlign w:val="center"/>
                                </w:tcPr>
                                <w:p>
                                  <w:pPr>
                                    <w:pStyle w:val="TableContents"/>
                                    <w:bidi w:val="0"/>
                                    <w:spacing w:before="0" w:after="283"/>
                                    <w:jc w:val="center"/>
                                    <w:rPr>
                                      <w:rFonts w:ascii="Arial" w:hAnsi="Arial"/>
                                      <w:b/>
                                      <w:i w:val="false"/>
                                      <w:caps w:val="false"/>
                                      <w:smallCaps w:val="false"/>
                                      <w:sz w:val="20"/>
                                    </w:rPr>
                                  </w:pPr>
                                  <w:r>
                                    <w:rPr>
                                      <w:rFonts w:ascii="Arial" w:hAnsi="Arial"/>
                                      <w:b/>
                                      <w:i w:val="false"/>
                                      <w:caps w:val="false"/>
                                      <w:smallCaps w:val="false"/>
                                      <w:sz w:val="20"/>
                                    </w:rPr>
                                    <w:t>381</w:t>
                                  </w:r>
                                </w:p>
                              </w:tc>
                              <w:tc>
                                <w:tcPr>
                                  <w:tcW w:w="455" w:type="dxa"/>
                                  <w:tcBorders>
                                    <w:left w:val="single" w:sz="8" w:space="0" w:color="F4AF83"/>
                                    <w:bottom w:val="single" w:sz="8" w:space="0" w:color="F4B083"/>
                                    <w:right w:val="single" w:sz="8" w:space="0" w:color="F4AF83"/>
                                  </w:tcBorders>
                                  <w:shd w:fill="FBE4D5" w:val="clear"/>
                                  <w:tcMar>
                                    <w:top w:w="0" w:type="dxa"/>
                                    <w:bottom w:w="28" w:type="dxa"/>
                                    <w:right w:w="60" w:type="dxa"/>
                                  </w:tcMar>
                                  <w:vAlign w:val="center"/>
                                </w:tcPr>
                                <w:p>
                                  <w:pPr>
                                    <w:pStyle w:val="TableContents"/>
                                    <w:bidi w:val="0"/>
                                    <w:spacing w:before="0" w:after="283"/>
                                    <w:jc w:val="center"/>
                                    <w:rPr>
                                      <w:rFonts w:ascii="Arial" w:hAnsi="Arial"/>
                                      <w:b/>
                                      <w:i w:val="false"/>
                                      <w:caps w:val="false"/>
                                      <w:smallCaps w:val="false"/>
                                      <w:sz w:val="20"/>
                                    </w:rPr>
                                  </w:pPr>
                                  <w:r>
                                    <w:rPr>
                                      <w:rFonts w:ascii="Arial" w:hAnsi="Arial"/>
                                      <w:b/>
                                      <w:i w:val="false"/>
                                      <w:caps w:val="false"/>
                                      <w:smallCaps w:val="false"/>
                                      <w:sz w:val="20"/>
                                    </w:rPr>
                                    <w:t>393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rFonts w:ascii="Arial" w:hAnsi="Arial"/>
                          <w:b/>
                          <w:i w:val="false"/>
                          <w:caps w:val="false"/>
                          <w:smallCaps w:val="false"/>
                          <w:sz w:val="20"/>
                        </w:rPr>
                      </w:pPr>
                      <w:r>
                        <w:rPr>
                          <w:rFonts w:ascii="Arial" w:hAnsi="Arial"/>
                          <w:b/>
                          <w:i w:val="false"/>
                          <w:caps w:val="false"/>
                          <w:smallCaps w:val="false"/>
                          <w:sz w:val="20"/>
                        </w:rPr>
                        <w:t>Distribution by category of valid reports received in the last three years</w:t>
                      </w:r>
                    </w:p>
                    <w:p>
                      <w:pPr>
                        <w:pStyle w:val="TextBody"/>
                        <w:bidi w:val="0"/>
                        <w:spacing w:before="0" w:after="0"/>
                        <w:jc w:val="left"/>
                        <w:rPr>
                          <w:caps w:val="false"/>
                          <w:smallCaps w:val="false"/>
                        </w:rPr>
                      </w:pPr>
                      <w:r>
                        <w:rPr>
                          <w:caps w:val="false"/>
                          <w:smallCaps w:val="false"/>
                        </w:rPr>
                        <w:t> </w:t>
                      </w:r>
                    </w:p>
                    <w:tbl>
                      <w:tblPr>
                        <w:tblW w:w="5075" w:type="dxa"/>
                        <w:jc w:val="left"/>
                        <w:tblInd w:w="-10" w:type="dxa"/>
                        <w:tblLayout w:type="fixed"/>
                        <w:tblCellMar>
                          <w:top w:w="28" w:type="dxa"/>
                          <w:left w:w="60" w:type="dxa"/>
                          <w:bottom w:w="28" w:type="dxa"/>
                          <w:right w:w="0" w:type="dxa"/>
                        </w:tblCellMar>
                      </w:tblPr>
                      <w:tblGrid>
                        <w:gridCol w:w="3740"/>
                        <w:gridCol w:w="440"/>
                        <w:gridCol w:w="440"/>
                        <w:gridCol w:w="455"/>
                      </w:tblGrid>
                      <w:tr>
                        <w:trPr/>
                        <w:tc>
                          <w:tcPr>
                            <w:tcW w:w="3740" w:type="dxa"/>
                            <w:tcBorders>
                              <w:top w:val="single" w:sz="8" w:space="0" w:color="ED7D31"/>
                              <w:left w:val="single" w:sz="8" w:space="0" w:color="F4AF83"/>
                              <w:bottom w:val="single" w:sz="8" w:space="0" w:color="ED7D31"/>
                            </w:tcBorders>
                            <w:shd w:fill="ED7C30" w:val="clear"/>
                            <w:vAlign w:val="center"/>
                          </w:tcPr>
                          <w:p>
                            <w:pPr>
                              <w:pStyle w:val="TableContents"/>
                              <w:bidi w:val="0"/>
                              <w:spacing w:before="0" w:after="283"/>
                              <w:jc w:val="left"/>
                              <w:rPr>
                                <w:rFonts w:ascii="Arial" w:hAnsi="Arial"/>
                                <w:b/>
                                <w:i w:val="false"/>
                                <w:caps w:val="false"/>
                                <w:smallCaps w:val="false"/>
                                <w:color w:val="FFFFFF"/>
                                <w:sz w:val="20"/>
                              </w:rPr>
                            </w:pPr>
                            <w:r>
                              <w:rPr>
                                <w:rFonts w:ascii="Arial" w:hAnsi="Arial"/>
                                <w:b/>
                                <w:i w:val="false"/>
                                <w:caps w:val="false"/>
                                <w:smallCaps w:val="false"/>
                                <w:color w:val="FFFFFF"/>
                                <w:sz w:val="20"/>
                              </w:rPr>
                              <w:t>Valid reports by category</w:t>
                            </w:r>
                          </w:p>
                        </w:tc>
                        <w:tc>
                          <w:tcPr>
                            <w:tcW w:w="440" w:type="dxa"/>
                            <w:tcBorders>
                              <w:top w:val="single" w:sz="8" w:space="0" w:color="ED7D31"/>
                              <w:left w:val="single" w:sz="8" w:space="0" w:color="F4AF83"/>
                              <w:bottom w:val="single" w:sz="8" w:space="0" w:color="ED7D31"/>
                            </w:tcBorders>
                            <w:shd w:fill="ED7C30" w:val="cle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2023</w:t>
                            </w:r>
                          </w:p>
                        </w:tc>
                        <w:tc>
                          <w:tcPr>
                            <w:tcW w:w="440" w:type="dxa"/>
                            <w:tcBorders>
                              <w:top w:val="single" w:sz="8" w:space="0" w:color="ED7D31"/>
                              <w:left w:val="single" w:sz="8" w:space="0" w:color="F4AF83"/>
                              <w:bottom w:val="single" w:sz="8" w:space="0" w:color="ED7D31"/>
                            </w:tcBorders>
                            <w:shd w:fill="ED7C30" w:val="cle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2022</w:t>
                            </w:r>
                          </w:p>
                        </w:tc>
                        <w:tc>
                          <w:tcPr>
                            <w:tcW w:w="455" w:type="dxa"/>
                            <w:tcBorders>
                              <w:top w:val="single" w:sz="8" w:space="0" w:color="ED7D31"/>
                              <w:left w:val="single" w:sz="8" w:space="0" w:color="F4AF83"/>
                              <w:bottom w:val="single" w:sz="8" w:space="0" w:color="ED7D31"/>
                              <w:right w:val="single" w:sz="8" w:space="0" w:color="F4AF83"/>
                            </w:tcBorders>
                            <w:shd w:fill="ED7C30" w:val="clear"/>
                            <w:tcMar>
                              <w:right w:w="60" w:type="dxa"/>
                            </w:tcM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2021</w:t>
                            </w:r>
                          </w:p>
                        </w:tc>
                      </w:tr>
                      <w:tr>
                        <w:trPr/>
                        <w:tc>
                          <w:tcPr>
                            <w:tcW w:w="3740" w:type="dxa"/>
                            <w:tcBorders>
                              <w:left w:val="single" w:sz="8" w:space="0" w:color="F4AF83"/>
                              <w:bottom w:val="single" w:sz="8" w:space="0" w:color="F4B083"/>
                            </w:tcBorders>
                            <w:shd w:fill="FBE4D5" w:val="clear"/>
                            <w:tcMar>
                              <w:top w:w="0"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Workplace hostility</w:t>
                            </w:r>
                          </w:p>
                        </w:tc>
                        <w:tc>
                          <w:tcPr>
                            <w:tcW w:w="440" w:type="dxa"/>
                            <w:tcBorders>
                              <w:left w:val="single" w:sz="8" w:space="0" w:color="F4AF83"/>
                              <w:bottom w:val="single" w:sz="8" w:space="0" w:color="F4B083"/>
                            </w:tcBorders>
                            <w:shd w:fill="FBE4D5" w:val="clear"/>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233</w:t>
                            </w:r>
                          </w:p>
                        </w:tc>
                        <w:tc>
                          <w:tcPr>
                            <w:tcW w:w="440" w:type="dxa"/>
                            <w:tcBorders>
                              <w:left w:val="single" w:sz="8" w:space="0" w:color="F4AF83"/>
                              <w:bottom w:val="single" w:sz="8" w:space="0" w:color="F4B083"/>
                            </w:tcBorders>
                            <w:shd w:fill="FBE4D5" w:val="clear"/>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182</w:t>
                            </w:r>
                          </w:p>
                        </w:tc>
                        <w:tc>
                          <w:tcPr>
                            <w:tcW w:w="455" w:type="dxa"/>
                            <w:tcBorders>
                              <w:left w:val="single" w:sz="8" w:space="0" w:color="F4AF83"/>
                              <w:bottom w:val="single" w:sz="8" w:space="0" w:color="F4B083"/>
                              <w:right w:val="single" w:sz="8" w:space="0" w:color="F4AF83"/>
                            </w:tcBorders>
                            <w:shd w:fill="FBE4D5" w:val="clear"/>
                            <w:tcMar>
                              <w:top w:w="0" w:type="dxa"/>
                              <w:right w:w="6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169</w:t>
                            </w:r>
                          </w:p>
                        </w:tc>
                      </w:tr>
                      <w:tr>
                        <w:trPr/>
                        <w:tc>
                          <w:tcPr>
                            <w:tcW w:w="3740" w:type="dxa"/>
                            <w:tcBorders>
                              <w:left w:val="single" w:sz="8" w:space="0" w:color="F4AF83"/>
                              <w:bottom w:val="single" w:sz="8" w:space="0" w:color="F4B083"/>
                            </w:tcBorders>
                            <w:shd w:fill="FFFFFF" w:val="clear"/>
                            <w:tcMar>
                              <w:top w:w="0"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Unfair practices and conflicts of interest</w:t>
                            </w:r>
                          </w:p>
                        </w:tc>
                        <w:tc>
                          <w:tcPr>
                            <w:tcW w:w="440" w:type="dxa"/>
                            <w:tcBorders>
                              <w:left w:val="single" w:sz="8" w:space="0" w:color="F4AF83"/>
                              <w:bottom w:val="single" w:sz="8" w:space="0" w:color="F4B083"/>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93</w:t>
                            </w:r>
                          </w:p>
                        </w:tc>
                        <w:tc>
                          <w:tcPr>
                            <w:tcW w:w="440" w:type="dxa"/>
                            <w:tcBorders>
                              <w:left w:val="single" w:sz="8" w:space="0" w:color="F4AF83"/>
                              <w:bottom w:val="single" w:sz="8" w:space="0" w:color="F4B083"/>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84</w:t>
                            </w:r>
                          </w:p>
                        </w:tc>
                        <w:tc>
                          <w:tcPr>
                            <w:tcW w:w="455" w:type="dxa"/>
                            <w:tcBorders>
                              <w:left w:val="single" w:sz="8" w:space="0" w:color="F4AF83"/>
                              <w:bottom w:val="single" w:sz="8" w:space="0" w:color="F4B083"/>
                              <w:right w:val="single" w:sz="8" w:space="0" w:color="F4AF83"/>
                            </w:tcBorders>
                            <w:shd w:fill="FFFFFF" w:val="clear"/>
                            <w:tcMar>
                              <w:top w:w="0" w:type="dxa"/>
                              <w:right w:w="6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65</w:t>
                            </w:r>
                          </w:p>
                        </w:tc>
                      </w:tr>
                      <w:tr>
                        <w:trPr/>
                        <w:tc>
                          <w:tcPr>
                            <w:tcW w:w="3740" w:type="dxa"/>
                            <w:tcBorders>
                              <w:left w:val="single" w:sz="8" w:space="0" w:color="F4AF83"/>
                              <w:bottom w:val="single" w:sz="8" w:space="0" w:color="F4B083"/>
                            </w:tcBorders>
                            <w:shd w:fill="FBE4D5" w:val="clear"/>
                            <w:tcMar>
                              <w:top w:w="0"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Fraud</w:t>
                            </w:r>
                          </w:p>
                        </w:tc>
                        <w:tc>
                          <w:tcPr>
                            <w:tcW w:w="440" w:type="dxa"/>
                            <w:tcBorders>
                              <w:left w:val="single" w:sz="8" w:space="0" w:color="F4AF83"/>
                              <w:bottom w:val="single" w:sz="8" w:space="0" w:color="F4B083"/>
                            </w:tcBorders>
                            <w:shd w:fill="FBE4D5" w:val="clear"/>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27</w:t>
                            </w:r>
                          </w:p>
                        </w:tc>
                        <w:tc>
                          <w:tcPr>
                            <w:tcW w:w="440" w:type="dxa"/>
                            <w:tcBorders>
                              <w:left w:val="single" w:sz="8" w:space="0" w:color="F4AF83"/>
                              <w:bottom w:val="single" w:sz="8" w:space="0" w:color="F4B083"/>
                            </w:tcBorders>
                            <w:shd w:fill="FBE4D5" w:val="clear"/>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41</w:t>
                            </w:r>
                          </w:p>
                        </w:tc>
                        <w:tc>
                          <w:tcPr>
                            <w:tcW w:w="455" w:type="dxa"/>
                            <w:tcBorders>
                              <w:left w:val="single" w:sz="8" w:space="0" w:color="F4AF83"/>
                              <w:bottom w:val="single" w:sz="8" w:space="0" w:color="F4B083"/>
                              <w:right w:val="single" w:sz="8" w:space="0" w:color="F4AF83"/>
                            </w:tcBorders>
                            <w:shd w:fill="FBE4D5" w:val="clear"/>
                            <w:tcMar>
                              <w:top w:w="0" w:type="dxa"/>
                              <w:right w:w="6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65</w:t>
                            </w:r>
                          </w:p>
                        </w:tc>
                      </w:tr>
                      <w:tr>
                        <w:trPr/>
                        <w:tc>
                          <w:tcPr>
                            <w:tcW w:w="3740" w:type="dxa"/>
                            <w:tcBorders>
                              <w:left w:val="single" w:sz="8" w:space="0" w:color="F4AF83"/>
                              <w:bottom w:val="single" w:sz="8" w:space="0" w:color="F4B083"/>
                            </w:tcBorders>
                            <w:shd w:fill="FFFFFF" w:val="clear"/>
                            <w:tcMar>
                              <w:top w:w="0"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Unethical behavior</w:t>
                            </w:r>
                          </w:p>
                        </w:tc>
                        <w:tc>
                          <w:tcPr>
                            <w:tcW w:w="440" w:type="dxa"/>
                            <w:tcBorders>
                              <w:left w:val="single" w:sz="8" w:space="0" w:color="F4AF83"/>
                              <w:bottom w:val="single" w:sz="8" w:space="0" w:color="F4B083"/>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55</w:t>
                            </w:r>
                          </w:p>
                        </w:tc>
                        <w:tc>
                          <w:tcPr>
                            <w:tcW w:w="440" w:type="dxa"/>
                            <w:tcBorders>
                              <w:left w:val="single" w:sz="8" w:space="0" w:color="F4AF83"/>
                              <w:bottom w:val="single" w:sz="8" w:space="0" w:color="F4B083"/>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55</w:t>
                            </w:r>
                          </w:p>
                        </w:tc>
                        <w:tc>
                          <w:tcPr>
                            <w:tcW w:w="455" w:type="dxa"/>
                            <w:tcBorders>
                              <w:left w:val="single" w:sz="8" w:space="0" w:color="F4AF83"/>
                              <w:bottom w:val="single" w:sz="8" w:space="0" w:color="F4B083"/>
                              <w:right w:val="single" w:sz="8" w:space="0" w:color="F4AF83"/>
                            </w:tcBorders>
                            <w:shd w:fill="FFFFFF" w:val="clear"/>
                            <w:tcMar>
                              <w:top w:w="0" w:type="dxa"/>
                              <w:right w:w="6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58</w:t>
                            </w:r>
                          </w:p>
                        </w:tc>
                      </w:tr>
                      <w:tr>
                        <w:trPr/>
                        <w:tc>
                          <w:tcPr>
                            <w:tcW w:w="3740" w:type="dxa"/>
                            <w:tcBorders>
                              <w:left w:val="single" w:sz="8" w:space="0" w:color="F4AF83"/>
                              <w:bottom w:val="single" w:sz="8" w:space="0" w:color="F4B083"/>
                            </w:tcBorders>
                            <w:shd w:fill="FBE4D5" w:val="clear"/>
                            <w:tcMar>
                              <w:top w:w="0"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Other</w:t>
                            </w:r>
                          </w:p>
                        </w:tc>
                        <w:tc>
                          <w:tcPr>
                            <w:tcW w:w="440" w:type="dxa"/>
                            <w:tcBorders>
                              <w:left w:val="single" w:sz="8" w:space="0" w:color="F4AF83"/>
                              <w:bottom w:val="single" w:sz="8" w:space="0" w:color="F4B083"/>
                            </w:tcBorders>
                            <w:shd w:fill="FBE4D5" w:val="clear"/>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47</w:t>
                            </w:r>
                          </w:p>
                        </w:tc>
                        <w:tc>
                          <w:tcPr>
                            <w:tcW w:w="440" w:type="dxa"/>
                            <w:tcBorders>
                              <w:left w:val="single" w:sz="8" w:space="0" w:color="F4AF83"/>
                              <w:bottom w:val="single" w:sz="8" w:space="0" w:color="F4B083"/>
                            </w:tcBorders>
                            <w:shd w:fill="FBE4D5" w:val="clear"/>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17</w:t>
                            </w:r>
                          </w:p>
                        </w:tc>
                        <w:tc>
                          <w:tcPr>
                            <w:tcW w:w="455" w:type="dxa"/>
                            <w:tcBorders>
                              <w:left w:val="single" w:sz="8" w:space="0" w:color="F4AF83"/>
                              <w:bottom w:val="single" w:sz="8" w:space="0" w:color="F4B083"/>
                              <w:right w:val="single" w:sz="8" w:space="0" w:color="F4AF83"/>
                            </w:tcBorders>
                            <w:shd w:fill="FBE4D5" w:val="clear"/>
                            <w:tcMar>
                              <w:top w:w="0" w:type="dxa"/>
                              <w:right w:w="6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28</w:t>
                            </w:r>
                          </w:p>
                        </w:tc>
                      </w:tr>
                      <w:tr>
                        <w:trPr/>
                        <w:tc>
                          <w:tcPr>
                            <w:tcW w:w="3740" w:type="dxa"/>
                            <w:tcBorders>
                              <w:left w:val="single" w:sz="8" w:space="0" w:color="F4AF83"/>
                              <w:bottom w:val="single" w:sz="8" w:space="0" w:color="F4B083"/>
                            </w:tcBorders>
                            <w:shd w:fill="FFFFFF" w:val="clear"/>
                            <w:tcMar>
                              <w:top w:w="0"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Bribery and corruption</w:t>
                            </w:r>
                          </w:p>
                        </w:tc>
                        <w:tc>
                          <w:tcPr>
                            <w:tcW w:w="440" w:type="dxa"/>
                            <w:tcBorders>
                              <w:left w:val="single" w:sz="8" w:space="0" w:color="F4AF83"/>
                              <w:bottom w:val="single" w:sz="8" w:space="0" w:color="F4B083"/>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4</w:t>
                            </w:r>
                          </w:p>
                        </w:tc>
                        <w:tc>
                          <w:tcPr>
                            <w:tcW w:w="440" w:type="dxa"/>
                            <w:tcBorders>
                              <w:left w:val="single" w:sz="8" w:space="0" w:color="F4AF83"/>
                              <w:bottom w:val="single" w:sz="8" w:space="0" w:color="F4B083"/>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2</w:t>
                            </w:r>
                          </w:p>
                        </w:tc>
                        <w:tc>
                          <w:tcPr>
                            <w:tcW w:w="455" w:type="dxa"/>
                            <w:tcBorders>
                              <w:left w:val="single" w:sz="8" w:space="0" w:color="F4AF83"/>
                              <w:bottom w:val="single" w:sz="8" w:space="0" w:color="F4B083"/>
                              <w:right w:val="single" w:sz="8" w:space="0" w:color="F4AF83"/>
                            </w:tcBorders>
                            <w:shd w:fill="FFFFFF" w:val="clear"/>
                            <w:tcMar>
                              <w:top w:w="0" w:type="dxa"/>
                              <w:right w:w="6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8</w:t>
                            </w:r>
                          </w:p>
                        </w:tc>
                      </w:tr>
                      <w:tr>
                        <w:trPr/>
                        <w:tc>
                          <w:tcPr>
                            <w:tcW w:w="3740" w:type="dxa"/>
                            <w:tcBorders>
                              <w:left w:val="single" w:sz="8" w:space="0" w:color="F4AF83"/>
                              <w:bottom w:val="single" w:sz="8" w:space="0" w:color="F4B083"/>
                            </w:tcBorders>
                            <w:shd w:fill="FBE4D5" w:val="clear"/>
                            <w:tcMar>
                              <w:top w:w="0"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Total (general)</w:t>
                            </w:r>
                          </w:p>
                        </w:tc>
                        <w:tc>
                          <w:tcPr>
                            <w:tcW w:w="440" w:type="dxa"/>
                            <w:tcBorders>
                              <w:left w:val="single" w:sz="8" w:space="0" w:color="F4AF83"/>
                              <w:bottom w:val="single" w:sz="8" w:space="0" w:color="F4B083"/>
                            </w:tcBorders>
                            <w:shd w:fill="FBE4D5" w:val="clear"/>
                            <w:tcMar>
                              <w:top w:w="0" w:type="dxa"/>
                            </w:tcMar>
                            <w:vAlign w:val="center"/>
                          </w:tcPr>
                          <w:p>
                            <w:pPr>
                              <w:pStyle w:val="TableContents"/>
                              <w:bidi w:val="0"/>
                              <w:spacing w:before="0" w:after="283"/>
                              <w:jc w:val="center"/>
                              <w:rPr>
                                <w:rFonts w:ascii="Arial" w:hAnsi="Arial"/>
                                <w:b/>
                                <w:i w:val="false"/>
                                <w:caps w:val="false"/>
                                <w:smallCaps w:val="false"/>
                                <w:sz w:val="20"/>
                              </w:rPr>
                            </w:pPr>
                            <w:r>
                              <w:rPr>
                                <w:rFonts w:ascii="Arial" w:hAnsi="Arial"/>
                                <w:b/>
                                <w:i w:val="false"/>
                                <w:caps w:val="false"/>
                                <w:smallCaps w:val="false"/>
                                <w:sz w:val="20"/>
                              </w:rPr>
                              <w:t>459</w:t>
                            </w:r>
                          </w:p>
                        </w:tc>
                        <w:tc>
                          <w:tcPr>
                            <w:tcW w:w="440" w:type="dxa"/>
                            <w:tcBorders>
                              <w:left w:val="single" w:sz="8" w:space="0" w:color="F4AF83"/>
                              <w:bottom w:val="single" w:sz="8" w:space="0" w:color="F4B083"/>
                            </w:tcBorders>
                            <w:shd w:fill="FBE4D5" w:val="clear"/>
                            <w:tcMar>
                              <w:top w:w="0" w:type="dxa"/>
                            </w:tcMar>
                            <w:vAlign w:val="center"/>
                          </w:tcPr>
                          <w:p>
                            <w:pPr>
                              <w:pStyle w:val="TableContents"/>
                              <w:bidi w:val="0"/>
                              <w:spacing w:before="0" w:after="283"/>
                              <w:jc w:val="center"/>
                              <w:rPr>
                                <w:rFonts w:ascii="Arial" w:hAnsi="Arial"/>
                                <w:b/>
                                <w:i w:val="false"/>
                                <w:caps w:val="false"/>
                                <w:smallCaps w:val="false"/>
                                <w:sz w:val="20"/>
                              </w:rPr>
                            </w:pPr>
                            <w:r>
                              <w:rPr>
                                <w:rFonts w:ascii="Arial" w:hAnsi="Arial"/>
                                <w:b/>
                                <w:i w:val="false"/>
                                <w:caps w:val="false"/>
                                <w:smallCaps w:val="false"/>
                                <w:sz w:val="20"/>
                              </w:rPr>
                              <w:t>381</w:t>
                            </w:r>
                          </w:p>
                        </w:tc>
                        <w:tc>
                          <w:tcPr>
                            <w:tcW w:w="455" w:type="dxa"/>
                            <w:tcBorders>
                              <w:left w:val="single" w:sz="8" w:space="0" w:color="F4AF83"/>
                              <w:bottom w:val="single" w:sz="8" w:space="0" w:color="F4B083"/>
                              <w:right w:val="single" w:sz="8" w:space="0" w:color="F4AF83"/>
                            </w:tcBorders>
                            <w:shd w:fill="FBE4D5" w:val="clear"/>
                            <w:tcMar>
                              <w:top w:w="0" w:type="dxa"/>
                              <w:right w:w="60" w:type="dxa"/>
                            </w:tcMar>
                            <w:vAlign w:val="center"/>
                          </w:tcPr>
                          <w:p>
                            <w:pPr>
                              <w:pStyle w:val="TableContents"/>
                              <w:bidi w:val="0"/>
                              <w:spacing w:before="0" w:after="283"/>
                              <w:jc w:val="center"/>
                              <w:rPr>
                                <w:rFonts w:ascii="Arial" w:hAnsi="Arial"/>
                                <w:b/>
                                <w:i w:val="false"/>
                                <w:caps w:val="false"/>
                                <w:smallCaps w:val="false"/>
                                <w:sz w:val="20"/>
                              </w:rPr>
                            </w:pPr>
                            <w:r>
                              <w:rPr>
                                <w:rFonts w:ascii="Arial" w:hAnsi="Arial"/>
                                <w:b/>
                                <w:i w:val="false"/>
                                <w:caps w:val="false"/>
                                <w:smallCaps w:val="false"/>
                                <w:sz w:val="20"/>
                              </w:rPr>
                              <w:t>393</w:t>
                            </w:r>
                          </w:p>
                        </w:tc>
                      </w:tr>
                    </w:tbl>
                    <w:p>
                      <w:pPr>
                        <w:pStyle w:val="TextBody"/>
                        <w:bidi w:val="0"/>
                        <w:spacing w:before="0" w:after="0"/>
                        <w:jc w:val="left"/>
                        <w:rPr>
                          <w:caps w:val="false"/>
                          <w:smallCaps w:val="false"/>
                          <w:color w:val="FF0000"/>
                        </w:rPr>
                      </w:pPr>
                      <w:r>
                        <w:rPr>
                          <w:caps w:val="false"/>
                          <w:smallCaps w:val="false"/>
                          <w:color w:val="FF0000"/>
                        </w:rPr>
                        <w:t> </w:t>
                      </w:r>
                    </w:p>
                    <w:p>
                      <w:pPr>
                        <w:pStyle w:val="TextBody"/>
                        <w:bidi w:val="0"/>
                        <w:spacing w:before="0" w:after="0"/>
                        <w:jc w:val="left"/>
                        <w:rPr>
                          <w:rFonts w:ascii="Arial" w:hAnsi="Arial"/>
                          <w:b/>
                          <w:i w:val="false"/>
                          <w:caps w:val="false"/>
                          <w:smallCaps w:val="false"/>
                          <w:sz w:val="20"/>
                        </w:rPr>
                      </w:pPr>
                      <w:r>
                        <w:rPr>
                          <w:rFonts w:ascii="Arial" w:hAnsi="Arial"/>
                          <w:b/>
                          <w:i w:val="false"/>
                          <w:caps w:val="false"/>
                          <w:smallCaps w:val="false"/>
                          <w:sz w:val="20"/>
                        </w:rPr>
                        <w:t>Distribution by company of valid reports received in the last three years</w:t>
                      </w:r>
                    </w:p>
                    <w:p>
                      <w:pPr>
                        <w:pStyle w:val="TextBody"/>
                        <w:bidi w:val="0"/>
                        <w:spacing w:before="0" w:after="0"/>
                        <w:jc w:val="left"/>
                        <w:rPr>
                          <w:caps w:val="false"/>
                          <w:smallCaps w:val="false"/>
                        </w:rPr>
                      </w:pPr>
                      <w:r>
                        <w:rPr>
                          <w:caps w:val="false"/>
                          <w:smallCaps w:val="false"/>
                        </w:rPr>
                        <w:t> </w:t>
                      </w:r>
                    </w:p>
                    <w:tbl>
                      <w:tblPr>
                        <w:tblW w:w="3530" w:type="dxa"/>
                        <w:jc w:val="left"/>
                        <w:tblInd w:w="-10" w:type="dxa"/>
                        <w:tblLayout w:type="fixed"/>
                        <w:tblCellMar>
                          <w:top w:w="28" w:type="dxa"/>
                          <w:left w:w="60" w:type="dxa"/>
                          <w:bottom w:w="0" w:type="dxa"/>
                          <w:right w:w="0" w:type="dxa"/>
                        </w:tblCellMar>
                      </w:tblPr>
                      <w:tblGrid>
                        <w:gridCol w:w="2195"/>
                        <w:gridCol w:w="440"/>
                        <w:gridCol w:w="440"/>
                        <w:gridCol w:w="455"/>
                      </w:tblGrid>
                      <w:tr>
                        <w:trPr/>
                        <w:tc>
                          <w:tcPr>
                            <w:tcW w:w="2195" w:type="dxa"/>
                            <w:tcBorders>
                              <w:top w:val="single" w:sz="8" w:space="0" w:color="ED7D31"/>
                              <w:left w:val="single" w:sz="8" w:space="0" w:color="F4AF83"/>
                            </w:tcBorders>
                            <w:shd w:fill="ED7C30" w:val="cle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Valid reports by the</w:t>
                            </w:r>
                          </w:p>
                        </w:tc>
                        <w:tc>
                          <w:tcPr>
                            <w:tcW w:w="440" w:type="dxa"/>
                            <w:tcBorders>
                              <w:top w:val="single" w:sz="8" w:space="0" w:color="ED7D31"/>
                              <w:left w:val="single" w:sz="8" w:space="0" w:color="F4AF83"/>
                            </w:tcBorders>
                            <w:shd w:fill="ED7C30" w:val="cle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2023</w:t>
                            </w:r>
                          </w:p>
                        </w:tc>
                        <w:tc>
                          <w:tcPr>
                            <w:tcW w:w="440" w:type="dxa"/>
                            <w:tcBorders>
                              <w:top w:val="single" w:sz="8" w:space="0" w:color="ED7D31"/>
                              <w:left w:val="single" w:sz="8" w:space="0" w:color="F4AF83"/>
                            </w:tcBorders>
                            <w:shd w:fill="ED7C30" w:val="cle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2022</w:t>
                            </w:r>
                          </w:p>
                        </w:tc>
                        <w:tc>
                          <w:tcPr>
                            <w:tcW w:w="455" w:type="dxa"/>
                            <w:tcBorders>
                              <w:top w:val="single" w:sz="8" w:space="0" w:color="ED7D31"/>
                              <w:left w:val="single" w:sz="8" w:space="0" w:color="F4AF83"/>
                              <w:right w:val="single" w:sz="8" w:space="0" w:color="F4AF83"/>
                            </w:tcBorders>
                            <w:shd w:fill="ED7C30" w:val="clear"/>
                            <w:tcMar>
                              <w:right w:w="60" w:type="dxa"/>
                            </w:tcM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2021</w:t>
                            </w:r>
                          </w:p>
                        </w:tc>
                      </w:tr>
                      <w:tr>
                        <w:trPr/>
                        <w:tc>
                          <w:tcPr>
                            <w:tcW w:w="2195" w:type="dxa"/>
                            <w:tcBorders>
                              <w:left w:val="single" w:sz="8" w:space="0" w:color="F4AF83"/>
                              <w:bottom w:val="single" w:sz="8" w:space="0" w:color="ED7D31"/>
                            </w:tcBorders>
                            <w:shd w:fill="ED7C30" w:val="clear"/>
                            <w:tcMar>
                              <w:top w:w="0" w:type="dxa"/>
                              <w:bottom w:w="28" w:type="dxa"/>
                            </w:tcM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company</w:t>
                            </w:r>
                          </w:p>
                        </w:tc>
                        <w:tc>
                          <w:tcPr>
                            <w:tcW w:w="440" w:type="dxa"/>
                            <w:tcBorders>
                              <w:left w:val="single" w:sz="8" w:space="0" w:color="F4AF83"/>
                              <w:bottom w:val="single" w:sz="8" w:space="0" w:color="ED7D31"/>
                            </w:tcBorders>
                            <w:shd w:fill="ED7C30"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left w:val="single" w:sz="8" w:space="0" w:color="F4AF83"/>
                              <w:bottom w:val="single" w:sz="8" w:space="0" w:color="ED7D31"/>
                            </w:tcBorders>
                            <w:shd w:fill="ED7C30"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455" w:type="dxa"/>
                            <w:tcBorders>
                              <w:left w:val="single" w:sz="8" w:space="0" w:color="F4AF83"/>
                              <w:bottom w:val="single" w:sz="8" w:space="0" w:color="ED7D31"/>
                              <w:right w:val="single" w:sz="8" w:space="0" w:color="F4AF83"/>
                            </w:tcBorders>
                            <w:shd w:fill="ED7C30" w:val="clear"/>
                            <w:tcMar>
                              <w:top w:w="0" w:type="dxa"/>
                              <w:bottom w:w="28" w:type="dxa"/>
                              <w:right w:w="6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left w:val="single" w:sz="8" w:space="0" w:color="F4AF83"/>
                              <w:bottom w:val="single" w:sz="8" w:space="0" w:color="F4B083"/>
                            </w:tcBorders>
                            <w:shd w:fill="FBE4D5" w:val="clear"/>
                            <w:tcMar>
                              <w:top w:w="0" w:type="dxa"/>
                              <w:bottom w:w="28"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BCP</w:t>
                            </w:r>
                          </w:p>
                        </w:tc>
                        <w:tc>
                          <w:tcPr>
                            <w:tcW w:w="440" w:type="dxa"/>
                            <w:tcBorders>
                              <w:left w:val="single" w:sz="8" w:space="0" w:color="F4AF83"/>
                              <w:bottom w:val="single" w:sz="8" w:space="0" w:color="F4B083"/>
                            </w:tcBorders>
                            <w:shd w:fill="FBE4D5" w:val="clear"/>
                            <w:tcMar>
                              <w:top w:w="0" w:type="dxa"/>
                              <w:bottom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290</w:t>
                            </w:r>
                          </w:p>
                        </w:tc>
                        <w:tc>
                          <w:tcPr>
                            <w:tcW w:w="440" w:type="dxa"/>
                            <w:tcBorders>
                              <w:left w:val="single" w:sz="8" w:space="0" w:color="F4AF83"/>
                              <w:bottom w:val="single" w:sz="8" w:space="0" w:color="F4B083"/>
                            </w:tcBorders>
                            <w:shd w:fill="FBE4D5" w:val="clear"/>
                            <w:tcMar>
                              <w:top w:w="0" w:type="dxa"/>
                              <w:bottom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254</w:t>
                            </w:r>
                          </w:p>
                        </w:tc>
                        <w:tc>
                          <w:tcPr>
                            <w:tcW w:w="455" w:type="dxa"/>
                            <w:tcBorders>
                              <w:left w:val="single" w:sz="8" w:space="0" w:color="F4AF83"/>
                              <w:bottom w:val="single" w:sz="8" w:space="0" w:color="F4B083"/>
                              <w:right w:val="single" w:sz="8" w:space="0" w:color="F4AF83"/>
                            </w:tcBorders>
                            <w:shd w:fill="FBE4D5" w:val="clear"/>
                            <w:tcMar>
                              <w:top w:w="0" w:type="dxa"/>
                              <w:bottom w:w="28" w:type="dxa"/>
                              <w:right w:w="6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250</w:t>
                            </w:r>
                          </w:p>
                        </w:tc>
                      </w:tr>
                      <w:tr>
                        <w:trPr/>
                        <w:tc>
                          <w:tcPr>
                            <w:tcW w:w="2195" w:type="dxa"/>
                            <w:tcBorders>
                              <w:left w:val="single" w:sz="8" w:space="0" w:color="F4AF83"/>
                              <w:bottom w:val="single" w:sz="8" w:space="0" w:color="F4B083"/>
                            </w:tcBorders>
                            <w:shd w:fill="FFFFFF" w:val="clear"/>
                            <w:tcMar>
                              <w:top w:w="0" w:type="dxa"/>
                              <w:bottom w:w="28"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Mibanco</w:t>
                            </w:r>
                          </w:p>
                        </w:tc>
                        <w:tc>
                          <w:tcPr>
                            <w:tcW w:w="440" w:type="dxa"/>
                            <w:tcBorders>
                              <w:left w:val="single" w:sz="8" w:space="0" w:color="F4AF83"/>
                              <w:bottom w:val="single" w:sz="8" w:space="0" w:color="F4B083"/>
                            </w:tcBorders>
                            <w:shd w:fill="FFFFFF" w:val="clear"/>
                            <w:tcMar>
                              <w:top w:w="0" w:type="dxa"/>
                              <w:bottom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105</w:t>
                            </w:r>
                          </w:p>
                        </w:tc>
                        <w:tc>
                          <w:tcPr>
                            <w:tcW w:w="440" w:type="dxa"/>
                            <w:tcBorders>
                              <w:left w:val="single" w:sz="8" w:space="0" w:color="F4AF83"/>
                              <w:bottom w:val="single" w:sz="8" w:space="0" w:color="F4B083"/>
                            </w:tcBorders>
                            <w:shd w:fill="FFFFFF" w:val="clear"/>
                            <w:tcMar>
                              <w:top w:w="0" w:type="dxa"/>
                              <w:bottom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80</w:t>
                            </w:r>
                          </w:p>
                        </w:tc>
                        <w:tc>
                          <w:tcPr>
                            <w:tcW w:w="455" w:type="dxa"/>
                            <w:tcBorders>
                              <w:left w:val="single" w:sz="8" w:space="0" w:color="F4AF83"/>
                              <w:bottom w:val="single" w:sz="8" w:space="0" w:color="F4B083"/>
                              <w:right w:val="single" w:sz="8" w:space="0" w:color="F4AF83"/>
                            </w:tcBorders>
                            <w:shd w:fill="FFFFFF" w:val="clear"/>
                            <w:tcMar>
                              <w:top w:w="0" w:type="dxa"/>
                              <w:bottom w:w="28" w:type="dxa"/>
                              <w:right w:w="6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92</w:t>
                            </w:r>
                          </w:p>
                        </w:tc>
                      </w:tr>
                      <w:tr>
                        <w:trPr/>
                        <w:tc>
                          <w:tcPr>
                            <w:tcW w:w="2195" w:type="dxa"/>
                            <w:tcBorders>
                              <w:left w:val="single" w:sz="8" w:space="0" w:color="F4AF83"/>
                              <w:bottom w:val="single" w:sz="8" w:space="0" w:color="F4B083"/>
                            </w:tcBorders>
                            <w:shd w:fill="FBE4D5" w:val="clear"/>
                            <w:tcMar>
                              <w:top w:w="0" w:type="dxa"/>
                              <w:bottom w:w="28"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Mibanco Colombia</w:t>
                            </w:r>
                          </w:p>
                        </w:tc>
                        <w:tc>
                          <w:tcPr>
                            <w:tcW w:w="440" w:type="dxa"/>
                            <w:tcBorders>
                              <w:left w:val="single" w:sz="8" w:space="0" w:color="F4AF83"/>
                              <w:bottom w:val="single" w:sz="8" w:space="0" w:color="F4B083"/>
                            </w:tcBorders>
                            <w:shd w:fill="FBE4D5" w:val="clear"/>
                            <w:tcMar>
                              <w:top w:w="0" w:type="dxa"/>
                              <w:bottom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15</w:t>
                            </w:r>
                          </w:p>
                        </w:tc>
                        <w:tc>
                          <w:tcPr>
                            <w:tcW w:w="440" w:type="dxa"/>
                            <w:tcBorders>
                              <w:left w:val="single" w:sz="8" w:space="0" w:color="F4AF83"/>
                              <w:bottom w:val="single" w:sz="8" w:space="0" w:color="F4B083"/>
                            </w:tcBorders>
                            <w:shd w:fill="FBE4D5" w:val="clear"/>
                            <w:tcMar>
                              <w:top w:w="0" w:type="dxa"/>
                              <w:bottom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8</w:t>
                            </w:r>
                          </w:p>
                        </w:tc>
                        <w:tc>
                          <w:tcPr>
                            <w:tcW w:w="455" w:type="dxa"/>
                            <w:tcBorders>
                              <w:left w:val="single" w:sz="8" w:space="0" w:color="F4AF83"/>
                              <w:bottom w:val="single" w:sz="8" w:space="0" w:color="F4B083"/>
                              <w:right w:val="single" w:sz="8" w:space="0" w:color="F4AF83"/>
                            </w:tcBorders>
                            <w:shd w:fill="FBE4D5" w:val="clear"/>
                            <w:tcMar>
                              <w:top w:w="0" w:type="dxa"/>
                              <w:bottom w:w="28" w:type="dxa"/>
                              <w:right w:w="6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15</w:t>
                            </w:r>
                          </w:p>
                        </w:tc>
                      </w:tr>
                      <w:tr>
                        <w:trPr/>
                        <w:tc>
                          <w:tcPr>
                            <w:tcW w:w="2195" w:type="dxa"/>
                            <w:tcBorders>
                              <w:left w:val="single" w:sz="8" w:space="0" w:color="F4AF83"/>
                              <w:bottom w:val="single" w:sz="8" w:space="0" w:color="F4B083"/>
                            </w:tcBorders>
                            <w:shd w:fill="FFFFFF" w:val="clear"/>
                            <w:tcMar>
                              <w:top w:w="0" w:type="dxa"/>
                              <w:bottom w:w="28"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BCP Bolivia</w:t>
                            </w:r>
                          </w:p>
                        </w:tc>
                        <w:tc>
                          <w:tcPr>
                            <w:tcW w:w="440" w:type="dxa"/>
                            <w:tcBorders>
                              <w:left w:val="single" w:sz="8" w:space="0" w:color="F4AF83"/>
                              <w:bottom w:val="single" w:sz="8" w:space="0" w:color="F4B083"/>
                            </w:tcBorders>
                            <w:shd w:fill="FFFFFF" w:val="clear"/>
                            <w:tcMar>
                              <w:top w:w="0" w:type="dxa"/>
                              <w:bottom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25</w:t>
                            </w:r>
                          </w:p>
                        </w:tc>
                        <w:tc>
                          <w:tcPr>
                            <w:tcW w:w="440" w:type="dxa"/>
                            <w:tcBorders>
                              <w:left w:val="single" w:sz="8" w:space="0" w:color="F4AF83"/>
                              <w:bottom w:val="single" w:sz="8" w:space="0" w:color="F4B083"/>
                            </w:tcBorders>
                            <w:shd w:fill="FFFFFF" w:val="clear"/>
                            <w:tcMar>
                              <w:top w:w="0" w:type="dxa"/>
                              <w:bottom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23</w:t>
                            </w:r>
                          </w:p>
                        </w:tc>
                        <w:tc>
                          <w:tcPr>
                            <w:tcW w:w="455" w:type="dxa"/>
                            <w:tcBorders>
                              <w:left w:val="single" w:sz="8" w:space="0" w:color="F4AF83"/>
                              <w:bottom w:val="single" w:sz="8" w:space="0" w:color="F4B083"/>
                              <w:right w:val="single" w:sz="8" w:space="0" w:color="F4AF83"/>
                            </w:tcBorders>
                            <w:shd w:fill="FFFFFF" w:val="clear"/>
                            <w:tcMar>
                              <w:top w:w="0" w:type="dxa"/>
                              <w:bottom w:w="28" w:type="dxa"/>
                              <w:right w:w="6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15</w:t>
                            </w:r>
                          </w:p>
                        </w:tc>
                      </w:tr>
                      <w:tr>
                        <w:trPr/>
                        <w:tc>
                          <w:tcPr>
                            <w:tcW w:w="2195" w:type="dxa"/>
                            <w:tcBorders>
                              <w:left w:val="single" w:sz="8" w:space="0" w:color="F4AF83"/>
                            </w:tcBorders>
                            <w:shd w:fill="FBE4D5" w:val="clear"/>
                            <w:tcMar>
                              <w:top w:w="0"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Credicorp Capital</w:t>
                            </w:r>
                          </w:p>
                        </w:tc>
                        <w:tc>
                          <w:tcPr>
                            <w:tcW w:w="440" w:type="dxa"/>
                            <w:tcBorders>
                              <w:left w:val="single" w:sz="8" w:space="0" w:color="F4AF83"/>
                            </w:tcBorders>
                            <w:shd w:fill="FBE4D5" w:val="clear"/>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2</w:t>
                            </w:r>
                          </w:p>
                        </w:tc>
                        <w:tc>
                          <w:tcPr>
                            <w:tcW w:w="440" w:type="dxa"/>
                            <w:tcBorders>
                              <w:left w:val="single" w:sz="8" w:space="0" w:color="F4AF83"/>
                            </w:tcBorders>
                            <w:shd w:fill="FBE4D5" w:val="clear"/>
                            <w:tcMar>
                              <w:top w:w="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6</w:t>
                            </w:r>
                          </w:p>
                        </w:tc>
                        <w:tc>
                          <w:tcPr>
                            <w:tcW w:w="455" w:type="dxa"/>
                            <w:tcBorders>
                              <w:left w:val="single" w:sz="8" w:space="0" w:color="F4AF83"/>
                              <w:right w:val="single" w:sz="8" w:space="0" w:color="F4AF83"/>
                            </w:tcBorders>
                            <w:shd w:fill="FBE4D5" w:val="clear"/>
                            <w:tcMar>
                              <w:top w:w="0" w:type="dxa"/>
                              <w:right w:w="6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6</w:t>
                            </w:r>
                          </w:p>
                        </w:tc>
                      </w:tr>
                      <w:tr>
                        <w:trPr/>
                        <w:tc>
                          <w:tcPr>
                            <w:tcW w:w="2195" w:type="dxa"/>
                            <w:tcBorders>
                              <w:left w:val="single" w:sz="8" w:space="0" w:color="F4AF83"/>
                              <w:bottom w:val="single" w:sz="8" w:space="0" w:color="F4B083"/>
                            </w:tcBorders>
                            <w:shd w:fill="FBE4D5" w:val="clear"/>
                            <w:tcMar>
                              <w:top w:w="0" w:type="dxa"/>
                              <w:bottom w:w="28"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Colombia</w:t>
                            </w:r>
                          </w:p>
                        </w:tc>
                        <w:tc>
                          <w:tcPr>
                            <w:tcW w:w="440" w:type="dxa"/>
                            <w:tcBorders>
                              <w:left w:val="single" w:sz="8" w:space="0" w:color="F4AF83"/>
                              <w:bottom w:val="single" w:sz="8" w:space="0" w:color="F4B083"/>
                            </w:tcBorders>
                            <w:shd w:fill="FBE4D5"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left w:val="single" w:sz="8" w:space="0" w:color="F4AF83"/>
                              <w:bottom w:val="single" w:sz="8" w:space="0" w:color="F4B083"/>
                            </w:tcBorders>
                            <w:shd w:fill="FBE4D5"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455" w:type="dxa"/>
                            <w:tcBorders>
                              <w:left w:val="single" w:sz="8" w:space="0" w:color="F4AF83"/>
                              <w:bottom w:val="single" w:sz="8" w:space="0" w:color="F4B083"/>
                              <w:right w:val="single" w:sz="8" w:space="0" w:color="F4AF83"/>
                            </w:tcBorders>
                            <w:shd w:fill="FBE4D5" w:val="clear"/>
                            <w:tcMar>
                              <w:top w:w="0" w:type="dxa"/>
                              <w:bottom w:w="28" w:type="dxa"/>
                              <w:right w:w="6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left w:val="single" w:sz="8" w:space="0" w:color="F4AF83"/>
                              <w:bottom w:val="single" w:sz="8" w:space="0" w:color="F4B083"/>
                            </w:tcBorders>
                            <w:shd w:fill="FFFFFF" w:val="clear"/>
                            <w:tcMar>
                              <w:top w:w="0" w:type="dxa"/>
                              <w:bottom w:w="28"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Pacífico Seguros</w:t>
                            </w:r>
                          </w:p>
                        </w:tc>
                        <w:tc>
                          <w:tcPr>
                            <w:tcW w:w="440" w:type="dxa"/>
                            <w:tcBorders>
                              <w:left w:val="single" w:sz="8" w:space="0" w:color="F4AF83"/>
                              <w:bottom w:val="single" w:sz="8" w:space="0" w:color="F4B083"/>
                            </w:tcBorders>
                            <w:shd w:fill="FFFFFF" w:val="clear"/>
                            <w:tcMar>
                              <w:top w:w="0" w:type="dxa"/>
                              <w:bottom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12</w:t>
                            </w:r>
                          </w:p>
                        </w:tc>
                        <w:tc>
                          <w:tcPr>
                            <w:tcW w:w="440" w:type="dxa"/>
                            <w:tcBorders>
                              <w:left w:val="single" w:sz="8" w:space="0" w:color="F4AF83"/>
                              <w:bottom w:val="single" w:sz="8" w:space="0" w:color="F4B083"/>
                            </w:tcBorders>
                            <w:shd w:fill="FFFFFF" w:val="clear"/>
                            <w:tcMar>
                              <w:top w:w="0" w:type="dxa"/>
                              <w:bottom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5</w:t>
                            </w:r>
                          </w:p>
                        </w:tc>
                        <w:tc>
                          <w:tcPr>
                            <w:tcW w:w="455" w:type="dxa"/>
                            <w:tcBorders>
                              <w:left w:val="single" w:sz="8" w:space="0" w:color="F4AF83"/>
                              <w:bottom w:val="single" w:sz="8" w:space="0" w:color="F4B083"/>
                              <w:right w:val="single" w:sz="8" w:space="0" w:color="F4AF83"/>
                            </w:tcBorders>
                            <w:shd w:fill="FFFFFF" w:val="clear"/>
                            <w:tcMar>
                              <w:top w:w="0" w:type="dxa"/>
                              <w:bottom w:w="28" w:type="dxa"/>
                              <w:right w:w="6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13</w:t>
                            </w:r>
                          </w:p>
                        </w:tc>
                      </w:tr>
                      <w:tr>
                        <w:trPr/>
                        <w:tc>
                          <w:tcPr>
                            <w:tcW w:w="2195" w:type="dxa"/>
                            <w:tcBorders>
                              <w:left w:val="single" w:sz="8" w:space="0" w:color="F4AF83"/>
                              <w:bottom w:val="single" w:sz="8" w:space="0" w:color="F4B083"/>
                            </w:tcBorders>
                            <w:shd w:fill="FBE4D5" w:val="clear"/>
                            <w:tcMar>
                              <w:top w:w="0" w:type="dxa"/>
                              <w:bottom w:w="28"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Prima AFP</w:t>
                            </w:r>
                          </w:p>
                        </w:tc>
                        <w:tc>
                          <w:tcPr>
                            <w:tcW w:w="440" w:type="dxa"/>
                            <w:tcBorders>
                              <w:left w:val="single" w:sz="8" w:space="0" w:color="F4AF83"/>
                              <w:bottom w:val="single" w:sz="8" w:space="0" w:color="F4B083"/>
                            </w:tcBorders>
                            <w:shd w:fill="FBE4D5" w:val="clear"/>
                            <w:tcMar>
                              <w:top w:w="0" w:type="dxa"/>
                              <w:bottom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3</w:t>
                            </w:r>
                          </w:p>
                        </w:tc>
                        <w:tc>
                          <w:tcPr>
                            <w:tcW w:w="440" w:type="dxa"/>
                            <w:tcBorders>
                              <w:left w:val="single" w:sz="8" w:space="0" w:color="F4AF83"/>
                              <w:bottom w:val="single" w:sz="8" w:space="0" w:color="F4B083"/>
                            </w:tcBorders>
                            <w:shd w:fill="FBE4D5" w:val="clear"/>
                            <w:tcMar>
                              <w:top w:w="0" w:type="dxa"/>
                              <w:bottom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0</w:t>
                            </w:r>
                          </w:p>
                        </w:tc>
                        <w:tc>
                          <w:tcPr>
                            <w:tcW w:w="455" w:type="dxa"/>
                            <w:tcBorders>
                              <w:left w:val="single" w:sz="8" w:space="0" w:color="F4AF83"/>
                              <w:bottom w:val="single" w:sz="8" w:space="0" w:color="F4B083"/>
                              <w:right w:val="single" w:sz="8" w:space="0" w:color="F4AF83"/>
                            </w:tcBorders>
                            <w:shd w:fill="FBE4D5" w:val="clear"/>
                            <w:tcMar>
                              <w:top w:w="0" w:type="dxa"/>
                              <w:bottom w:w="28" w:type="dxa"/>
                              <w:right w:w="6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w:t>
                            </w:r>
                          </w:p>
                        </w:tc>
                      </w:tr>
                      <w:tr>
                        <w:trPr/>
                        <w:tc>
                          <w:tcPr>
                            <w:tcW w:w="2195" w:type="dxa"/>
                            <w:tcBorders>
                              <w:left w:val="single" w:sz="8" w:space="0" w:color="F4AF83"/>
                              <w:bottom w:val="single" w:sz="8" w:space="0" w:color="F4B083"/>
                            </w:tcBorders>
                            <w:shd w:fill="FFFFFF" w:val="clear"/>
                            <w:tcMar>
                              <w:top w:w="0" w:type="dxa"/>
                              <w:bottom w:w="28"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Credicorp Capital Perú</w:t>
                            </w:r>
                          </w:p>
                        </w:tc>
                        <w:tc>
                          <w:tcPr>
                            <w:tcW w:w="440" w:type="dxa"/>
                            <w:tcBorders>
                              <w:left w:val="single" w:sz="8" w:space="0" w:color="F4AF83"/>
                              <w:bottom w:val="single" w:sz="8" w:space="0" w:color="F4B083"/>
                            </w:tcBorders>
                            <w:shd w:fill="FFFFFF" w:val="clear"/>
                            <w:tcMar>
                              <w:top w:w="0" w:type="dxa"/>
                              <w:bottom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w:t>
                            </w:r>
                          </w:p>
                        </w:tc>
                        <w:tc>
                          <w:tcPr>
                            <w:tcW w:w="440" w:type="dxa"/>
                            <w:tcBorders>
                              <w:left w:val="single" w:sz="8" w:space="0" w:color="F4AF83"/>
                              <w:bottom w:val="single" w:sz="8" w:space="0" w:color="F4B083"/>
                            </w:tcBorders>
                            <w:shd w:fill="FFFFFF" w:val="clear"/>
                            <w:tcMar>
                              <w:top w:w="0" w:type="dxa"/>
                              <w:bottom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2</w:t>
                            </w:r>
                          </w:p>
                        </w:tc>
                        <w:tc>
                          <w:tcPr>
                            <w:tcW w:w="455" w:type="dxa"/>
                            <w:tcBorders>
                              <w:left w:val="single" w:sz="8" w:space="0" w:color="F4AF83"/>
                              <w:bottom w:val="single" w:sz="8" w:space="0" w:color="F4B083"/>
                              <w:right w:val="single" w:sz="8" w:space="0" w:color="F4AF83"/>
                            </w:tcBorders>
                            <w:shd w:fill="FFFFFF" w:val="clear"/>
                            <w:tcMar>
                              <w:top w:w="0" w:type="dxa"/>
                              <w:bottom w:w="28" w:type="dxa"/>
                              <w:right w:w="6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1</w:t>
                            </w:r>
                          </w:p>
                        </w:tc>
                      </w:tr>
                      <w:tr>
                        <w:trPr/>
                        <w:tc>
                          <w:tcPr>
                            <w:tcW w:w="2195" w:type="dxa"/>
                            <w:tcBorders>
                              <w:left w:val="single" w:sz="8" w:space="0" w:color="F4AF83"/>
                              <w:bottom w:val="single" w:sz="8" w:space="0" w:color="F4B083"/>
                            </w:tcBorders>
                            <w:shd w:fill="FBE4D5" w:val="clear"/>
                            <w:tcMar>
                              <w:top w:w="0" w:type="dxa"/>
                              <w:bottom w:w="28"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Credicorp Capital Chile</w:t>
                            </w:r>
                          </w:p>
                        </w:tc>
                        <w:tc>
                          <w:tcPr>
                            <w:tcW w:w="440" w:type="dxa"/>
                            <w:tcBorders>
                              <w:left w:val="single" w:sz="8" w:space="0" w:color="F4AF83"/>
                              <w:bottom w:val="single" w:sz="8" w:space="0" w:color="F4B083"/>
                            </w:tcBorders>
                            <w:shd w:fill="FBE4D5" w:val="clear"/>
                            <w:tcMar>
                              <w:top w:w="0" w:type="dxa"/>
                              <w:bottom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0</w:t>
                            </w:r>
                          </w:p>
                        </w:tc>
                        <w:tc>
                          <w:tcPr>
                            <w:tcW w:w="440" w:type="dxa"/>
                            <w:tcBorders>
                              <w:left w:val="single" w:sz="8" w:space="0" w:color="F4AF83"/>
                              <w:bottom w:val="single" w:sz="8" w:space="0" w:color="F4B083"/>
                            </w:tcBorders>
                            <w:shd w:fill="FBE4D5" w:val="clear"/>
                            <w:tcMar>
                              <w:top w:w="0" w:type="dxa"/>
                              <w:bottom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0</w:t>
                            </w:r>
                          </w:p>
                        </w:tc>
                        <w:tc>
                          <w:tcPr>
                            <w:tcW w:w="455" w:type="dxa"/>
                            <w:tcBorders>
                              <w:left w:val="single" w:sz="8" w:space="0" w:color="F4AF83"/>
                              <w:bottom w:val="single" w:sz="8" w:space="0" w:color="F4B083"/>
                              <w:right w:val="single" w:sz="8" w:space="0" w:color="F4AF83"/>
                            </w:tcBorders>
                            <w:shd w:fill="FBE4D5" w:val="clear"/>
                            <w:tcMar>
                              <w:top w:w="0" w:type="dxa"/>
                              <w:bottom w:w="28" w:type="dxa"/>
                              <w:right w:w="6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0</w:t>
                            </w:r>
                          </w:p>
                        </w:tc>
                      </w:tr>
                      <w:tr>
                        <w:trPr/>
                        <w:tc>
                          <w:tcPr>
                            <w:tcW w:w="2195" w:type="dxa"/>
                            <w:tcBorders>
                              <w:left w:val="single" w:sz="8" w:space="0" w:color="F4AF83"/>
                              <w:bottom w:val="single" w:sz="8" w:space="0" w:color="F4B083"/>
                            </w:tcBorders>
                            <w:shd w:fill="FFFFFF" w:val="clear"/>
                            <w:tcMar>
                              <w:top w:w="0" w:type="dxa"/>
                              <w:bottom w:w="28"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Other</w:t>
                            </w:r>
                          </w:p>
                        </w:tc>
                        <w:tc>
                          <w:tcPr>
                            <w:tcW w:w="440" w:type="dxa"/>
                            <w:tcBorders>
                              <w:left w:val="single" w:sz="8" w:space="0" w:color="F4AF83"/>
                              <w:bottom w:val="single" w:sz="8" w:space="0" w:color="F4B083"/>
                            </w:tcBorders>
                            <w:shd w:fill="FFFFFF" w:val="clear"/>
                            <w:tcMar>
                              <w:top w:w="0" w:type="dxa"/>
                              <w:bottom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6</w:t>
                            </w:r>
                          </w:p>
                        </w:tc>
                        <w:tc>
                          <w:tcPr>
                            <w:tcW w:w="440" w:type="dxa"/>
                            <w:tcBorders>
                              <w:left w:val="single" w:sz="8" w:space="0" w:color="F4AF83"/>
                              <w:bottom w:val="single" w:sz="8" w:space="0" w:color="F4B083"/>
                            </w:tcBorders>
                            <w:shd w:fill="FFFFFF" w:val="clear"/>
                            <w:tcMar>
                              <w:top w:w="0" w:type="dxa"/>
                              <w:bottom w:w="28"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3</w:t>
                            </w:r>
                          </w:p>
                        </w:tc>
                        <w:tc>
                          <w:tcPr>
                            <w:tcW w:w="455" w:type="dxa"/>
                            <w:tcBorders>
                              <w:left w:val="single" w:sz="8" w:space="0" w:color="F4AF83"/>
                              <w:bottom w:val="single" w:sz="8" w:space="0" w:color="F4B083"/>
                              <w:right w:val="single" w:sz="8" w:space="0" w:color="F4AF83"/>
                            </w:tcBorders>
                            <w:shd w:fill="FFFFFF" w:val="clear"/>
                            <w:tcMar>
                              <w:top w:w="0" w:type="dxa"/>
                              <w:bottom w:w="28" w:type="dxa"/>
                              <w:right w:w="60" w:type="dxa"/>
                            </w:tcM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val="false"/>
                                <w:i w:val="false"/>
                                <w:caps w:val="false"/>
                                <w:smallCaps w:val="false"/>
                                <w:sz w:val="20"/>
                              </w:rPr>
                              <w:t>0</w:t>
                            </w:r>
                          </w:p>
                        </w:tc>
                      </w:tr>
                      <w:tr>
                        <w:trPr/>
                        <w:tc>
                          <w:tcPr>
                            <w:tcW w:w="2195" w:type="dxa"/>
                            <w:tcBorders>
                              <w:left w:val="single" w:sz="8" w:space="0" w:color="F4AF83"/>
                              <w:bottom w:val="single" w:sz="8" w:space="0" w:color="F4B083"/>
                            </w:tcBorders>
                            <w:shd w:fill="FBE4D5" w:val="clear"/>
                            <w:tcMar>
                              <w:top w:w="0" w:type="dxa"/>
                              <w:bottom w:w="28"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Total (general)</w:t>
                            </w:r>
                          </w:p>
                        </w:tc>
                        <w:tc>
                          <w:tcPr>
                            <w:tcW w:w="440" w:type="dxa"/>
                            <w:tcBorders>
                              <w:left w:val="single" w:sz="8" w:space="0" w:color="F4AF83"/>
                              <w:bottom w:val="single" w:sz="8" w:space="0" w:color="F4B083"/>
                            </w:tcBorders>
                            <w:shd w:fill="FBE4D5" w:val="clear"/>
                            <w:tcMar>
                              <w:top w:w="0" w:type="dxa"/>
                              <w:bottom w:w="28" w:type="dxa"/>
                            </w:tcMar>
                            <w:vAlign w:val="center"/>
                          </w:tcPr>
                          <w:p>
                            <w:pPr>
                              <w:pStyle w:val="TableContents"/>
                              <w:bidi w:val="0"/>
                              <w:spacing w:before="0" w:after="283"/>
                              <w:jc w:val="center"/>
                              <w:rPr>
                                <w:rFonts w:ascii="Arial" w:hAnsi="Arial"/>
                                <w:b/>
                                <w:i w:val="false"/>
                                <w:caps w:val="false"/>
                                <w:smallCaps w:val="false"/>
                                <w:sz w:val="20"/>
                              </w:rPr>
                            </w:pPr>
                            <w:r>
                              <w:rPr>
                                <w:rFonts w:ascii="Arial" w:hAnsi="Arial"/>
                                <w:b/>
                                <w:i w:val="false"/>
                                <w:caps w:val="false"/>
                                <w:smallCaps w:val="false"/>
                                <w:sz w:val="20"/>
                              </w:rPr>
                              <w:t>459</w:t>
                            </w:r>
                          </w:p>
                        </w:tc>
                        <w:tc>
                          <w:tcPr>
                            <w:tcW w:w="440" w:type="dxa"/>
                            <w:tcBorders>
                              <w:left w:val="single" w:sz="8" w:space="0" w:color="F4AF83"/>
                              <w:bottom w:val="single" w:sz="8" w:space="0" w:color="F4B083"/>
                            </w:tcBorders>
                            <w:shd w:fill="FBE4D5" w:val="clear"/>
                            <w:tcMar>
                              <w:top w:w="0" w:type="dxa"/>
                              <w:bottom w:w="28" w:type="dxa"/>
                            </w:tcMar>
                            <w:vAlign w:val="center"/>
                          </w:tcPr>
                          <w:p>
                            <w:pPr>
                              <w:pStyle w:val="TableContents"/>
                              <w:bidi w:val="0"/>
                              <w:spacing w:before="0" w:after="283"/>
                              <w:jc w:val="center"/>
                              <w:rPr>
                                <w:rFonts w:ascii="Arial" w:hAnsi="Arial"/>
                                <w:b/>
                                <w:i w:val="false"/>
                                <w:caps w:val="false"/>
                                <w:smallCaps w:val="false"/>
                                <w:sz w:val="20"/>
                              </w:rPr>
                            </w:pPr>
                            <w:r>
                              <w:rPr>
                                <w:rFonts w:ascii="Arial" w:hAnsi="Arial"/>
                                <w:b/>
                                <w:i w:val="false"/>
                                <w:caps w:val="false"/>
                                <w:smallCaps w:val="false"/>
                                <w:sz w:val="20"/>
                              </w:rPr>
                              <w:t>381</w:t>
                            </w:r>
                          </w:p>
                        </w:tc>
                        <w:tc>
                          <w:tcPr>
                            <w:tcW w:w="455" w:type="dxa"/>
                            <w:tcBorders>
                              <w:left w:val="single" w:sz="8" w:space="0" w:color="F4AF83"/>
                              <w:bottom w:val="single" w:sz="8" w:space="0" w:color="F4B083"/>
                              <w:right w:val="single" w:sz="8" w:space="0" w:color="F4AF83"/>
                            </w:tcBorders>
                            <w:shd w:fill="FBE4D5" w:val="clear"/>
                            <w:tcMar>
                              <w:top w:w="0" w:type="dxa"/>
                              <w:bottom w:w="28" w:type="dxa"/>
                              <w:right w:w="60" w:type="dxa"/>
                            </w:tcMar>
                            <w:vAlign w:val="center"/>
                          </w:tcPr>
                          <w:p>
                            <w:pPr>
                              <w:pStyle w:val="TableContents"/>
                              <w:bidi w:val="0"/>
                              <w:spacing w:before="0" w:after="283"/>
                              <w:jc w:val="center"/>
                              <w:rPr>
                                <w:rFonts w:ascii="Arial" w:hAnsi="Arial"/>
                                <w:b/>
                                <w:i w:val="false"/>
                                <w:caps w:val="false"/>
                                <w:smallCaps w:val="false"/>
                                <w:sz w:val="20"/>
                              </w:rPr>
                            </w:pPr>
                            <w:r>
                              <w:rPr>
                                <w:rFonts w:ascii="Arial" w:hAnsi="Arial"/>
                                <w:b/>
                                <w:i w:val="false"/>
                                <w:caps w:val="false"/>
                                <w:smallCaps w:val="false"/>
                                <w:sz w:val="20"/>
                              </w:rPr>
                              <w:t>393</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04">
                <wp:simplePos x="0" y="0"/>
                <wp:positionH relativeFrom="column">
                  <wp:align>right</wp:align>
                </wp:positionH>
                <wp:positionV relativeFrom="line">
                  <wp:posOffset>635</wp:posOffset>
                </wp:positionV>
                <wp:extent cx="3110230" cy="1548130"/>
                <wp:effectExtent l="0" t="0" r="0" b="0"/>
                <wp:wrapSquare wrapText="left"/>
                <wp:docPr id="381" name="Frame117"/>
                <a:graphic xmlns:a="http://schemas.openxmlformats.org/drawingml/2006/main">
                  <a:graphicData uri="http://schemas.microsoft.com/office/word/2010/wordprocessingShape">
                    <wps:wsp>
                      <wps:cNvSpPr txBox="1"/>
                      <wps:spPr>
                        <a:xfrm>
                          <a:off x="0" y="0"/>
                          <a:ext cx="3110230" cy="1548130"/>
                        </a:xfrm>
                        <a:prstGeom prst="rect"/>
                        <a:solidFill>
                          <a:srgbClr val="FFFFFF"/>
                        </a:solidFill>
                      </wps:spPr>
                      <wps:txbx>
                        <w:txbxContent>
                          <w:p>
                            <w:pPr>
                              <w:pStyle w:val="TextBody"/>
                              <w:bidi w:val="0"/>
                              <w:spacing w:before="0" w:after="0"/>
                              <w:jc w:val="left"/>
                              <w:rPr>
                                <w:rFonts w:ascii="Arial" w:hAnsi="Arial"/>
                                <w:b/>
                                <w:i w:val="false"/>
                                <w:caps w:val="false"/>
                                <w:smallCaps w:val="false"/>
                                <w:color w:val="FE5000"/>
                                <w:sz w:val="28"/>
                              </w:rPr>
                            </w:pPr>
                            <w:r>
                              <w:rPr>
                                <w:rFonts w:ascii="Arial" w:hAnsi="Arial"/>
                                <w:b/>
                                <w:i w:val="false"/>
                                <w:caps w:val="false"/>
                                <w:smallCaps w:val="false"/>
                                <w:color w:val="FE5000"/>
                                <w:sz w:val="28"/>
                              </w:rPr>
                              <w:t>4.4.3 Business advice</w:t>
                            </w:r>
                          </w:p>
                          <w:p>
                            <w:pPr>
                              <w:pStyle w:val="TextBody"/>
                              <w:bidi w:val="0"/>
                              <w:spacing w:before="0" w:after="0"/>
                              <w:jc w:val="left"/>
                              <w:rPr>
                                <w:caps w:val="false"/>
                                <w:smallCaps w:val="false"/>
                                <w:color w:val="FE5000"/>
                              </w:rPr>
                            </w:pPr>
                            <w:r>
                              <w:rPr>
                                <w:caps w:val="false"/>
                                <w:smallCaps w:val="false"/>
                                <w:color w:val="FE5000"/>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Using personalized advice and a preventive risk management approach, we help the business develop products and processes that are suitable for our clients and comply with regulations. </w:t>
                            </w:r>
                            <w:r>
                              <w:rPr>
                                <w:rFonts w:ascii="Arial" w:hAnsi="Arial"/>
                                <w:b/>
                                <w:i w:val="false"/>
                                <w:caps w:val="false"/>
                                <w:smallCaps w:val="false"/>
                                <w:sz w:val="20"/>
                              </w:rPr>
                              <w:t xml:space="preserve">The responsible team specializes in assessing these from a compliance and ethics perspective. </w:t>
                            </w:r>
                            <w:r>
                              <w:rPr>
                                <w:rFonts w:ascii="Arial" w:hAnsi="Arial"/>
                                <w:b w:val="false"/>
                                <w:i w:val="false"/>
                                <w:caps w:val="false"/>
                                <w:smallCaps w:val="false"/>
                                <w:sz w:val="20"/>
                              </w:rPr>
                              <w:t>In 2023, over 800 such initiatives were examined, and over 1,200 action plans were developed.</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21.9pt;mso-wrap-distance-left:0pt;mso-wrap-distance-right:0pt;mso-wrap-distance-top:0pt;mso-wrap-distance-bottom:0pt;margin-top:0pt;mso-position-vertical:top;mso-position-vertical-relative:text;margin-left:20.4pt;mso-position-horizontal:right;mso-position-horizontal-relative:text">
                <v:textbox>
                  <w:txbxContent>
                    <w:p>
                      <w:pPr>
                        <w:pStyle w:val="TextBody"/>
                        <w:bidi w:val="0"/>
                        <w:spacing w:before="0" w:after="0"/>
                        <w:jc w:val="left"/>
                        <w:rPr>
                          <w:rFonts w:ascii="Arial" w:hAnsi="Arial"/>
                          <w:b/>
                          <w:i w:val="false"/>
                          <w:caps w:val="false"/>
                          <w:smallCaps w:val="false"/>
                          <w:color w:val="FE5000"/>
                          <w:sz w:val="28"/>
                        </w:rPr>
                      </w:pPr>
                      <w:r>
                        <w:rPr>
                          <w:rFonts w:ascii="Arial" w:hAnsi="Arial"/>
                          <w:b/>
                          <w:i w:val="false"/>
                          <w:caps w:val="false"/>
                          <w:smallCaps w:val="false"/>
                          <w:color w:val="FE5000"/>
                          <w:sz w:val="28"/>
                        </w:rPr>
                        <w:t>4.4.3 Business advice</w:t>
                      </w:r>
                    </w:p>
                    <w:p>
                      <w:pPr>
                        <w:pStyle w:val="TextBody"/>
                        <w:bidi w:val="0"/>
                        <w:spacing w:before="0" w:after="0"/>
                        <w:jc w:val="left"/>
                        <w:rPr>
                          <w:caps w:val="false"/>
                          <w:smallCaps w:val="false"/>
                          <w:color w:val="FE5000"/>
                        </w:rPr>
                      </w:pPr>
                      <w:r>
                        <w:rPr>
                          <w:caps w:val="false"/>
                          <w:smallCaps w:val="false"/>
                          <w:color w:val="FE5000"/>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Using personalized advice and a preventive risk management approach, we help the business develop products and processes that are suitable for our clients and comply with regulations. </w:t>
                      </w:r>
                      <w:r>
                        <w:rPr>
                          <w:rFonts w:ascii="Arial" w:hAnsi="Arial"/>
                          <w:b/>
                          <w:i w:val="false"/>
                          <w:caps w:val="false"/>
                          <w:smallCaps w:val="false"/>
                          <w:sz w:val="20"/>
                        </w:rPr>
                        <w:t xml:space="preserve">The responsible team specializes in assessing these from a compliance and ethics perspective. </w:t>
                      </w:r>
                      <w:r>
                        <w:rPr>
                          <w:rFonts w:ascii="Arial" w:hAnsi="Arial"/>
                          <w:b w:val="false"/>
                          <w:i w:val="false"/>
                          <w:caps w:val="false"/>
                          <w:smallCaps w:val="false"/>
                          <w:sz w:val="20"/>
                        </w:rPr>
                        <w:t>In 2023, over 800 such initiatives were examined, and over 1,200 action plans were developed.</w:t>
                      </w:r>
                    </w:p>
                  </w:txbxContent>
                </v:textbox>
                <w10:wrap type="square" side="left"/>
              </v:rect>
            </w:pict>
          </mc:Fallback>
        </mc:AlternateConten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57</w:t>
      </w:r>
    </w:p>
    <w:p>
      <w:pPr>
        <w:pStyle w:val="HorizontalLine"/>
        <w:pBdr>
          <w:bottom w:val="single" w:sz="12" w:space="0" w:color="808080"/>
        </w:pBdr>
        <w:bidi w:val="0"/>
        <w:spacing w:before="200" w:after="200"/>
        <w:jc w:val="left"/>
        <w:rPr/>
      </w:pPr>
      <w:r>
        <w:rPr/>
      </w:r>
    </w:p>
    <w:p>
      <w:pPr>
        <w:pStyle w:val="TextBody"/>
        <w:bidi w:val="0"/>
        <w:spacing w:before="0" w:after="0"/>
        <w:jc w:val="both"/>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108">
                <wp:simplePos x="0" y="0"/>
                <wp:positionH relativeFrom="column">
                  <wp:align>left</wp:align>
                </wp:positionH>
                <wp:positionV relativeFrom="line">
                  <wp:posOffset>635</wp:posOffset>
                </wp:positionV>
                <wp:extent cx="3110230" cy="4712970"/>
                <wp:effectExtent l="0" t="0" r="0" b="0"/>
                <wp:wrapSquare wrapText="right"/>
                <wp:docPr id="382" name="Frame118"/>
                <a:graphic xmlns:a="http://schemas.openxmlformats.org/drawingml/2006/main">
                  <a:graphicData uri="http://schemas.microsoft.com/office/word/2010/wordprocessingShape">
                    <wps:wsp>
                      <wps:cNvSpPr txBox="1"/>
                      <wps:spPr>
                        <a:xfrm>
                          <a:off x="0" y="0"/>
                          <a:ext cx="3110230" cy="4712970"/>
                        </a:xfrm>
                        <a:prstGeom prst="rect"/>
                        <a:solidFill>
                          <a:srgbClr val="FFFFFF"/>
                        </a:solidFill>
                      </wps:spPr>
                      <wps:txbx>
                        <w:txbxContent>
                          <w:p>
                            <w:pPr>
                              <w:pStyle w:val="TextBody"/>
                              <w:bidi w:val="0"/>
                              <w:spacing w:before="0" w:after="0"/>
                              <w:jc w:val="left"/>
                              <w:rPr>
                                <w:rFonts w:ascii="Arial" w:hAnsi="Arial"/>
                                <w:b/>
                                <w:i w:val="false"/>
                                <w:caps w:val="false"/>
                                <w:smallCaps w:val="false"/>
                                <w:color w:val="FE5000"/>
                                <w:sz w:val="28"/>
                              </w:rPr>
                            </w:pPr>
                            <w:r>
                              <w:rPr>
                                <w:rFonts w:ascii="Arial" w:hAnsi="Arial"/>
                                <w:b/>
                                <w:i w:val="false"/>
                                <w:caps w:val="false"/>
                                <w:smallCaps w:val="false"/>
                                <w:color w:val="FE5000"/>
                                <w:sz w:val="28"/>
                              </w:rPr>
                              <w:t>4.4.4. Compliance programs</w:t>
                            </w:r>
                          </w:p>
                          <w:p>
                            <w:pPr>
                              <w:pStyle w:val="TextBody"/>
                              <w:bidi w:val="0"/>
                              <w:spacing w:before="0" w:after="0"/>
                              <w:jc w:val="left"/>
                              <w:rPr>
                                <w:caps w:val="false"/>
                                <w:smallCaps w:val="false"/>
                                <w:color w:val="FE5000"/>
                              </w:rPr>
                            </w:pPr>
                            <w:r>
                              <w:rPr>
                                <w:caps w:val="false"/>
                                <w:smallCaps w:val="false"/>
                                <w:color w:val="FE5000"/>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Credicorp’s compliance programs form part of our compliance and ethics management system and link to our commitment to promote ethics and integrity—fundamental elements of our organizational culture—while ensuring regulatory compliance and financial crime prevention. They address four of our seven priority SDGs.</w:t>
                            </w:r>
                          </w:p>
                          <w:p>
                            <w:pPr>
                              <w:pStyle w:val="TextBody"/>
                              <w:bidi w:val="0"/>
                              <w:spacing w:before="0" w:after="0"/>
                              <w:jc w:val="both"/>
                              <w:rPr>
                                <w:caps w:val="false"/>
                                <w:smallCaps w:val="false"/>
                              </w:rPr>
                            </w:pPr>
                            <w:r>
                              <w:rPr>
                                <w:caps w:val="false"/>
                                <w:smallCaps w:val="false"/>
                              </w:rPr>
                              <w:t> </w:t>
                            </w:r>
                          </w:p>
                          <w:tbl>
                            <w:tblPr>
                              <w:tblW w:w="10205" w:type="dxa"/>
                              <w:jc w:val="left"/>
                              <w:tblInd w:w="-10" w:type="dxa"/>
                              <w:tblLayout w:type="fixed"/>
                              <w:tblCellMar>
                                <w:top w:w="28" w:type="dxa"/>
                                <w:left w:w="60" w:type="dxa"/>
                                <w:bottom w:w="28" w:type="dxa"/>
                                <w:right w:w="0" w:type="dxa"/>
                              </w:tblCellMar>
                            </w:tblPr>
                            <w:tblGrid>
                              <w:gridCol w:w="2265"/>
                              <w:gridCol w:w="3292"/>
                              <w:gridCol w:w="3092"/>
                              <w:gridCol w:w="1556"/>
                            </w:tblGrid>
                            <w:tr>
                              <w:trPr/>
                              <w:tc>
                                <w:tcPr>
                                  <w:tcW w:w="2265"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571500" cy="571500"/>
                                        <wp:effectExtent l="0" t="0" r="0" b="0"/>
                                        <wp:docPr id="383"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153" descr=""/>
                                                <pic:cNvPicPr>
                                                  <a:picLocks noChangeAspect="1" noChangeArrowheads="1"/>
                                                </pic:cNvPicPr>
                                              </pic:nvPicPr>
                                              <pic:blipFill>
                                                <a:blip r:embed="rId266"/>
                                                <a:stretch>
                                                  <a:fillRect/>
                                                </a:stretch>
                                              </pic:blipFill>
                                              <pic:spPr bwMode="auto">
                                                <a:xfrm>
                                                  <a:off x="0" y="0"/>
                                                  <a:ext cx="571500" cy="571500"/>
                                                </a:xfrm>
                                                <a:prstGeom prst="rect">
                                                  <a:avLst/>
                                                </a:prstGeom>
                                              </pic:spPr>
                                            </pic:pic>
                                          </a:graphicData>
                                        </a:graphic>
                                      </wp:inline>
                                    </w:drawing>
                                  </w:r>
                                  <w:r>
                                    <w:rPr>
                                      <w:caps w:val="false"/>
                                      <w:smallCaps w:val="false"/>
                                    </w:rPr>
                                    <w:t> </w:t>
                                  </w:r>
                                </w:p>
                              </w:tc>
                              <w:tc>
                                <w:tcPr>
                                  <w:tcW w:w="3292"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571500" cy="571500"/>
                                        <wp:effectExtent l="0" t="0" r="0" b="0"/>
                                        <wp:docPr id="384"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154" descr=""/>
                                                <pic:cNvPicPr>
                                                  <a:picLocks noChangeAspect="1" noChangeArrowheads="1"/>
                                                </pic:cNvPicPr>
                                              </pic:nvPicPr>
                                              <pic:blipFill>
                                                <a:blip r:embed="rId267"/>
                                                <a:stretch>
                                                  <a:fillRect/>
                                                </a:stretch>
                                              </pic:blipFill>
                                              <pic:spPr bwMode="auto">
                                                <a:xfrm>
                                                  <a:off x="0" y="0"/>
                                                  <a:ext cx="571500" cy="571500"/>
                                                </a:xfrm>
                                                <a:prstGeom prst="rect">
                                                  <a:avLst/>
                                                </a:prstGeom>
                                              </pic:spPr>
                                            </pic:pic>
                                          </a:graphicData>
                                        </a:graphic>
                                      </wp:inline>
                                    </w:drawing>
                                  </w:r>
                                  <w:r>
                                    <w:rPr>
                                      <w:caps w:val="false"/>
                                      <w:smallCaps w:val="false"/>
                                    </w:rPr>
                                    <w:t> </w:t>
                                  </w:r>
                                </w:p>
                              </w:tc>
                              <w:tc>
                                <w:tcPr>
                                  <w:tcW w:w="3092"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571500" cy="571500"/>
                                        <wp:effectExtent l="0" t="0" r="0" b="0"/>
                                        <wp:docPr id="385"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Image155" descr=""/>
                                                <pic:cNvPicPr>
                                                  <a:picLocks noChangeAspect="1" noChangeArrowheads="1"/>
                                                </pic:cNvPicPr>
                                              </pic:nvPicPr>
                                              <pic:blipFill>
                                                <a:blip r:embed="rId268"/>
                                                <a:stretch>
                                                  <a:fillRect/>
                                                </a:stretch>
                                              </pic:blipFill>
                                              <pic:spPr bwMode="auto">
                                                <a:xfrm>
                                                  <a:off x="0" y="0"/>
                                                  <a:ext cx="571500" cy="571500"/>
                                                </a:xfrm>
                                                <a:prstGeom prst="rect">
                                                  <a:avLst/>
                                                </a:prstGeom>
                                              </pic:spPr>
                                            </pic:pic>
                                          </a:graphicData>
                                        </a:graphic>
                                      </wp:inline>
                                    </w:drawing>
                                  </w:r>
                                  <w:r>
                                    <w:rPr>
                                      <w:caps w:val="false"/>
                                      <w:smallCaps w:val="false"/>
                                    </w:rPr>
                                    <w:t> </w:t>
                                  </w:r>
                                </w:p>
                              </w:tc>
                              <w:tc>
                                <w:tcPr>
                                  <w:tcW w:w="1556" w:type="dxa"/>
                                  <w:tcBorders>
                                    <w:top w:val="single" w:sz="8" w:space="0" w:color="000000"/>
                                    <w:left w:val="single" w:sz="8" w:space="0" w:color="000000"/>
                                    <w:bottom w:val="single" w:sz="8" w:space="0" w:color="000000"/>
                                    <w:right w:val="single" w:sz="8" w:space="0" w:color="000000"/>
                                  </w:tcBorders>
                                  <w:tcMar>
                                    <w:right w:w="6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571500" cy="571500"/>
                                        <wp:effectExtent l="0" t="0" r="0" b="0"/>
                                        <wp:docPr id="386"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156" descr=""/>
                                                <pic:cNvPicPr>
                                                  <a:picLocks noChangeAspect="1" noChangeArrowheads="1"/>
                                                </pic:cNvPicPr>
                                              </pic:nvPicPr>
                                              <pic:blipFill>
                                                <a:blip r:embed="rId269"/>
                                                <a:stretch>
                                                  <a:fillRect/>
                                                </a:stretch>
                                              </pic:blipFill>
                                              <pic:spPr bwMode="auto">
                                                <a:xfrm>
                                                  <a:off x="0" y="0"/>
                                                  <a:ext cx="571500" cy="571500"/>
                                                </a:xfrm>
                                                <a:prstGeom prst="rect">
                                                  <a:avLst/>
                                                </a:prstGeom>
                                              </pic:spPr>
                                            </pic:pic>
                                          </a:graphicData>
                                        </a:graphic>
                                      </wp:inline>
                                    </w:drawing>
                                  </w:r>
                                  <w:r>
                                    <w:rPr>
                                      <w:caps w:val="false"/>
                                      <w:smallCaps w:val="false"/>
                                    </w:rPr>
                                    <w:t> </w:t>
                                  </w:r>
                                </w:p>
                              </w:tc>
                            </w:tr>
                            <w:tr>
                              <w:trPr/>
                              <w:tc>
                                <w:tcPr>
                                  <w:tcW w:w="2265"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Arial" w:hAnsi="Arial"/>
                                      <w:sz w:val="20"/>
                                    </w:rPr>
                                  </w:pPr>
                                  <w:r>
                                    <w:rPr>
                                      <w:rFonts w:ascii="Arial" w:hAnsi="Arial"/>
                                      <w:sz w:val="20"/>
                                    </w:rPr>
                                    <w:t xml:space="preserve">Policies: Market conduct </w:t>
                                  </w:r>
                                  <w:r>
                                    <w:rPr>
                                      <w:rFonts w:ascii="Arial" w:hAnsi="Arial"/>
                                      <w:color w:val="0563C1"/>
                                      <w:sz w:val="20"/>
                                      <w:u w:val="single"/>
                                    </w:rPr>
                                    <w:t>Occupational safety and health</w:t>
                                  </w:r>
                                  <w:r>
                                    <w:rPr>
                                      <w:rFonts w:ascii="Arial" w:hAnsi="Arial"/>
                                      <w:sz w:val="20"/>
                                    </w:rPr>
                                    <w:t>   </w:t>
                                  </w:r>
                                </w:p>
                              </w:tc>
                              <w:tc>
                                <w:tcPr>
                                  <w:tcW w:w="3292"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Arial" w:hAnsi="Arial"/>
                                      <w:sz w:val="20"/>
                                    </w:rPr>
                                  </w:pPr>
                                  <w:r>
                                    <w:rPr>
                                      <w:rFonts w:ascii="Arial" w:hAnsi="Arial"/>
                                      <w:sz w:val="20"/>
                                    </w:rPr>
                                    <w:t xml:space="preserve">Policies: Regulatory compliance </w:t>
                                  </w:r>
                                  <w:r>
                                    <w:rPr>
                                      <w:rFonts w:ascii="Arial" w:hAnsi="Arial"/>
                                      <w:color w:val="0563C1"/>
                                      <w:sz w:val="20"/>
                                      <w:u w:val="single"/>
                                    </w:rPr>
                                    <w:t>Market abuse prevention</w:t>
                                  </w:r>
                                  <w:r>
                                    <w:rPr>
                                      <w:rFonts w:ascii="Arial" w:hAnsi="Arial"/>
                                      <w:sz w:val="20"/>
                                    </w:rPr>
                                    <w:t xml:space="preserve"> Financial stability </w:t>
                                  </w:r>
                                  <w:r>
                                    <w:rPr>
                                      <w:rFonts w:ascii="Arial" w:hAnsi="Arial"/>
                                      <w:color w:val="0563C1"/>
                                      <w:sz w:val="20"/>
                                      <w:u w:val="single"/>
                                    </w:rPr>
                                    <w:t>Fair competition Human rights</w:t>
                                  </w:r>
                                </w:p>
                              </w:tc>
                              <w:tc>
                                <w:tcPr>
                                  <w:tcW w:w="3092"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Arial" w:hAnsi="Arial"/>
                                      <w:sz w:val="20"/>
                                    </w:rPr>
                                  </w:pPr>
                                  <w:r>
                                    <w:rPr>
                                      <w:rFonts w:ascii="Arial" w:hAnsi="Arial"/>
                                      <w:sz w:val="20"/>
                                    </w:rPr>
                                    <w:t xml:space="preserve">Policies: </w:t>
                                  </w:r>
                                  <w:r>
                                    <w:rPr>
                                      <w:rFonts w:ascii="Arial" w:hAnsi="Arial"/>
                                      <w:color w:val="0563C1"/>
                                      <w:sz w:val="20"/>
                                      <w:u w:val="single"/>
                                    </w:rPr>
                                    <w:t>Money laundering</w:t>
                                  </w:r>
                                  <w:r>
                                    <w:rPr>
                                      <w:rFonts w:ascii="Arial" w:hAnsi="Arial"/>
                                      <w:sz w:val="20"/>
                                    </w:rPr>
                                    <w:t xml:space="preserve"> Fiscal transparency </w:t>
                                  </w:r>
                                  <w:r>
                                    <w:rPr>
                                      <w:rFonts w:ascii="Arial" w:hAnsi="Arial"/>
                                      <w:color w:val="0563C1"/>
                                      <w:sz w:val="20"/>
                                      <w:u w:val="single"/>
                                    </w:rPr>
                                    <w:t xml:space="preserve">FACTCA </w:t>
                                  </w:r>
                                  <w:r>
                                    <w:rPr>
                                      <w:rFonts w:ascii="Arial" w:hAnsi="Arial"/>
                                      <w:sz w:val="20"/>
                                    </w:rPr>
                                    <w:t xml:space="preserve">and </w:t>
                                  </w:r>
                                  <w:r>
                                    <w:rPr>
                                      <w:rFonts w:ascii="Arial" w:hAnsi="Arial"/>
                                      <w:color w:val="0563C1"/>
                                      <w:sz w:val="20"/>
                                      <w:u w:val="single"/>
                                    </w:rPr>
                                    <w:t> CRS Anti-corruption Ethics</w:t>
                                  </w:r>
                                  <w:r>
                                    <w:rPr>
                                      <w:rFonts w:ascii="Arial" w:hAnsi="Arial"/>
                                      <w:sz w:val="20"/>
                                    </w:rPr>
                                    <w:t> </w:t>
                                  </w:r>
                                </w:p>
                              </w:tc>
                              <w:tc>
                                <w:tcPr>
                                  <w:tcW w:w="1556" w:type="dxa"/>
                                  <w:tcBorders>
                                    <w:left w:val="single" w:sz="8" w:space="0" w:color="000000"/>
                                    <w:bottom w:val="single" w:sz="8" w:space="0" w:color="000000"/>
                                    <w:right w:val="single" w:sz="8" w:space="0" w:color="000000"/>
                                  </w:tcBorders>
                                  <w:tcMar>
                                    <w:top w:w="0" w:type="dxa"/>
                                    <w:right w:w="60" w:type="dxa"/>
                                  </w:tcMar>
                                  <w:vAlign w:val="center"/>
                                </w:tcPr>
                                <w:p>
                                  <w:pPr>
                                    <w:pStyle w:val="TableContents"/>
                                    <w:bidi w:val="0"/>
                                    <w:spacing w:before="0" w:after="283"/>
                                    <w:jc w:val="left"/>
                                    <w:rPr>
                                      <w:rFonts w:ascii="Arial" w:hAnsi="Arial"/>
                                      <w:sz w:val="20"/>
                                    </w:rPr>
                                  </w:pPr>
                                  <w:r>
                                    <w:rPr>
                                      <w:rFonts w:ascii="Arial" w:hAnsi="Arial"/>
                                      <w:sz w:val="20"/>
                                    </w:rPr>
                                    <w:t xml:space="preserve">Policies: </w:t>
                                  </w:r>
                                  <w:r>
                                    <w:rPr>
                                      <w:rFonts w:ascii="Arial" w:hAnsi="Arial"/>
                                      <w:color w:val="0563C1"/>
                                      <w:sz w:val="20"/>
                                      <w:u w:val="single"/>
                                    </w:rPr>
                                    <w:t>Personal data protection</w:t>
                                  </w:r>
                                  <w:r>
                                    <w:rPr>
                                      <w:rFonts w:ascii="Arial" w:hAnsi="Arial"/>
                                      <w:sz w:val="20"/>
                                    </w:rPr>
                                    <w:t xml:space="preserve">  </w:t>
                                  </w:r>
                                </w:p>
                              </w:tc>
                            </w:tr>
                          </w:tbl>
                          <w:p>
                            <w:pPr>
                              <w:pStyle w:val="TextBody"/>
                              <w:bidi w:val="0"/>
                              <w:spacing w:before="0" w:after="0"/>
                              <w:jc w:val="left"/>
                              <w:rPr>
                                <w:caps w:val="false"/>
                                <w:smallCaps w:val="false"/>
                                <w:color w:val="FF0000"/>
                              </w:rPr>
                            </w:pPr>
                            <w:r>
                              <w:rPr>
                                <w:caps w:val="false"/>
                                <w:smallCaps w:val="false"/>
                                <w:color w:val="FF0000"/>
                              </w:rPr>
                              <w:t> </w:t>
                            </w:r>
                          </w:p>
                          <w:p>
                            <w:pPr>
                              <w:pStyle w:val="TextBody"/>
                              <w:bidi w:val="0"/>
                              <w:spacing w:before="0" w:after="0"/>
                              <w:jc w:val="left"/>
                              <w:rPr>
                                <w:rFonts w:ascii="Arial" w:hAnsi="Arial"/>
                                <w:b/>
                                <w:i w:val="false"/>
                                <w:caps w:val="false"/>
                                <w:smallCaps w:val="false"/>
                                <w:sz w:val="20"/>
                              </w:rPr>
                            </w:pPr>
                            <w:r>
                              <w:rPr>
                                <w:rFonts w:ascii="Arial" w:hAnsi="Arial"/>
                                <w:b/>
                                <w:i w:val="false"/>
                                <w:caps w:val="false"/>
                                <w:smallCaps w:val="false"/>
                                <w:sz w:val="20"/>
                              </w:rPr>
                              <w:t>2023 Achievements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2"/>
                              <w:gridCol w:w="8453"/>
                            </w:tblGrid>
                            <w:tr>
                              <w:trPr/>
                              <w:tc>
                                <w:tcPr>
                                  <w:tcW w:w="1752" w:type="dxa"/>
                                  <w:tcBorders/>
                                  <w:shd w:fill="ED7C30" w:val="cle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Regulatory compliance</w:t>
                                  </w:r>
                                </w:p>
                              </w:tc>
                              <w:tc>
                                <w:tcPr>
                                  <w:tcW w:w="8453" w:type="dxa"/>
                                  <w:tcBorders>
                                    <w:top w:val="single" w:sz="8" w:space="0" w:color="ED7C30"/>
                                    <w:bottom w:val="single" w:sz="8" w:space="0" w:color="ED7C30"/>
                                    <w:right w:val="single" w:sz="8" w:space="0" w:color="ED7C30"/>
                                  </w:tcBorders>
                                  <w:tcMar>
                                    <w:top w:w="100" w:type="dxa"/>
                                    <w:bottom w:w="100" w:type="dxa"/>
                                    <w:right w:w="28" w:type="dxa"/>
                                  </w:tcMar>
                                  <w:vAlign w:val="center"/>
                                </w:tcPr>
                                <w:p>
                                  <w:pPr>
                                    <w:pStyle w:val="TableContents"/>
                                    <w:bidi w:val="0"/>
                                    <w:spacing w:before="0" w:after="0"/>
                                    <w:ind w:left="360" w:right="0" w:hanging="360"/>
                                    <w:jc w:val="both"/>
                                    <w:rPr>
                                      <w:caps w:val="false"/>
                                      <w:smallCaps w:val="false"/>
                                    </w:rPr>
                                  </w:pPr>
                                  <w:r>
                                    <w:rPr>
                                      <w:caps w:val="false"/>
                                      <w:smallCaps w:val="false"/>
                                    </w:rPr>
                                    <w:t>○    </w:t>
                                  </w:r>
                                  <w:r>
                                    <w:rPr>
                                      <w:rFonts w:ascii="Arial" w:hAnsi="Arial"/>
                                      <w:b w:val="false"/>
                                      <w:i w:val="false"/>
                                      <w:caps w:val="false"/>
                                      <w:smallCaps w:val="false"/>
                                      <w:sz w:val="20"/>
                                    </w:rPr>
                                    <w:t>Implementation of monitoring control dashboard.</w:t>
                                  </w:r>
                                </w:p>
                                <w:p>
                                  <w:pPr>
                                    <w:pStyle w:val="TableContents"/>
                                    <w:bidi w:val="0"/>
                                    <w:spacing w:before="0" w:after="0"/>
                                    <w:ind w:left="360" w:right="0" w:hanging="360"/>
                                    <w:jc w:val="both"/>
                                    <w:rPr>
                                      <w:caps w:val="false"/>
                                      <w:smallCaps w:val="false"/>
                                    </w:rPr>
                                  </w:pPr>
                                  <w:r>
                                    <w:rPr>
                                      <w:caps w:val="false"/>
                                      <w:smallCaps w:val="false"/>
                                    </w:rPr>
                                    <w:t>○    </w:t>
                                  </w:r>
                                  <w:r>
                                    <w:rPr>
                                      <w:rFonts w:ascii="Arial" w:hAnsi="Arial"/>
                                      <w:b w:val="false"/>
                                      <w:i w:val="false"/>
                                      <w:caps w:val="false"/>
                                      <w:smallCaps w:val="false"/>
                                      <w:sz w:val="20"/>
                                    </w:rPr>
                                    <w:t>Penalty process rolled out to group companies.</w:t>
                                  </w:r>
                                </w:p>
                                <w:p>
                                  <w:pPr>
                                    <w:pStyle w:val="TableContents"/>
                                    <w:bidi w:val="0"/>
                                    <w:spacing w:before="0" w:after="0"/>
                                    <w:ind w:left="360" w:right="0" w:hanging="360"/>
                                    <w:jc w:val="both"/>
                                    <w:rPr>
                                      <w:caps w:val="false"/>
                                      <w:smallCaps w:val="false"/>
                                    </w:rPr>
                                  </w:pPr>
                                  <w:r>
                                    <w:rPr>
                                      <w:caps w:val="false"/>
                                      <w:smallCaps w:val="false"/>
                                    </w:rPr>
                                    <w:t>○    </w:t>
                                  </w:r>
                                  <w:r>
                                    <w:rPr>
                                      <w:rFonts w:ascii="Arial" w:hAnsi="Arial"/>
                                      <w:b w:val="false"/>
                                      <w:i w:val="false"/>
                                      <w:caps w:val="false"/>
                                      <w:smallCaps w:val="false"/>
                                      <w:sz w:val="20"/>
                                    </w:rPr>
                                    <w:t xml:space="preserve">Communications, training, and evaluation for the Regulatory Compliance team and across the business,developed through </w:t>
                                  </w:r>
                                  <w:r>
                                    <w:rPr>
                                      <w:rFonts w:ascii="Arial" w:hAnsi="Arial"/>
                                      <w:b w:val="false"/>
                                      <w:i/>
                                      <w:caps w:val="false"/>
                                      <w:smallCaps w:val="false"/>
                                      <w:sz w:val="20"/>
                                    </w:rPr>
                                    <w:t>Entrena tu GenÉTICA</w:t>
                                  </w:r>
                                  <w:r>
                                    <w:rPr>
                                      <w:rFonts w:ascii="Arial" w:hAnsi="Arial"/>
                                      <w:b w:val="false"/>
                                      <w:i w:val="false"/>
                                      <w:caps w:val="false"/>
                                      <w:smallCaps w:val="false"/>
                                      <w:sz w:val="20"/>
                                    </w:rPr>
                                    <w: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7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rFonts w:ascii="Arial" w:hAnsi="Arial"/>
                          <w:b/>
                          <w:i w:val="false"/>
                          <w:caps w:val="false"/>
                          <w:smallCaps w:val="false"/>
                          <w:color w:val="FE5000"/>
                          <w:sz w:val="28"/>
                        </w:rPr>
                      </w:pPr>
                      <w:r>
                        <w:rPr>
                          <w:rFonts w:ascii="Arial" w:hAnsi="Arial"/>
                          <w:b/>
                          <w:i w:val="false"/>
                          <w:caps w:val="false"/>
                          <w:smallCaps w:val="false"/>
                          <w:color w:val="FE5000"/>
                          <w:sz w:val="28"/>
                        </w:rPr>
                        <w:t>4.4.4. Compliance programs</w:t>
                      </w:r>
                    </w:p>
                    <w:p>
                      <w:pPr>
                        <w:pStyle w:val="TextBody"/>
                        <w:bidi w:val="0"/>
                        <w:spacing w:before="0" w:after="0"/>
                        <w:jc w:val="left"/>
                        <w:rPr>
                          <w:caps w:val="false"/>
                          <w:smallCaps w:val="false"/>
                          <w:color w:val="FE5000"/>
                        </w:rPr>
                      </w:pPr>
                      <w:r>
                        <w:rPr>
                          <w:caps w:val="false"/>
                          <w:smallCaps w:val="false"/>
                          <w:color w:val="FE5000"/>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Credicorp’s compliance programs form part of our compliance and ethics management system and link to our commitment to promote ethics and integrity—fundamental elements of our organizational culture—while ensuring regulatory compliance and financial crime prevention. They address four of our seven priority SDGs.</w:t>
                      </w:r>
                    </w:p>
                    <w:p>
                      <w:pPr>
                        <w:pStyle w:val="TextBody"/>
                        <w:bidi w:val="0"/>
                        <w:spacing w:before="0" w:after="0"/>
                        <w:jc w:val="both"/>
                        <w:rPr>
                          <w:caps w:val="false"/>
                          <w:smallCaps w:val="false"/>
                        </w:rPr>
                      </w:pPr>
                      <w:r>
                        <w:rPr>
                          <w:caps w:val="false"/>
                          <w:smallCaps w:val="false"/>
                        </w:rPr>
                        <w:t> </w:t>
                      </w:r>
                    </w:p>
                    <w:tbl>
                      <w:tblPr>
                        <w:tblW w:w="10205" w:type="dxa"/>
                        <w:jc w:val="left"/>
                        <w:tblInd w:w="-10" w:type="dxa"/>
                        <w:tblLayout w:type="fixed"/>
                        <w:tblCellMar>
                          <w:top w:w="28" w:type="dxa"/>
                          <w:left w:w="60" w:type="dxa"/>
                          <w:bottom w:w="28" w:type="dxa"/>
                          <w:right w:w="0" w:type="dxa"/>
                        </w:tblCellMar>
                      </w:tblPr>
                      <w:tblGrid>
                        <w:gridCol w:w="2265"/>
                        <w:gridCol w:w="3292"/>
                        <w:gridCol w:w="3092"/>
                        <w:gridCol w:w="1556"/>
                      </w:tblGrid>
                      <w:tr>
                        <w:trPr/>
                        <w:tc>
                          <w:tcPr>
                            <w:tcW w:w="2265"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571500" cy="571500"/>
                                  <wp:effectExtent l="0" t="0" r="0" b="0"/>
                                  <wp:docPr id="387"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153" descr=""/>
                                          <pic:cNvPicPr>
                                            <a:picLocks noChangeAspect="1" noChangeArrowheads="1"/>
                                          </pic:cNvPicPr>
                                        </pic:nvPicPr>
                                        <pic:blipFill>
                                          <a:blip r:embed="rId270"/>
                                          <a:stretch>
                                            <a:fillRect/>
                                          </a:stretch>
                                        </pic:blipFill>
                                        <pic:spPr bwMode="auto">
                                          <a:xfrm>
                                            <a:off x="0" y="0"/>
                                            <a:ext cx="571500" cy="571500"/>
                                          </a:xfrm>
                                          <a:prstGeom prst="rect">
                                            <a:avLst/>
                                          </a:prstGeom>
                                        </pic:spPr>
                                      </pic:pic>
                                    </a:graphicData>
                                  </a:graphic>
                                </wp:inline>
                              </w:drawing>
                            </w:r>
                            <w:r>
                              <w:rPr>
                                <w:caps w:val="false"/>
                                <w:smallCaps w:val="false"/>
                              </w:rPr>
                              <w:t> </w:t>
                            </w:r>
                          </w:p>
                        </w:tc>
                        <w:tc>
                          <w:tcPr>
                            <w:tcW w:w="3292"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571500" cy="571500"/>
                                  <wp:effectExtent l="0" t="0" r="0" b="0"/>
                                  <wp:docPr id="388"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154" descr=""/>
                                          <pic:cNvPicPr>
                                            <a:picLocks noChangeAspect="1" noChangeArrowheads="1"/>
                                          </pic:cNvPicPr>
                                        </pic:nvPicPr>
                                        <pic:blipFill>
                                          <a:blip r:embed="rId271"/>
                                          <a:stretch>
                                            <a:fillRect/>
                                          </a:stretch>
                                        </pic:blipFill>
                                        <pic:spPr bwMode="auto">
                                          <a:xfrm>
                                            <a:off x="0" y="0"/>
                                            <a:ext cx="571500" cy="571500"/>
                                          </a:xfrm>
                                          <a:prstGeom prst="rect">
                                            <a:avLst/>
                                          </a:prstGeom>
                                        </pic:spPr>
                                      </pic:pic>
                                    </a:graphicData>
                                  </a:graphic>
                                </wp:inline>
                              </w:drawing>
                            </w:r>
                            <w:r>
                              <w:rPr>
                                <w:caps w:val="false"/>
                                <w:smallCaps w:val="false"/>
                              </w:rPr>
                              <w:t> </w:t>
                            </w:r>
                          </w:p>
                        </w:tc>
                        <w:tc>
                          <w:tcPr>
                            <w:tcW w:w="3092"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571500" cy="571500"/>
                                  <wp:effectExtent l="0" t="0" r="0" b="0"/>
                                  <wp:docPr id="389"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155" descr=""/>
                                          <pic:cNvPicPr>
                                            <a:picLocks noChangeAspect="1" noChangeArrowheads="1"/>
                                          </pic:cNvPicPr>
                                        </pic:nvPicPr>
                                        <pic:blipFill>
                                          <a:blip r:embed="rId272"/>
                                          <a:stretch>
                                            <a:fillRect/>
                                          </a:stretch>
                                        </pic:blipFill>
                                        <pic:spPr bwMode="auto">
                                          <a:xfrm>
                                            <a:off x="0" y="0"/>
                                            <a:ext cx="571500" cy="571500"/>
                                          </a:xfrm>
                                          <a:prstGeom prst="rect">
                                            <a:avLst/>
                                          </a:prstGeom>
                                        </pic:spPr>
                                      </pic:pic>
                                    </a:graphicData>
                                  </a:graphic>
                                </wp:inline>
                              </w:drawing>
                            </w:r>
                            <w:r>
                              <w:rPr>
                                <w:caps w:val="false"/>
                                <w:smallCaps w:val="false"/>
                              </w:rPr>
                              <w:t> </w:t>
                            </w:r>
                          </w:p>
                        </w:tc>
                        <w:tc>
                          <w:tcPr>
                            <w:tcW w:w="1556" w:type="dxa"/>
                            <w:tcBorders>
                              <w:top w:val="single" w:sz="8" w:space="0" w:color="000000"/>
                              <w:left w:val="single" w:sz="8" w:space="0" w:color="000000"/>
                              <w:bottom w:val="single" w:sz="8" w:space="0" w:color="000000"/>
                              <w:right w:val="single" w:sz="8" w:space="0" w:color="000000"/>
                            </w:tcBorders>
                            <w:tcMar>
                              <w:right w:w="6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571500" cy="571500"/>
                                  <wp:effectExtent l="0" t="0" r="0" b="0"/>
                                  <wp:docPr id="390"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156" descr=""/>
                                          <pic:cNvPicPr>
                                            <a:picLocks noChangeAspect="1" noChangeArrowheads="1"/>
                                          </pic:cNvPicPr>
                                        </pic:nvPicPr>
                                        <pic:blipFill>
                                          <a:blip r:embed="rId273"/>
                                          <a:stretch>
                                            <a:fillRect/>
                                          </a:stretch>
                                        </pic:blipFill>
                                        <pic:spPr bwMode="auto">
                                          <a:xfrm>
                                            <a:off x="0" y="0"/>
                                            <a:ext cx="571500" cy="571500"/>
                                          </a:xfrm>
                                          <a:prstGeom prst="rect">
                                            <a:avLst/>
                                          </a:prstGeom>
                                        </pic:spPr>
                                      </pic:pic>
                                    </a:graphicData>
                                  </a:graphic>
                                </wp:inline>
                              </w:drawing>
                            </w:r>
                            <w:r>
                              <w:rPr>
                                <w:caps w:val="false"/>
                                <w:smallCaps w:val="false"/>
                              </w:rPr>
                              <w:t> </w:t>
                            </w:r>
                          </w:p>
                        </w:tc>
                      </w:tr>
                      <w:tr>
                        <w:trPr/>
                        <w:tc>
                          <w:tcPr>
                            <w:tcW w:w="2265"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Arial" w:hAnsi="Arial"/>
                                <w:sz w:val="20"/>
                              </w:rPr>
                            </w:pPr>
                            <w:r>
                              <w:rPr>
                                <w:rFonts w:ascii="Arial" w:hAnsi="Arial"/>
                                <w:sz w:val="20"/>
                              </w:rPr>
                              <w:t xml:space="preserve">Policies: Market conduct </w:t>
                            </w:r>
                            <w:r>
                              <w:rPr>
                                <w:rFonts w:ascii="Arial" w:hAnsi="Arial"/>
                                <w:color w:val="0563C1"/>
                                <w:sz w:val="20"/>
                                <w:u w:val="single"/>
                              </w:rPr>
                              <w:t>Occupational safety and health</w:t>
                            </w:r>
                            <w:r>
                              <w:rPr>
                                <w:rFonts w:ascii="Arial" w:hAnsi="Arial"/>
                                <w:sz w:val="20"/>
                              </w:rPr>
                              <w:t>   </w:t>
                            </w:r>
                          </w:p>
                        </w:tc>
                        <w:tc>
                          <w:tcPr>
                            <w:tcW w:w="3292"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Arial" w:hAnsi="Arial"/>
                                <w:sz w:val="20"/>
                              </w:rPr>
                            </w:pPr>
                            <w:r>
                              <w:rPr>
                                <w:rFonts w:ascii="Arial" w:hAnsi="Arial"/>
                                <w:sz w:val="20"/>
                              </w:rPr>
                              <w:t xml:space="preserve">Policies: Regulatory compliance </w:t>
                            </w:r>
                            <w:r>
                              <w:rPr>
                                <w:rFonts w:ascii="Arial" w:hAnsi="Arial"/>
                                <w:color w:val="0563C1"/>
                                <w:sz w:val="20"/>
                                <w:u w:val="single"/>
                              </w:rPr>
                              <w:t>Market abuse prevention</w:t>
                            </w:r>
                            <w:r>
                              <w:rPr>
                                <w:rFonts w:ascii="Arial" w:hAnsi="Arial"/>
                                <w:sz w:val="20"/>
                              </w:rPr>
                              <w:t xml:space="preserve"> Financial stability </w:t>
                            </w:r>
                            <w:r>
                              <w:rPr>
                                <w:rFonts w:ascii="Arial" w:hAnsi="Arial"/>
                                <w:color w:val="0563C1"/>
                                <w:sz w:val="20"/>
                                <w:u w:val="single"/>
                              </w:rPr>
                              <w:t>Fair competition Human rights</w:t>
                            </w:r>
                          </w:p>
                        </w:tc>
                        <w:tc>
                          <w:tcPr>
                            <w:tcW w:w="3092"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Arial" w:hAnsi="Arial"/>
                                <w:sz w:val="20"/>
                              </w:rPr>
                            </w:pPr>
                            <w:r>
                              <w:rPr>
                                <w:rFonts w:ascii="Arial" w:hAnsi="Arial"/>
                                <w:sz w:val="20"/>
                              </w:rPr>
                              <w:t xml:space="preserve">Policies: </w:t>
                            </w:r>
                            <w:r>
                              <w:rPr>
                                <w:rFonts w:ascii="Arial" w:hAnsi="Arial"/>
                                <w:color w:val="0563C1"/>
                                <w:sz w:val="20"/>
                                <w:u w:val="single"/>
                              </w:rPr>
                              <w:t>Money laundering</w:t>
                            </w:r>
                            <w:r>
                              <w:rPr>
                                <w:rFonts w:ascii="Arial" w:hAnsi="Arial"/>
                                <w:sz w:val="20"/>
                              </w:rPr>
                              <w:t xml:space="preserve"> Fiscal transparency </w:t>
                            </w:r>
                            <w:r>
                              <w:rPr>
                                <w:rFonts w:ascii="Arial" w:hAnsi="Arial"/>
                                <w:color w:val="0563C1"/>
                                <w:sz w:val="20"/>
                                <w:u w:val="single"/>
                              </w:rPr>
                              <w:t xml:space="preserve">FACTCA </w:t>
                            </w:r>
                            <w:r>
                              <w:rPr>
                                <w:rFonts w:ascii="Arial" w:hAnsi="Arial"/>
                                <w:sz w:val="20"/>
                              </w:rPr>
                              <w:t xml:space="preserve">and </w:t>
                            </w:r>
                            <w:r>
                              <w:rPr>
                                <w:rFonts w:ascii="Arial" w:hAnsi="Arial"/>
                                <w:color w:val="0563C1"/>
                                <w:sz w:val="20"/>
                                <w:u w:val="single"/>
                              </w:rPr>
                              <w:t> CRS Anti-corruption Ethics</w:t>
                            </w:r>
                            <w:r>
                              <w:rPr>
                                <w:rFonts w:ascii="Arial" w:hAnsi="Arial"/>
                                <w:sz w:val="20"/>
                              </w:rPr>
                              <w:t> </w:t>
                            </w:r>
                          </w:p>
                        </w:tc>
                        <w:tc>
                          <w:tcPr>
                            <w:tcW w:w="1556" w:type="dxa"/>
                            <w:tcBorders>
                              <w:left w:val="single" w:sz="8" w:space="0" w:color="000000"/>
                              <w:bottom w:val="single" w:sz="8" w:space="0" w:color="000000"/>
                              <w:right w:val="single" w:sz="8" w:space="0" w:color="000000"/>
                            </w:tcBorders>
                            <w:tcMar>
                              <w:top w:w="0" w:type="dxa"/>
                              <w:right w:w="60" w:type="dxa"/>
                            </w:tcMar>
                            <w:vAlign w:val="center"/>
                          </w:tcPr>
                          <w:p>
                            <w:pPr>
                              <w:pStyle w:val="TableContents"/>
                              <w:bidi w:val="0"/>
                              <w:spacing w:before="0" w:after="283"/>
                              <w:jc w:val="left"/>
                              <w:rPr>
                                <w:rFonts w:ascii="Arial" w:hAnsi="Arial"/>
                                <w:sz w:val="20"/>
                              </w:rPr>
                            </w:pPr>
                            <w:r>
                              <w:rPr>
                                <w:rFonts w:ascii="Arial" w:hAnsi="Arial"/>
                                <w:sz w:val="20"/>
                              </w:rPr>
                              <w:t xml:space="preserve">Policies: </w:t>
                            </w:r>
                            <w:r>
                              <w:rPr>
                                <w:rFonts w:ascii="Arial" w:hAnsi="Arial"/>
                                <w:color w:val="0563C1"/>
                                <w:sz w:val="20"/>
                                <w:u w:val="single"/>
                              </w:rPr>
                              <w:t>Personal data protection</w:t>
                            </w:r>
                            <w:r>
                              <w:rPr>
                                <w:rFonts w:ascii="Arial" w:hAnsi="Arial"/>
                                <w:sz w:val="20"/>
                              </w:rPr>
                              <w:t xml:space="preserve">  </w:t>
                            </w:r>
                          </w:p>
                        </w:tc>
                      </w:tr>
                    </w:tbl>
                    <w:p>
                      <w:pPr>
                        <w:pStyle w:val="TextBody"/>
                        <w:bidi w:val="0"/>
                        <w:spacing w:before="0" w:after="0"/>
                        <w:jc w:val="left"/>
                        <w:rPr>
                          <w:caps w:val="false"/>
                          <w:smallCaps w:val="false"/>
                          <w:color w:val="FF0000"/>
                        </w:rPr>
                      </w:pPr>
                      <w:r>
                        <w:rPr>
                          <w:caps w:val="false"/>
                          <w:smallCaps w:val="false"/>
                          <w:color w:val="FF0000"/>
                        </w:rPr>
                        <w:t> </w:t>
                      </w:r>
                    </w:p>
                    <w:p>
                      <w:pPr>
                        <w:pStyle w:val="TextBody"/>
                        <w:bidi w:val="0"/>
                        <w:spacing w:before="0" w:after="0"/>
                        <w:jc w:val="left"/>
                        <w:rPr>
                          <w:rFonts w:ascii="Arial" w:hAnsi="Arial"/>
                          <w:b/>
                          <w:i w:val="false"/>
                          <w:caps w:val="false"/>
                          <w:smallCaps w:val="false"/>
                          <w:sz w:val="20"/>
                        </w:rPr>
                      </w:pPr>
                      <w:r>
                        <w:rPr>
                          <w:rFonts w:ascii="Arial" w:hAnsi="Arial"/>
                          <w:b/>
                          <w:i w:val="false"/>
                          <w:caps w:val="false"/>
                          <w:smallCaps w:val="false"/>
                          <w:sz w:val="20"/>
                        </w:rPr>
                        <w:t>2023 Achievements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2"/>
                        <w:gridCol w:w="8453"/>
                      </w:tblGrid>
                      <w:tr>
                        <w:trPr/>
                        <w:tc>
                          <w:tcPr>
                            <w:tcW w:w="1752" w:type="dxa"/>
                            <w:tcBorders/>
                            <w:shd w:fill="ED7C30" w:val="cle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Regulatory compliance</w:t>
                            </w:r>
                          </w:p>
                        </w:tc>
                        <w:tc>
                          <w:tcPr>
                            <w:tcW w:w="8453" w:type="dxa"/>
                            <w:tcBorders>
                              <w:top w:val="single" w:sz="8" w:space="0" w:color="ED7C30"/>
                              <w:bottom w:val="single" w:sz="8" w:space="0" w:color="ED7C30"/>
                              <w:right w:val="single" w:sz="8" w:space="0" w:color="ED7C30"/>
                            </w:tcBorders>
                            <w:tcMar>
                              <w:top w:w="100" w:type="dxa"/>
                              <w:bottom w:w="100" w:type="dxa"/>
                              <w:right w:w="28" w:type="dxa"/>
                            </w:tcMar>
                            <w:vAlign w:val="center"/>
                          </w:tcPr>
                          <w:p>
                            <w:pPr>
                              <w:pStyle w:val="TableContents"/>
                              <w:bidi w:val="0"/>
                              <w:spacing w:before="0" w:after="0"/>
                              <w:ind w:left="360" w:right="0" w:hanging="360"/>
                              <w:jc w:val="both"/>
                              <w:rPr>
                                <w:caps w:val="false"/>
                                <w:smallCaps w:val="false"/>
                              </w:rPr>
                            </w:pPr>
                            <w:r>
                              <w:rPr>
                                <w:caps w:val="false"/>
                                <w:smallCaps w:val="false"/>
                              </w:rPr>
                              <w:t>○    </w:t>
                            </w:r>
                            <w:r>
                              <w:rPr>
                                <w:rFonts w:ascii="Arial" w:hAnsi="Arial"/>
                                <w:b w:val="false"/>
                                <w:i w:val="false"/>
                                <w:caps w:val="false"/>
                                <w:smallCaps w:val="false"/>
                                <w:sz w:val="20"/>
                              </w:rPr>
                              <w:t>Implementation of monitoring control dashboard.</w:t>
                            </w:r>
                          </w:p>
                          <w:p>
                            <w:pPr>
                              <w:pStyle w:val="TableContents"/>
                              <w:bidi w:val="0"/>
                              <w:spacing w:before="0" w:after="0"/>
                              <w:ind w:left="360" w:right="0" w:hanging="360"/>
                              <w:jc w:val="both"/>
                              <w:rPr>
                                <w:caps w:val="false"/>
                                <w:smallCaps w:val="false"/>
                              </w:rPr>
                            </w:pPr>
                            <w:r>
                              <w:rPr>
                                <w:caps w:val="false"/>
                                <w:smallCaps w:val="false"/>
                              </w:rPr>
                              <w:t>○    </w:t>
                            </w:r>
                            <w:r>
                              <w:rPr>
                                <w:rFonts w:ascii="Arial" w:hAnsi="Arial"/>
                                <w:b w:val="false"/>
                                <w:i w:val="false"/>
                                <w:caps w:val="false"/>
                                <w:smallCaps w:val="false"/>
                                <w:sz w:val="20"/>
                              </w:rPr>
                              <w:t>Penalty process rolled out to group companies.</w:t>
                            </w:r>
                          </w:p>
                          <w:p>
                            <w:pPr>
                              <w:pStyle w:val="TableContents"/>
                              <w:bidi w:val="0"/>
                              <w:spacing w:before="0" w:after="0"/>
                              <w:ind w:left="360" w:right="0" w:hanging="360"/>
                              <w:jc w:val="both"/>
                              <w:rPr>
                                <w:caps w:val="false"/>
                                <w:smallCaps w:val="false"/>
                              </w:rPr>
                            </w:pPr>
                            <w:r>
                              <w:rPr>
                                <w:caps w:val="false"/>
                                <w:smallCaps w:val="false"/>
                              </w:rPr>
                              <w:t>○    </w:t>
                            </w:r>
                            <w:r>
                              <w:rPr>
                                <w:rFonts w:ascii="Arial" w:hAnsi="Arial"/>
                                <w:b w:val="false"/>
                                <w:i w:val="false"/>
                                <w:caps w:val="false"/>
                                <w:smallCaps w:val="false"/>
                                <w:sz w:val="20"/>
                              </w:rPr>
                              <w:t xml:space="preserve">Communications, training, and evaluation for the Regulatory Compliance team and across the business,developed through </w:t>
                            </w:r>
                            <w:r>
                              <w:rPr>
                                <w:rFonts w:ascii="Arial" w:hAnsi="Arial"/>
                                <w:b w:val="false"/>
                                <w:i/>
                                <w:caps w:val="false"/>
                                <w:smallCaps w:val="false"/>
                                <w:sz w:val="20"/>
                              </w:rPr>
                              <w:t>Entrena tu GenÉTICA</w:t>
                            </w:r>
                            <w:r>
                              <w:rPr>
                                <w:rFonts w:ascii="Arial" w:hAnsi="Arial"/>
                                <w:b w:val="false"/>
                                <w:i w:val="false"/>
                                <w:caps w:val="false"/>
                                <w:smallCaps w:val="false"/>
                                <w:sz w:val="20"/>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05">
                <wp:simplePos x="0" y="0"/>
                <wp:positionH relativeFrom="column">
                  <wp:align>right</wp:align>
                </wp:positionH>
                <wp:positionV relativeFrom="line">
                  <wp:posOffset>635</wp:posOffset>
                </wp:positionV>
                <wp:extent cx="3110230" cy="5986780"/>
                <wp:effectExtent l="0" t="0" r="0" b="0"/>
                <wp:wrapSquare wrapText="left"/>
                <wp:docPr id="391" name="Frame119"/>
                <a:graphic xmlns:a="http://schemas.openxmlformats.org/drawingml/2006/main">
                  <a:graphicData uri="http://schemas.microsoft.com/office/word/2010/wordprocessingShape">
                    <wps:wsp>
                      <wps:cNvSpPr txBox="1"/>
                      <wps:spPr>
                        <a:xfrm>
                          <a:off x="0" y="0"/>
                          <a:ext cx="3110230" cy="598678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010"/>
                              <w:gridCol w:w="60"/>
                              <w:gridCol w:w="9135"/>
                            </w:tblGrid>
                            <w:tr>
                              <w:trPr/>
                              <w:tc>
                                <w:tcPr>
                                  <w:tcW w:w="1010" w:type="dxa"/>
                                  <w:tcBorders/>
                                  <w:shd w:fill="ED7C30" w:val="cle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i w:val="false"/>
                                      <w:caps w:val="false"/>
                                      <w:smallCaps w:val="false"/>
                                      <w:color w:val="FFFFFF"/>
                                      <w:sz w:val="20"/>
                                    </w:rPr>
                                    <w:t>Anti-</w:t>
                                  </w:r>
                                  <w:r>
                                    <w:rPr>
                                      <w:rFonts w:ascii="Arial" w:hAnsi="Arial"/>
                                      <w:b w:val="false"/>
                                      <w:i w:val="false"/>
                                      <w:caps w:val="false"/>
                                      <w:smallCaps w:val="false"/>
                                      <w:sz w:val="20"/>
                                    </w:rPr>
                                    <w:br/>
                                  </w:r>
                                  <w:r>
                                    <w:rPr>
                                      <w:rFonts w:ascii="Arial" w:hAnsi="Arial"/>
                                      <w:b/>
                                      <w:i w:val="false"/>
                                      <w:caps w:val="false"/>
                                      <w:smallCaps w:val="false"/>
                                      <w:color w:val="FFFFFF"/>
                                      <w:sz w:val="20"/>
                                    </w:rPr>
                                    <w:t>corruption</w:t>
                                  </w:r>
                                </w:p>
                              </w:tc>
                              <w:tc>
                                <w:tcPr>
                                  <w:tcW w:w="60" w:type="dxa"/>
                                  <w:tcBorders/>
                                  <w:vAlign w:val="center"/>
                                </w:tcPr>
                                <w:p>
                                  <w:pPr>
                                    <w:pStyle w:val="TableContents"/>
                                    <w:bidi w:val="0"/>
                                    <w:spacing w:before="0" w:after="283"/>
                                    <w:jc w:val="left"/>
                                    <w:rPr/>
                                  </w:pPr>
                                  <w:r>
                                    <w:rPr/>
                                    <w:t> </w:t>
                                  </w:r>
                                </w:p>
                              </w:tc>
                              <w:tc>
                                <w:tcPr>
                                  <w:tcW w:w="9135" w:type="dxa"/>
                                  <w:tcBorders>
                                    <w:top w:val="single" w:sz="8" w:space="0" w:color="ED7C30"/>
                                    <w:left w:val="single" w:sz="8" w:space="0" w:color="ED7C30"/>
                                    <w:bottom w:val="single" w:sz="8" w:space="0" w:color="ED7C30"/>
                                    <w:right w:val="single" w:sz="8" w:space="0" w:color="ED7C30"/>
                                  </w:tcBorders>
                                  <w:tcMar>
                                    <w:top w:w="100" w:type="dxa"/>
                                    <w:left w:w="100" w:type="dxa"/>
                                    <w:bottom w:w="100" w:type="dxa"/>
                                    <w:right w:w="100" w:type="dxa"/>
                                  </w:tcMar>
                                  <w:vAlign w:val="center"/>
                                </w:tcPr>
                                <w:p>
                                  <w:pPr>
                                    <w:pStyle w:val="TableContents"/>
                                    <w:bidi w:val="0"/>
                                    <w:spacing w:before="0" w:after="0"/>
                                    <w:ind w:left="360" w:right="0" w:hanging="360"/>
                                    <w:jc w:val="both"/>
                                    <w:rPr>
                                      <w:caps w:val="false"/>
                                      <w:smallCaps w:val="false"/>
                                    </w:rPr>
                                  </w:pPr>
                                  <w:r>
                                    <w:rPr>
                                      <w:caps w:val="false"/>
                                      <w:smallCaps w:val="false"/>
                                    </w:rPr>
                                    <w:t>○    </w:t>
                                  </w:r>
                                  <w:r>
                                    <w:rPr>
                                      <w:rFonts w:ascii="Arial" w:hAnsi="Arial"/>
                                      <w:b w:val="false"/>
                                      <w:i w:val="false"/>
                                      <w:caps w:val="false"/>
                                      <w:smallCaps w:val="false"/>
                                      <w:sz w:val="20"/>
                                    </w:rPr>
                                    <w:t>Corporate Policy for the Prevention of Corruption and Bribery updated and published.</w:t>
                                  </w:r>
                                </w:p>
                                <w:p>
                                  <w:pPr>
                                    <w:pStyle w:val="TableContents"/>
                                    <w:bidi w:val="0"/>
                                    <w:spacing w:before="0" w:after="0"/>
                                    <w:ind w:left="360" w:right="0" w:hanging="360"/>
                                    <w:jc w:val="both"/>
                                    <w:rPr>
                                      <w:caps w:val="false"/>
                                      <w:smallCaps w:val="false"/>
                                    </w:rPr>
                                  </w:pPr>
                                  <w:r>
                                    <w:rPr>
                                      <w:caps w:val="false"/>
                                      <w:smallCaps w:val="false"/>
                                    </w:rPr>
                                    <w:t>○    </w:t>
                                  </w:r>
                                  <w:r>
                                    <w:rPr>
                                      <w:rFonts w:ascii="Arial" w:hAnsi="Arial"/>
                                      <w:b w:val="false"/>
                                      <w:i w:val="false"/>
                                      <w:caps w:val="false"/>
                                      <w:smallCaps w:val="false"/>
                                      <w:sz w:val="20"/>
                                    </w:rPr>
                                    <w:t>The stock of relevant, high, and critical (RAC) risks in 2023 sitting at 41. The group’s risk management methodology requires us to reduce this number; accordingly, we undertook a specific assessment of processes that these risks impact and, during the year, 32% of the identified risks were lowered.</w:t>
                                  </w:r>
                                </w:p>
                                <w:p>
                                  <w:pPr>
                                    <w:pStyle w:val="TableContents"/>
                                    <w:bidi w:val="0"/>
                                    <w:spacing w:before="0" w:after="0"/>
                                    <w:ind w:left="360" w:right="0" w:hanging="360"/>
                                    <w:jc w:val="both"/>
                                    <w:rPr>
                                      <w:caps w:val="false"/>
                                      <w:smallCaps w:val="false"/>
                                    </w:rPr>
                                  </w:pPr>
                                  <w:r>
                                    <w:rPr>
                                      <w:caps w:val="false"/>
                                      <w:smallCaps w:val="false"/>
                                    </w:rPr>
                                    <w:t>○    </w:t>
                                  </w:r>
                                  <w:r>
                                    <w:rPr>
                                      <w:rFonts w:ascii="Arial" w:hAnsi="Arial"/>
                                      <w:b w:val="false"/>
                                      <w:i w:val="false"/>
                                      <w:caps w:val="false"/>
                                      <w:smallCaps w:val="false"/>
                                      <w:sz w:val="20"/>
                                    </w:rPr>
                                    <w:t>All Credicorp directors and 96% of staff trained. Anti-corruption policies and procedures communicated to 69% of the suppliers operating high-risk areas.</w:t>
                                  </w:r>
                                </w:p>
                                <w:p>
                                  <w:pPr>
                                    <w:pStyle w:val="TableContents"/>
                                    <w:bidi w:val="0"/>
                                    <w:spacing w:before="0" w:after="0"/>
                                    <w:ind w:left="360" w:right="0" w:hanging="360"/>
                                    <w:jc w:val="both"/>
                                    <w:rPr>
                                      <w:caps w:val="false"/>
                                      <w:smallCaps w:val="false"/>
                                    </w:rPr>
                                  </w:pPr>
                                  <w:r>
                                    <w:rPr>
                                      <w:caps w:val="false"/>
                                      <w:smallCaps w:val="false"/>
                                    </w:rPr>
                                    <w:t>○    </w:t>
                                  </w:r>
                                  <w:r>
                                    <w:rPr>
                                      <w:rFonts w:ascii="Arial" w:hAnsi="Arial"/>
                                      <w:b w:val="false"/>
                                      <w:i w:val="false"/>
                                      <w:caps w:val="false"/>
                                      <w:smallCaps w:val="false"/>
                                      <w:sz w:val="20"/>
                                    </w:rPr>
                                    <w:t>No confirmed cases of corruption identified during the year.</w:t>
                                  </w:r>
                                </w:p>
                                <w:p>
                                  <w:pPr>
                                    <w:pStyle w:val="TableContents"/>
                                    <w:bidi w:val="0"/>
                                    <w:spacing w:before="0" w:after="0"/>
                                    <w:ind w:left="360" w:right="0" w:hanging="360"/>
                                    <w:jc w:val="both"/>
                                    <w:rPr>
                                      <w:caps w:val="false"/>
                                      <w:smallCaps w:val="false"/>
                                    </w:rPr>
                                  </w:pPr>
                                  <w:r>
                                    <w:rPr>
                                      <w:caps w:val="false"/>
                                      <w:smallCaps w:val="false"/>
                                    </w:rPr>
                                    <w:t>○    </w:t>
                                  </w:r>
                                  <w:r>
                                    <w:rPr>
                                      <w:rFonts w:ascii="Arial" w:hAnsi="Arial"/>
                                      <w:b w:val="false"/>
                                      <w:i w:val="false"/>
                                      <w:caps w:val="false"/>
                                      <w:smallCaps w:val="false"/>
                                      <w:sz w:val="20"/>
                                    </w:rPr>
                                    <w:t>BCP, Mibanco, and Pacífico in Peru hold ISO 37001 (Anti-Bribery) certification. BCP has also obtained accreditation from Empresarios por la Integridad ( Entrepreneurs for Integrity), an institution that provides guidelines and best practices for the fight against corruption.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692"/>
                              <w:gridCol w:w="6513"/>
                            </w:tblGrid>
                            <w:tr>
                              <w:trPr/>
                              <w:tc>
                                <w:tcPr>
                                  <w:tcW w:w="3692" w:type="dxa"/>
                                  <w:tcBorders/>
                                  <w:shd w:fill="ED7C30" w:val="clear"/>
                                  <w:vAlign w:val="center"/>
                                </w:tcPr>
                                <w:p>
                                  <w:pPr>
                                    <w:pStyle w:val="TableContents"/>
                                    <w:bidi w:val="0"/>
                                    <w:spacing w:before="0" w:after="0"/>
                                    <w:jc w:val="center"/>
                                    <w:rPr>
                                      <w:rFonts w:ascii="Arial" w:hAnsi="Arial"/>
                                      <w:b/>
                                      <w:i w:val="false"/>
                                      <w:caps w:val="false"/>
                                      <w:smallCaps w:val="false"/>
                                      <w:color w:val="FFFFFF"/>
                                      <w:sz w:val="20"/>
                                    </w:rPr>
                                  </w:pPr>
                                  <w:r>
                                    <w:rPr>
                                      <w:rFonts w:ascii="Arial" w:hAnsi="Arial"/>
                                      <w:b/>
                                      <w:i w:val="false"/>
                                      <w:caps w:val="false"/>
                                      <w:smallCaps w:val="false"/>
                                      <w:color w:val="FFFFFF"/>
                                      <w:sz w:val="20"/>
                                    </w:rPr>
                                    <w:t>Tax transparency</w:t>
                                  </w:r>
                                </w:p>
                                <w:p>
                                  <w:pPr>
                                    <w:pStyle w:val="TableContents"/>
                                    <w:bidi w:val="0"/>
                                    <w:spacing w:before="0" w:after="0"/>
                                    <w:jc w:val="center"/>
                                    <w:rPr>
                                      <w:rFonts w:ascii="Arial" w:hAnsi="Arial"/>
                                      <w:b w:val="false"/>
                                      <w:i w:val="false"/>
                                      <w:caps w:val="false"/>
                                      <w:smallCaps w:val="false"/>
                                      <w:color w:val="FFFFFF"/>
                                      <w:sz w:val="20"/>
                                    </w:rPr>
                                  </w:pPr>
                                  <w:r>
                                    <w:rPr>
                                      <w:rFonts w:ascii="Arial" w:hAnsi="Arial"/>
                                      <w:b w:val="false"/>
                                      <w:i w:val="false"/>
                                      <w:caps w:val="false"/>
                                      <w:smallCaps w:val="false"/>
                                      <w:color w:val="FFFFFF"/>
                                      <w:sz w:val="20"/>
                                    </w:rPr>
                                    <w:t>FATCA (</w:t>
                                  </w:r>
                                  <w:r>
                                    <w:rPr>
                                      <w:rFonts w:ascii="Arial" w:hAnsi="Arial"/>
                                      <w:b w:val="false"/>
                                      <w:i/>
                                      <w:caps w:val="false"/>
                                      <w:smallCaps w:val="false"/>
                                      <w:color w:val="FFFFFF"/>
                                      <w:sz w:val="20"/>
                                    </w:rPr>
                                    <w:t>Foreign Account Tax Compliance Act</w:t>
                                  </w:r>
                                  <w:r>
                                    <w:rPr>
                                      <w:rFonts w:ascii="Arial" w:hAnsi="Arial"/>
                                      <w:b w:val="false"/>
                                      <w:i w:val="false"/>
                                      <w:caps w:val="false"/>
                                      <w:smallCaps w:val="false"/>
                                      <w:color w:val="FFFFFF"/>
                                      <w:sz w:val="20"/>
                                    </w:rPr>
                                    <w:t>) and CRS (</w:t>
                                  </w:r>
                                  <w:r>
                                    <w:rPr>
                                      <w:rFonts w:ascii="Arial" w:hAnsi="Arial"/>
                                      <w:b w:val="false"/>
                                      <w:i/>
                                      <w:caps w:val="false"/>
                                      <w:smallCaps w:val="false"/>
                                      <w:color w:val="FFFFFF"/>
                                      <w:sz w:val="20"/>
                                    </w:rPr>
                                    <w:t>Common Reporting Standard</w:t>
                                  </w:r>
                                  <w:r>
                                    <w:rPr>
                                      <w:rFonts w:ascii="Arial" w:hAnsi="Arial"/>
                                      <w:b w:val="false"/>
                                      <w:i w:val="false"/>
                                      <w:caps w:val="false"/>
                                      <w:smallCaps w:val="false"/>
                                      <w:color w:val="FFFFFF"/>
                                      <w:sz w:val="20"/>
                                    </w:rPr>
                                    <w:t>)</w:t>
                                  </w:r>
                                </w:p>
                              </w:tc>
                              <w:tc>
                                <w:tcPr>
                                  <w:tcW w:w="6513" w:type="dxa"/>
                                  <w:tcBorders>
                                    <w:top w:val="single" w:sz="8" w:space="0" w:color="ED7C30"/>
                                    <w:bottom w:val="single" w:sz="8" w:space="0" w:color="ED7C30"/>
                                    <w:right w:val="single" w:sz="8" w:space="0" w:color="ED7C30"/>
                                  </w:tcBorders>
                                  <w:tcMar>
                                    <w:top w:w="100" w:type="dxa"/>
                                    <w:bottom w:w="100" w:type="dxa"/>
                                    <w:right w:w="100" w:type="dxa"/>
                                  </w:tcMar>
                                  <w:vAlign w:val="center"/>
                                </w:tcPr>
                                <w:p>
                                  <w:pPr>
                                    <w:pStyle w:val="TableContents"/>
                                    <w:bidi w:val="0"/>
                                    <w:spacing w:before="0" w:after="0"/>
                                    <w:ind w:left="360" w:right="0" w:hanging="360"/>
                                    <w:jc w:val="both"/>
                                    <w:rPr>
                                      <w:caps w:val="false"/>
                                      <w:smallCaps w:val="false"/>
                                    </w:rPr>
                                  </w:pPr>
                                  <w:r>
                                    <w:rPr>
                                      <w:caps w:val="false"/>
                                      <w:smallCaps w:val="false"/>
                                    </w:rPr>
                                    <w:t>○    </w:t>
                                  </w:r>
                                  <w:r>
                                    <w:rPr>
                                      <w:rFonts w:ascii="Arial" w:hAnsi="Arial"/>
                                      <w:b w:val="false"/>
                                      <w:i w:val="false"/>
                                      <w:caps w:val="false"/>
                                      <w:smallCaps w:val="false"/>
                                      <w:sz w:val="20"/>
                                    </w:rPr>
                                    <w:t>Successful dispatch to tax authorities in eight countries of over 70 FATCA and CRS reports, each qualitatively and quantitatively validated by each entity to assure quality:</w:t>
                                  </w:r>
                                </w:p>
                                <w:p>
                                  <w:pPr>
                                    <w:pStyle w:val="TableContents"/>
                                    <w:bidi w:val="0"/>
                                    <w:spacing w:before="0" w:after="0"/>
                                    <w:ind w:left="360" w:right="0" w:hanging="360"/>
                                    <w:jc w:val="both"/>
                                    <w:rPr>
                                      <w:caps w:val="false"/>
                                      <w:smallCaps w:val="false"/>
                                    </w:rPr>
                                  </w:pPr>
                                  <w:r>
                                    <w:rPr>
                                      <w:caps w:val="false"/>
                                      <w:smallCaps w:val="false"/>
                                    </w:rPr>
                                    <w:t>○    </w:t>
                                  </w:r>
                                  <w:r>
                                    <w:rPr>
                                      <w:rFonts w:ascii="Arial" w:hAnsi="Arial"/>
                                      <w:b w:val="false"/>
                                      <w:i w:val="false"/>
                                      <w:caps w:val="false"/>
                                      <w:smallCaps w:val="false"/>
                                      <w:sz w:val="20"/>
                                    </w:rPr>
                                    <w:t>12,151 clients with foreign tax residence</w:t>
                                  </w:r>
                                </w:p>
                                <w:p>
                                  <w:pPr>
                                    <w:pStyle w:val="TableContents"/>
                                    <w:bidi w:val="0"/>
                                    <w:spacing w:before="0" w:after="0"/>
                                    <w:ind w:left="360" w:right="0" w:hanging="360"/>
                                    <w:jc w:val="both"/>
                                    <w:rPr>
                                      <w:caps w:val="false"/>
                                      <w:smallCaps w:val="false"/>
                                    </w:rPr>
                                  </w:pPr>
                                  <w:r>
                                    <w:rPr>
                                      <w:caps w:val="false"/>
                                      <w:smallCaps w:val="false"/>
                                    </w:rPr>
                                    <w:t>○    </w:t>
                                  </w:r>
                                  <w:r>
                                    <w:rPr>
                                      <w:rFonts w:ascii="Arial" w:hAnsi="Arial"/>
                                      <w:b w:val="false"/>
                                      <w:i w:val="false"/>
                                      <w:caps w:val="false"/>
                                      <w:smallCaps w:val="false"/>
                                      <w:sz w:val="20"/>
                                    </w:rPr>
                                    <w:t>26,298 bank accounts reported.</w:t>
                                  </w:r>
                                </w:p>
                                <w:p>
                                  <w:pPr>
                                    <w:pStyle w:val="TableContents"/>
                                    <w:bidi w:val="0"/>
                                    <w:spacing w:before="0" w:after="0"/>
                                    <w:ind w:left="360" w:right="0" w:hanging="360"/>
                                    <w:jc w:val="both"/>
                                    <w:rPr>
                                      <w:caps w:val="false"/>
                                      <w:smallCaps w:val="false"/>
                                    </w:rPr>
                                  </w:pPr>
                                  <w:r>
                                    <w:rPr>
                                      <w:caps w:val="false"/>
                                      <w:smallCaps w:val="false"/>
                                    </w:rPr>
                                    <w:t>○    </w:t>
                                  </w:r>
                                  <w:r>
                                    <w:rPr>
                                      <w:rFonts w:ascii="Arial" w:hAnsi="Arial"/>
                                      <w:b w:val="false"/>
                                      <w:i w:val="false"/>
                                      <w:caps w:val="false"/>
                                      <w:smallCaps w:val="false"/>
                                      <w:sz w:val="20"/>
                                    </w:rPr>
                                    <w:t>Over USD7,309 million reported in balances and returns.</w:t>
                                  </w:r>
                                </w:p>
                                <w:p>
                                  <w:pPr>
                                    <w:pStyle w:val="TableContents"/>
                                    <w:bidi w:val="0"/>
                                    <w:spacing w:before="0" w:after="0"/>
                                    <w:ind w:left="360" w:right="0" w:hanging="360"/>
                                    <w:jc w:val="both"/>
                                    <w:rPr>
                                      <w:caps w:val="false"/>
                                      <w:smallCaps w:val="false"/>
                                    </w:rPr>
                                  </w:pPr>
                                  <w:r>
                                    <w:rPr>
                                      <w:caps w:val="false"/>
                                      <w:smallCaps w:val="false"/>
                                    </w:rPr>
                                    <w:t>○    </w:t>
                                  </w:r>
                                  <w:r>
                                    <w:rPr>
                                      <w:rFonts w:ascii="Arial" w:hAnsi="Arial"/>
                                      <w:b w:val="false"/>
                                      <w:i w:val="false"/>
                                      <w:caps w:val="false"/>
                                      <w:smallCaps w:val="false"/>
                                      <w:sz w:val="20"/>
                                    </w:rPr>
                                    <w:t>Over 16,000 Credicorp employees trained.</w:t>
                                  </w:r>
                                </w:p>
                                <w:p>
                                  <w:pPr>
                                    <w:pStyle w:val="TableContents"/>
                                    <w:bidi w:val="0"/>
                                    <w:spacing w:before="0" w:after="0"/>
                                    <w:ind w:left="360" w:right="0" w:hanging="360"/>
                                    <w:jc w:val="both"/>
                                    <w:rPr>
                                      <w:caps w:val="false"/>
                                      <w:smallCaps w:val="false"/>
                                    </w:rPr>
                                  </w:pPr>
                                  <w:r>
                                    <w:rPr>
                                      <w:caps w:val="false"/>
                                      <w:smallCaps w:val="false"/>
                                    </w:rPr>
                                    <w:t>○    </w:t>
                                  </w:r>
                                  <w:r>
                                    <w:rPr>
                                      <w:rFonts w:ascii="Arial" w:hAnsi="Arial"/>
                                      <w:b w:val="false"/>
                                      <w:i w:val="false"/>
                                      <w:caps w:val="false"/>
                                      <w:smallCaps w:val="false"/>
                                      <w:sz w:val="20"/>
                                    </w:rPr>
                                    <w:t>Twelve virtual communication sessions held for the sales force.</w:t>
                                  </w:r>
                                </w:p>
                              </w:tc>
                            </w:tr>
                          </w:tbl>
                          <w:p>
                            <w:pPr>
                              <w:pStyle w:val="TextBody"/>
                              <w:bidi w:val="0"/>
                              <w:spacing w:before="0" w:after="283"/>
                              <w:jc w:val="left"/>
                              <w:rPr/>
                            </w:pPr>
                            <w:r>
                              <w:rPr/>
                              <w:t> </w:t>
                            </w:r>
                          </w:p>
                          <w:tbl>
                            <w:tblPr>
                              <w:tblW w:w="7405" w:type="dxa"/>
                              <w:jc w:val="left"/>
                              <w:tblInd w:w="0" w:type="dxa"/>
                              <w:tblLayout w:type="fixed"/>
                              <w:tblCellMar>
                                <w:top w:w="0" w:type="dxa"/>
                                <w:left w:w="0" w:type="dxa"/>
                                <w:bottom w:w="0" w:type="dxa"/>
                                <w:right w:w="0" w:type="dxa"/>
                              </w:tblCellMar>
                            </w:tblPr>
                            <w:tblGrid>
                              <w:gridCol w:w="1445"/>
                              <w:gridCol w:w="5960"/>
                            </w:tblGrid>
                            <w:tr>
                              <w:trPr/>
                              <w:tc>
                                <w:tcPr>
                                  <w:tcW w:w="1445" w:type="dxa"/>
                                  <w:tcBorders/>
                                  <w:shd w:fill="ED7C30" w:val="clear"/>
                                  <w:vAlign w:val="center"/>
                                </w:tcPr>
                                <w:p>
                                  <w:pPr>
                                    <w:pStyle w:val="TableContents"/>
                                    <w:bidi w:val="0"/>
                                    <w:spacing w:before="0" w:after="0"/>
                                    <w:jc w:val="center"/>
                                    <w:rPr>
                                      <w:rFonts w:ascii="Arial" w:hAnsi="Arial"/>
                                      <w:b/>
                                      <w:i w:val="false"/>
                                      <w:caps w:val="false"/>
                                      <w:smallCaps w:val="false"/>
                                      <w:color w:val="FFFFFF"/>
                                      <w:sz w:val="20"/>
                                    </w:rPr>
                                  </w:pPr>
                                  <w:r>
                                    <w:rPr>
                                      <w:rFonts w:ascii="Arial" w:hAnsi="Arial"/>
                                      <w:b/>
                                      <w:i w:val="false"/>
                                      <w:caps w:val="false"/>
                                      <w:smallCaps w:val="false"/>
                                      <w:color w:val="FFFFFF"/>
                                      <w:sz w:val="20"/>
                                    </w:rPr>
                                    <w:t>Prevention of</w:t>
                                  </w:r>
                                </w:p>
                                <w:p>
                                  <w:pPr>
                                    <w:pStyle w:val="TableContents"/>
                                    <w:bidi w:val="0"/>
                                    <w:spacing w:before="0" w:after="0"/>
                                    <w:jc w:val="center"/>
                                    <w:rPr>
                                      <w:rFonts w:ascii="Arial" w:hAnsi="Arial"/>
                                      <w:b/>
                                      <w:i w:val="false"/>
                                      <w:caps w:val="false"/>
                                      <w:smallCaps w:val="false"/>
                                      <w:color w:val="FFFFFF"/>
                                      <w:sz w:val="20"/>
                                    </w:rPr>
                                  </w:pPr>
                                  <w:r>
                                    <w:rPr>
                                      <w:rFonts w:ascii="Arial" w:hAnsi="Arial"/>
                                      <w:b/>
                                      <w:i w:val="false"/>
                                      <w:caps w:val="false"/>
                                      <w:smallCaps w:val="false"/>
                                      <w:color w:val="FFFFFF"/>
                                      <w:sz w:val="20"/>
                                    </w:rPr>
                                    <w:t>money</w:t>
                                  </w:r>
                                </w:p>
                                <w:p>
                                  <w:pPr>
                                    <w:pStyle w:val="TableContents"/>
                                    <w:bidi w:val="0"/>
                                    <w:spacing w:before="0" w:after="0"/>
                                    <w:jc w:val="center"/>
                                    <w:rPr>
                                      <w:rFonts w:ascii="Arial" w:hAnsi="Arial"/>
                                      <w:b/>
                                      <w:i w:val="false"/>
                                      <w:caps w:val="false"/>
                                      <w:smallCaps w:val="false"/>
                                      <w:color w:val="FFFFFF"/>
                                      <w:sz w:val="20"/>
                                    </w:rPr>
                                  </w:pPr>
                                  <w:r>
                                    <w:rPr>
                                      <w:rFonts w:ascii="Arial" w:hAnsi="Arial"/>
                                      <w:b/>
                                      <w:i w:val="false"/>
                                      <w:caps w:val="false"/>
                                      <w:smallCaps w:val="false"/>
                                      <w:color w:val="FFFFFF"/>
                                      <w:sz w:val="20"/>
                                    </w:rPr>
                                    <w:t>laundering and</w:t>
                                  </w:r>
                                </w:p>
                                <w:p>
                                  <w:pPr>
                                    <w:pStyle w:val="TableContents"/>
                                    <w:bidi w:val="0"/>
                                    <w:spacing w:before="0" w:after="0"/>
                                    <w:jc w:val="center"/>
                                    <w:rPr>
                                      <w:rFonts w:ascii="Arial" w:hAnsi="Arial"/>
                                      <w:b/>
                                      <w:i w:val="false"/>
                                      <w:caps w:val="false"/>
                                      <w:smallCaps w:val="false"/>
                                      <w:color w:val="FFFFFF"/>
                                      <w:sz w:val="20"/>
                                    </w:rPr>
                                  </w:pPr>
                                  <w:r>
                                    <w:rPr>
                                      <w:rFonts w:ascii="Arial" w:hAnsi="Arial"/>
                                      <w:b/>
                                      <w:i w:val="false"/>
                                      <w:caps w:val="false"/>
                                      <w:smallCaps w:val="false"/>
                                      <w:color w:val="FFFFFF"/>
                                      <w:sz w:val="20"/>
                                    </w:rPr>
                                    <w:t>terrorist</w:t>
                                  </w:r>
                                </w:p>
                                <w:p>
                                  <w:pPr>
                                    <w:pStyle w:val="TableContents"/>
                                    <w:bidi w:val="0"/>
                                    <w:spacing w:before="0" w:after="0"/>
                                    <w:jc w:val="center"/>
                                    <w:rPr>
                                      <w:rFonts w:ascii="Arial" w:hAnsi="Arial"/>
                                      <w:b/>
                                      <w:i w:val="false"/>
                                      <w:caps w:val="false"/>
                                      <w:smallCaps w:val="false"/>
                                      <w:color w:val="FFFFFF"/>
                                      <w:sz w:val="20"/>
                                    </w:rPr>
                                  </w:pPr>
                                  <w:r>
                                    <w:rPr>
                                      <w:rFonts w:ascii="Arial" w:hAnsi="Arial"/>
                                      <w:b/>
                                      <w:i w:val="false"/>
                                      <w:caps w:val="false"/>
                                      <w:smallCaps w:val="false"/>
                                      <w:color w:val="FFFFFF"/>
                                      <w:sz w:val="20"/>
                                    </w:rPr>
                                    <w:t>financing</w:t>
                                  </w:r>
                                </w:p>
                              </w:tc>
                              <w:tc>
                                <w:tcPr>
                                  <w:tcW w:w="5960" w:type="dxa"/>
                                  <w:tcBorders>
                                    <w:top w:val="single" w:sz="8" w:space="0" w:color="ED7C30"/>
                                    <w:bottom w:val="single" w:sz="8" w:space="0" w:color="ED7C30"/>
                                    <w:right w:val="single" w:sz="8" w:space="0" w:color="ED7C30"/>
                                  </w:tcBorders>
                                  <w:tcMar>
                                    <w:top w:w="100" w:type="dxa"/>
                                    <w:bottom w:w="100" w:type="dxa"/>
                                    <w:right w:w="100" w:type="dxa"/>
                                  </w:tcMar>
                                  <w:vAlign w:val="center"/>
                                </w:tcPr>
                                <w:p>
                                  <w:pPr>
                                    <w:pStyle w:val="TableContents"/>
                                    <w:bidi w:val="0"/>
                                    <w:spacing w:before="0" w:after="0"/>
                                    <w:ind w:left="360" w:right="0" w:hanging="360"/>
                                    <w:jc w:val="both"/>
                                    <w:rPr>
                                      <w:caps w:val="false"/>
                                      <w:smallCaps w:val="false"/>
                                    </w:rPr>
                                  </w:pPr>
                                  <w:r>
                                    <w:rPr>
                                      <w:caps w:val="false"/>
                                      <w:smallCaps w:val="false"/>
                                    </w:rPr>
                                    <w:t>○    </w:t>
                                  </w:r>
                                  <w:r>
                                    <w:rPr>
                                      <w:rFonts w:ascii="Arial" w:hAnsi="Arial"/>
                                      <w:b w:val="false"/>
                                      <w:i w:val="false"/>
                                      <w:caps w:val="false"/>
                                      <w:smallCaps w:val="false"/>
                                      <w:sz w:val="20"/>
                                    </w:rPr>
                                    <w:t>An internal audit rating above 95%.</w:t>
                                  </w:r>
                                </w:p>
                                <w:p>
                                  <w:pPr>
                                    <w:pStyle w:val="TableContents"/>
                                    <w:bidi w:val="0"/>
                                    <w:spacing w:before="0" w:after="0"/>
                                    <w:ind w:left="360" w:right="0" w:hanging="360"/>
                                    <w:jc w:val="both"/>
                                    <w:rPr>
                                      <w:caps w:val="false"/>
                                      <w:smallCaps w:val="false"/>
                                    </w:rPr>
                                  </w:pPr>
                                  <w:r>
                                    <w:rPr>
                                      <w:caps w:val="false"/>
                                      <w:smallCaps w:val="false"/>
                                    </w:rPr>
                                    <w:t>○    </w:t>
                                  </w:r>
                                  <w:r>
                                    <w:rPr>
                                      <w:rFonts w:ascii="Arial" w:hAnsi="Arial"/>
                                      <w:b w:val="false"/>
                                      <w:i w:val="false"/>
                                      <w:caps w:val="false"/>
                                      <w:smallCaps w:val="false"/>
                                      <w:sz w:val="20"/>
                                    </w:rPr>
                                    <w:t>Cash deposit controls in USDwith above 75% effectiveness.</w:t>
                                  </w:r>
                                </w:p>
                                <w:p>
                                  <w:pPr>
                                    <w:pStyle w:val="TableContents"/>
                                    <w:bidi w:val="0"/>
                                    <w:spacing w:before="0" w:after="0"/>
                                    <w:ind w:left="360" w:right="0" w:hanging="360"/>
                                    <w:jc w:val="both"/>
                                    <w:rPr>
                                      <w:caps w:val="false"/>
                                      <w:smallCaps w:val="false"/>
                                    </w:rPr>
                                  </w:pPr>
                                  <w:r>
                                    <w:rPr>
                                      <w:caps w:val="false"/>
                                      <w:smallCaps w:val="false"/>
                                    </w:rPr>
                                    <w:t>○    </w:t>
                                  </w:r>
                                  <w:r>
                                    <w:rPr>
                                      <w:rFonts w:ascii="Arial" w:hAnsi="Arial"/>
                                      <w:b w:val="false"/>
                                      <w:i w:val="false"/>
                                      <w:caps w:val="false"/>
                                      <w:smallCaps w:val="false"/>
                                      <w:sz w:val="20"/>
                                    </w:rPr>
                                    <w:t>Quality of regulatory information above 86%.</w:t>
                                  </w:r>
                                </w:p>
                                <w:p>
                                  <w:pPr>
                                    <w:pStyle w:val="TableContents"/>
                                    <w:bidi w:val="0"/>
                                    <w:spacing w:before="0" w:after="0"/>
                                    <w:ind w:left="360" w:right="0" w:hanging="360"/>
                                    <w:jc w:val="both"/>
                                    <w:rPr>
                                      <w:caps w:val="false"/>
                                      <w:smallCaps w:val="false"/>
                                    </w:rPr>
                                  </w:pPr>
                                  <w:r>
                                    <w:rPr>
                                      <w:caps w:val="false"/>
                                      <w:smallCaps w:val="false"/>
                                    </w:rPr>
                                    <w:t>○    </w:t>
                                  </w:r>
                                  <w:r>
                                    <w:rPr>
                                      <w:rFonts w:ascii="Arial" w:hAnsi="Arial"/>
                                      <w:b w:val="false"/>
                                      <w:i w:val="false"/>
                                      <w:caps w:val="false"/>
                                      <w:smallCaps w:val="false"/>
                                      <w:sz w:val="20"/>
                                    </w:rPr>
                                    <w:t>Improvements in final beneficiary identification.</w:t>
                                  </w:r>
                                </w:p>
                                <w:p>
                                  <w:pPr>
                                    <w:pStyle w:val="TableContents"/>
                                    <w:bidi w:val="0"/>
                                    <w:spacing w:before="0" w:after="0"/>
                                    <w:ind w:left="360" w:right="0" w:hanging="360"/>
                                    <w:jc w:val="both"/>
                                    <w:rPr>
                                      <w:caps w:val="false"/>
                                      <w:smallCaps w:val="false"/>
                                    </w:rPr>
                                  </w:pPr>
                                  <w:r>
                                    <w:rPr>
                                      <w:caps w:val="false"/>
                                      <w:smallCaps w:val="false"/>
                                    </w:rPr>
                                    <w:t>○    </w:t>
                                  </w:r>
                                  <w:r>
                                    <w:rPr>
                                      <w:rFonts w:ascii="Arial" w:hAnsi="Arial"/>
                                      <w:b w:val="false"/>
                                      <w:i w:val="false"/>
                                      <w:caps w:val="false"/>
                                      <w:smallCaps w:val="false"/>
                                      <w:sz w:val="20"/>
                                    </w:rPr>
                                    <w:t>KRIs steady in the optimal zone.</w:t>
                                  </w:r>
                                </w:p>
                                <w:p>
                                  <w:pPr>
                                    <w:pStyle w:val="TableContents"/>
                                    <w:bidi w:val="0"/>
                                    <w:spacing w:before="0" w:after="0"/>
                                    <w:ind w:left="360" w:right="0" w:hanging="360"/>
                                    <w:jc w:val="both"/>
                                    <w:rPr>
                                      <w:caps w:val="false"/>
                                      <w:smallCaps w:val="false"/>
                                    </w:rPr>
                                  </w:pPr>
                                  <w:r>
                                    <w:rPr>
                                      <w:caps w:val="false"/>
                                      <w:smallCaps w:val="false"/>
                                    </w:rPr>
                                    <w:t>○    </w:t>
                                  </w:r>
                                  <w:r>
                                    <w:rPr>
                                      <w:rFonts w:ascii="Arial" w:hAnsi="Arial"/>
                                      <w:b w:val="false"/>
                                      <w:i w:val="false"/>
                                      <w:caps w:val="false"/>
                                      <w:smallCaps w:val="false"/>
                                      <w:sz w:val="20"/>
                                    </w:rPr>
                                    <w:t>100% implementation of audit and regulatory recommendations.</w:t>
                                  </w:r>
                                </w:p>
                                <w:p>
                                  <w:pPr>
                                    <w:pStyle w:val="TableContents"/>
                                    <w:bidi w:val="0"/>
                                    <w:spacing w:before="0" w:after="0"/>
                                    <w:ind w:left="360" w:right="0" w:hanging="360"/>
                                    <w:jc w:val="both"/>
                                    <w:rPr>
                                      <w:caps w:val="false"/>
                                      <w:smallCaps w:val="false"/>
                                    </w:rPr>
                                  </w:pPr>
                                  <w:r>
                                    <w:rPr>
                                      <w:caps w:val="false"/>
                                      <w:smallCaps w:val="false"/>
                                    </w:rPr>
                                    <w:t>○    </w:t>
                                  </w:r>
                                  <w:r>
                                    <w:rPr>
                                      <w:rFonts w:ascii="Arial" w:hAnsi="Arial"/>
                                      <w:b w:val="false"/>
                                      <w:i w:val="false"/>
                                      <w:caps w:val="false"/>
                                      <w:smallCaps w:val="false"/>
                                      <w:sz w:val="20"/>
                                    </w:rPr>
                                    <w:t>2023 courses delivered to 16,150 employees.</w:t>
                                  </w:r>
                                </w:p>
                                <w:p>
                                  <w:pPr>
                                    <w:pStyle w:val="TableContents"/>
                                    <w:bidi w:val="0"/>
                                    <w:spacing w:before="0" w:after="0"/>
                                    <w:ind w:left="360" w:right="0" w:hanging="360"/>
                                    <w:jc w:val="both"/>
                                    <w:rPr>
                                      <w:caps w:val="false"/>
                                      <w:smallCaps w:val="false"/>
                                    </w:rPr>
                                  </w:pPr>
                                  <w:r>
                                    <w:rPr>
                                      <w:caps w:val="false"/>
                                      <w:smallCaps w:val="false"/>
                                    </w:rPr>
                                    <w:t>○    </w:t>
                                  </w:r>
                                  <w:r>
                                    <w:rPr>
                                      <w:rFonts w:ascii="Arial" w:hAnsi="Arial"/>
                                      <w:b w:val="false"/>
                                      <w:i w:val="false"/>
                                      <w:caps w:val="false"/>
                                      <w:smallCaps w:val="false"/>
                                      <w:sz w:val="20"/>
                                    </w:rPr>
                                    <w:t>Three new analytical models.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71.4pt;mso-wrap-distance-left:0pt;mso-wrap-distance-right:0pt;mso-wrap-distance-top:0pt;mso-wrap-distance-bottom:0pt;margin-top:0pt;mso-position-vertical:top;mso-position-vertical-relative:text;margin-left:265.35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1010"/>
                        <w:gridCol w:w="60"/>
                        <w:gridCol w:w="9135"/>
                      </w:tblGrid>
                      <w:tr>
                        <w:trPr/>
                        <w:tc>
                          <w:tcPr>
                            <w:tcW w:w="1010" w:type="dxa"/>
                            <w:tcBorders/>
                            <w:shd w:fill="ED7C30" w:val="clear"/>
                            <w:vAlign w:val="center"/>
                          </w:tcPr>
                          <w:p>
                            <w:pPr>
                              <w:pStyle w:val="TableContents"/>
                              <w:bidi w:val="0"/>
                              <w:spacing w:before="0" w:after="283"/>
                              <w:jc w:val="center"/>
                              <w:rPr>
                                <w:rFonts w:ascii="Arial" w:hAnsi="Arial"/>
                                <w:b w:val="false"/>
                                <w:i w:val="false"/>
                                <w:caps w:val="false"/>
                                <w:smallCaps w:val="false"/>
                                <w:sz w:val="20"/>
                              </w:rPr>
                            </w:pPr>
                            <w:r>
                              <w:rPr>
                                <w:rFonts w:ascii="Arial" w:hAnsi="Arial"/>
                                <w:b/>
                                <w:i w:val="false"/>
                                <w:caps w:val="false"/>
                                <w:smallCaps w:val="false"/>
                                <w:color w:val="FFFFFF"/>
                                <w:sz w:val="20"/>
                              </w:rPr>
                              <w:t>Anti-</w:t>
                            </w:r>
                            <w:r>
                              <w:rPr>
                                <w:rFonts w:ascii="Arial" w:hAnsi="Arial"/>
                                <w:b w:val="false"/>
                                <w:i w:val="false"/>
                                <w:caps w:val="false"/>
                                <w:smallCaps w:val="false"/>
                                <w:sz w:val="20"/>
                              </w:rPr>
                              <w:br/>
                            </w:r>
                            <w:r>
                              <w:rPr>
                                <w:rFonts w:ascii="Arial" w:hAnsi="Arial"/>
                                <w:b/>
                                <w:i w:val="false"/>
                                <w:caps w:val="false"/>
                                <w:smallCaps w:val="false"/>
                                <w:color w:val="FFFFFF"/>
                                <w:sz w:val="20"/>
                              </w:rPr>
                              <w:t>corruption</w:t>
                            </w:r>
                          </w:p>
                        </w:tc>
                        <w:tc>
                          <w:tcPr>
                            <w:tcW w:w="60" w:type="dxa"/>
                            <w:tcBorders/>
                            <w:vAlign w:val="center"/>
                          </w:tcPr>
                          <w:p>
                            <w:pPr>
                              <w:pStyle w:val="TableContents"/>
                              <w:bidi w:val="0"/>
                              <w:spacing w:before="0" w:after="283"/>
                              <w:jc w:val="left"/>
                              <w:rPr/>
                            </w:pPr>
                            <w:r>
                              <w:rPr/>
                              <w:t> </w:t>
                            </w:r>
                          </w:p>
                        </w:tc>
                        <w:tc>
                          <w:tcPr>
                            <w:tcW w:w="9135" w:type="dxa"/>
                            <w:tcBorders>
                              <w:top w:val="single" w:sz="8" w:space="0" w:color="ED7C30"/>
                              <w:left w:val="single" w:sz="8" w:space="0" w:color="ED7C30"/>
                              <w:bottom w:val="single" w:sz="8" w:space="0" w:color="ED7C30"/>
                              <w:right w:val="single" w:sz="8" w:space="0" w:color="ED7C30"/>
                            </w:tcBorders>
                            <w:tcMar>
                              <w:top w:w="100" w:type="dxa"/>
                              <w:left w:w="100" w:type="dxa"/>
                              <w:bottom w:w="100" w:type="dxa"/>
                              <w:right w:w="100" w:type="dxa"/>
                            </w:tcMar>
                            <w:vAlign w:val="center"/>
                          </w:tcPr>
                          <w:p>
                            <w:pPr>
                              <w:pStyle w:val="TableContents"/>
                              <w:bidi w:val="0"/>
                              <w:spacing w:before="0" w:after="0"/>
                              <w:ind w:left="360" w:right="0" w:hanging="360"/>
                              <w:jc w:val="both"/>
                              <w:rPr>
                                <w:caps w:val="false"/>
                                <w:smallCaps w:val="false"/>
                              </w:rPr>
                            </w:pPr>
                            <w:r>
                              <w:rPr>
                                <w:caps w:val="false"/>
                                <w:smallCaps w:val="false"/>
                              </w:rPr>
                              <w:t>○    </w:t>
                            </w:r>
                            <w:r>
                              <w:rPr>
                                <w:rFonts w:ascii="Arial" w:hAnsi="Arial"/>
                                <w:b w:val="false"/>
                                <w:i w:val="false"/>
                                <w:caps w:val="false"/>
                                <w:smallCaps w:val="false"/>
                                <w:sz w:val="20"/>
                              </w:rPr>
                              <w:t>Corporate Policy for the Prevention of Corruption and Bribery updated and published.</w:t>
                            </w:r>
                          </w:p>
                          <w:p>
                            <w:pPr>
                              <w:pStyle w:val="TableContents"/>
                              <w:bidi w:val="0"/>
                              <w:spacing w:before="0" w:after="0"/>
                              <w:ind w:left="360" w:right="0" w:hanging="360"/>
                              <w:jc w:val="both"/>
                              <w:rPr>
                                <w:caps w:val="false"/>
                                <w:smallCaps w:val="false"/>
                              </w:rPr>
                            </w:pPr>
                            <w:r>
                              <w:rPr>
                                <w:caps w:val="false"/>
                                <w:smallCaps w:val="false"/>
                              </w:rPr>
                              <w:t>○    </w:t>
                            </w:r>
                            <w:r>
                              <w:rPr>
                                <w:rFonts w:ascii="Arial" w:hAnsi="Arial"/>
                                <w:b w:val="false"/>
                                <w:i w:val="false"/>
                                <w:caps w:val="false"/>
                                <w:smallCaps w:val="false"/>
                                <w:sz w:val="20"/>
                              </w:rPr>
                              <w:t>The stock of relevant, high, and critical (RAC) risks in 2023 sitting at 41. The group’s risk management methodology requires us to reduce this number; accordingly, we undertook a specific assessment of processes that these risks impact and, during the year, 32% of the identified risks were lowered.</w:t>
                            </w:r>
                          </w:p>
                          <w:p>
                            <w:pPr>
                              <w:pStyle w:val="TableContents"/>
                              <w:bidi w:val="0"/>
                              <w:spacing w:before="0" w:after="0"/>
                              <w:ind w:left="360" w:right="0" w:hanging="360"/>
                              <w:jc w:val="both"/>
                              <w:rPr>
                                <w:caps w:val="false"/>
                                <w:smallCaps w:val="false"/>
                              </w:rPr>
                            </w:pPr>
                            <w:r>
                              <w:rPr>
                                <w:caps w:val="false"/>
                                <w:smallCaps w:val="false"/>
                              </w:rPr>
                              <w:t>○    </w:t>
                            </w:r>
                            <w:r>
                              <w:rPr>
                                <w:rFonts w:ascii="Arial" w:hAnsi="Arial"/>
                                <w:b w:val="false"/>
                                <w:i w:val="false"/>
                                <w:caps w:val="false"/>
                                <w:smallCaps w:val="false"/>
                                <w:sz w:val="20"/>
                              </w:rPr>
                              <w:t>All Credicorp directors and 96% of staff trained. Anti-corruption policies and procedures communicated to 69% of the suppliers operating high-risk areas.</w:t>
                            </w:r>
                          </w:p>
                          <w:p>
                            <w:pPr>
                              <w:pStyle w:val="TableContents"/>
                              <w:bidi w:val="0"/>
                              <w:spacing w:before="0" w:after="0"/>
                              <w:ind w:left="360" w:right="0" w:hanging="360"/>
                              <w:jc w:val="both"/>
                              <w:rPr>
                                <w:caps w:val="false"/>
                                <w:smallCaps w:val="false"/>
                              </w:rPr>
                            </w:pPr>
                            <w:r>
                              <w:rPr>
                                <w:caps w:val="false"/>
                                <w:smallCaps w:val="false"/>
                              </w:rPr>
                              <w:t>○    </w:t>
                            </w:r>
                            <w:r>
                              <w:rPr>
                                <w:rFonts w:ascii="Arial" w:hAnsi="Arial"/>
                                <w:b w:val="false"/>
                                <w:i w:val="false"/>
                                <w:caps w:val="false"/>
                                <w:smallCaps w:val="false"/>
                                <w:sz w:val="20"/>
                              </w:rPr>
                              <w:t>No confirmed cases of corruption identified during the year.</w:t>
                            </w:r>
                          </w:p>
                          <w:p>
                            <w:pPr>
                              <w:pStyle w:val="TableContents"/>
                              <w:bidi w:val="0"/>
                              <w:spacing w:before="0" w:after="0"/>
                              <w:ind w:left="360" w:right="0" w:hanging="360"/>
                              <w:jc w:val="both"/>
                              <w:rPr>
                                <w:caps w:val="false"/>
                                <w:smallCaps w:val="false"/>
                              </w:rPr>
                            </w:pPr>
                            <w:r>
                              <w:rPr>
                                <w:caps w:val="false"/>
                                <w:smallCaps w:val="false"/>
                              </w:rPr>
                              <w:t>○    </w:t>
                            </w:r>
                            <w:r>
                              <w:rPr>
                                <w:rFonts w:ascii="Arial" w:hAnsi="Arial"/>
                                <w:b w:val="false"/>
                                <w:i w:val="false"/>
                                <w:caps w:val="false"/>
                                <w:smallCaps w:val="false"/>
                                <w:sz w:val="20"/>
                              </w:rPr>
                              <w:t>BCP, Mibanco, and Pacífico in Peru hold ISO 37001 (Anti-Bribery) certification. BCP has also obtained accreditation from Empresarios por la Integridad ( Entrepreneurs for Integrity), an institution that provides guidelines and best practices for the fight against corruption.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692"/>
                        <w:gridCol w:w="6513"/>
                      </w:tblGrid>
                      <w:tr>
                        <w:trPr/>
                        <w:tc>
                          <w:tcPr>
                            <w:tcW w:w="3692" w:type="dxa"/>
                            <w:tcBorders/>
                            <w:shd w:fill="ED7C30" w:val="clear"/>
                            <w:vAlign w:val="center"/>
                          </w:tcPr>
                          <w:p>
                            <w:pPr>
                              <w:pStyle w:val="TableContents"/>
                              <w:bidi w:val="0"/>
                              <w:spacing w:before="0" w:after="0"/>
                              <w:jc w:val="center"/>
                              <w:rPr>
                                <w:rFonts w:ascii="Arial" w:hAnsi="Arial"/>
                                <w:b/>
                                <w:i w:val="false"/>
                                <w:caps w:val="false"/>
                                <w:smallCaps w:val="false"/>
                                <w:color w:val="FFFFFF"/>
                                <w:sz w:val="20"/>
                              </w:rPr>
                            </w:pPr>
                            <w:r>
                              <w:rPr>
                                <w:rFonts w:ascii="Arial" w:hAnsi="Arial"/>
                                <w:b/>
                                <w:i w:val="false"/>
                                <w:caps w:val="false"/>
                                <w:smallCaps w:val="false"/>
                                <w:color w:val="FFFFFF"/>
                                <w:sz w:val="20"/>
                              </w:rPr>
                              <w:t>Tax transparency</w:t>
                            </w:r>
                          </w:p>
                          <w:p>
                            <w:pPr>
                              <w:pStyle w:val="TableContents"/>
                              <w:bidi w:val="0"/>
                              <w:spacing w:before="0" w:after="0"/>
                              <w:jc w:val="center"/>
                              <w:rPr>
                                <w:rFonts w:ascii="Arial" w:hAnsi="Arial"/>
                                <w:b w:val="false"/>
                                <w:i w:val="false"/>
                                <w:caps w:val="false"/>
                                <w:smallCaps w:val="false"/>
                                <w:color w:val="FFFFFF"/>
                                <w:sz w:val="20"/>
                              </w:rPr>
                            </w:pPr>
                            <w:r>
                              <w:rPr>
                                <w:rFonts w:ascii="Arial" w:hAnsi="Arial"/>
                                <w:b w:val="false"/>
                                <w:i w:val="false"/>
                                <w:caps w:val="false"/>
                                <w:smallCaps w:val="false"/>
                                <w:color w:val="FFFFFF"/>
                                <w:sz w:val="20"/>
                              </w:rPr>
                              <w:t>FATCA (</w:t>
                            </w:r>
                            <w:r>
                              <w:rPr>
                                <w:rFonts w:ascii="Arial" w:hAnsi="Arial"/>
                                <w:b w:val="false"/>
                                <w:i/>
                                <w:caps w:val="false"/>
                                <w:smallCaps w:val="false"/>
                                <w:color w:val="FFFFFF"/>
                                <w:sz w:val="20"/>
                              </w:rPr>
                              <w:t>Foreign Account Tax Compliance Act</w:t>
                            </w:r>
                            <w:r>
                              <w:rPr>
                                <w:rFonts w:ascii="Arial" w:hAnsi="Arial"/>
                                <w:b w:val="false"/>
                                <w:i w:val="false"/>
                                <w:caps w:val="false"/>
                                <w:smallCaps w:val="false"/>
                                <w:color w:val="FFFFFF"/>
                                <w:sz w:val="20"/>
                              </w:rPr>
                              <w:t>) and CRS (</w:t>
                            </w:r>
                            <w:r>
                              <w:rPr>
                                <w:rFonts w:ascii="Arial" w:hAnsi="Arial"/>
                                <w:b w:val="false"/>
                                <w:i/>
                                <w:caps w:val="false"/>
                                <w:smallCaps w:val="false"/>
                                <w:color w:val="FFFFFF"/>
                                <w:sz w:val="20"/>
                              </w:rPr>
                              <w:t>Common Reporting Standard</w:t>
                            </w:r>
                            <w:r>
                              <w:rPr>
                                <w:rFonts w:ascii="Arial" w:hAnsi="Arial"/>
                                <w:b w:val="false"/>
                                <w:i w:val="false"/>
                                <w:caps w:val="false"/>
                                <w:smallCaps w:val="false"/>
                                <w:color w:val="FFFFFF"/>
                                <w:sz w:val="20"/>
                              </w:rPr>
                              <w:t>)</w:t>
                            </w:r>
                          </w:p>
                        </w:tc>
                        <w:tc>
                          <w:tcPr>
                            <w:tcW w:w="6513" w:type="dxa"/>
                            <w:tcBorders>
                              <w:top w:val="single" w:sz="8" w:space="0" w:color="ED7C30"/>
                              <w:bottom w:val="single" w:sz="8" w:space="0" w:color="ED7C30"/>
                              <w:right w:val="single" w:sz="8" w:space="0" w:color="ED7C30"/>
                            </w:tcBorders>
                            <w:tcMar>
                              <w:top w:w="100" w:type="dxa"/>
                              <w:bottom w:w="100" w:type="dxa"/>
                              <w:right w:w="100" w:type="dxa"/>
                            </w:tcMar>
                            <w:vAlign w:val="center"/>
                          </w:tcPr>
                          <w:p>
                            <w:pPr>
                              <w:pStyle w:val="TableContents"/>
                              <w:bidi w:val="0"/>
                              <w:spacing w:before="0" w:after="0"/>
                              <w:ind w:left="360" w:right="0" w:hanging="360"/>
                              <w:jc w:val="both"/>
                              <w:rPr>
                                <w:caps w:val="false"/>
                                <w:smallCaps w:val="false"/>
                              </w:rPr>
                            </w:pPr>
                            <w:r>
                              <w:rPr>
                                <w:caps w:val="false"/>
                                <w:smallCaps w:val="false"/>
                              </w:rPr>
                              <w:t>○    </w:t>
                            </w:r>
                            <w:r>
                              <w:rPr>
                                <w:rFonts w:ascii="Arial" w:hAnsi="Arial"/>
                                <w:b w:val="false"/>
                                <w:i w:val="false"/>
                                <w:caps w:val="false"/>
                                <w:smallCaps w:val="false"/>
                                <w:sz w:val="20"/>
                              </w:rPr>
                              <w:t>Successful dispatch to tax authorities in eight countries of over 70 FATCA and CRS reports, each qualitatively and quantitatively validated by each entity to assure quality:</w:t>
                            </w:r>
                          </w:p>
                          <w:p>
                            <w:pPr>
                              <w:pStyle w:val="TableContents"/>
                              <w:bidi w:val="0"/>
                              <w:spacing w:before="0" w:after="0"/>
                              <w:ind w:left="360" w:right="0" w:hanging="360"/>
                              <w:jc w:val="both"/>
                              <w:rPr>
                                <w:caps w:val="false"/>
                                <w:smallCaps w:val="false"/>
                              </w:rPr>
                            </w:pPr>
                            <w:r>
                              <w:rPr>
                                <w:caps w:val="false"/>
                                <w:smallCaps w:val="false"/>
                              </w:rPr>
                              <w:t>○    </w:t>
                            </w:r>
                            <w:r>
                              <w:rPr>
                                <w:rFonts w:ascii="Arial" w:hAnsi="Arial"/>
                                <w:b w:val="false"/>
                                <w:i w:val="false"/>
                                <w:caps w:val="false"/>
                                <w:smallCaps w:val="false"/>
                                <w:sz w:val="20"/>
                              </w:rPr>
                              <w:t>12,151 clients with foreign tax residence</w:t>
                            </w:r>
                          </w:p>
                          <w:p>
                            <w:pPr>
                              <w:pStyle w:val="TableContents"/>
                              <w:bidi w:val="0"/>
                              <w:spacing w:before="0" w:after="0"/>
                              <w:ind w:left="360" w:right="0" w:hanging="360"/>
                              <w:jc w:val="both"/>
                              <w:rPr>
                                <w:caps w:val="false"/>
                                <w:smallCaps w:val="false"/>
                              </w:rPr>
                            </w:pPr>
                            <w:r>
                              <w:rPr>
                                <w:caps w:val="false"/>
                                <w:smallCaps w:val="false"/>
                              </w:rPr>
                              <w:t>○    </w:t>
                            </w:r>
                            <w:r>
                              <w:rPr>
                                <w:rFonts w:ascii="Arial" w:hAnsi="Arial"/>
                                <w:b w:val="false"/>
                                <w:i w:val="false"/>
                                <w:caps w:val="false"/>
                                <w:smallCaps w:val="false"/>
                                <w:sz w:val="20"/>
                              </w:rPr>
                              <w:t>26,298 bank accounts reported.</w:t>
                            </w:r>
                          </w:p>
                          <w:p>
                            <w:pPr>
                              <w:pStyle w:val="TableContents"/>
                              <w:bidi w:val="0"/>
                              <w:spacing w:before="0" w:after="0"/>
                              <w:ind w:left="360" w:right="0" w:hanging="360"/>
                              <w:jc w:val="both"/>
                              <w:rPr>
                                <w:caps w:val="false"/>
                                <w:smallCaps w:val="false"/>
                              </w:rPr>
                            </w:pPr>
                            <w:r>
                              <w:rPr>
                                <w:caps w:val="false"/>
                                <w:smallCaps w:val="false"/>
                              </w:rPr>
                              <w:t>○    </w:t>
                            </w:r>
                            <w:r>
                              <w:rPr>
                                <w:rFonts w:ascii="Arial" w:hAnsi="Arial"/>
                                <w:b w:val="false"/>
                                <w:i w:val="false"/>
                                <w:caps w:val="false"/>
                                <w:smallCaps w:val="false"/>
                                <w:sz w:val="20"/>
                              </w:rPr>
                              <w:t>Over USD7,309 million reported in balances and returns.</w:t>
                            </w:r>
                          </w:p>
                          <w:p>
                            <w:pPr>
                              <w:pStyle w:val="TableContents"/>
                              <w:bidi w:val="0"/>
                              <w:spacing w:before="0" w:after="0"/>
                              <w:ind w:left="360" w:right="0" w:hanging="360"/>
                              <w:jc w:val="both"/>
                              <w:rPr>
                                <w:caps w:val="false"/>
                                <w:smallCaps w:val="false"/>
                              </w:rPr>
                            </w:pPr>
                            <w:r>
                              <w:rPr>
                                <w:caps w:val="false"/>
                                <w:smallCaps w:val="false"/>
                              </w:rPr>
                              <w:t>○    </w:t>
                            </w:r>
                            <w:r>
                              <w:rPr>
                                <w:rFonts w:ascii="Arial" w:hAnsi="Arial"/>
                                <w:b w:val="false"/>
                                <w:i w:val="false"/>
                                <w:caps w:val="false"/>
                                <w:smallCaps w:val="false"/>
                                <w:sz w:val="20"/>
                              </w:rPr>
                              <w:t>Over 16,000 Credicorp employees trained.</w:t>
                            </w:r>
                          </w:p>
                          <w:p>
                            <w:pPr>
                              <w:pStyle w:val="TableContents"/>
                              <w:bidi w:val="0"/>
                              <w:spacing w:before="0" w:after="0"/>
                              <w:ind w:left="360" w:right="0" w:hanging="360"/>
                              <w:jc w:val="both"/>
                              <w:rPr>
                                <w:caps w:val="false"/>
                                <w:smallCaps w:val="false"/>
                              </w:rPr>
                            </w:pPr>
                            <w:r>
                              <w:rPr>
                                <w:caps w:val="false"/>
                                <w:smallCaps w:val="false"/>
                              </w:rPr>
                              <w:t>○    </w:t>
                            </w:r>
                            <w:r>
                              <w:rPr>
                                <w:rFonts w:ascii="Arial" w:hAnsi="Arial"/>
                                <w:b w:val="false"/>
                                <w:i w:val="false"/>
                                <w:caps w:val="false"/>
                                <w:smallCaps w:val="false"/>
                                <w:sz w:val="20"/>
                              </w:rPr>
                              <w:t>Twelve virtual communication sessions held for the sales force.</w:t>
                            </w:r>
                          </w:p>
                        </w:tc>
                      </w:tr>
                    </w:tbl>
                    <w:p>
                      <w:pPr>
                        <w:pStyle w:val="TextBody"/>
                        <w:bidi w:val="0"/>
                        <w:spacing w:before="0" w:after="283"/>
                        <w:jc w:val="left"/>
                        <w:rPr/>
                      </w:pPr>
                      <w:r>
                        <w:rPr/>
                        <w:t> </w:t>
                      </w:r>
                    </w:p>
                    <w:tbl>
                      <w:tblPr>
                        <w:tblW w:w="7405" w:type="dxa"/>
                        <w:jc w:val="left"/>
                        <w:tblInd w:w="0" w:type="dxa"/>
                        <w:tblLayout w:type="fixed"/>
                        <w:tblCellMar>
                          <w:top w:w="0" w:type="dxa"/>
                          <w:left w:w="0" w:type="dxa"/>
                          <w:bottom w:w="0" w:type="dxa"/>
                          <w:right w:w="0" w:type="dxa"/>
                        </w:tblCellMar>
                      </w:tblPr>
                      <w:tblGrid>
                        <w:gridCol w:w="1445"/>
                        <w:gridCol w:w="5960"/>
                      </w:tblGrid>
                      <w:tr>
                        <w:trPr/>
                        <w:tc>
                          <w:tcPr>
                            <w:tcW w:w="1445" w:type="dxa"/>
                            <w:tcBorders/>
                            <w:shd w:fill="ED7C30" w:val="clear"/>
                            <w:vAlign w:val="center"/>
                          </w:tcPr>
                          <w:p>
                            <w:pPr>
                              <w:pStyle w:val="TableContents"/>
                              <w:bidi w:val="0"/>
                              <w:spacing w:before="0" w:after="0"/>
                              <w:jc w:val="center"/>
                              <w:rPr>
                                <w:rFonts w:ascii="Arial" w:hAnsi="Arial"/>
                                <w:b/>
                                <w:i w:val="false"/>
                                <w:caps w:val="false"/>
                                <w:smallCaps w:val="false"/>
                                <w:color w:val="FFFFFF"/>
                                <w:sz w:val="20"/>
                              </w:rPr>
                            </w:pPr>
                            <w:r>
                              <w:rPr>
                                <w:rFonts w:ascii="Arial" w:hAnsi="Arial"/>
                                <w:b/>
                                <w:i w:val="false"/>
                                <w:caps w:val="false"/>
                                <w:smallCaps w:val="false"/>
                                <w:color w:val="FFFFFF"/>
                                <w:sz w:val="20"/>
                              </w:rPr>
                              <w:t>Prevention of</w:t>
                            </w:r>
                          </w:p>
                          <w:p>
                            <w:pPr>
                              <w:pStyle w:val="TableContents"/>
                              <w:bidi w:val="0"/>
                              <w:spacing w:before="0" w:after="0"/>
                              <w:jc w:val="center"/>
                              <w:rPr>
                                <w:rFonts w:ascii="Arial" w:hAnsi="Arial"/>
                                <w:b/>
                                <w:i w:val="false"/>
                                <w:caps w:val="false"/>
                                <w:smallCaps w:val="false"/>
                                <w:color w:val="FFFFFF"/>
                                <w:sz w:val="20"/>
                              </w:rPr>
                            </w:pPr>
                            <w:r>
                              <w:rPr>
                                <w:rFonts w:ascii="Arial" w:hAnsi="Arial"/>
                                <w:b/>
                                <w:i w:val="false"/>
                                <w:caps w:val="false"/>
                                <w:smallCaps w:val="false"/>
                                <w:color w:val="FFFFFF"/>
                                <w:sz w:val="20"/>
                              </w:rPr>
                              <w:t>money</w:t>
                            </w:r>
                          </w:p>
                          <w:p>
                            <w:pPr>
                              <w:pStyle w:val="TableContents"/>
                              <w:bidi w:val="0"/>
                              <w:spacing w:before="0" w:after="0"/>
                              <w:jc w:val="center"/>
                              <w:rPr>
                                <w:rFonts w:ascii="Arial" w:hAnsi="Arial"/>
                                <w:b/>
                                <w:i w:val="false"/>
                                <w:caps w:val="false"/>
                                <w:smallCaps w:val="false"/>
                                <w:color w:val="FFFFFF"/>
                                <w:sz w:val="20"/>
                              </w:rPr>
                            </w:pPr>
                            <w:r>
                              <w:rPr>
                                <w:rFonts w:ascii="Arial" w:hAnsi="Arial"/>
                                <w:b/>
                                <w:i w:val="false"/>
                                <w:caps w:val="false"/>
                                <w:smallCaps w:val="false"/>
                                <w:color w:val="FFFFFF"/>
                                <w:sz w:val="20"/>
                              </w:rPr>
                              <w:t>laundering and</w:t>
                            </w:r>
                          </w:p>
                          <w:p>
                            <w:pPr>
                              <w:pStyle w:val="TableContents"/>
                              <w:bidi w:val="0"/>
                              <w:spacing w:before="0" w:after="0"/>
                              <w:jc w:val="center"/>
                              <w:rPr>
                                <w:rFonts w:ascii="Arial" w:hAnsi="Arial"/>
                                <w:b/>
                                <w:i w:val="false"/>
                                <w:caps w:val="false"/>
                                <w:smallCaps w:val="false"/>
                                <w:color w:val="FFFFFF"/>
                                <w:sz w:val="20"/>
                              </w:rPr>
                            </w:pPr>
                            <w:r>
                              <w:rPr>
                                <w:rFonts w:ascii="Arial" w:hAnsi="Arial"/>
                                <w:b/>
                                <w:i w:val="false"/>
                                <w:caps w:val="false"/>
                                <w:smallCaps w:val="false"/>
                                <w:color w:val="FFFFFF"/>
                                <w:sz w:val="20"/>
                              </w:rPr>
                              <w:t>terrorist</w:t>
                            </w:r>
                          </w:p>
                          <w:p>
                            <w:pPr>
                              <w:pStyle w:val="TableContents"/>
                              <w:bidi w:val="0"/>
                              <w:spacing w:before="0" w:after="0"/>
                              <w:jc w:val="center"/>
                              <w:rPr>
                                <w:rFonts w:ascii="Arial" w:hAnsi="Arial"/>
                                <w:b/>
                                <w:i w:val="false"/>
                                <w:caps w:val="false"/>
                                <w:smallCaps w:val="false"/>
                                <w:color w:val="FFFFFF"/>
                                <w:sz w:val="20"/>
                              </w:rPr>
                            </w:pPr>
                            <w:r>
                              <w:rPr>
                                <w:rFonts w:ascii="Arial" w:hAnsi="Arial"/>
                                <w:b/>
                                <w:i w:val="false"/>
                                <w:caps w:val="false"/>
                                <w:smallCaps w:val="false"/>
                                <w:color w:val="FFFFFF"/>
                                <w:sz w:val="20"/>
                              </w:rPr>
                              <w:t>financing</w:t>
                            </w:r>
                          </w:p>
                        </w:tc>
                        <w:tc>
                          <w:tcPr>
                            <w:tcW w:w="5960" w:type="dxa"/>
                            <w:tcBorders>
                              <w:top w:val="single" w:sz="8" w:space="0" w:color="ED7C30"/>
                              <w:bottom w:val="single" w:sz="8" w:space="0" w:color="ED7C30"/>
                              <w:right w:val="single" w:sz="8" w:space="0" w:color="ED7C30"/>
                            </w:tcBorders>
                            <w:tcMar>
                              <w:top w:w="100" w:type="dxa"/>
                              <w:bottom w:w="100" w:type="dxa"/>
                              <w:right w:w="100" w:type="dxa"/>
                            </w:tcMar>
                            <w:vAlign w:val="center"/>
                          </w:tcPr>
                          <w:p>
                            <w:pPr>
                              <w:pStyle w:val="TableContents"/>
                              <w:bidi w:val="0"/>
                              <w:spacing w:before="0" w:after="0"/>
                              <w:ind w:left="360" w:right="0" w:hanging="360"/>
                              <w:jc w:val="both"/>
                              <w:rPr>
                                <w:caps w:val="false"/>
                                <w:smallCaps w:val="false"/>
                              </w:rPr>
                            </w:pPr>
                            <w:r>
                              <w:rPr>
                                <w:caps w:val="false"/>
                                <w:smallCaps w:val="false"/>
                              </w:rPr>
                              <w:t>○    </w:t>
                            </w:r>
                            <w:r>
                              <w:rPr>
                                <w:rFonts w:ascii="Arial" w:hAnsi="Arial"/>
                                <w:b w:val="false"/>
                                <w:i w:val="false"/>
                                <w:caps w:val="false"/>
                                <w:smallCaps w:val="false"/>
                                <w:sz w:val="20"/>
                              </w:rPr>
                              <w:t>An internal audit rating above 95%.</w:t>
                            </w:r>
                          </w:p>
                          <w:p>
                            <w:pPr>
                              <w:pStyle w:val="TableContents"/>
                              <w:bidi w:val="0"/>
                              <w:spacing w:before="0" w:after="0"/>
                              <w:ind w:left="360" w:right="0" w:hanging="360"/>
                              <w:jc w:val="both"/>
                              <w:rPr>
                                <w:caps w:val="false"/>
                                <w:smallCaps w:val="false"/>
                              </w:rPr>
                            </w:pPr>
                            <w:r>
                              <w:rPr>
                                <w:caps w:val="false"/>
                                <w:smallCaps w:val="false"/>
                              </w:rPr>
                              <w:t>○    </w:t>
                            </w:r>
                            <w:r>
                              <w:rPr>
                                <w:rFonts w:ascii="Arial" w:hAnsi="Arial"/>
                                <w:b w:val="false"/>
                                <w:i w:val="false"/>
                                <w:caps w:val="false"/>
                                <w:smallCaps w:val="false"/>
                                <w:sz w:val="20"/>
                              </w:rPr>
                              <w:t>Cash deposit controls in USDwith above 75% effectiveness.</w:t>
                            </w:r>
                          </w:p>
                          <w:p>
                            <w:pPr>
                              <w:pStyle w:val="TableContents"/>
                              <w:bidi w:val="0"/>
                              <w:spacing w:before="0" w:after="0"/>
                              <w:ind w:left="360" w:right="0" w:hanging="360"/>
                              <w:jc w:val="both"/>
                              <w:rPr>
                                <w:caps w:val="false"/>
                                <w:smallCaps w:val="false"/>
                              </w:rPr>
                            </w:pPr>
                            <w:r>
                              <w:rPr>
                                <w:caps w:val="false"/>
                                <w:smallCaps w:val="false"/>
                              </w:rPr>
                              <w:t>○    </w:t>
                            </w:r>
                            <w:r>
                              <w:rPr>
                                <w:rFonts w:ascii="Arial" w:hAnsi="Arial"/>
                                <w:b w:val="false"/>
                                <w:i w:val="false"/>
                                <w:caps w:val="false"/>
                                <w:smallCaps w:val="false"/>
                                <w:sz w:val="20"/>
                              </w:rPr>
                              <w:t>Quality of regulatory information above 86%.</w:t>
                            </w:r>
                          </w:p>
                          <w:p>
                            <w:pPr>
                              <w:pStyle w:val="TableContents"/>
                              <w:bidi w:val="0"/>
                              <w:spacing w:before="0" w:after="0"/>
                              <w:ind w:left="360" w:right="0" w:hanging="360"/>
                              <w:jc w:val="both"/>
                              <w:rPr>
                                <w:caps w:val="false"/>
                                <w:smallCaps w:val="false"/>
                              </w:rPr>
                            </w:pPr>
                            <w:r>
                              <w:rPr>
                                <w:caps w:val="false"/>
                                <w:smallCaps w:val="false"/>
                              </w:rPr>
                              <w:t>○    </w:t>
                            </w:r>
                            <w:r>
                              <w:rPr>
                                <w:rFonts w:ascii="Arial" w:hAnsi="Arial"/>
                                <w:b w:val="false"/>
                                <w:i w:val="false"/>
                                <w:caps w:val="false"/>
                                <w:smallCaps w:val="false"/>
                                <w:sz w:val="20"/>
                              </w:rPr>
                              <w:t>Improvements in final beneficiary identification.</w:t>
                            </w:r>
                          </w:p>
                          <w:p>
                            <w:pPr>
                              <w:pStyle w:val="TableContents"/>
                              <w:bidi w:val="0"/>
                              <w:spacing w:before="0" w:after="0"/>
                              <w:ind w:left="360" w:right="0" w:hanging="360"/>
                              <w:jc w:val="both"/>
                              <w:rPr>
                                <w:caps w:val="false"/>
                                <w:smallCaps w:val="false"/>
                              </w:rPr>
                            </w:pPr>
                            <w:r>
                              <w:rPr>
                                <w:caps w:val="false"/>
                                <w:smallCaps w:val="false"/>
                              </w:rPr>
                              <w:t>○    </w:t>
                            </w:r>
                            <w:r>
                              <w:rPr>
                                <w:rFonts w:ascii="Arial" w:hAnsi="Arial"/>
                                <w:b w:val="false"/>
                                <w:i w:val="false"/>
                                <w:caps w:val="false"/>
                                <w:smallCaps w:val="false"/>
                                <w:sz w:val="20"/>
                              </w:rPr>
                              <w:t>KRIs steady in the optimal zone.</w:t>
                            </w:r>
                          </w:p>
                          <w:p>
                            <w:pPr>
                              <w:pStyle w:val="TableContents"/>
                              <w:bidi w:val="0"/>
                              <w:spacing w:before="0" w:after="0"/>
                              <w:ind w:left="360" w:right="0" w:hanging="360"/>
                              <w:jc w:val="both"/>
                              <w:rPr>
                                <w:caps w:val="false"/>
                                <w:smallCaps w:val="false"/>
                              </w:rPr>
                            </w:pPr>
                            <w:r>
                              <w:rPr>
                                <w:caps w:val="false"/>
                                <w:smallCaps w:val="false"/>
                              </w:rPr>
                              <w:t>○    </w:t>
                            </w:r>
                            <w:r>
                              <w:rPr>
                                <w:rFonts w:ascii="Arial" w:hAnsi="Arial"/>
                                <w:b w:val="false"/>
                                <w:i w:val="false"/>
                                <w:caps w:val="false"/>
                                <w:smallCaps w:val="false"/>
                                <w:sz w:val="20"/>
                              </w:rPr>
                              <w:t>100% implementation of audit and regulatory recommendations.</w:t>
                            </w:r>
                          </w:p>
                          <w:p>
                            <w:pPr>
                              <w:pStyle w:val="TableContents"/>
                              <w:bidi w:val="0"/>
                              <w:spacing w:before="0" w:after="0"/>
                              <w:ind w:left="360" w:right="0" w:hanging="360"/>
                              <w:jc w:val="both"/>
                              <w:rPr>
                                <w:caps w:val="false"/>
                                <w:smallCaps w:val="false"/>
                              </w:rPr>
                            </w:pPr>
                            <w:r>
                              <w:rPr>
                                <w:caps w:val="false"/>
                                <w:smallCaps w:val="false"/>
                              </w:rPr>
                              <w:t>○    </w:t>
                            </w:r>
                            <w:r>
                              <w:rPr>
                                <w:rFonts w:ascii="Arial" w:hAnsi="Arial"/>
                                <w:b w:val="false"/>
                                <w:i w:val="false"/>
                                <w:caps w:val="false"/>
                                <w:smallCaps w:val="false"/>
                                <w:sz w:val="20"/>
                              </w:rPr>
                              <w:t>2023 courses delivered to 16,150 employees.</w:t>
                            </w:r>
                          </w:p>
                          <w:p>
                            <w:pPr>
                              <w:pStyle w:val="TableContents"/>
                              <w:bidi w:val="0"/>
                              <w:spacing w:before="0" w:after="0"/>
                              <w:ind w:left="360" w:right="0" w:hanging="360"/>
                              <w:jc w:val="both"/>
                              <w:rPr>
                                <w:caps w:val="false"/>
                                <w:smallCaps w:val="false"/>
                              </w:rPr>
                            </w:pPr>
                            <w:r>
                              <w:rPr>
                                <w:caps w:val="false"/>
                                <w:smallCaps w:val="false"/>
                              </w:rPr>
                              <w:t>○    </w:t>
                            </w:r>
                            <w:r>
                              <w:rPr>
                                <w:rFonts w:ascii="Arial" w:hAnsi="Arial"/>
                                <w:b w:val="false"/>
                                <w:i w:val="false"/>
                                <w:caps w:val="false"/>
                                <w:smallCaps w:val="false"/>
                                <w:sz w:val="20"/>
                              </w:rPr>
                              <w:t>Three new analytical models. </w:t>
                            </w:r>
                          </w:p>
                        </w:tc>
                      </w:tr>
                    </w:tbl>
                    <w:p>
                      <w:pPr>
                        <w:pStyle w:val="TextBody"/>
                        <w:bidi w:val="0"/>
                        <w:spacing w:before="0" w:after="283"/>
                        <w:jc w:val="left"/>
                        <w:rPr/>
                      </w:pPr>
                      <w:r>
                        <w:rPr/>
                      </w:r>
                    </w:p>
                  </w:txbxContent>
                </v:textbox>
                <w10:wrap type="square" side="left"/>
              </v:rect>
            </w:pict>
          </mc:Fallback>
        </mc:AlternateConten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58</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p>
      <w:pPr>
        <w:pStyle w:val="TextBody"/>
        <w:bidi w:val="0"/>
        <w:spacing w:before="0" w:after="0"/>
        <w:jc w:val="right"/>
        <w:rPr>
          <w:caps w:val="false"/>
          <w:smallCaps w:val="false"/>
        </w:rPr>
      </w:pPr>
      <w:r>
        <w:rPr>
          <w:caps w:val="false"/>
          <w:smallCaps w:val="false"/>
        </w:rPr>
        <w:t> </w:t>
      </w:r>
      <w:r>
        <mc:AlternateContent>
          <mc:Choice Requires="wps">
            <w:drawing>
              <wp:anchor behindDoc="0" distT="0" distB="0" distL="0" distR="0" simplePos="0" locked="0" layoutInCell="1" allowOverlap="1" relativeHeight="306">
                <wp:simplePos x="0" y="0"/>
                <wp:positionH relativeFrom="column">
                  <wp:align>left</wp:align>
                </wp:positionH>
                <wp:positionV relativeFrom="line">
                  <wp:posOffset>635</wp:posOffset>
                </wp:positionV>
                <wp:extent cx="3110230" cy="5542280"/>
                <wp:effectExtent l="0" t="0" r="0" b="0"/>
                <wp:wrapSquare wrapText="right"/>
                <wp:docPr id="392" name="Frame120"/>
                <a:graphic xmlns:a="http://schemas.openxmlformats.org/drawingml/2006/main">
                  <a:graphicData uri="http://schemas.microsoft.com/office/word/2010/wordprocessingShape">
                    <wps:wsp>
                      <wps:cNvSpPr txBox="1"/>
                      <wps:spPr>
                        <a:xfrm>
                          <a:off x="0" y="0"/>
                          <a:ext cx="3110230" cy="5542280"/>
                        </a:xfrm>
                        <a:prstGeom prst="rect"/>
                        <a:solidFill>
                          <a:srgbClr val="FFFFFF"/>
                        </a:solidFill>
                      </wps:spPr>
                      <wps:txbx>
                        <w:txbxContent>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31"/>
                              <w:gridCol w:w="8674"/>
                            </w:tblGrid>
                            <w:tr>
                              <w:trPr/>
                              <w:tc>
                                <w:tcPr>
                                  <w:tcW w:w="1531" w:type="dxa"/>
                                  <w:tcBorders/>
                                  <w:shd w:fill="ED7C30" w:val="clear"/>
                                  <w:vAlign w:val="center"/>
                                </w:tcPr>
                                <w:p>
                                  <w:pPr>
                                    <w:pStyle w:val="TableContents"/>
                                    <w:bidi w:val="0"/>
                                    <w:spacing w:before="0" w:after="0"/>
                                    <w:jc w:val="center"/>
                                    <w:rPr>
                                      <w:rFonts w:ascii="Arial" w:hAnsi="Arial"/>
                                      <w:b/>
                                      <w:i w:val="false"/>
                                      <w:caps w:val="false"/>
                                      <w:smallCaps w:val="false"/>
                                      <w:color w:val="FFFFFF"/>
                                      <w:sz w:val="20"/>
                                    </w:rPr>
                                  </w:pPr>
                                  <w:r>
                                    <w:rPr>
                                      <w:rFonts w:ascii="Arial" w:hAnsi="Arial"/>
                                      <w:b/>
                                      <w:i w:val="false"/>
                                      <w:caps w:val="false"/>
                                      <w:smallCaps w:val="false"/>
                                      <w:color w:val="FFFFFF"/>
                                      <w:sz w:val="20"/>
                                    </w:rPr>
                                    <w:t>Personal data protection (PDP)</w:t>
                                  </w:r>
                                </w:p>
                                <w:p>
                                  <w:pPr>
                                    <w:pStyle w:val="TableContents"/>
                                    <w:bidi w:val="0"/>
                                    <w:spacing w:before="0" w:after="0"/>
                                    <w:jc w:val="center"/>
                                    <w:rPr>
                                      <w:caps w:val="false"/>
                                      <w:smallCaps w:val="false"/>
                                      <w:color w:val="FFFFFF"/>
                                    </w:rPr>
                                  </w:pPr>
                                  <w:r>
                                    <w:rPr>
                                      <w:caps w:val="false"/>
                                      <w:smallCaps w:val="false"/>
                                      <w:color w:val="FFFFFF"/>
                                    </w:rPr>
                                    <w:t> </w:t>
                                  </w:r>
                                </w:p>
                              </w:tc>
                              <w:tc>
                                <w:tcPr>
                                  <w:tcW w:w="8674" w:type="dxa"/>
                                  <w:tcBorders>
                                    <w:top w:val="single" w:sz="8" w:space="0" w:color="ED7C30"/>
                                    <w:bottom w:val="single" w:sz="8" w:space="0" w:color="ED7C30"/>
                                    <w:right w:val="single" w:sz="8" w:space="0" w:color="ED7C30"/>
                                  </w:tcBorders>
                                  <w:tcMar>
                                    <w:top w:w="100" w:type="dxa"/>
                                    <w:bottom w:w="100" w:type="dxa"/>
                                    <w:right w:w="10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20"/>
                                    </w:rPr>
                                    <w:t>Guidelines developed for cookies, including an audit of BCP Perú’s web pages. Guidelines developed for treatment and implementation of cookies, including an audit of BCP Perú’s web pages.</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20"/>
                                    </w:rPr>
                                    <w:t>Content developed to reinforce key concepts, such as capture, storage, and informed consent. Guidelines rolled out requiring initiative design to include privacy considerations, achievingreduction of empty consent across the corporate level; BCP Perú’s score for this indicator improved from 12% to 8%.</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20"/>
                                    </w:rPr>
                                    <w:t>Implementation at the corporate level of the guide for enriching personal data to mitigate reputational impact and financial penalties, and demonstrate due diligence should the regulator conduct an inspection.</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20"/>
                                    </w:rPr>
                                    <w:t>10 training sessions held for specialists in the compliance team.</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20"/>
                                    </w:rPr>
                                    <w:t>A cookies master class held for technical teams and products.</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20"/>
                                    </w:rPr>
                                    <w:t>Courses and training for business areas and PDP teams in group companies held on issues including consent management, ARCO rights, cookie management, and regional regulatory trends.</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20"/>
                                    </w:rPr>
                                    <w:t>PDP risk assessment conducted in BCP Panamá and ASB Panamá.</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84"/>
                              <w:gridCol w:w="7721"/>
                            </w:tblGrid>
                            <w:tr>
                              <w:trPr/>
                              <w:tc>
                                <w:tcPr>
                                  <w:tcW w:w="2484" w:type="dxa"/>
                                  <w:tcBorders/>
                                  <w:shd w:fill="ED7C30" w:val="clear"/>
                                  <w:vAlign w:val="center"/>
                                </w:tcPr>
                                <w:p>
                                  <w:pPr>
                                    <w:pStyle w:val="TableContents"/>
                                    <w:bidi w:val="0"/>
                                    <w:spacing w:before="0" w:after="0"/>
                                    <w:jc w:val="center"/>
                                    <w:rPr>
                                      <w:rFonts w:ascii="Arial" w:hAnsi="Arial"/>
                                      <w:b/>
                                      <w:i w:val="false"/>
                                      <w:caps w:val="false"/>
                                      <w:smallCaps w:val="false"/>
                                      <w:color w:val="FFFFFF"/>
                                      <w:sz w:val="20"/>
                                    </w:rPr>
                                  </w:pPr>
                                  <w:r>
                                    <w:rPr>
                                      <w:rFonts w:ascii="Arial" w:hAnsi="Arial"/>
                                      <w:b/>
                                      <w:i w:val="false"/>
                                      <w:caps w:val="false"/>
                                      <w:smallCaps w:val="false"/>
                                      <w:color w:val="FFFFFF"/>
                                      <w:sz w:val="20"/>
                                    </w:rPr>
                                    <w:t>Occupational health and safety (OH&amp;S)</w:t>
                                  </w:r>
                                </w:p>
                                <w:p>
                                  <w:pPr>
                                    <w:pStyle w:val="TableContents"/>
                                    <w:bidi w:val="0"/>
                                    <w:spacing w:before="0" w:after="0"/>
                                    <w:jc w:val="center"/>
                                    <w:rPr>
                                      <w:caps w:val="false"/>
                                      <w:smallCaps w:val="false"/>
                                      <w:color w:val="FFFFFF"/>
                                    </w:rPr>
                                  </w:pPr>
                                  <w:r>
                                    <w:rPr>
                                      <w:caps w:val="false"/>
                                      <w:smallCaps w:val="false"/>
                                      <w:color w:val="FFFFFF"/>
                                    </w:rPr>
                                    <w:t> </w:t>
                                  </w:r>
                                </w:p>
                              </w:tc>
                              <w:tc>
                                <w:tcPr>
                                  <w:tcW w:w="7721" w:type="dxa"/>
                                  <w:tcBorders>
                                    <w:top w:val="single" w:sz="8" w:space="0" w:color="ED7C30"/>
                                    <w:bottom w:val="single" w:sz="8" w:space="0" w:color="ED7C30"/>
                                    <w:right w:val="single" w:sz="8" w:space="0" w:color="ED7C30"/>
                                  </w:tcBorders>
                                  <w:tcMar>
                                    <w:top w:w="100" w:type="dxa"/>
                                    <w:bottom w:w="100" w:type="dxa"/>
                                    <w:right w:w="10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20"/>
                                    </w:rPr>
                                    <w:t>Occupational medical examinations resumed for over 17,800 employees of Credicorp Perú to feed into an update of the companies’ epidemiological profile.</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20"/>
                                    </w:rPr>
                                    <w:t>220 investigations carried out into employee reports of unwanted events.</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20"/>
                                    </w:rPr>
                                    <w:t>Over 750 workplace inspections undertaken to assess occupational risk prevention.</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20"/>
                                    </w:rPr>
                                    <w:t>Over 100 communications on preventive OH&amp;S topics rolled out and circulated to over 31,000 employees.</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20"/>
                                    </w:rPr>
                                    <w:t>Over 70,000 hours of OH&amp;S training materials developed.</w:t>
                                  </w:r>
                                </w:p>
                                <w:p>
                                  <w:pPr>
                                    <w:pStyle w:val="TableContents"/>
                                    <w:bidi w:val="0"/>
                                    <w:spacing w:before="0" w:after="0"/>
                                    <w:ind w:left="360" w:right="0" w:hanging="360"/>
                                    <w:jc w:val="left"/>
                                    <w:rPr>
                                      <w:caps w:val="false"/>
                                      <w:smallCaps w:val="false"/>
                                    </w:rPr>
                                  </w:pPr>
                                  <w:r>
                                    <w:rPr>
                                      <w:caps w:val="false"/>
                                      <w:smallCaps w:val="false"/>
                                    </w:rPr>
                                    <w:t xml:space="preserve">○    </w:t>
                                  </w:r>
                                  <w:r>
                                    <w:rPr>
                                      <w:rFonts w:ascii="Arial" w:hAnsi="Arial"/>
                                      <w:b w:val="false"/>
                                      <w:i w:val="false"/>
                                      <w:caps w:val="false"/>
                                      <w:smallCaps w:val="false"/>
                                      <w:sz w:val="20"/>
                                    </w:rPr>
                                    <w:t>Zero occupational illnesses reported.</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20"/>
                                    </w:rPr>
                                    <w:t>More than 6,550 IPERC matrices were developed to identify dangers, risks, and control measures for occupational hazards.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36.4pt;mso-wrap-distance-left:0pt;mso-wrap-distance-right:0pt;mso-wrap-distance-top:0pt;mso-wrap-distance-bottom:0pt;margin-top:0pt;mso-position-vertical:top;mso-position-vertical-relative:text;margin-left:244.9pt;mso-position-horizontal:left;mso-position-horizontal-relative:text">
                <v:textbox>
                  <w:txbxContent>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31"/>
                        <w:gridCol w:w="8674"/>
                      </w:tblGrid>
                      <w:tr>
                        <w:trPr/>
                        <w:tc>
                          <w:tcPr>
                            <w:tcW w:w="1531" w:type="dxa"/>
                            <w:tcBorders/>
                            <w:shd w:fill="ED7C30" w:val="clear"/>
                            <w:vAlign w:val="center"/>
                          </w:tcPr>
                          <w:p>
                            <w:pPr>
                              <w:pStyle w:val="TableContents"/>
                              <w:bidi w:val="0"/>
                              <w:spacing w:before="0" w:after="0"/>
                              <w:jc w:val="center"/>
                              <w:rPr>
                                <w:rFonts w:ascii="Arial" w:hAnsi="Arial"/>
                                <w:b/>
                                <w:i w:val="false"/>
                                <w:caps w:val="false"/>
                                <w:smallCaps w:val="false"/>
                                <w:color w:val="FFFFFF"/>
                                <w:sz w:val="20"/>
                              </w:rPr>
                            </w:pPr>
                            <w:r>
                              <w:rPr>
                                <w:rFonts w:ascii="Arial" w:hAnsi="Arial"/>
                                <w:b/>
                                <w:i w:val="false"/>
                                <w:caps w:val="false"/>
                                <w:smallCaps w:val="false"/>
                                <w:color w:val="FFFFFF"/>
                                <w:sz w:val="20"/>
                              </w:rPr>
                              <w:t>Personal data protection (PDP)</w:t>
                            </w:r>
                          </w:p>
                          <w:p>
                            <w:pPr>
                              <w:pStyle w:val="TableContents"/>
                              <w:bidi w:val="0"/>
                              <w:spacing w:before="0" w:after="0"/>
                              <w:jc w:val="center"/>
                              <w:rPr>
                                <w:caps w:val="false"/>
                                <w:smallCaps w:val="false"/>
                                <w:color w:val="FFFFFF"/>
                              </w:rPr>
                            </w:pPr>
                            <w:r>
                              <w:rPr>
                                <w:caps w:val="false"/>
                                <w:smallCaps w:val="false"/>
                                <w:color w:val="FFFFFF"/>
                              </w:rPr>
                              <w:t> </w:t>
                            </w:r>
                          </w:p>
                        </w:tc>
                        <w:tc>
                          <w:tcPr>
                            <w:tcW w:w="8674" w:type="dxa"/>
                            <w:tcBorders>
                              <w:top w:val="single" w:sz="8" w:space="0" w:color="ED7C30"/>
                              <w:bottom w:val="single" w:sz="8" w:space="0" w:color="ED7C30"/>
                              <w:right w:val="single" w:sz="8" w:space="0" w:color="ED7C30"/>
                            </w:tcBorders>
                            <w:tcMar>
                              <w:top w:w="100" w:type="dxa"/>
                              <w:bottom w:w="100" w:type="dxa"/>
                              <w:right w:w="10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20"/>
                              </w:rPr>
                              <w:t>Guidelines developed for cookies, including an audit of BCP Perú’s web pages. Guidelines developed for treatment and implementation of cookies, including an audit of BCP Perú’s web pages.</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20"/>
                              </w:rPr>
                              <w:t>Content developed to reinforce key concepts, such as capture, storage, and informed consent. Guidelines rolled out requiring initiative design to include privacy considerations, achievingreduction of empty consent across the corporate level; BCP Perú’s score for this indicator improved from 12% to 8%.</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20"/>
                              </w:rPr>
                              <w:t>Implementation at the corporate level of the guide for enriching personal data to mitigate reputational impact and financial penalties, and demonstrate due diligence should the regulator conduct an inspection.</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20"/>
                              </w:rPr>
                              <w:t>10 training sessions held for specialists in the compliance team.</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20"/>
                              </w:rPr>
                              <w:t>A cookies master class held for technical teams and products.</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20"/>
                              </w:rPr>
                              <w:t>Courses and training for business areas and PDP teams in group companies held on issues including consent management, ARCO rights, cookie management, and regional regulatory trends.</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20"/>
                              </w:rPr>
                              <w:t>PDP risk assessment conducted in BCP Panamá and ASB Panamá.</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84"/>
                        <w:gridCol w:w="7721"/>
                      </w:tblGrid>
                      <w:tr>
                        <w:trPr/>
                        <w:tc>
                          <w:tcPr>
                            <w:tcW w:w="2484" w:type="dxa"/>
                            <w:tcBorders/>
                            <w:shd w:fill="ED7C30" w:val="clear"/>
                            <w:vAlign w:val="center"/>
                          </w:tcPr>
                          <w:p>
                            <w:pPr>
                              <w:pStyle w:val="TableContents"/>
                              <w:bidi w:val="0"/>
                              <w:spacing w:before="0" w:after="0"/>
                              <w:jc w:val="center"/>
                              <w:rPr>
                                <w:rFonts w:ascii="Arial" w:hAnsi="Arial"/>
                                <w:b/>
                                <w:i w:val="false"/>
                                <w:caps w:val="false"/>
                                <w:smallCaps w:val="false"/>
                                <w:color w:val="FFFFFF"/>
                                <w:sz w:val="20"/>
                              </w:rPr>
                            </w:pPr>
                            <w:r>
                              <w:rPr>
                                <w:rFonts w:ascii="Arial" w:hAnsi="Arial"/>
                                <w:b/>
                                <w:i w:val="false"/>
                                <w:caps w:val="false"/>
                                <w:smallCaps w:val="false"/>
                                <w:color w:val="FFFFFF"/>
                                <w:sz w:val="20"/>
                              </w:rPr>
                              <w:t>Occupational health and safety (OH&amp;S)</w:t>
                            </w:r>
                          </w:p>
                          <w:p>
                            <w:pPr>
                              <w:pStyle w:val="TableContents"/>
                              <w:bidi w:val="0"/>
                              <w:spacing w:before="0" w:after="0"/>
                              <w:jc w:val="center"/>
                              <w:rPr>
                                <w:caps w:val="false"/>
                                <w:smallCaps w:val="false"/>
                                <w:color w:val="FFFFFF"/>
                              </w:rPr>
                            </w:pPr>
                            <w:r>
                              <w:rPr>
                                <w:caps w:val="false"/>
                                <w:smallCaps w:val="false"/>
                                <w:color w:val="FFFFFF"/>
                              </w:rPr>
                              <w:t> </w:t>
                            </w:r>
                          </w:p>
                        </w:tc>
                        <w:tc>
                          <w:tcPr>
                            <w:tcW w:w="7721" w:type="dxa"/>
                            <w:tcBorders>
                              <w:top w:val="single" w:sz="8" w:space="0" w:color="ED7C30"/>
                              <w:bottom w:val="single" w:sz="8" w:space="0" w:color="ED7C30"/>
                              <w:right w:val="single" w:sz="8" w:space="0" w:color="ED7C30"/>
                            </w:tcBorders>
                            <w:tcMar>
                              <w:top w:w="100" w:type="dxa"/>
                              <w:bottom w:w="100" w:type="dxa"/>
                              <w:right w:w="10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20"/>
                              </w:rPr>
                              <w:t>Occupational medical examinations resumed for over 17,800 employees of Credicorp Perú to feed into an update of the companies’ epidemiological profile.</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20"/>
                              </w:rPr>
                              <w:t>220 investigations carried out into employee reports of unwanted events.</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20"/>
                              </w:rPr>
                              <w:t>Over 750 workplace inspections undertaken to assess occupational risk prevention.</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20"/>
                              </w:rPr>
                              <w:t>Over 100 communications on preventive OH&amp;S topics rolled out and circulated to over 31,000 employees.</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20"/>
                              </w:rPr>
                              <w:t>Over 70,000 hours of OH&amp;S training materials developed.</w:t>
                            </w:r>
                          </w:p>
                          <w:p>
                            <w:pPr>
                              <w:pStyle w:val="TableContents"/>
                              <w:bidi w:val="0"/>
                              <w:spacing w:before="0" w:after="0"/>
                              <w:ind w:left="360" w:right="0" w:hanging="360"/>
                              <w:jc w:val="left"/>
                              <w:rPr>
                                <w:caps w:val="false"/>
                                <w:smallCaps w:val="false"/>
                              </w:rPr>
                            </w:pPr>
                            <w:r>
                              <w:rPr>
                                <w:caps w:val="false"/>
                                <w:smallCaps w:val="false"/>
                              </w:rPr>
                              <w:t xml:space="preserve">○    </w:t>
                            </w:r>
                            <w:r>
                              <w:rPr>
                                <w:rFonts w:ascii="Arial" w:hAnsi="Arial"/>
                                <w:b w:val="false"/>
                                <w:i w:val="false"/>
                                <w:caps w:val="false"/>
                                <w:smallCaps w:val="false"/>
                                <w:sz w:val="20"/>
                              </w:rPr>
                              <w:t>Zero occupational illnesses reported.</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20"/>
                              </w:rPr>
                              <w:t>More than 6,550 IPERC matrices were developed to identify dangers, risks, and control measures for occupational hazards.</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07">
                <wp:simplePos x="0" y="0"/>
                <wp:positionH relativeFrom="column">
                  <wp:align>right</wp:align>
                </wp:positionH>
                <wp:positionV relativeFrom="line">
                  <wp:posOffset>635</wp:posOffset>
                </wp:positionV>
                <wp:extent cx="3110230" cy="7454900"/>
                <wp:effectExtent l="0" t="0" r="0" b="0"/>
                <wp:wrapSquare wrapText="left"/>
                <wp:docPr id="393" name="Frame121"/>
                <a:graphic xmlns:a="http://schemas.openxmlformats.org/drawingml/2006/main">
                  <a:graphicData uri="http://schemas.microsoft.com/office/word/2010/wordprocessingShape">
                    <wps:wsp>
                      <wps:cNvSpPr txBox="1"/>
                      <wps:spPr>
                        <a:xfrm>
                          <a:off x="0" y="0"/>
                          <a:ext cx="3110230" cy="7454900"/>
                        </a:xfrm>
                        <a:prstGeom prst="rect"/>
                        <a:solidFill>
                          <a:srgbClr val="FFFFFF"/>
                        </a:solidFill>
                      </wps:spPr>
                      <wps:txbx>
                        <w:txbxContent>
                          <w:p>
                            <w:pPr>
                              <w:pStyle w:val="TextBody"/>
                              <w:bidi w:val="0"/>
                              <w:spacing w:before="0" w:after="0"/>
                              <w:jc w:val="left"/>
                              <w:rPr>
                                <w:rFonts w:ascii="Arial" w:hAnsi="Arial"/>
                                <w:b/>
                                <w:i w:val="false"/>
                                <w:caps w:val="false"/>
                                <w:smallCaps w:val="false"/>
                                <w:sz w:val="20"/>
                              </w:rPr>
                            </w:pPr>
                            <w:r>
                              <w:rPr>
                                <w:rFonts w:ascii="Arial" w:hAnsi="Arial"/>
                                <w:b/>
                                <w:i w:val="false"/>
                                <w:caps w:val="false"/>
                                <w:smallCaps w:val="false"/>
                                <w:sz w:val="20"/>
                              </w:rPr>
                              <w:t>4.4.4.1. Human rights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Arial" w:hAnsi="Arial"/>
                                <w:b/>
                                <w:i w:val="false"/>
                                <w:caps w:val="false"/>
                                <w:smallCaps w:val="false"/>
                                <w:color w:val="FE5000"/>
                                <w:sz w:val="28"/>
                              </w:rPr>
                            </w:pPr>
                            <w:r>
                              <w:rPr>
                                <w:rFonts w:ascii="Arial" w:hAnsi="Arial"/>
                                <w:b/>
                                <w:i w:val="false"/>
                                <w:caps w:val="false"/>
                                <w:smallCaps w:val="false"/>
                                <w:color w:val="FE5000"/>
                                <w:sz w:val="28"/>
                              </w:rPr>
                              <w:t>At Credicorp, we assert that all human beings have the right to lead a dignified life and be treated equally.</w:t>
                            </w:r>
                          </w:p>
                          <w:p>
                            <w:pPr>
                              <w:pStyle w:val="TextBody"/>
                              <w:bidi w:val="0"/>
                              <w:spacing w:before="0" w:after="0"/>
                              <w:jc w:val="center"/>
                              <w:rPr>
                                <w:caps w:val="false"/>
                                <w:smallCaps w:val="false"/>
                                <w:color w:val="FE5000"/>
                              </w:rPr>
                            </w:pPr>
                            <w:r>
                              <w:rPr>
                                <w:caps w:val="false"/>
                                <w:smallCaps w:val="false"/>
                                <w:color w:val="FE5000"/>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Credicorp’s human rights approach dates back to 2021, when the concept arose as a material topic in our sustainability strategy.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 w:hAnsi="Arial"/>
                                <w:b w:val="false"/>
                                <w:i w:val="false"/>
                                <w:caps w:val="false"/>
                                <w:smallCaps w:val="false"/>
                                <w:sz w:val="20"/>
                              </w:rPr>
                            </w:pPr>
                            <w:r>
                              <w:rPr>
                                <w:rFonts w:ascii="Arial" w:hAnsi="Arial"/>
                                <w:b w:val="false"/>
                                <w:i w:val="false"/>
                                <w:caps w:val="false"/>
                                <w:smallCaps w:val="false"/>
                                <w:sz w:val="20"/>
                              </w:rPr>
                              <w:t>A 2022 evaluation identified ten priority thematic focus areas.</w:t>
                            </w:r>
                          </w:p>
                          <w:p>
                            <w:pPr>
                              <w:pStyle w:val="TextBody"/>
                              <w:bidi w:val="0"/>
                              <w:spacing w:before="0" w:after="0"/>
                              <w:jc w:val="left"/>
                              <w:rPr>
                                <w:caps w:val="false"/>
                                <w:smallCaps w:val="false"/>
                              </w:rPr>
                            </w:pPr>
                            <w:r>
                              <w:rPr>
                                <w:caps w:val="false"/>
                                <w:smallCaps w:val="false"/>
                              </w:rPr>
                              <w:t> </w:t>
                            </w:r>
                          </w:p>
                          <w:tbl>
                            <w:tblPr>
                              <w:tblW w:w="3940" w:type="dxa"/>
                              <w:jc w:val="left"/>
                              <w:tblInd w:w="-10" w:type="dxa"/>
                              <w:tblLayout w:type="fixed"/>
                              <w:tblCellMar>
                                <w:top w:w="28" w:type="dxa"/>
                                <w:left w:w="80" w:type="dxa"/>
                                <w:bottom w:w="28" w:type="dxa"/>
                                <w:right w:w="0" w:type="dxa"/>
                              </w:tblCellMar>
                            </w:tblPr>
                            <w:tblGrid>
                              <w:gridCol w:w="1925"/>
                              <w:gridCol w:w="2015"/>
                            </w:tblGrid>
                            <w:tr>
                              <w:trPr/>
                              <w:tc>
                                <w:tcPr>
                                  <w:tcW w:w="1925" w:type="dxa"/>
                                  <w:tcBorders>
                                    <w:top w:val="single" w:sz="8" w:space="0" w:color="ED7D31"/>
                                    <w:left w:val="single" w:sz="8" w:space="0" w:color="ED7C30"/>
                                    <w:bottom w:val="single" w:sz="8" w:space="0" w:color="ED7D31"/>
                                  </w:tcBorders>
                                  <w:shd w:fill="ED7C30" w:val="cle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Thematic area</w:t>
                                  </w:r>
                                </w:p>
                              </w:tc>
                              <w:tc>
                                <w:tcPr>
                                  <w:tcW w:w="2015" w:type="dxa"/>
                                  <w:tcBorders>
                                    <w:top w:val="single" w:sz="8" w:space="0" w:color="ED7D31"/>
                                    <w:left w:val="single" w:sz="8" w:space="0" w:color="ED7C30"/>
                                    <w:bottom w:val="single" w:sz="8" w:space="0" w:color="ED7D31"/>
                                    <w:right w:val="single" w:sz="8" w:space="0" w:color="ED7C30"/>
                                  </w:tcBorders>
                                  <w:shd w:fill="ED7C30" w:val="clear"/>
                                  <w:tcMar>
                                    <w:right w:w="80" w:type="dxa"/>
                                  </w:tcM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Responsable</w:t>
                                  </w:r>
                                </w:p>
                              </w:tc>
                            </w:tr>
                            <w:tr>
                              <w:trPr/>
                              <w:tc>
                                <w:tcPr>
                                  <w:tcW w:w="1925" w:type="dxa"/>
                                  <w:tcBorders>
                                    <w:left w:val="single" w:sz="8" w:space="0" w:color="ED7C30"/>
                                    <w:bottom w:val="single" w:sz="8" w:space="0" w:color="F4B083"/>
                                  </w:tcBorders>
                                  <w:shd w:fill="FBE4D5" w:val="clear"/>
                                  <w:tcMar>
                                    <w:top w:w="0"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Sexual harassment</w:t>
                                  </w:r>
                                </w:p>
                              </w:tc>
                              <w:tc>
                                <w:tcPr>
                                  <w:tcW w:w="2015" w:type="dxa"/>
                                  <w:tcBorders>
                                    <w:left w:val="single" w:sz="8" w:space="0" w:color="ED7C30"/>
                                    <w:bottom w:val="single" w:sz="8" w:space="0" w:color="F4B083"/>
                                    <w:right w:val="single" w:sz="8" w:space="0" w:color="ED7C30"/>
                                  </w:tcBorders>
                                  <w:shd w:fill="FBE4D5" w:val="clear"/>
                                  <w:tcMar>
                                    <w:top w:w="0" w:type="dxa"/>
                                    <w:right w:w="8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Gender equity program</w:t>
                                  </w:r>
                                </w:p>
                              </w:tc>
                            </w:tr>
                            <w:tr>
                              <w:trPr/>
                              <w:tc>
                                <w:tcPr>
                                  <w:tcW w:w="1925" w:type="dxa"/>
                                  <w:tcBorders>
                                    <w:left w:val="single" w:sz="8" w:space="0" w:color="ED7C30"/>
                                    <w:bottom w:val="single" w:sz="8" w:space="0" w:color="F4B083"/>
                                  </w:tcBorders>
                                  <w:tcMar>
                                    <w:top w:w="0"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Labor rights</w:t>
                                  </w:r>
                                </w:p>
                              </w:tc>
                              <w:tc>
                                <w:tcPr>
                                  <w:tcW w:w="2015" w:type="dxa"/>
                                  <w:tcBorders>
                                    <w:left w:val="single" w:sz="8" w:space="0" w:color="ED7C30"/>
                                    <w:bottom w:val="single" w:sz="8" w:space="0" w:color="F4B083"/>
                                    <w:right w:val="single" w:sz="8" w:space="0" w:color="ED7C30"/>
                                  </w:tcBorders>
                                  <w:tcMar>
                                    <w:top w:w="0" w:type="dxa"/>
                                    <w:right w:w="8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Workplace relations</w:t>
                                  </w:r>
                                </w:p>
                              </w:tc>
                            </w:tr>
                            <w:tr>
                              <w:trPr/>
                              <w:tc>
                                <w:tcPr>
                                  <w:tcW w:w="1925" w:type="dxa"/>
                                  <w:tcBorders>
                                    <w:left w:val="single" w:sz="8" w:space="0" w:color="ED7C30"/>
                                    <w:bottom w:val="single" w:sz="8" w:space="0" w:color="F4B083"/>
                                  </w:tcBorders>
                                  <w:shd w:fill="FBE4D5" w:val="clear"/>
                                  <w:tcMar>
                                    <w:top w:w="0"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Privacy</w:t>
                                  </w:r>
                                </w:p>
                              </w:tc>
                              <w:tc>
                                <w:tcPr>
                                  <w:tcW w:w="2015" w:type="dxa"/>
                                  <w:tcBorders>
                                    <w:left w:val="single" w:sz="8" w:space="0" w:color="ED7C30"/>
                                    <w:right w:val="single" w:sz="8" w:space="0" w:color="ED7C30"/>
                                  </w:tcBorders>
                                  <w:shd w:fill="FBE4D5" w:val="clear"/>
                                  <w:tcMar>
                                    <w:top w:w="0" w:type="dxa"/>
                                    <w:bottom w:w="0" w:type="dxa"/>
                                    <w:right w:w="8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left w:val="single" w:sz="8" w:space="0" w:color="ED7C30"/>
                                    <w:bottom w:val="single" w:sz="8" w:space="0" w:color="F4B083"/>
                                  </w:tcBorders>
                                  <w:tcMar>
                                    <w:top w:w="0"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Corruption</w:t>
                                  </w:r>
                                </w:p>
                              </w:tc>
                              <w:tc>
                                <w:tcPr>
                                  <w:tcW w:w="2015" w:type="dxa"/>
                                  <w:tcBorders>
                                    <w:left w:val="single" w:sz="8" w:space="0" w:color="ED7C30"/>
                                    <w:right w:val="single" w:sz="8" w:space="0" w:color="ED7C30"/>
                                  </w:tcBorders>
                                  <w:shd w:fill="FBE4D5" w:val="clear"/>
                                  <w:tcMar>
                                    <w:top w:w="0" w:type="dxa"/>
                                    <w:bottom w:w="0" w:type="dxa"/>
                                    <w:right w:w="8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Compliance and ethics</w:t>
                                  </w:r>
                                </w:p>
                              </w:tc>
                            </w:tr>
                            <w:tr>
                              <w:trPr/>
                              <w:tc>
                                <w:tcPr>
                                  <w:tcW w:w="1925" w:type="dxa"/>
                                  <w:tcBorders>
                                    <w:left w:val="single" w:sz="8" w:space="0" w:color="ED7C30"/>
                                  </w:tcBorders>
                                  <w:tcMar>
                                    <w:top w:w="0" w:type="dxa"/>
                                    <w:bottom w:w="0"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Financial crime</w:t>
                                  </w:r>
                                </w:p>
                              </w:tc>
                              <w:tc>
                                <w:tcPr>
                                  <w:tcW w:w="2015" w:type="dxa"/>
                                  <w:tcBorders>
                                    <w:left w:val="single" w:sz="8" w:space="0" w:color="ED7C30"/>
                                    <w:right w:val="single" w:sz="8" w:space="0" w:color="ED7C30"/>
                                  </w:tcBorders>
                                  <w:shd w:fill="FBE4D5" w:val="clear"/>
                                  <w:tcMar>
                                    <w:top w:w="0" w:type="dxa"/>
                                    <w:bottom w:w="0" w:type="dxa"/>
                                    <w:right w:w="8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left w:val="single" w:sz="8" w:space="0" w:color="ED7C30"/>
                                    <w:bottom w:val="single" w:sz="8" w:space="0" w:color="ED7C30"/>
                                  </w:tcBorders>
                                  <w:tcMar>
                                    <w:top w:w="0"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Health and safety</w:t>
                                  </w:r>
                                </w:p>
                              </w:tc>
                              <w:tc>
                                <w:tcPr>
                                  <w:tcW w:w="2015" w:type="dxa"/>
                                  <w:tcBorders>
                                    <w:left w:val="single" w:sz="8" w:space="0" w:color="ED7C30"/>
                                    <w:bottom w:val="single" w:sz="8" w:space="0" w:color="ED7C30"/>
                                    <w:right w:val="single" w:sz="8" w:space="0" w:color="ED7C30"/>
                                  </w:tcBorders>
                                  <w:shd w:fill="FBE4D5" w:val="clear"/>
                                  <w:tcMar>
                                    <w:top w:w="0" w:type="dxa"/>
                                    <w:right w:w="8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left w:val="single" w:sz="8" w:space="0" w:color="ED7C30"/>
                                  </w:tcBorders>
                                  <w:shd w:fill="FBE4D5" w:val="clear"/>
                                  <w:tcMar>
                                    <w:top w:w="0" w:type="dxa"/>
                                    <w:bottom w:w="0"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People trafficking (*)</w:t>
                                  </w:r>
                                </w:p>
                              </w:tc>
                              <w:tc>
                                <w:tcPr>
                                  <w:tcW w:w="2015" w:type="dxa"/>
                                  <w:tcBorders>
                                    <w:left w:val="single" w:sz="8" w:space="0" w:color="ED7C30"/>
                                    <w:right w:val="single" w:sz="8" w:space="0" w:color="ED7C30"/>
                                  </w:tcBorders>
                                  <w:shd w:fill="FBE4D5" w:val="clear"/>
                                  <w:tcMar>
                                    <w:top w:w="0" w:type="dxa"/>
                                    <w:bottom w:w="0" w:type="dxa"/>
                                    <w:right w:w="8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left w:val="single" w:sz="8" w:space="0" w:color="ED7C30"/>
                                  </w:tcBorders>
                                  <w:tcMar>
                                    <w:top w:w="0" w:type="dxa"/>
                                    <w:bottom w:w="0"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Forced labor (*)</w:t>
                                  </w:r>
                                </w:p>
                              </w:tc>
                              <w:tc>
                                <w:tcPr>
                                  <w:tcW w:w="2015" w:type="dxa"/>
                                  <w:tcBorders>
                                    <w:left w:val="single" w:sz="8" w:space="0" w:color="ED7C30"/>
                                    <w:right w:val="single" w:sz="8" w:space="0" w:color="ED7C30"/>
                                  </w:tcBorders>
                                  <w:shd w:fill="FBE4D5" w:val="clear"/>
                                  <w:tcMar>
                                    <w:top w:w="0" w:type="dxa"/>
                                    <w:bottom w:w="0" w:type="dxa"/>
                                    <w:right w:w="8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left w:val="single" w:sz="8" w:space="0" w:color="ED7C30"/>
                                  </w:tcBorders>
                                  <w:shd w:fill="FBE4D5" w:val="clear"/>
                                  <w:tcMar>
                                    <w:top w:w="0" w:type="dxa"/>
                                    <w:bottom w:w="0"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Child labor (*)</w:t>
                                  </w:r>
                                </w:p>
                              </w:tc>
                              <w:tc>
                                <w:tcPr>
                                  <w:tcW w:w="2015" w:type="dxa"/>
                                  <w:tcBorders>
                                    <w:left w:val="single" w:sz="8" w:space="0" w:color="ED7C30"/>
                                    <w:right w:val="single" w:sz="8" w:space="0" w:color="ED7C30"/>
                                  </w:tcBorders>
                                  <w:shd w:fill="FBE4D5" w:val="clear"/>
                                  <w:tcMar>
                                    <w:top w:w="0" w:type="dxa"/>
                                    <w:bottom w:w="0" w:type="dxa"/>
                                    <w:right w:w="8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left w:val="single" w:sz="8" w:space="0" w:color="ED7C30"/>
                                    <w:bottom w:val="single" w:sz="8" w:space="0" w:color="ED7C30"/>
                                  </w:tcBorders>
                                  <w:tcMar>
                                    <w:top w:w="0"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Discrimination (*)</w:t>
                                  </w:r>
                                </w:p>
                              </w:tc>
                              <w:tc>
                                <w:tcPr>
                                  <w:tcW w:w="2015" w:type="dxa"/>
                                  <w:tcBorders>
                                    <w:left w:val="single" w:sz="8" w:space="0" w:color="ED7C30"/>
                                    <w:bottom w:val="single" w:sz="8" w:space="0" w:color="ED7C30"/>
                                    <w:right w:val="single" w:sz="8" w:space="0" w:color="ED7C30"/>
                                  </w:tcBorders>
                                  <w:shd w:fill="FBE4D5" w:val="clear"/>
                                  <w:tcMar>
                                    <w:top w:w="0" w:type="dxa"/>
                                    <w:right w:w="8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left w:val="single" w:sz="8" w:space="0" w:color="ED7C30"/>
                                    <w:bottom w:val="single" w:sz="8" w:space="0" w:color="ED7C30"/>
                                  </w:tcBorders>
                                  <w:shd w:fill="FBE4D5"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015" w:type="dxa"/>
                                  <w:tcBorders>
                                    <w:left w:val="single" w:sz="8" w:space="0" w:color="ED7C30"/>
                                    <w:bottom w:val="single" w:sz="8" w:space="0" w:color="ED7C30"/>
                                    <w:right w:val="single" w:sz="8" w:space="0" w:color="ED7C30"/>
                                  </w:tcBorders>
                                  <w:shd w:fill="FBE4D5" w:val="clear"/>
                                  <w:tcMar>
                                    <w:top w:w="0" w:type="dxa"/>
                                    <w:right w:w="8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rFonts w:ascii="Arial" w:hAnsi="Arial"/>
                                <w:b w:val="false"/>
                                <w:i w:val="false"/>
                                <w:caps w:val="false"/>
                                <w:smallCaps w:val="false"/>
                                <w:sz w:val="16"/>
                              </w:rPr>
                            </w:pPr>
                            <w:r>
                              <w:rPr>
                                <w:rFonts w:ascii="Arial" w:hAnsi="Arial"/>
                                <w:b w:val="false"/>
                                <w:i w:val="false"/>
                                <w:caps w:val="false"/>
                                <w:smallCaps w:val="false"/>
                                <w:sz w:val="16"/>
                              </w:rPr>
                              <w:t>(*) Additional controls need to be implemented and existing controls strengthened.</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87pt;mso-wrap-distance-left:0pt;mso-wrap-distance-right:0pt;mso-wrap-distance-top:0pt;mso-wrap-distance-bottom:0pt;margin-top:0pt;mso-position-vertical:top;mso-position-vertical-relative:text;margin-left:20.4pt;mso-position-horizontal:right;mso-position-horizontal-relative:text">
                <v:textbox>
                  <w:txbxContent>
                    <w:p>
                      <w:pPr>
                        <w:pStyle w:val="TextBody"/>
                        <w:bidi w:val="0"/>
                        <w:spacing w:before="0" w:after="0"/>
                        <w:jc w:val="left"/>
                        <w:rPr>
                          <w:rFonts w:ascii="Arial" w:hAnsi="Arial"/>
                          <w:b/>
                          <w:i w:val="false"/>
                          <w:caps w:val="false"/>
                          <w:smallCaps w:val="false"/>
                          <w:sz w:val="20"/>
                        </w:rPr>
                      </w:pPr>
                      <w:r>
                        <w:rPr>
                          <w:rFonts w:ascii="Arial" w:hAnsi="Arial"/>
                          <w:b/>
                          <w:i w:val="false"/>
                          <w:caps w:val="false"/>
                          <w:smallCaps w:val="false"/>
                          <w:sz w:val="20"/>
                        </w:rPr>
                        <w:t>4.4.4.1. Human rights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Arial" w:hAnsi="Arial"/>
                          <w:b/>
                          <w:i w:val="false"/>
                          <w:caps w:val="false"/>
                          <w:smallCaps w:val="false"/>
                          <w:color w:val="FE5000"/>
                          <w:sz w:val="28"/>
                        </w:rPr>
                      </w:pPr>
                      <w:r>
                        <w:rPr>
                          <w:rFonts w:ascii="Arial" w:hAnsi="Arial"/>
                          <w:b/>
                          <w:i w:val="false"/>
                          <w:caps w:val="false"/>
                          <w:smallCaps w:val="false"/>
                          <w:color w:val="FE5000"/>
                          <w:sz w:val="28"/>
                        </w:rPr>
                        <w:t>At Credicorp, we assert that all human beings have the right to lead a dignified life and be treated equally.</w:t>
                      </w:r>
                    </w:p>
                    <w:p>
                      <w:pPr>
                        <w:pStyle w:val="TextBody"/>
                        <w:bidi w:val="0"/>
                        <w:spacing w:before="0" w:after="0"/>
                        <w:jc w:val="center"/>
                        <w:rPr>
                          <w:caps w:val="false"/>
                          <w:smallCaps w:val="false"/>
                          <w:color w:val="FE5000"/>
                        </w:rPr>
                      </w:pPr>
                      <w:r>
                        <w:rPr>
                          <w:caps w:val="false"/>
                          <w:smallCaps w:val="false"/>
                          <w:color w:val="FE5000"/>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Credicorp’s human rights approach dates back to 2021, when the concept arose as a material topic in our sustainability strategy.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 w:hAnsi="Arial"/>
                          <w:b w:val="false"/>
                          <w:i w:val="false"/>
                          <w:caps w:val="false"/>
                          <w:smallCaps w:val="false"/>
                          <w:sz w:val="20"/>
                        </w:rPr>
                      </w:pPr>
                      <w:r>
                        <w:rPr>
                          <w:rFonts w:ascii="Arial" w:hAnsi="Arial"/>
                          <w:b w:val="false"/>
                          <w:i w:val="false"/>
                          <w:caps w:val="false"/>
                          <w:smallCaps w:val="false"/>
                          <w:sz w:val="20"/>
                        </w:rPr>
                        <w:t>A 2022 evaluation identified ten priority thematic focus areas.</w:t>
                      </w:r>
                    </w:p>
                    <w:p>
                      <w:pPr>
                        <w:pStyle w:val="TextBody"/>
                        <w:bidi w:val="0"/>
                        <w:spacing w:before="0" w:after="0"/>
                        <w:jc w:val="left"/>
                        <w:rPr>
                          <w:caps w:val="false"/>
                          <w:smallCaps w:val="false"/>
                        </w:rPr>
                      </w:pPr>
                      <w:r>
                        <w:rPr>
                          <w:caps w:val="false"/>
                          <w:smallCaps w:val="false"/>
                        </w:rPr>
                        <w:t> </w:t>
                      </w:r>
                    </w:p>
                    <w:tbl>
                      <w:tblPr>
                        <w:tblW w:w="3940" w:type="dxa"/>
                        <w:jc w:val="left"/>
                        <w:tblInd w:w="-10" w:type="dxa"/>
                        <w:tblLayout w:type="fixed"/>
                        <w:tblCellMar>
                          <w:top w:w="28" w:type="dxa"/>
                          <w:left w:w="80" w:type="dxa"/>
                          <w:bottom w:w="28" w:type="dxa"/>
                          <w:right w:w="0" w:type="dxa"/>
                        </w:tblCellMar>
                      </w:tblPr>
                      <w:tblGrid>
                        <w:gridCol w:w="1925"/>
                        <w:gridCol w:w="2015"/>
                      </w:tblGrid>
                      <w:tr>
                        <w:trPr/>
                        <w:tc>
                          <w:tcPr>
                            <w:tcW w:w="1925" w:type="dxa"/>
                            <w:tcBorders>
                              <w:top w:val="single" w:sz="8" w:space="0" w:color="ED7D31"/>
                              <w:left w:val="single" w:sz="8" w:space="0" w:color="ED7C30"/>
                              <w:bottom w:val="single" w:sz="8" w:space="0" w:color="ED7D31"/>
                            </w:tcBorders>
                            <w:shd w:fill="ED7C30" w:val="cle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Thematic area</w:t>
                            </w:r>
                          </w:p>
                        </w:tc>
                        <w:tc>
                          <w:tcPr>
                            <w:tcW w:w="2015" w:type="dxa"/>
                            <w:tcBorders>
                              <w:top w:val="single" w:sz="8" w:space="0" w:color="ED7D31"/>
                              <w:left w:val="single" w:sz="8" w:space="0" w:color="ED7C30"/>
                              <w:bottom w:val="single" w:sz="8" w:space="0" w:color="ED7D31"/>
                              <w:right w:val="single" w:sz="8" w:space="0" w:color="ED7C30"/>
                            </w:tcBorders>
                            <w:shd w:fill="ED7C30" w:val="clear"/>
                            <w:tcMar>
                              <w:right w:w="80" w:type="dxa"/>
                            </w:tcMar>
                            <w:vAlign w:val="center"/>
                          </w:tcPr>
                          <w:p>
                            <w:pPr>
                              <w:pStyle w:val="TableContents"/>
                              <w:bidi w:val="0"/>
                              <w:spacing w:before="0" w:after="283"/>
                              <w:jc w:val="center"/>
                              <w:rPr>
                                <w:rFonts w:ascii="Arial" w:hAnsi="Arial"/>
                                <w:b/>
                                <w:i w:val="false"/>
                                <w:caps w:val="false"/>
                                <w:smallCaps w:val="false"/>
                                <w:color w:val="FFFFFF"/>
                                <w:sz w:val="20"/>
                              </w:rPr>
                            </w:pPr>
                            <w:r>
                              <w:rPr>
                                <w:rFonts w:ascii="Arial" w:hAnsi="Arial"/>
                                <w:b/>
                                <w:i w:val="false"/>
                                <w:caps w:val="false"/>
                                <w:smallCaps w:val="false"/>
                                <w:color w:val="FFFFFF"/>
                                <w:sz w:val="20"/>
                              </w:rPr>
                              <w:t>Responsable</w:t>
                            </w:r>
                          </w:p>
                        </w:tc>
                      </w:tr>
                      <w:tr>
                        <w:trPr/>
                        <w:tc>
                          <w:tcPr>
                            <w:tcW w:w="1925" w:type="dxa"/>
                            <w:tcBorders>
                              <w:left w:val="single" w:sz="8" w:space="0" w:color="ED7C30"/>
                              <w:bottom w:val="single" w:sz="8" w:space="0" w:color="F4B083"/>
                            </w:tcBorders>
                            <w:shd w:fill="FBE4D5" w:val="clear"/>
                            <w:tcMar>
                              <w:top w:w="0"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Sexual harassment</w:t>
                            </w:r>
                          </w:p>
                        </w:tc>
                        <w:tc>
                          <w:tcPr>
                            <w:tcW w:w="2015" w:type="dxa"/>
                            <w:tcBorders>
                              <w:left w:val="single" w:sz="8" w:space="0" w:color="ED7C30"/>
                              <w:bottom w:val="single" w:sz="8" w:space="0" w:color="F4B083"/>
                              <w:right w:val="single" w:sz="8" w:space="0" w:color="ED7C30"/>
                            </w:tcBorders>
                            <w:shd w:fill="FBE4D5" w:val="clear"/>
                            <w:tcMar>
                              <w:top w:w="0" w:type="dxa"/>
                              <w:right w:w="8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Gender equity program</w:t>
                            </w:r>
                          </w:p>
                        </w:tc>
                      </w:tr>
                      <w:tr>
                        <w:trPr/>
                        <w:tc>
                          <w:tcPr>
                            <w:tcW w:w="1925" w:type="dxa"/>
                            <w:tcBorders>
                              <w:left w:val="single" w:sz="8" w:space="0" w:color="ED7C30"/>
                              <w:bottom w:val="single" w:sz="8" w:space="0" w:color="F4B083"/>
                            </w:tcBorders>
                            <w:tcMar>
                              <w:top w:w="0"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Labor rights</w:t>
                            </w:r>
                          </w:p>
                        </w:tc>
                        <w:tc>
                          <w:tcPr>
                            <w:tcW w:w="2015" w:type="dxa"/>
                            <w:tcBorders>
                              <w:left w:val="single" w:sz="8" w:space="0" w:color="ED7C30"/>
                              <w:bottom w:val="single" w:sz="8" w:space="0" w:color="F4B083"/>
                              <w:right w:val="single" w:sz="8" w:space="0" w:color="ED7C30"/>
                            </w:tcBorders>
                            <w:tcMar>
                              <w:top w:w="0" w:type="dxa"/>
                              <w:right w:w="8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Workplace relations</w:t>
                            </w:r>
                          </w:p>
                        </w:tc>
                      </w:tr>
                      <w:tr>
                        <w:trPr/>
                        <w:tc>
                          <w:tcPr>
                            <w:tcW w:w="1925" w:type="dxa"/>
                            <w:tcBorders>
                              <w:left w:val="single" w:sz="8" w:space="0" w:color="ED7C30"/>
                              <w:bottom w:val="single" w:sz="8" w:space="0" w:color="F4B083"/>
                            </w:tcBorders>
                            <w:shd w:fill="FBE4D5" w:val="clear"/>
                            <w:tcMar>
                              <w:top w:w="0"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Privacy</w:t>
                            </w:r>
                          </w:p>
                        </w:tc>
                        <w:tc>
                          <w:tcPr>
                            <w:tcW w:w="2015" w:type="dxa"/>
                            <w:tcBorders>
                              <w:left w:val="single" w:sz="8" w:space="0" w:color="ED7C30"/>
                              <w:right w:val="single" w:sz="8" w:space="0" w:color="ED7C30"/>
                            </w:tcBorders>
                            <w:shd w:fill="FBE4D5" w:val="clear"/>
                            <w:tcMar>
                              <w:top w:w="0" w:type="dxa"/>
                              <w:bottom w:w="0" w:type="dxa"/>
                              <w:right w:w="8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left w:val="single" w:sz="8" w:space="0" w:color="ED7C30"/>
                              <w:bottom w:val="single" w:sz="8" w:space="0" w:color="F4B083"/>
                            </w:tcBorders>
                            <w:tcMar>
                              <w:top w:w="0"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Corruption</w:t>
                            </w:r>
                          </w:p>
                        </w:tc>
                        <w:tc>
                          <w:tcPr>
                            <w:tcW w:w="2015" w:type="dxa"/>
                            <w:tcBorders>
                              <w:left w:val="single" w:sz="8" w:space="0" w:color="ED7C30"/>
                              <w:right w:val="single" w:sz="8" w:space="0" w:color="ED7C30"/>
                            </w:tcBorders>
                            <w:shd w:fill="FBE4D5" w:val="clear"/>
                            <w:tcMar>
                              <w:top w:w="0" w:type="dxa"/>
                              <w:bottom w:w="0" w:type="dxa"/>
                              <w:right w:w="80" w:type="dxa"/>
                            </w:tcMar>
                            <w:vAlign w:val="center"/>
                          </w:tcPr>
                          <w:p>
                            <w:pPr>
                              <w:pStyle w:val="TableContents"/>
                              <w:bidi w:val="0"/>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Compliance and ethics</w:t>
                            </w:r>
                          </w:p>
                        </w:tc>
                      </w:tr>
                      <w:tr>
                        <w:trPr/>
                        <w:tc>
                          <w:tcPr>
                            <w:tcW w:w="1925" w:type="dxa"/>
                            <w:tcBorders>
                              <w:left w:val="single" w:sz="8" w:space="0" w:color="ED7C30"/>
                            </w:tcBorders>
                            <w:tcMar>
                              <w:top w:w="0" w:type="dxa"/>
                              <w:bottom w:w="0"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Financial crime</w:t>
                            </w:r>
                          </w:p>
                        </w:tc>
                        <w:tc>
                          <w:tcPr>
                            <w:tcW w:w="2015" w:type="dxa"/>
                            <w:tcBorders>
                              <w:left w:val="single" w:sz="8" w:space="0" w:color="ED7C30"/>
                              <w:right w:val="single" w:sz="8" w:space="0" w:color="ED7C30"/>
                            </w:tcBorders>
                            <w:shd w:fill="FBE4D5" w:val="clear"/>
                            <w:tcMar>
                              <w:top w:w="0" w:type="dxa"/>
                              <w:bottom w:w="0" w:type="dxa"/>
                              <w:right w:w="8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left w:val="single" w:sz="8" w:space="0" w:color="ED7C30"/>
                              <w:bottom w:val="single" w:sz="8" w:space="0" w:color="ED7C30"/>
                            </w:tcBorders>
                            <w:tcMar>
                              <w:top w:w="0"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Health and safety</w:t>
                            </w:r>
                          </w:p>
                        </w:tc>
                        <w:tc>
                          <w:tcPr>
                            <w:tcW w:w="2015" w:type="dxa"/>
                            <w:tcBorders>
                              <w:left w:val="single" w:sz="8" w:space="0" w:color="ED7C30"/>
                              <w:bottom w:val="single" w:sz="8" w:space="0" w:color="ED7C30"/>
                              <w:right w:val="single" w:sz="8" w:space="0" w:color="ED7C30"/>
                            </w:tcBorders>
                            <w:shd w:fill="FBE4D5" w:val="clear"/>
                            <w:tcMar>
                              <w:top w:w="0" w:type="dxa"/>
                              <w:right w:w="8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left w:val="single" w:sz="8" w:space="0" w:color="ED7C30"/>
                            </w:tcBorders>
                            <w:shd w:fill="FBE4D5" w:val="clear"/>
                            <w:tcMar>
                              <w:top w:w="0" w:type="dxa"/>
                              <w:bottom w:w="0"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People trafficking (*)</w:t>
                            </w:r>
                          </w:p>
                        </w:tc>
                        <w:tc>
                          <w:tcPr>
                            <w:tcW w:w="2015" w:type="dxa"/>
                            <w:tcBorders>
                              <w:left w:val="single" w:sz="8" w:space="0" w:color="ED7C30"/>
                              <w:right w:val="single" w:sz="8" w:space="0" w:color="ED7C30"/>
                            </w:tcBorders>
                            <w:shd w:fill="FBE4D5" w:val="clear"/>
                            <w:tcMar>
                              <w:top w:w="0" w:type="dxa"/>
                              <w:bottom w:w="0" w:type="dxa"/>
                              <w:right w:w="8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left w:val="single" w:sz="8" w:space="0" w:color="ED7C30"/>
                            </w:tcBorders>
                            <w:tcMar>
                              <w:top w:w="0" w:type="dxa"/>
                              <w:bottom w:w="0"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Forced labor (*)</w:t>
                            </w:r>
                          </w:p>
                        </w:tc>
                        <w:tc>
                          <w:tcPr>
                            <w:tcW w:w="2015" w:type="dxa"/>
                            <w:tcBorders>
                              <w:left w:val="single" w:sz="8" w:space="0" w:color="ED7C30"/>
                              <w:right w:val="single" w:sz="8" w:space="0" w:color="ED7C30"/>
                            </w:tcBorders>
                            <w:shd w:fill="FBE4D5" w:val="clear"/>
                            <w:tcMar>
                              <w:top w:w="0" w:type="dxa"/>
                              <w:bottom w:w="0" w:type="dxa"/>
                              <w:right w:w="8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left w:val="single" w:sz="8" w:space="0" w:color="ED7C30"/>
                            </w:tcBorders>
                            <w:shd w:fill="FBE4D5" w:val="clear"/>
                            <w:tcMar>
                              <w:top w:w="0" w:type="dxa"/>
                              <w:bottom w:w="0"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Child labor (*)</w:t>
                            </w:r>
                          </w:p>
                        </w:tc>
                        <w:tc>
                          <w:tcPr>
                            <w:tcW w:w="2015" w:type="dxa"/>
                            <w:tcBorders>
                              <w:left w:val="single" w:sz="8" w:space="0" w:color="ED7C30"/>
                              <w:right w:val="single" w:sz="8" w:space="0" w:color="ED7C30"/>
                            </w:tcBorders>
                            <w:shd w:fill="FBE4D5" w:val="clear"/>
                            <w:tcMar>
                              <w:top w:w="0" w:type="dxa"/>
                              <w:bottom w:w="0" w:type="dxa"/>
                              <w:right w:w="8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left w:val="single" w:sz="8" w:space="0" w:color="ED7C30"/>
                              <w:bottom w:val="single" w:sz="8" w:space="0" w:color="ED7C30"/>
                            </w:tcBorders>
                            <w:tcMar>
                              <w:top w:w="0" w:type="dxa"/>
                            </w:tcMar>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Discrimination (*)</w:t>
                            </w:r>
                          </w:p>
                        </w:tc>
                        <w:tc>
                          <w:tcPr>
                            <w:tcW w:w="2015" w:type="dxa"/>
                            <w:tcBorders>
                              <w:left w:val="single" w:sz="8" w:space="0" w:color="ED7C30"/>
                              <w:bottom w:val="single" w:sz="8" w:space="0" w:color="ED7C30"/>
                              <w:right w:val="single" w:sz="8" w:space="0" w:color="ED7C30"/>
                            </w:tcBorders>
                            <w:shd w:fill="FBE4D5" w:val="clear"/>
                            <w:tcMar>
                              <w:top w:w="0" w:type="dxa"/>
                              <w:right w:w="8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left w:val="single" w:sz="8" w:space="0" w:color="ED7C30"/>
                              <w:bottom w:val="single" w:sz="8" w:space="0" w:color="ED7C30"/>
                            </w:tcBorders>
                            <w:shd w:fill="FBE4D5"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015" w:type="dxa"/>
                            <w:tcBorders>
                              <w:left w:val="single" w:sz="8" w:space="0" w:color="ED7C30"/>
                              <w:bottom w:val="single" w:sz="8" w:space="0" w:color="ED7C30"/>
                              <w:right w:val="single" w:sz="8" w:space="0" w:color="ED7C30"/>
                            </w:tcBorders>
                            <w:shd w:fill="FBE4D5" w:val="clear"/>
                            <w:tcMar>
                              <w:top w:w="0" w:type="dxa"/>
                              <w:right w:w="8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rFonts w:ascii="Arial" w:hAnsi="Arial"/>
                          <w:b w:val="false"/>
                          <w:i w:val="false"/>
                          <w:caps w:val="false"/>
                          <w:smallCaps w:val="false"/>
                          <w:sz w:val="16"/>
                        </w:rPr>
                      </w:pPr>
                      <w:r>
                        <w:rPr>
                          <w:rFonts w:ascii="Arial" w:hAnsi="Arial"/>
                          <w:b w:val="false"/>
                          <w:i w:val="false"/>
                          <w:caps w:val="false"/>
                          <w:smallCaps w:val="false"/>
                          <w:sz w:val="16"/>
                        </w:rPr>
                        <w:t>(*) Additional controls need to be implemented and existing controls strengthened.</w:t>
                      </w:r>
                    </w:p>
                  </w:txbxContent>
                </v:textbox>
                <w10:wrap type="square" side="left"/>
              </v:rect>
            </w:pict>
          </mc:Fallback>
        </mc:AlternateConten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59</w:t>
      </w:r>
    </w:p>
    <w:p>
      <w:pPr>
        <w:pStyle w:val="HorizontalLine"/>
        <w:pBdr>
          <w:bottom w:val="single" w:sz="12" w:space="0" w:color="808080"/>
        </w:pBdr>
        <w:bidi w:val="0"/>
        <w:spacing w:before="200" w:after="200"/>
        <w:jc w:val="left"/>
        <w:rPr/>
      </w:pPr>
      <w:r>
        <w:rPr/>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93">
                <wp:simplePos x="0" y="0"/>
                <wp:positionH relativeFrom="column">
                  <wp:align>left</wp:align>
                </wp:positionH>
                <wp:positionV relativeFrom="line">
                  <wp:posOffset>635</wp:posOffset>
                </wp:positionV>
                <wp:extent cx="3110230" cy="5842000"/>
                <wp:effectExtent l="0" t="0" r="0" b="0"/>
                <wp:wrapSquare wrapText="right"/>
                <wp:docPr id="394" name="Frame122"/>
                <a:graphic xmlns:a="http://schemas.openxmlformats.org/drawingml/2006/main">
                  <a:graphicData uri="http://schemas.microsoft.com/office/word/2010/wordprocessingShape">
                    <wps:wsp>
                      <wps:cNvSpPr txBox="1"/>
                      <wps:spPr>
                        <a:xfrm>
                          <a:off x="0" y="0"/>
                          <a:ext cx="3110230" cy="5842000"/>
                        </a:xfrm>
                        <a:prstGeom prst="rect"/>
                        <a:solidFill>
                          <a:srgbClr val="FFFFFF"/>
                        </a:solidFill>
                      </wps:spPr>
                      <wps:txbx>
                        <w:txbxContent>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We now have controls that mitigate identified risks in the priority thematic areas. Initiatives are also under development to help reduce risks in the following more exposed thematic areas based on our assessment:</w:t>
                            </w:r>
                          </w:p>
                          <w:p>
                            <w:pPr>
                              <w:pStyle w:val="TextBody"/>
                              <w:bidi w:val="0"/>
                              <w:spacing w:before="0" w:after="0"/>
                              <w:jc w:val="both"/>
                              <w:rPr>
                                <w:caps w:val="false"/>
                                <w:smallCaps w:val="false"/>
                              </w:rPr>
                            </w:pPr>
                            <w:r>
                              <w:rPr>
                                <w:caps w:val="false"/>
                                <w:smallCaps w:val="false"/>
                              </w:rPr>
                              <w:t> </w:t>
                            </w:r>
                          </w:p>
                          <w:p>
                            <w:pPr>
                              <w:pStyle w:val="TextBody"/>
                              <w:bidi w:val="0"/>
                              <w:spacing w:lineRule="auto" w:line="240" w:before="0" w:after="0"/>
                              <w:ind w:left="400" w:right="0" w:hanging="0"/>
                              <w:jc w:val="left"/>
                              <w:rPr>
                                <w:caps w:val="false"/>
                                <w:smallCaps w:val="false"/>
                              </w:rPr>
                            </w:pPr>
                            <w:r>
                              <w:rPr>
                                <w:caps w:val="false"/>
                                <w:smallCaps w:val="false"/>
                                <w:color w:val="FB6305"/>
                              </w:rPr>
                              <w:drawing>
                                <wp:inline distT="0" distB="0" distL="0" distR="0">
                                  <wp:extent cx="142875" cy="104775"/>
                                  <wp:effectExtent l="0" t="0" r="0" b="0"/>
                                  <wp:docPr id="395"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Image157" descr=""/>
                                          <pic:cNvPicPr>
                                            <a:picLocks noChangeAspect="1" noChangeArrowheads="1"/>
                                          </pic:cNvPicPr>
                                        </pic:nvPicPr>
                                        <pic:blipFill>
                                          <a:blip r:embed="rId274"/>
                                          <a:stretch>
                                            <a:fillRect/>
                                          </a:stretch>
                                        </pic:blipFill>
                                        <pic:spPr bwMode="auto">
                                          <a:xfrm>
                                            <a:off x="0" y="0"/>
                                            <a:ext cx="142875" cy="104775"/>
                                          </a:xfrm>
                                          <a:prstGeom prst="rect">
                                            <a:avLst/>
                                          </a:prstGeom>
                                        </pic:spPr>
                                      </pic:pic>
                                    </a:graphicData>
                                  </a:graphic>
                                </wp:inline>
                              </w:drawing>
                            </w:r>
                            <w:r>
                              <w:rPr>
                                <w:caps w:val="false"/>
                                <w:smallCaps w:val="false"/>
                                <w:color w:val="FB6305"/>
                              </w:rPr>
                              <w:t xml:space="preserve"> </w:t>
                            </w:r>
                            <w:r>
                              <w:rPr>
                                <w:rFonts w:ascii="Arial" w:hAnsi="Arial"/>
                                <w:b/>
                                <w:i w:val="false"/>
                                <w:caps w:val="false"/>
                                <w:smallCaps w:val="false"/>
                                <w:sz w:val="20"/>
                              </w:rPr>
                              <w:t>SUPPLIER ESG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Arial" w:hAnsi="Arial"/>
                                <w:b w:val="false"/>
                                <w:i w:val="false"/>
                                <w:caps w:val="false"/>
                                <w:smallCaps w:val="false"/>
                                <w:sz w:val="20"/>
                              </w:rPr>
                            </w:pPr>
                            <w:r>
                              <w:rPr>
                                <w:rFonts w:ascii="Arial" w:hAnsi="Arial"/>
                                <w:b w:val="false"/>
                                <w:i w:val="false"/>
                                <w:caps w:val="false"/>
                                <w:smallCaps w:val="false"/>
                                <w:sz w:val="20"/>
                              </w:rPr>
                              <w:t>We encourage our suppliers to integrate ESG standards in their business management. We aim to begin implementing an ESG supplier strategy in 2024. It will set out the guidelines for transmitting to suppliers our human rights expectations and commitments. It will also train our staff to ensure their supplier management activities integrate responsible conduct and human rights.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Arial" w:hAnsi="Arial"/>
                                <w:b w:val="false"/>
                                <w:i w:val="false"/>
                                <w:caps w:val="false"/>
                                <w:smallCaps w:val="false"/>
                                <w:sz w:val="20"/>
                              </w:rPr>
                            </w:pPr>
                            <w:r>
                              <w:rPr>
                                <w:rFonts w:ascii="Arial" w:hAnsi="Arial"/>
                                <w:b w:val="false"/>
                                <w:i w:val="false"/>
                                <w:caps w:val="false"/>
                                <w:smallCaps w:val="false"/>
                                <w:sz w:val="20"/>
                              </w:rPr>
                              <w:t>The Sustainable Supplier Management section contains more detailed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400" w:right="0" w:hanging="0"/>
                              <w:jc w:val="left"/>
                              <w:rPr>
                                <w:caps w:val="false"/>
                                <w:smallCaps w:val="false"/>
                              </w:rPr>
                            </w:pPr>
                            <w:r>
                              <w:rPr>
                                <w:caps w:val="false"/>
                                <w:smallCaps w:val="false"/>
                              </w:rPr>
                              <w:drawing>
                                <wp:inline distT="0" distB="0" distL="0" distR="0">
                                  <wp:extent cx="142875" cy="104775"/>
                                  <wp:effectExtent l="0" t="0" r="0" b="0"/>
                                  <wp:docPr id="396"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Image158" descr=""/>
                                          <pic:cNvPicPr>
                                            <a:picLocks noChangeAspect="1" noChangeArrowheads="1"/>
                                          </pic:cNvPicPr>
                                        </pic:nvPicPr>
                                        <pic:blipFill>
                                          <a:blip r:embed="rId275"/>
                                          <a:stretch>
                                            <a:fillRect/>
                                          </a:stretch>
                                        </pic:blipFill>
                                        <pic:spPr bwMode="auto">
                                          <a:xfrm>
                                            <a:off x="0" y="0"/>
                                            <a:ext cx="142875" cy="104775"/>
                                          </a:xfrm>
                                          <a:prstGeom prst="rect">
                                            <a:avLst/>
                                          </a:prstGeom>
                                        </pic:spPr>
                                      </pic:pic>
                                    </a:graphicData>
                                  </a:graphic>
                                </wp:inline>
                              </w:drawing>
                            </w:r>
                            <w:r>
                              <w:rPr>
                                <w:caps w:val="false"/>
                                <w:smallCaps w:val="false"/>
                              </w:rPr>
                              <w:t xml:space="preserve"> </w:t>
                            </w:r>
                            <w:r>
                              <w:rPr>
                                <w:rFonts w:ascii="Arial" w:hAnsi="Arial"/>
                                <w:b/>
                                <w:i w:val="false"/>
                                <w:caps w:val="false"/>
                                <w:smallCaps w:val="false"/>
                                <w:sz w:val="20"/>
                              </w:rPr>
                              <w:t>ESG RISKS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To strengthen our ESG risk management framework at the corporate level, we are implementing several initiatives to address human rights. A good example is the behavioral exclusions contained in the Corporate Responsible Investment Policy. Through our provider, RepRisk, we will receive alerts on companies that may be in breach. These companies will then be evaluated by our Exclusions Committee to ensure that any investments we make respect human rights.</w:t>
                            </w:r>
                          </w:p>
                          <w:p>
                            <w:pPr>
                              <w:pStyle w:val="TextBody"/>
                              <w:bidi w:val="0"/>
                              <w:spacing w:before="0" w:after="0"/>
                              <w:jc w:val="both"/>
                              <w:rPr>
                                <w:caps w:val="false"/>
                                <w:smallCaps w:val="false"/>
                              </w:rPr>
                            </w:pPr>
                            <w:r>
                              <w:rPr>
                                <w:caps w:val="false"/>
                                <w:smallCaps w:val="false"/>
                              </w:rPr>
                              <w:t> </w:t>
                            </w:r>
                          </w:p>
                          <w:p>
                            <w:pPr>
                              <w:pStyle w:val="TextBody"/>
                              <w:bidi w:val="0"/>
                              <w:spacing w:lineRule="auto" w:line="240" w:before="0" w:after="0"/>
                              <w:ind w:left="400" w:right="0" w:hanging="0"/>
                              <w:jc w:val="left"/>
                              <w:rPr>
                                <w:caps w:val="false"/>
                                <w:smallCaps w:val="false"/>
                              </w:rPr>
                            </w:pPr>
                            <w:r>
                              <w:rPr>
                                <w:caps w:val="false"/>
                                <w:smallCaps w:val="false"/>
                                <w:color w:val="FB6305"/>
                              </w:rPr>
                              <w:drawing>
                                <wp:inline distT="0" distB="0" distL="0" distR="0">
                                  <wp:extent cx="142875" cy="104775"/>
                                  <wp:effectExtent l="0" t="0" r="0" b="0"/>
                                  <wp:docPr id="397"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Image159" descr=""/>
                                          <pic:cNvPicPr>
                                            <a:picLocks noChangeAspect="1" noChangeArrowheads="1"/>
                                          </pic:cNvPicPr>
                                        </pic:nvPicPr>
                                        <pic:blipFill>
                                          <a:blip r:embed="rId276"/>
                                          <a:stretch>
                                            <a:fillRect/>
                                          </a:stretch>
                                        </pic:blipFill>
                                        <pic:spPr bwMode="auto">
                                          <a:xfrm>
                                            <a:off x="0" y="0"/>
                                            <a:ext cx="142875" cy="104775"/>
                                          </a:xfrm>
                                          <a:prstGeom prst="rect">
                                            <a:avLst/>
                                          </a:prstGeom>
                                        </pic:spPr>
                                      </pic:pic>
                                    </a:graphicData>
                                  </a:graphic>
                                </wp:inline>
                              </w:drawing>
                            </w:r>
                            <w:r>
                              <w:rPr>
                                <w:caps w:val="false"/>
                                <w:smallCaps w:val="false"/>
                                <w:color w:val="FB6305"/>
                              </w:rPr>
                              <w:t xml:space="preserve"> </w:t>
                            </w:r>
                            <w:r>
                              <w:rPr>
                                <w:rFonts w:ascii="Arial" w:hAnsi="Arial"/>
                                <w:b/>
                                <w:i w:val="false"/>
                                <w:caps w:val="false"/>
                                <w:smallCaps w:val="false"/>
                                <w:sz w:val="20"/>
                              </w:rPr>
                              <w:t>RESPONSIBLE AI</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Arial" w:hAnsi="Arial"/>
                                <w:b w:val="false"/>
                                <w:i w:val="false"/>
                                <w:caps w:val="false"/>
                                <w:smallCaps w:val="false"/>
                                <w:sz w:val="20"/>
                              </w:rPr>
                            </w:pPr>
                            <w:r>
                              <w:rPr>
                                <w:rFonts w:ascii="Arial" w:hAnsi="Arial"/>
                                <w:b w:val="false"/>
                                <w:i w:val="false"/>
                                <w:caps w:val="false"/>
                                <w:smallCaps w:val="false"/>
                                <w:sz w:val="20"/>
                              </w:rPr>
                              <w:t>While artificial intelligence offers endless opportunities, it also presents risks that must be managed. Our vision is to ensure these resources are appropriately used, with proper respect for and promotion of human</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6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We now have controls that mitigate identified risks in the priority thematic areas. Initiatives are also under development to help reduce risks in the following more exposed thematic areas based on our assessment:</w:t>
                      </w:r>
                    </w:p>
                    <w:p>
                      <w:pPr>
                        <w:pStyle w:val="TextBody"/>
                        <w:bidi w:val="0"/>
                        <w:spacing w:before="0" w:after="0"/>
                        <w:jc w:val="both"/>
                        <w:rPr>
                          <w:caps w:val="false"/>
                          <w:smallCaps w:val="false"/>
                        </w:rPr>
                      </w:pPr>
                      <w:r>
                        <w:rPr>
                          <w:caps w:val="false"/>
                          <w:smallCaps w:val="false"/>
                        </w:rPr>
                        <w:t> </w:t>
                      </w:r>
                    </w:p>
                    <w:p>
                      <w:pPr>
                        <w:pStyle w:val="TextBody"/>
                        <w:bidi w:val="0"/>
                        <w:spacing w:lineRule="auto" w:line="240" w:before="0" w:after="0"/>
                        <w:ind w:left="400" w:right="0" w:hanging="0"/>
                        <w:jc w:val="left"/>
                        <w:rPr>
                          <w:caps w:val="false"/>
                          <w:smallCaps w:val="false"/>
                        </w:rPr>
                      </w:pPr>
                      <w:r>
                        <w:rPr>
                          <w:caps w:val="false"/>
                          <w:smallCaps w:val="false"/>
                          <w:color w:val="FB6305"/>
                        </w:rPr>
                        <w:drawing>
                          <wp:inline distT="0" distB="0" distL="0" distR="0">
                            <wp:extent cx="142875" cy="104775"/>
                            <wp:effectExtent l="0" t="0" r="0" b="0"/>
                            <wp:docPr id="398"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157" descr=""/>
                                    <pic:cNvPicPr>
                                      <a:picLocks noChangeAspect="1" noChangeArrowheads="1"/>
                                    </pic:cNvPicPr>
                                  </pic:nvPicPr>
                                  <pic:blipFill>
                                    <a:blip r:embed="rId277"/>
                                    <a:stretch>
                                      <a:fillRect/>
                                    </a:stretch>
                                  </pic:blipFill>
                                  <pic:spPr bwMode="auto">
                                    <a:xfrm>
                                      <a:off x="0" y="0"/>
                                      <a:ext cx="142875" cy="104775"/>
                                    </a:xfrm>
                                    <a:prstGeom prst="rect">
                                      <a:avLst/>
                                    </a:prstGeom>
                                  </pic:spPr>
                                </pic:pic>
                              </a:graphicData>
                            </a:graphic>
                          </wp:inline>
                        </w:drawing>
                      </w:r>
                      <w:r>
                        <w:rPr>
                          <w:caps w:val="false"/>
                          <w:smallCaps w:val="false"/>
                          <w:color w:val="FB6305"/>
                        </w:rPr>
                        <w:t xml:space="preserve"> </w:t>
                      </w:r>
                      <w:r>
                        <w:rPr>
                          <w:rFonts w:ascii="Arial" w:hAnsi="Arial"/>
                          <w:b/>
                          <w:i w:val="false"/>
                          <w:caps w:val="false"/>
                          <w:smallCaps w:val="false"/>
                          <w:sz w:val="20"/>
                        </w:rPr>
                        <w:t>SUPPLIER ESG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Arial" w:hAnsi="Arial"/>
                          <w:b w:val="false"/>
                          <w:i w:val="false"/>
                          <w:caps w:val="false"/>
                          <w:smallCaps w:val="false"/>
                          <w:sz w:val="20"/>
                        </w:rPr>
                      </w:pPr>
                      <w:r>
                        <w:rPr>
                          <w:rFonts w:ascii="Arial" w:hAnsi="Arial"/>
                          <w:b w:val="false"/>
                          <w:i w:val="false"/>
                          <w:caps w:val="false"/>
                          <w:smallCaps w:val="false"/>
                          <w:sz w:val="20"/>
                        </w:rPr>
                        <w:t>We encourage our suppliers to integrate ESG standards in their business management. We aim to begin implementing an ESG supplier strategy in 2024. It will set out the guidelines for transmitting to suppliers our human rights expectations and commitments. It will also train our staff to ensure their supplier management activities integrate responsible conduct and human rights.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Arial" w:hAnsi="Arial"/>
                          <w:b w:val="false"/>
                          <w:i w:val="false"/>
                          <w:caps w:val="false"/>
                          <w:smallCaps w:val="false"/>
                          <w:sz w:val="20"/>
                        </w:rPr>
                      </w:pPr>
                      <w:r>
                        <w:rPr>
                          <w:rFonts w:ascii="Arial" w:hAnsi="Arial"/>
                          <w:b w:val="false"/>
                          <w:i w:val="false"/>
                          <w:caps w:val="false"/>
                          <w:smallCaps w:val="false"/>
                          <w:sz w:val="20"/>
                        </w:rPr>
                        <w:t>The Sustainable Supplier Management section contains more detailed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400" w:right="0" w:hanging="0"/>
                        <w:jc w:val="left"/>
                        <w:rPr>
                          <w:caps w:val="false"/>
                          <w:smallCaps w:val="false"/>
                        </w:rPr>
                      </w:pPr>
                      <w:r>
                        <w:rPr>
                          <w:caps w:val="false"/>
                          <w:smallCaps w:val="false"/>
                        </w:rPr>
                        <w:drawing>
                          <wp:inline distT="0" distB="0" distL="0" distR="0">
                            <wp:extent cx="142875" cy="104775"/>
                            <wp:effectExtent l="0" t="0" r="0" b="0"/>
                            <wp:docPr id="399"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Image158" descr=""/>
                                    <pic:cNvPicPr>
                                      <a:picLocks noChangeAspect="1" noChangeArrowheads="1"/>
                                    </pic:cNvPicPr>
                                  </pic:nvPicPr>
                                  <pic:blipFill>
                                    <a:blip r:embed="rId278"/>
                                    <a:stretch>
                                      <a:fillRect/>
                                    </a:stretch>
                                  </pic:blipFill>
                                  <pic:spPr bwMode="auto">
                                    <a:xfrm>
                                      <a:off x="0" y="0"/>
                                      <a:ext cx="142875" cy="104775"/>
                                    </a:xfrm>
                                    <a:prstGeom prst="rect">
                                      <a:avLst/>
                                    </a:prstGeom>
                                  </pic:spPr>
                                </pic:pic>
                              </a:graphicData>
                            </a:graphic>
                          </wp:inline>
                        </w:drawing>
                      </w:r>
                      <w:r>
                        <w:rPr>
                          <w:caps w:val="false"/>
                          <w:smallCaps w:val="false"/>
                        </w:rPr>
                        <w:t xml:space="preserve"> </w:t>
                      </w:r>
                      <w:r>
                        <w:rPr>
                          <w:rFonts w:ascii="Arial" w:hAnsi="Arial"/>
                          <w:b/>
                          <w:i w:val="false"/>
                          <w:caps w:val="false"/>
                          <w:smallCaps w:val="false"/>
                          <w:sz w:val="20"/>
                        </w:rPr>
                        <w:t>ESG RISKS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To strengthen our ESG risk management framework at the corporate level, we are implementing several initiatives to address human rights. A good example is the behavioral exclusions contained in the Corporate Responsible Investment Policy. Through our provider, RepRisk, we will receive alerts on companies that may be in breach. These companies will then be evaluated by our Exclusions Committee to ensure that any investments we make respect human rights.</w:t>
                      </w:r>
                    </w:p>
                    <w:p>
                      <w:pPr>
                        <w:pStyle w:val="TextBody"/>
                        <w:bidi w:val="0"/>
                        <w:spacing w:before="0" w:after="0"/>
                        <w:jc w:val="both"/>
                        <w:rPr>
                          <w:caps w:val="false"/>
                          <w:smallCaps w:val="false"/>
                        </w:rPr>
                      </w:pPr>
                      <w:r>
                        <w:rPr>
                          <w:caps w:val="false"/>
                          <w:smallCaps w:val="false"/>
                        </w:rPr>
                        <w:t> </w:t>
                      </w:r>
                    </w:p>
                    <w:p>
                      <w:pPr>
                        <w:pStyle w:val="TextBody"/>
                        <w:bidi w:val="0"/>
                        <w:spacing w:lineRule="auto" w:line="240" w:before="0" w:after="0"/>
                        <w:ind w:left="400" w:right="0" w:hanging="0"/>
                        <w:jc w:val="left"/>
                        <w:rPr>
                          <w:caps w:val="false"/>
                          <w:smallCaps w:val="false"/>
                        </w:rPr>
                      </w:pPr>
                      <w:r>
                        <w:rPr>
                          <w:caps w:val="false"/>
                          <w:smallCaps w:val="false"/>
                          <w:color w:val="FB6305"/>
                        </w:rPr>
                        <w:drawing>
                          <wp:inline distT="0" distB="0" distL="0" distR="0">
                            <wp:extent cx="142875" cy="104775"/>
                            <wp:effectExtent l="0" t="0" r="0" b="0"/>
                            <wp:docPr id="400"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159" descr=""/>
                                    <pic:cNvPicPr>
                                      <a:picLocks noChangeAspect="1" noChangeArrowheads="1"/>
                                    </pic:cNvPicPr>
                                  </pic:nvPicPr>
                                  <pic:blipFill>
                                    <a:blip r:embed="rId279"/>
                                    <a:stretch>
                                      <a:fillRect/>
                                    </a:stretch>
                                  </pic:blipFill>
                                  <pic:spPr bwMode="auto">
                                    <a:xfrm>
                                      <a:off x="0" y="0"/>
                                      <a:ext cx="142875" cy="104775"/>
                                    </a:xfrm>
                                    <a:prstGeom prst="rect">
                                      <a:avLst/>
                                    </a:prstGeom>
                                  </pic:spPr>
                                </pic:pic>
                              </a:graphicData>
                            </a:graphic>
                          </wp:inline>
                        </w:drawing>
                      </w:r>
                      <w:r>
                        <w:rPr>
                          <w:caps w:val="false"/>
                          <w:smallCaps w:val="false"/>
                          <w:color w:val="FB6305"/>
                        </w:rPr>
                        <w:t xml:space="preserve"> </w:t>
                      </w:r>
                      <w:r>
                        <w:rPr>
                          <w:rFonts w:ascii="Arial" w:hAnsi="Arial"/>
                          <w:b/>
                          <w:i w:val="false"/>
                          <w:caps w:val="false"/>
                          <w:smallCaps w:val="false"/>
                          <w:sz w:val="20"/>
                        </w:rPr>
                        <w:t>RESPONSIBLE AI</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Arial" w:hAnsi="Arial"/>
                          <w:b w:val="false"/>
                          <w:i w:val="false"/>
                          <w:caps w:val="false"/>
                          <w:smallCaps w:val="false"/>
                          <w:sz w:val="20"/>
                        </w:rPr>
                      </w:pPr>
                      <w:r>
                        <w:rPr>
                          <w:rFonts w:ascii="Arial" w:hAnsi="Arial"/>
                          <w:b w:val="false"/>
                          <w:i w:val="false"/>
                          <w:caps w:val="false"/>
                          <w:smallCaps w:val="false"/>
                          <w:sz w:val="20"/>
                        </w:rPr>
                        <w:t>While artificial intelligence offers endless opportunities, it also presents risks that must be managed. Our vision is to ensure these resources are appropriately used, with proper respect for and promotion of human</w:t>
                      </w:r>
                    </w:p>
                  </w:txbxContent>
                </v:textbox>
                <w10:wrap type="square" side="right"/>
              </v:rect>
            </w:pict>
          </mc:Fallback>
        </mc:AlternateContent>
      </w:r>
      <w:r>
        <mc:AlternateContent>
          <mc:Choice Requires="wps">
            <w:drawing>
              <wp:anchor behindDoc="0" distT="0" distB="0" distL="0" distR="0" simplePos="0" locked="0" layoutInCell="1" allowOverlap="1" relativeHeight="97">
                <wp:simplePos x="0" y="0"/>
                <wp:positionH relativeFrom="column">
                  <wp:align>right</wp:align>
                </wp:positionH>
                <wp:positionV relativeFrom="line">
                  <wp:posOffset>635</wp:posOffset>
                </wp:positionV>
                <wp:extent cx="3110230" cy="5701665"/>
                <wp:effectExtent l="0" t="0" r="0" b="0"/>
                <wp:wrapSquare wrapText="left"/>
                <wp:docPr id="401" name="Frame123"/>
                <a:graphic xmlns:a="http://schemas.openxmlformats.org/drawingml/2006/main">
                  <a:graphicData uri="http://schemas.microsoft.com/office/word/2010/wordprocessingShape">
                    <wps:wsp>
                      <wps:cNvSpPr txBox="1"/>
                      <wps:spPr>
                        <a:xfrm>
                          <a:off x="0" y="0"/>
                          <a:ext cx="3110230" cy="5701665"/>
                        </a:xfrm>
                        <a:prstGeom prst="rect"/>
                        <a:solidFill>
                          <a:srgbClr val="FFFFFF"/>
                        </a:solidFill>
                      </wps:spPr>
                      <wps:txbx>
                        <w:txbxContent>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rights. That is why, with a multidisciplinary team, we are in the process of implementing the framework for responsible artificial intelligence based on the following eight principles: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762375" cy="495300"/>
                                  <wp:effectExtent l="0" t="0" r="0" b="0"/>
                                  <wp:docPr id="402"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160" descr=""/>
                                          <pic:cNvPicPr>
                                            <a:picLocks noChangeAspect="1" noChangeArrowheads="1"/>
                                          </pic:cNvPicPr>
                                        </pic:nvPicPr>
                                        <pic:blipFill>
                                          <a:blip r:embed="rId280"/>
                                          <a:stretch>
                                            <a:fillRect/>
                                          </a:stretch>
                                        </pic:blipFill>
                                        <pic:spPr bwMode="auto">
                                          <a:xfrm>
                                            <a:off x="0" y="0"/>
                                            <a:ext cx="3762375" cy="49530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400" w:right="0" w:hanging="0"/>
                              <w:jc w:val="left"/>
                              <w:rPr>
                                <w:caps w:val="false"/>
                                <w:smallCaps w:val="false"/>
                              </w:rPr>
                            </w:pPr>
                            <w:r>
                              <w:rPr>
                                <w:caps w:val="false"/>
                                <w:smallCaps w:val="false"/>
                              </w:rPr>
                              <w:drawing>
                                <wp:inline distT="0" distB="0" distL="0" distR="0">
                                  <wp:extent cx="142875" cy="104775"/>
                                  <wp:effectExtent l="0" t="0" r="0" b="0"/>
                                  <wp:docPr id="403"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Image161" descr=""/>
                                          <pic:cNvPicPr>
                                            <a:picLocks noChangeAspect="1" noChangeArrowheads="1"/>
                                          </pic:cNvPicPr>
                                        </pic:nvPicPr>
                                        <pic:blipFill>
                                          <a:blip r:embed="rId281"/>
                                          <a:stretch>
                                            <a:fillRect/>
                                          </a:stretch>
                                        </pic:blipFill>
                                        <pic:spPr bwMode="auto">
                                          <a:xfrm>
                                            <a:off x="0" y="0"/>
                                            <a:ext cx="142875" cy="104775"/>
                                          </a:xfrm>
                                          <a:prstGeom prst="rect">
                                            <a:avLst/>
                                          </a:prstGeom>
                                        </pic:spPr>
                                      </pic:pic>
                                    </a:graphicData>
                                  </a:graphic>
                                </wp:inline>
                              </w:drawing>
                            </w:r>
                            <w:r>
                              <w:rPr>
                                <w:caps w:val="false"/>
                                <w:smallCaps w:val="false"/>
                              </w:rPr>
                              <w:t xml:space="preserve"> </w:t>
                            </w:r>
                            <w:r>
                              <w:rPr>
                                <w:rFonts w:ascii="Arial" w:hAnsi="Arial"/>
                                <w:b/>
                                <w:i w:val="false"/>
                                <w:caps w:val="false"/>
                                <w:smallCaps w:val="false"/>
                                <w:sz w:val="20"/>
                              </w:rPr>
                              <w:t>ACCESSIBILITY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Arial" w:hAnsi="Arial"/>
                                <w:b w:val="false"/>
                                <w:i w:val="false"/>
                                <w:caps w:val="false"/>
                                <w:smallCaps w:val="false"/>
                                <w:sz w:val="20"/>
                              </w:rPr>
                            </w:pPr>
                            <w:r>
                              <w:rPr>
                                <w:rFonts w:ascii="Arial" w:hAnsi="Arial"/>
                                <w:b w:val="false"/>
                                <w:i w:val="false"/>
                                <w:caps w:val="false"/>
                                <w:smallCaps w:val="false"/>
                                <w:sz w:val="20"/>
                              </w:rPr>
                              <w:t>The Group’s companies have been implementing a range of inclusion of diversity initiatives related to physical and digital accessibility. From a human rights perspective, these initiatives allow us to address the anti-discrimination thematic area. Further details are available in section 2.1.1.1.2 Other financial inclusion initiatives.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Arial" w:hAnsi="Arial"/>
                                <w:b w:val="false"/>
                                <w:i w:val="false"/>
                                <w:caps w:val="false"/>
                                <w:smallCaps w:val="false"/>
                                <w:sz w:val="20"/>
                              </w:rPr>
                            </w:pPr>
                            <w:r>
                              <w:rPr>
                                <w:rFonts w:ascii="Arial" w:hAnsi="Arial"/>
                                <w:b w:val="false"/>
                                <w:i w:val="false"/>
                                <w:caps w:val="false"/>
                                <w:smallCaps w:val="false"/>
                                <w:sz w:val="20"/>
                              </w:rPr>
                              <w:t>In 2023, we set up the following human rights governance model:</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3762375" cy="2047875"/>
                                  <wp:effectExtent l="0" t="0" r="0" b="0"/>
                                  <wp:docPr id="404"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162" descr=""/>
                                          <pic:cNvPicPr>
                                            <a:picLocks noChangeAspect="1" noChangeArrowheads="1"/>
                                          </pic:cNvPicPr>
                                        </pic:nvPicPr>
                                        <pic:blipFill>
                                          <a:blip r:embed="rId282"/>
                                          <a:stretch>
                                            <a:fillRect/>
                                          </a:stretch>
                                        </pic:blipFill>
                                        <pic:spPr bwMode="auto">
                                          <a:xfrm>
                                            <a:off x="0" y="0"/>
                                            <a:ext cx="3762375" cy="2047875"/>
                                          </a:xfrm>
                                          <a:prstGeom prst="rect">
                                            <a:avLst/>
                                          </a:prstGeom>
                                        </pic:spPr>
                                      </pic:pic>
                                    </a:graphicData>
                                  </a:graphic>
                                </wp:inline>
                              </w:drawing>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48.9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rights. That is why, with a multidisciplinary team, we are in the process of implementing the framework for responsible artificial intelligence based on the following eight principles: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762375" cy="495300"/>
                            <wp:effectExtent l="0" t="0" r="0" b="0"/>
                            <wp:docPr id="405"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Image160" descr=""/>
                                    <pic:cNvPicPr>
                                      <a:picLocks noChangeAspect="1" noChangeArrowheads="1"/>
                                    </pic:cNvPicPr>
                                  </pic:nvPicPr>
                                  <pic:blipFill>
                                    <a:blip r:embed="rId283"/>
                                    <a:stretch>
                                      <a:fillRect/>
                                    </a:stretch>
                                  </pic:blipFill>
                                  <pic:spPr bwMode="auto">
                                    <a:xfrm>
                                      <a:off x="0" y="0"/>
                                      <a:ext cx="3762375" cy="49530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400" w:right="0" w:hanging="0"/>
                        <w:jc w:val="left"/>
                        <w:rPr>
                          <w:caps w:val="false"/>
                          <w:smallCaps w:val="false"/>
                        </w:rPr>
                      </w:pPr>
                      <w:r>
                        <w:rPr>
                          <w:caps w:val="false"/>
                          <w:smallCaps w:val="false"/>
                        </w:rPr>
                        <w:drawing>
                          <wp:inline distT="0" distB="0" distL="0" distR="0">
                            <wp:extent cx="142875" cy="104775"/>
                            <wp:effectExtent l="0" t="0" r="0" b="0"/>
                            <wp:docPr id="406"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161" descr=""/>
                                    <pic:cNvPicPr>
                                      <a:picLocks noChangeAspect="1" noChangeArrowheads="1"/>
                                    </pic:cNvPicPr>
                                  </pic:nvPicPr>
                                  <pic:blipFill>
                                    <a:blip r:embed="rId284"/>
                                    <a:stretch>
                                      <a:fillRect/>
                                    </a:stretch>
                                  </pic:blipFill>
                                  <pic:spPr bwMode="auto">
                                    <a:xfrm>
                                      <a:off x="0" y="0"/>
                                      <a:ext cx="142875" cy="104775"/>
                                    </a:xfrm>
                                    <a:prstGeom prst="rect">
                                      <a:avLst/>
                                    </a:prstGeom>
                                  </pic:spPr>
                                </pic:pic>
                              </a:graphicData>
                            </a:graphic>
                          </wp:inline>
                        </w:drawing>
                      </w:r>
                      <w:r>
                        <w:rPr>
                          <w:caps w:val="false"/>
                          <w:smallCaps w:val="false"/>
                        </w:rPr>
                        <w:t xml:space="preserve"> </w:t>
                      </w:r>
                      <w:r>
                        <w:rPr>
                          <w:rFonts w:ascii="Arial" w:hAnsi="Arial"/>
                          <w:b/>
                          <w:i w:val="false"/>
                          <w:caps w:val="false"/>
                          <w:smallCaps w:val="false"/>
                          <w:sz w:val="20"/>
                        </w:rPr>
                        <w:t>ACCESSIBILITY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Arial" w:hAnsi="Arial"/>
                          <w:b w:val="false"/>
                          <w:i w:val="false"/>
                          <w:caps w:val="false"/>
                          <w:smallCaps w:val="false"/>
                          <w:sz w:val="20"/>
                        </w:rPr>
                      </w:pPr>
                      <w:r>
                        <w:rPr>
                          <w:rFonts w:ascii="Arial" w:hAnsi="Arial"/>
                          <w:b w:val="false"/>
                          <w:i w:val="false"/>
                          <w:caps w:val="false"/>
                          <w:smallCaps w:val="false"/>
                          <w:sz w:val="20"/>
                        </w:rPr>
                        <w:t>The Group’s companies have been implementing a range of inclusion of diversity initiatives related to physical and digital accessibility. From a human rights perspective, these initiatives allow us to address the anti-discrimination thematic area. Further details are available in section 2.1.1.1.2 Other financial inclusion initiatives.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Arial" w:hAnsi="Arial"/>
                          <w:b w:val="false"/>
                          <w:i w:val="false"/>
                          <w:caps w:val="false"/>
                          <w:smallCaps w:val="false"/>
                          <w:sz w:val="20"/>
                        </w:rPr>
                      </w:pPr>
                      <w:r>
                        <w:rPr>
                          <w:rFonts w:ascii="Arial" w:hAnsi="Arial"/>
                          <w:b w:val="false"/>
                          <w:i w:val="false"/>
                          <w:caps w:val="false"/>
                          <w:smallCaps w:val="false"/>
                          <w:sz w:val="20"/>
                        </w:rPr>
                        <w:t>In 2023, we set up the following human rights governance model:</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3762375" cy="2047875"/>
                            <wp:effectExtent l="0" t="0" r="0" b="0"/>
                            <wp:docPr id="407"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Image162" descr=""/>
                                    <pic:cNvPicPr>
                                      <a:picLocks noChangeAspect="1" noChangeArrowheads="1"/>
                                    </pic:cNvPicPr>
                                  </pic:nvPicPr>
                                  <pic:blipFill>
                                    <a:blip r:embed="rId285"/>
                                    <a:stretch>
                                      <a:fillRect/>
                                    </a:stretch>
                                  </pic:blipFill>
                                  <pic:spPr bwMode="auto">
                                    <a:xfrm>
                                      <a:off x="0" y="0"/>
                                      <a:ext cx="3762375" cy="2047875"/>
                                    </a:xfrm>
                                    <a:prstGeom prst="rect">
                                      <a:avLst/>
                                    </a:prstGeom>
                                  </pic:spPr>
                                </pic:pic>
                              </a:graphicData>
                            </a:graphic>
                          </wp:inline>
                        </w:drawing>
                      </w:r>
                    </w:p>
                  </w:txbxContent>
                </v:textbox>
                <w10:wrap type="square" side="left"/>
              </v:rect>
            </w:pict>
          </mc:Fallback>
        </mc:AlternateConten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60</w:t>
      </w:r>
    </w:p>
    <w:p>
      <w:pPr>
        <w:pStyle w:val="HorizontalLine"/>
        <w:pBdr>
          <w:bottom w:val="single" w:sz="12" w:space="0" w:color="808080"/>
        </w:pBdr>
        <w:bidi w:val="0"/>
        <w:spacing w:before="200" w:after="200"/>
        <w:jc w:val="left"/>
        <w:rPr/>
      </w:pPr>
      <w:r>
        <w:rPr/>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r>
        <mc:AlternateContent>
          <mc:Choice Requires="wps">
            <w:drawing>
              <wp:anchor behindDoc="0" distT="0" distB="0" distL="0" distR="0" simplePos="0" locked="0" layoutInCell="1" allowOverlap="1" relativeHeight="308">
                <wp:simplePos x="0" y="0"/>
                <wp:positionH relativeFrom="column">
                  <wp:align>left</wp:align>
                </wp:positionH>
                <wp:positionV relativeFrom="line">
                  <wp:posOffset>635</wp:posOffset>
                </wp:positionV>
                <wp:extent cx="3110230" cy="5329555"/>
                <wp:effectExtent l="0" t="0" r="0" b="0"/>
                <wp:wrapSquare wrapText="right"/>
                <wp:docPr id="408" name="Frame124"/>
                <a:graphic xmlns:a="http://schemas.openxmlformats.org/drawingml/2006/main">
                  <a:graphicData uri="http://schemas.microsoft.com/office/word/2010/wordprocessingShape">
                    <wps:wsp>
                      <wps:cNvSpPr txBox="1"/>
                      <wps:spPr>
                        <a:xfrm>
                          <a:off x="0" y="0"/>
                          <a:ext cx="3110230" cy="5329555"/>
                        </a:xfrm>
                        <a:prstGeom prst="rect"/>
                        <a:solidFill>
                          <a:srgbClr val="FFFFFF"/>
                        </a:solidFill>
                      </wps:spPr>
                      <wps:txbx>
                        <w:txbxContent>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At board level, our governance body is the Sustainability Committee, which is supported by three internal committees that operationally may also decide on issues with a human rights impact, as follows: </w:t>
                            </w:r>
                          </w:p>
                          <w:tbl>
                            <w:tblPr>
                              <w:tblW w:w="4083" w:type="dxa"/>
                              <w:jc w:val="left"/>
                              <w:tblInd w:w="0" w:type="dxa"/>
                              <w:tblLayout w:type="fixed"/>
                              <w:tblCellMar>
                                <w:top w:w="0" w:type="dxa"/>
                                <w:left w:w="0" w:type="dxa"/>
                                <w:bottom w:w="0" w:type="dxa"/>
                                <w:right w:w="0" w:type="dxa"/>
                              </w:tblCellMar>
                            </w:tblPr>
                            <w:tblGrid>
                              <w:gridCol w:w="38"/>
                              <w:gridCol w:w="170"/>
                              <w:gridCol w:w="38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75"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Credicorp Sustainability Steering Committee</w:t>
                                  </w:r>
                                </w:p>
                              </w:tc>
                            </w:tr>
                          </w:tbl>
                          <w:tbl>
                            <w:tblPr>
                              <w:tblW w:w="2208" w:type="dxa"/>
                              <w:jc w:val="left"/>
                              <w:tblInd w:w="0" w:type="dxa"/>
                              <w:tblLayout w:type="fixed"/>
                              <w:tblCellMar>
                                <w:top w:w="0" w:type="dxa"/>
                                <w:left w:w="0" w:type="dxa"/>
                                <w:bottom w:w="0" w:type="dxa"/>
                                <w:right w:w="0" w:type="dxa"/>
                              </w:tblCellMar>
                            </w:tblPr>
                            <w:tblGrid>
                              <w:gridCol w:w="38"/>
                              <w:gridCol w:w="170"/>
                              <w:gridCol w:w="2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00"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Exclusions Committee</w:t>
                                  </w:r>
                                </w:p>
                              </w:tc>
                            </w:tr>
                          </w:tbl>
                          <w:tbl>
                            <w:tblPr>
                              <w:tblW w:w="2688" w:type="dxa"/>
                              <w:jc w:val="left"/>
                              <w:tblInd w:w="0" w:type="dxa"/>
                              <w:tblLayout w:type="fixed"/>
                              <w:tblCellMar>
                                <w:top w:w="0" w:type="dxa"/>
                                <w:left w:w="0" w:type="dxa"/>
                                <w:bottom w:w="0" w:type="dxa"/>
                                <w:right w:w="0" w:type="dxa"/>
                              </w:tblCellMar>
                            </w:tblPr>
                            <w:tblGrid>
                              <w:gridCol w:w="38"/>
                              <w:gridCol w:w="170"/>
                              <w:gridCol w:w="2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80"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Credicorp Ethics Committee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At BCP, the bank’s Sustainability Committee (a management committee) reviews progress on activities presented by the working team in coordination with the key areas that manage human rights risks.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Our efforts in 2024 will be to reinforce the human rights focus in the prioritized thematic areas and engage a consultant to strengthen the long-term strategy. We will also reinforce our policies and publicize them to help internalize the program’s concepts.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Arial" w:hAnsi="Arial"/>
                                <w:b/>
                                <w:i w:val="false"/>
                                <w:caps w:val="false"/>
                                <w:smallCaps w:val="false"/>
                                <w:color w:val="FE5000"/>
                                <w:sz w:val="28"/>
                              </w:rPr>
                            </w:pPr>
                            <w:r>
                              <w:rPr>
                                <w:rFonts w:ascii="Arial" w:hAnsi="Arial"/>
                                <w:b/>
                                <w:i w:val="false"/>
                                <w:caps w:val="false"/>
                                <w:smallCaps w:val="false"/>
                                <w:color w:val="FE5000"/>
                                <w:sz w:val="28"/>
                              </w:rPr>
                              <w:t>4.4.5. Compliance innovation and ethics</w:t>
                            </w:r>
                          </w:p>
                          <w:p>
                            <w:pPr>
                              <w:pStyle w:val="TextBody"/>
                              <w:bidi w:val="0"/>
                              <w:spacing w:before="0" w:after="0"/>
                              <w:jc w:val="left"/>
                              <w:rPr>
                                <w:caps w:val="false"/>
                                <w:smallCaps w:val="false"/>
                                <w:color w:val="FE5000"/>
                              </w:rPr>
                            </w:pPr>
                            <w:r>
                              <w:rPr>
                                <w:caps w:val="false"/>
                                <w:smallCaps w:val="false"/>
                                <w:color w:val="FE5000"/>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Credicorp has been working to increase the effectiveness of its compliance and ethics processes and improve the experience of our clients and the business areas. During 2024, we plan to take advantage of the cognitive AI technologies that Credicorp has already been using, among other innovations.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19.65pt;mso-wrap-distance-left:0pt;mso-wrap-distance-right:0pt;mso-wrap-distance-top:0pt;mso-wrap-distance-bottom:0pt;margin-top:0pt;mso-position-vertical:top;mso-position-vertical-relative:text;margin-left:244.9pt;mso-position-horizontal:left;mso-position-horizontal-relative:text">
                <v:textbox>
                  <w:txbxContent>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At board level, our governance body is the Sustainability Committee, which is supported by three internal committees that operationally may also decide on issues with a human rights impact, as follows: </w:t>
                      </w:r>
                    </w:p>
                    <w:tbl>
                      <w:tblPr>
                        <w:tblW w:w="4083" w:type="dxa"/>
                        <w:jc w:val="left"/>
                        <w:tblInd w:w="0" w:type="dxa"/>
                        <w:tblLayout w:type="fixed"/>
                        <w:tblCellMar>
                          <w:top w:w="0" w:type="dxa"/>
                          <w:left w:w="0" w:type="dxa"/>
                          <w:bottom w:w="0" w:type="dxa"/>
                          <w:right w:w="0" w:type="dxa"/>
                        </w:tblCellMar>
                      </w:tblPr>
                      <w:tblGrid>
                        <w:gridCol w:w="38"/>
                        <w:gridCol w:w="170"/>
                        <w:gridCol w:w="38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75"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Credicorp Sustainability Steering Committee</w:t>
                            </w:r>
                          </w:p>
                        </w:tc>
                      </w:tr>
                    </w:tbl>
                    <w:tbl>
                      <w:tblPr>
                        <w:tblW w:w="2208" w:type="dxa"/>
                        <w:jc w:val="left"/>
                        <w:tblInd w:w="0" w:type="dxa"/>
                        <w:tblLayout w:type="fixed"/>
                        <w:tblCellMar>
                          <w:top w:w="0" w:type="dxa"/>
                          <w:left w:w="0" w:type="dxa"/>
                          <w:bottom w:w="0" w:type="dxa"/>
                          <w:right w:w="0" w:type="dxa"/>
                        </w:tblCellMar>
                      </w:tblPr>
                      <w:tblGrid>
                        <w:gridCol w:w="38"/>
                        <w:gridCol w:w="170"/>
                        <w:gridCol w:w="2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00"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Exclusions Committee</w:t>
                            </w:r>
                          </w:p>
                        </w:tc>
                      </w:tr>
                    </w:tbl>
                    <w:tbl>
                      <w:tblPr>
                        <w:tblW w:w="2688" w:type="dxa"/>
                        <w:jc w:val="left"/>
                        <w:tblInd w:w="0" w:type="dxa"/>
                        <w:tblLayout w:type="fixed"/>
                        <w:tblCellMar>
                          <w:top w:w="0" w:type="dxa"/>
                          <w:left w:w="0" w:type="dxa"/>
                          <w:bottom w:w="0" w:type="dxa"/>
                          <w:right w:w="0" w:type="dxa"/>
                        </w:tblCellMar>
                      </w:tblPr>
                      <w:tblGrid>
                        <w:gridCol w:w="38"/>
                        <w:gridCol w:w="170"/>
                        <w:gridCol w:w="2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80" w:type="dxa"/>
                            <w:tcBorders/>
                            <w:vAlign w:val="center"/>
                          </w:tcPr>
                          <w:p>
                            <w:pPr>
                              <w:pStyle w:val="TableContents"/>
                              <w:bidi w:val="0"/>
                              <w:spacing w:before="0" w:after="283"/>
                              <w:jc w:val="both"/>
                              <w:rPr>
                                <w:rFonts w:ascii="Arial" w:hAnsi="Arial"/>
                                <w:b w:val="false"/>
                                <w:i w:val="false"/>
                                <w:caps w:val="false"/>
                                <w:smallCaps w:val="false"/>
                                <w:sz w:val="20"/>
                              </w:rPr>
                            </w:pPr>
                            <w:r>
                              <w:rPr>
                                <w:rFonts w:ascii="Arial" w:hAnsi="Arial"/>
                                <w:b w:val="false"/>
                                <w:i w:val="false"/>
                                <w:caps w:val="false"/>
                                <w:smallCaps w:val="false"/>
                                <w:sz w:val="20"/>
                              </w:rPr>
                              <w:t>Credicorp Ethics Committee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At BCP, the bank’s Sustainability Committee (a management committee) reviews progress on activities presented by the working team in coordination with the key areas that manage human rights risks.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Our efforts in 2024 will be to reinforce the human rights focus in the prioritized thematic areas and engage a consultant to strengthen the long-term strategy. We will also reinforce our policies and publicize them to help internalize the program’s concepts.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Arial" w:hAnsi="Arial"/>
                          <w:b/>
                          <w:i w:val="false"/>
                          <w:caps w:val="false"/>
                          <w:smallCaps w:val="false"/>
                          <w:color w:val="FE5000"/>
                          <w:sz w:val="28"/>
                        </w:rPr>
                      </w:pPr>
                      <w:r>
                        <w:rPr>
                          <w:rFonts w:ascii="Arial" w:hAnsi="Arial"/>
                          <w:b/>
                          <w:i w:val="false"/>
                          <w:caps w:val="false"/>
                          <w:smallCaps w:val="false"/>
                          <w:color w:val="FE5000"/>
                          <w:sz w:val="28"/>
                        </w:rPr>
                        <w:t>4.4.5. Compliance innovation and ethics</w:t>
                      </w:r>
                    </w:p>
                    <w:p>
                      <w:pPr>
                        <w:pStyle w:val="TextBody"/>
                        <w:bidi w:val="0"/>
                        <w:spacing w:before="0" w:after="0"/>
                        <w:jc w:val="left"/>
                        <w:rPr>
                          <w:caps w:val="false"/>
                          <w:smallCaps w:val="false"/>
                          <w:color w:val="FE5000"/>
                        </w:rPr>
                      </w:pPr>
                      <w:r>
                        <w:rPr>
                          <w:caps w:val="false"/>
                          <w:smallCaps w:val="false"/>
                          <w:color w:val="FE5000"/>
                        </w:rPr>
                        <w:t> </w:t>
                      </w:r>
                    </w:p>
                    <w:p>
                      <w:pPr>
                        <w:pStyle w:val="TextBody"/>
                        <w:bidi w:val="0"/>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Credicorp has been working to increase the effectiveness of its compliance and ethics processes and improve the experience of our clients and the business areas. During 2024, we plan to take advantage of the cognitive AI technologies that Credicorp has already been using, among other innovations.</w:t>
                      </w:r>
                    </w:p>
                  </w:txbxContent>
                </v:textbox>
                <w10:wrap type="square" side="right"/>
              </v:rect>
            </w:pict>
          </mc:Fallback>
        </mc:AlternateContent>
      </w:r>
      <w:r>
        <mc:AlternateContent>
          <mc:Choice Requires="wps">
            <w:drawing>
              <wp:anchor behindDoc="0" distT="0" distB="0" distL="0" distR="0" simplePos="0" locked="0" layoutInCell="1" allowOverlap="1" relativeHeight="309">
                <wp:simplePos x="0" y="0"/>
                <wp:positionH relativeFrom="column">
                  <wp:align>right</wp:align>
                </wp:positionH>
                <wp:positionV relativeFrom="line">
                  <wp:posOffset>635</wp:posOffset>
                </wp:positionV>
                <wp:extent cx="3110230" cy="175260"/>
                <wp:effectExtent l="0" t="0" r="0" b="0"/>
                <wp:wrapSquare wrapText="left"/>
                <wp:docPr id="409" name="Frame125"/>
                <a:graphic xmlns:a="http://schemas.openxmlformats.org/drawingml/2006/main">
                  <a:graphicData uri="http://schemas.microsoft.com/office/word/2010/wordprocessingShape">
                    <wps:wsp>
                      <wps:cNvSpPr txBox="1"/>
                      <wps:spPr>
                        <a:xfrm>
                          <a:off x="0" y="0"/>
                          <a:ext cx="311023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3.8pt;mso-wrap-distance-left:0pt;mso-wrap-distance-right:0pt;mso-wrap-distance-top:0pt;mso-wrap-distance-bottom:0pt;margin-top:0pt;mso-position-vertical:top;mso-position-vertical-relative:text;margin-left:20.4pt;mso-position-horizontal:right;mso-position-horizontal-relative:text">
                <v:textbox>
                  <w:txbxContent>
                    <w:p>
                      <w:pPr>
                        <w:pStyle w:val="TextBody"/>
                        <w:bidi w:val="0"/>
                        <w:spacing w:before="0" w:after="283"/>
                        <w:jc w:val="left"/>
                        <w:rPr/>
                      </w:pPr>
                      <w:r>
                        <w:rPr/>
                      </w:r>
                    </w:p>
                  </w:txbxContent>
                </v:textbox>
                <w10:wrap type="square" side="left"/>
              </v:rect>
            </w:pict>
          </mc:Fallback>
        </mc:AlternateConten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61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rFonts w:ascii="Arial" w:hAnsi="Arial"/>
          <w:b/>
          <w:i w:val="false"/>
          <w:caps w:val="false"/>
          <w:smallCaps w:val="false"/>
          <w:color w:val="FE5000"/>
          <w:sz w:val="30"/>
        </w:rPr>
      </w:pPr>
      <w:r>
        <w:rPr>
          <w:rFonts w:ascii="Arial" w:hAnsi="Arial"/>
          <w:b/>
          <w:i w:val="false"/>
          <w:caps w:val="false"/>
          <w:smallCaps w:val="false"/>
          <w:color w:val="FE5000"/>
          <w:sz w:val="30"/>
        </w:rPr>
        <w:t>ANNEXES</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left"/>
        <w:rPr>
          <w:rFonts w:ascii="Arial" w:hAnsi="Arial"/>
          <w:b/>
          <w:i w:val="false"/>
          <w:caps w:val="false"/>
          <w:smallCaps w:val="false"/>
          <w:color w:val="FE5000"/>
          <w:sz w:val="30"/>
        </w:rPr>
      </w:pPr>
      <w:r>
        <w:rPr>
          <w:rFonts w:ascii="Arial" w:hAnsi="Arial"/>
          <w:b/>
          <w:i w:val="false"/>
          <w:caps w:val="false"/>
          <w:smallCaps w:val="false"/>
          <w:color w:val="FE5000"/>
          <w:sz w:val="30"/>
        </w:rPr>
        <w:t>1.5. OUR SUSTAINABILITY STRATEGY</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lineRule="auto" w:line="240"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1.5.1. A change agent63</w:t>
      </w:r>
    </w:p>
    <w:p>
      <w:pPr>
        <w:pStyle w:val="TextBody"/>
        <w:bidi w:val="0"/>
        <w:spacing w:before="60" w:after="6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i w:val="false"/>
          <w:caps w:val="false"/>
          <w:smallCaps w:val="false"/>
          <w:sz w:val="20"/>
        </w:rPr>
        <w:t xml:space="preserve">GRI </w:t>
      </w:r>
      <w:r>
        <w:rPr>
          <w:rFonts w:ascii="Arial" w:hAnsi="Arial"/>
          <w:b w:val="false"/>
          <w:i w:val="false"/>
          <w:caps w:val="false"/>
          <w:smallCaps w:val="false"/>
          <w:sz w:val="20"/>
        </w:rPr>
        <w:t>2-28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Membership associations*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In 2023, we were part of a set of local and international initiatives that allowed us to continue developing our commitment to the 2030 Agenda, our sustainability strategy, and our role as a change agent. In Peru, we participate in the network of the largest companies promoting sustainable development: Perú Sostenible. We are also part of other movements of business leaders and participatory spaces promoted by the government.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FE5000"/>
          <w:sz w:val="32"/>
        </w:rPr>
      </w:pPr>
      <w:r>
        <w:rPr>
          <w:rFonts w:ascii="Arial" w:hAnsi="Arial"/>
          <w:b/>
          <w:i w:val="false"/>
          <w:caps w:val="false"/>
          <w:smallCaps w:val="false"/>
          <w:color w:val="FE5000"/>
          <w:sz w:val="32"/>
        </w:rPr>
        <w:t>In sustainability, the more of us there are, the more value and positive impact we can create.</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720" w:right="0" w:hanging="0"/>
        <w:jc w:val="left"/>
        <w:rPr>
          <w:caps w:val="false"/>
          <w:smallCaps w:val="false"/>
          <w:color w:val="FE5000"/>
        </w:rPr>
      </w:pPr>
      <w:r>
        <w:rPr>
          <w:caps w:val="false"/>
          <w:smallCaps w:val="false"/>
          <w:color w:val="FE5000"/>
        </w:rPr>
        <w:drawing>
          <wp:inline distT="0" distB="0" distL="0" distR="0">
            <wp:extent cx="6667500" cy="2028825"/>
            <wp:effectExtent l="0" t="0" r="0" b="0"/>
            <wp:docPr id="410"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163" descr=""/>
                    <pic:cNvPicPr>
                      <a:picLocks noChangeAspect="1" noChangeArrowheads="1"/>
                    </pic:cNvPicPr>
                  </pic:nvPicPr>
                  <pic:blipFill>
                    <a:blip r:embed="rId286"/>
                    <a:stretch>
                      <a:fillRect/>
                    </a:stretch>
                  </pic:blipFill>
                  <pic:spPr bwMode="auto">
                    <a:xfrm>
                      <a:off x="0" y="0"/>
                      <a:ext cx="6667500" cy="2028825"/>
                    </a:xfrm>
                    <a:prstGeom prst="rect">
                      <a:avLst/>
                    </a:prstGeom>
                  </pic:spPr>
                </pic:pic>
              </a:graphicData>
            </a:graphic>
          </wp:inline>
        </w:drawing>
      </w:r>
      <w:r>
        <w:rPr>
          <w:caps w:val="false"/>
          <w:smallCaps w:val="false"/>
          <w:color w:val="FE5000"/>
        </w:rPr>
        <w:t> </w:t>
      </w:r>
    </w:p>
    <w:p>
      <w:pPr>
        <w:pStyle w:val="TextBody"/>
        <w:bidi w:val="0"/>
        <w:spacing w:before="0" w:after="0"/>
        <w:ind w:left="0" w:right="220" w:hanging="204"/>
        <w:jc w:val="left"/>
        <w:rPr>
          <w:caps w:val="false"/>
          <w:smallCaps w:val="false"/>
          <w:color w:val="FFFFFF"/>
        </w:rPr>
      </w:pPr>
      <w:r>
        <w:rPr>
          <w:caps w:val="false"/>
          <w:smallCaps w:val="false"/>
          <w:color w:val="FFFFFF"/>
        </w:rPr>
        <w:t> </w:t>
      </w:r>
    </w:p>
    <w:p>
      <w:pPr>
        <w:pStyle w:val="TextBody"/>
        <w:bidi w:val="0"/>
        <w:spacing w:before="60" w:after="6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lineRule="auto" w:line="240"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63 Further details of the affiliations and memberships of Credicorp’s subsidiaries are available in the respective Sustainability Reports.</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200" w:after="20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62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1.5.1. The Integrated Sustainability Strategy</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60"/>
        <w:ind w:left="0" w:right="0" w:hanging="0"/>
        <w:jc w:val="left"/>
        <w:rPr>
          <w:rFonts w:ascii="Arial" w:hAnsi="Arial"/>
          <w:b w:val="false"/>
          <w:i w:val="false"/>
          <w:caps w:val="false"/>
          <w:smallCaps w:val="false"/>
          <w:sz w:val="20"/>
        </w:rPr>
      </w:pPr>
      <w:r>
        <w:rPr>
          <w:rFonts w:ascii="Arial" w:hAnsi="Arial"/>
          <w:b/>
          <w:i w:val="false"/>
          <w:caps w:val="false"/>
          <w:smallCaps w:val="false"/>
          <w:sz w:val="20"/>
          <w:u w:val="single"/>
        </w:rPr>
        <w:t>Indicators dashboard (non-exhaustive)</w:t>
      </w:r>
      <w:r>
        <w:rPr>
          <w:rFonts w:ascii="Arial" w:hAnsi="Arial"/>
          <w:b w:val="false"/>
          <w:i w:val="false"/>
          <w:caps w:val="false"/>
          <w:smallCaps w:val="false"/>
          <w:sz w:val="20"/>
        </w:rPr>
        <w:t>  </w:t>
      </w:r>
    </w:p>
    <w:tbl>
      <w:tblPr>
        <w:tblW w:w="10205" w:type="dxa"/>
        <w:jc w:val="left"/>
        <w:tblInd w:w="-10" w:type="dxa"/>
        <w:tblLayout w:type="fixed"/>
        <w:tblCellMar>
          <w:top w:w="28" w:type="dxa"/>
          <w:left w:w="40" w:type="dxa"/>
          <w:bottom w:w="28" w:type="dxa"/>
          <w:right w:w="40" w:type="dxa"/>
        </w:tblCellMar>
      </w:tblPr>
      <w:tblGrid>
        <w:gridCol w:w="1731"/>
        <w:gridCol w:w="1351"/>
        <w:gridCol w:w="3936"/>
        <w:gridCol w:w="965"/>
        <w:gridCol w:w="740"/>
        <w:gridCol w:w="740"/>
        <w:gridCol w:w="742"/>
      </w:tblGrid>
      <w:tr>
        <w:trPr/>
        <w:tc>
          <w:tcPr>
            <w:tcW w:w="10205" w:type="dxa"/>
            <w:gridSpan w:val="7"/>
            <w:tcBorders>
              <w:top w:val="single" w:sz="8" w:space="0" w:color="000000"/>
              <w:left w:val="single" w:sz="8" w:space="0" w:color="000000"/>
              <w:bottom w:val="single" w:sz="8" w:space="0" w:color="000000"/>
              <w:right w:val="single" w:sz="8" w:space="0" w:color="000000"/>
            </w:tcBorders>
            <w:shd w:fill="BDD6EE" w:val="cle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i w:val="false"/>
                <w:caps w:val="false"/>
                <w:smallCaps w:val="false"/>
                <w:sz w:val="16"/>
              </w:rPr>
              <w:t>Pillar1 To create a more sustainable and inclusive economy</w:t>
            </w:r>
            <w:r>
              <w:rPr>
                <w:rFonts w:ascii="Arial" w:hAnsi="Arial"/>
                <w:b w:val="false"/>
                <w:i w:val="false"/>
                <w:caps w:val="false"/>
                <w:smallCaps w:val="false"/>
                <w:sz w:val="16"/>
              </w:rPr>
              <w:t> </w:t>
            </w:r>
          </w:p>
        </w:tc>
      </w:tr>
      <w:tr>
        <w:trPr/>
        <w:tc>
          <w:tcPr>
            <w:tcW w:w="1731" w:type="dxa"/>
            <w:tcBorders>
              <w:left w:val="single" w:sz="8" w:space="0" w:color="000000"/>
              <w:bottom w:val="single" w:sz="8" w:space="0" w:color="000000"/>
              <w:right w:val="single" w:sz="8" w:space="0" w:color="000000"/>
            </w:tcBorders>
            <w:shd w:fill="BDD6EE" w:val="clear"/>
            <w:tcMar>
              <w:top w:w="0" w:type="dxa"/>
            </w:tcM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Ambition</w:t>
            </w:r>
          </w:p>
        </w:tc>
        <w:tc>
          <w:tcPr>
            <w:tcW w:w="1351" w:type="dxa"/>
            <w:tcBorders>
              <w:bottom w:val="single" w:sz="8" w:space="0" w:color="000000"/>
              <w:right w:val="single" w:sz="8" w:space="0" w:color="000000"/>
            </w:tcBorders>
            <w:shd w:fill="BDD6EE" w:val="clear"/>
            <w:tcMar>
              <w:top w:w="0" w:type="dxa"/>
              <w:left w:w="0" w:type="dxa"/>
            </w:tcM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Subsidiary</w:t>
            </w:r>
          </w:p>
        </w:tc>
        <w:tc>
          <w:tcPr>
            <w:tcW w:w="3936" w:type="dxa"/>
            <w:tcBorders>
              <w:bottom w:val="single" w:sz="8" w:space="0" w:color="000000"/>
              <w:right w:val="single" w:sz="8" w:space="0" w:color="000000"/>
            </w:tcBorders>
            <w:shd w:fill="BDD6EE" w:val="clear"/>
            <w:tcMar>
              <w:top w:w="0" w:type="dxa"/>
              <w:left w:w="0" w:type="dxa"/>
            </w:tcMar>
            <w:vAlign w:val="center"/>
          </w:tcPr>
          <w:p>
            <w:pPr>
              <w:pStyle w:val="TableContents"/>
              <w:bidi w:val="0"/>
              <w:spacing w:before="0" w:after="283"/>
              <w:jc w:val="left"/>
              <w:rPr>
                <w:rFonts w:ascii="Arial" w:hAnsi="Arial"/>
                <w:b/>
                <w:i w:val="false"/>
                <w:caps w:val="false"/>
                <w:smallCaps w:val="false"/>
                <w:sz w:val="16"/>
              </w:rPr>
            </w:pPr>
            <w:r>
              <w:rPr>
                <w:rFonts w:ascii="Arial" w:hAnsi="Arial"/>
                <w:b/>
                <w:i w:val="false"/>
                <w:caps w:val="false"/>
                <w:smallCaps w:val="false"/>
                <w:sz w:val="16"/>
              </w:rPr>
              <w:t>Indicator</w:t>
            </w:r>
          </w:p>
        </w:tc>
        <w:tc>
          <w:tcPr>
            <w:tcW w:w="965" w:type="dxa"/>
            <w:tcBorders>
              <w:bottom w:val="single" w:sz="8" w:space="0" w:color="000000"/>
              <w:right w:val="single" w:sz="8" w:space="0" w:color="000000"/>
            </w:tcBorders>
            <w:shd w:fill="BDD6EE" w:val="clear"/>
            <w:tcMar>
              <w:top w:w="0" w:type="dxa"/>
              <w:left w:w="0" w:type="dxa"/>
            </w:tcM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Unit</w:t>
            </w:r>
          </w:p>
        </w:tc>
        <w:tc>
          <w:tcPr>
            <w:tcW w:w="740" w:type="dxa"/>
            <w:tcBorders>
              <w:bottom w:val="single" w:sz="8" w:space="0" w:color="000000"/>
              <w:right w:val="single" w:sz="8" w:space="0" w:color="000000"/>
            </w:tcBorders>
            <w:shd w:fill="BDD6EE" w:val="clear"/>
            <w:tcMar>
              <w:top w:w="0" w:type="dxa"/>
              <w:left w:w="0" w:type="dxa"/>
            </w:tcM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2022</w:t>
            </w:r>
          </w:p>
        </w:tc>
        <w:tc>
          <w:tcPr>
            <w:tcW w:w="740" w:type="dxa"/>
            <w:tcBorders>
              <w:bottom w:val="single" w:sz="8" w:space="0" w:color="000000"/>
              <w:right w:val="single" w:sz="8" w:space="0" w:color="000000"/>
            </w:tcBorders>
            <w:shd w:fill="BDD6EE" w:val="clear"/>
            <w:tcMar>
              <w:top w:w="0" w:type="dxa"/>
              <w:left w:w="0" w:type="dxa"/>
            </w:tcM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2023</w:t>
            </w:r>
          </w:p>
        </w:tc>
        <w:tc>
          <w:tcPr>
            <w:tcW w:w="742" w:type="dxa"/>
            <w:tcBorders>
              <w:bottom w:val="single" w:sz="8" w:space="0" w:color="000000"/>
              <w:right w:val="single" w:sz="8" w:space="0" w:color="000000"/>
            </w:tcBorders>
            <w:shd w:fill="BDD6EE" w:val="clear"/>
            <w:tcMar>
              <w:top w:w="0" w:type="dxa"/>
              <w:left w:w="0" w:type="dxa"/>
            </w:tcM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Variation</w:t>
            </w:r>
          </w:p>
        </w:tc>
      </w:tr>
      <w:tr>
        <w:trPr/>
        <w:tc>
          <w:tcPr>
            <w:tcW w:w="1731" w:type="dxa"/>
            <w:vMerge w:val="restart"/>
            <w:tcBorders>
              <w:left w:val="single" w:sz="8" w:space="0" w:color="000000"/>
              <w:bottom w:val="single" w:sz="8" w:space="0" w:color="000000"/>
              <w:right w:val="single" w:sz="8" w:space="0" w:color="000000"/>
            </w:tcBorders>
            <w:shd w:fill="BDD6EE" w:val="clear"/>
            <w:tcMar>
              <w:top w:w="0" w:type="dxa"/>
            </w:tcM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Financial inclusion</w:t>
            </w:r>
          </w:p>
        </w:tc>
        <w:tc>
          <w:tcPr>
            <w:tcW w:w="1351" w:type="dxa"/>
            <w:vMerge w:val="restart"/>
            <w:tcBorders>
              <w:bottom w:val="single" w:sz="8" w:space="0" w:color="000000"/>
              <w:right w:val="single" w:sz="8" w:space="0" w:color="000000"/>
            </w:tcBorders>
            <w:shd w:fill="BDD6EE" w:val="clear"/>
            <w:tcMar>
              <w:top w:w="0" w:type="dxa"/>
              <w:left w:w="0" w:type="dxa"/>
            </w:tcM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BCP</w:t>
            </w:r>
          </w:p>
        </w:tc>
        <w:tc>
          <w:tcPr>
            <w:tcW w:w="3936"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Total Yape users (cumulative since 2020)</w:t>
            </w:r>
          </w:p>
        </w:tc>
        <w:tc>
          <w:tcPr>
            <w:tcW w:w="965"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 millions</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11.9</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14.2</w:t>
            </w:r>
          </w:p>
        </w:tc>
        <w:tc>
          <w:tcPr>
            <w:tcW w:w="74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rFonts w:ascii="Arial" w:hAnsi="Arial"/>
                <w:b/>
                <w:i w:val="false"/>
                <w:caps w:val="false"/>
                <w:smallCaps w:val="false"/>
                <w:color w:val="34A853"/>
                <w:sz w:val="16"/>
              </w:rPr>
            </w:pPr>
            <w:r>
              <w:rPr>
                <w:rFonts w:ascii="Arial" w:hAnsi="Arial"/>
                <w:b/>
                <w:i w:val="false"/>
                <w:caps w:val="false"/>
                <w:smallCaps w:val="false"/>
                <w:color w:val="34A853"/>
                <w:sz w:val="16"/>
              </w:rPr>
              <w:t>19%</w:t>
            </w:r>
          </w:p>
        </w:tc>
      </w:tr>
      <w:tr>
        <w:trPr/>
        <w:tc>
          <w:tcPr>
            <w:tcW w:w="1731" w:type="dxa"/>
            <w:vMerge w:val="continue"/>
            <w:tcBorders>
              <w:left w:val="single" w:sz="8" w:space="0" w:color="000000"/>
              <w:bottom w:val="single" w:sz="8" w:space="0" w:color="000000"/>
              <w:right w:val="single" w:sz="8" w:space="0" w:color="000000"/>
            </w:tcBorders>
            <w:shd w:fill="BDD6EE" w:val="clear"/>
            <w:tcMar>
              <w:top w:w="0" w:type="dxa"/>
            </w:tcMar>
            <w:vAlign w:val="center"/>
          </w:tcPr>
          <w:p>
            <w:pPr>
              <w:pStyle w:val="Normal"/>
              <w:bidi w:val="0"/>
              <w:jc w:val="left"/>
              <w:rPr/>
            </w:pPr>
            <w:r>
              <w:rPr/>
            </w:r>
          </w:p>
        </w:tc>
        <w:tc>
          <w:tcPr>
            <w:tcW w:w="1351" w:type="dxa"/>
            <w:vMerge w:val="continue"/>
            <w:tcBorders>
              <w:bottom w:val="single" w:sz="8" w:space="0" w:color="000000"/>
              <w:right w:val="single" w:sz="8" w:space="0" w:color="000000"/>
            </w:tcBorders>
            <w:shd w:fill="BDD6EE" w:val="clear"/>
            <w:tcMar>
              <w:top w:w="0" w:type="dxa"/>
              <w:left w:w="0" w:type="dxa"/>
            </w:tcMar>
            <w:vAlign w:val="center"/>
          </w:tcPr>
          <w:p>
            <w:pPr>
              <w:pStyle w:val="Normal"/>
              <w:bidi w:val="0"/>
              <w:jc w:val="left"/>
              <w:rPr/>
            </w:pPr>
            <w:r>
              <w:rPr/>
            </w:r>
          </w:p>
        </w:tc>
        <w:tc>
          <w:tcPr>
            <w:tcW w:w="3936"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People financially included through Yape and BCP savings accounts (cumulative since 2020) </w:t>
            </w:r>
          </w:p>
        </w:tc>
        <w:tc>
          <w:tcPr>
            <w:tcW w:w="965"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 thousands </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2,456 </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4,142 </w:t>
            </w:r>
          </w:p>
        </w:tc>
        <w:tc>
          <w:tcPr>
            <w:tcW w:w="74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i w:val="false"/>
                <w:caps w:val="false"/>
                <w:smallCaps w:val="false"/>
                <w:color w:val="34A853"/>
                <w:sz w:val="16"/>
              </w:rPr>
              <w:t>69%</w:t>
            </w:r>
            <w:r>
              <w:rPr>
                <w:rFonts w:ascii="Arial" w:hAnsi="Arial"/>
                <w:b w:val="false"/>
                <w:i w:val="false"/>
                <w:caps w:val="false"/>
                <w:smallCaps w:val="false"/>
                <w:sz w:val="16"/>
              </w:rPr>
              <w:t> </w:t>
            </w:r>
          </w:p>
        </w:tc>
      </w:tr>
      <w:tr>
        <w:trPr/>
        <w:tc>
          <w:tcPr>
            <w:tcW w:w="1731" w:type="dxa"/>
            <w:vMerge w:val="continue"/>
            <w:tcBorders>
              <w:left w:val="single" w:sz="8" w:space="0" w:color="000000"/>
              <w:bottom w:val="single" w:sz="8" w:space="0" w:color="000000"/>
              <w:right w:val="single" w:sz="8" w:space="0" w:color="000000"/>
            </w:tcBorders>
            <w:shd w:fill="BDD6EE" w:val="clear"/>
            <w:tcMar>
              <w:top w:w="0" w:type="dxa"/>
            </w:tcMar>
            <w:vAlign w:val="center"/>
          </w:tcPr>
          <w:p>
            <w:pPr>
              <w:pStyle w:val="Normal"/>
              <w:bidi w:val="0"/>
              <w:jc w:val="left"/>
              <w:rPr/>
            </w:pPr>
            <w:r>
              <w:rPr/>
            </w:r>
          </w:p>
        </w:tc>
        <w:tc>
          <w:tcPr>
            <w:tcW w:w="1351" w:type="dxa"/>
            <w:vMerge w:val="continue"/>
            <w:tcBorders>
              <w:bottom w:val="single" w:sz="8" w:space="0" w:color="000000"/>
              <w:right w:val="single" w:sz="8" w:space="0" w:color="000000"/>
            </w:tcBorders>
            <w:shd w:fill="BDD6EE" w:val="clear"/>
            <w:tcMar>
              <w:top w:w="0" w:type="dxa"/>
              <w:left w:w="0" w:type="dxa"/>
            </w:tcMar>
            <w:vAlign w:val="center"/>
          </w:tcPr>
          <w:p>
            <w:pPr>
              <w:pStyle w:val="Normal"/>
              <w:bidi w:val="0"/>
              <w:jc w:val="left"/>
              <w:rPr/>
            </w:pPr>
            <w:r>
              <w:rPr/>
            </w:r>
          </w:p>
        </w:tc>
        <w:tc>
          <w:tcPr>
            <w:tcW w:w="3936"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People financially included through BCP savings accounts (cumulative since 2020)</w:t>
            </w:r>
          </w:p>
        </w:tc>
        <w:tc>
          <w:tcPr>
            <w:tcW w:w="965"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 thousands</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1,522</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2,405</w:t>
            </w:r>
          </w:p>
        </w:tc>
        <w:tc>
          <w:tcPr>
            <w:tcW w:w="74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rFonts w:ascii="Arial" w:hAnsi="Arial"/>
                <w:b/>
                <w:i w:val="false"/>
                <w:caps w:val="false"/>
                <w:smallCaps w:val="false"/>
                <w:color w:val="34A853"/>
                <w:sz w:val="16"/>
              </w:rPr>
            </w:pPr>
            <w:r>
              <w:rPr>
                <w:rFonts w:ascii="Arial" w:hAnsi="Arial"/>
                <w:b/>
                <w:i w:val="false"/>
                <w:caps w:val="false"/>
                <w:smallCaps w:val="false"/>
                <w:color w:val="34A853"/>
                <w:sz w:val="16"/>
              </w:rPr>
              <w:t>58%</w:t>
            </w:r>
          </w:p>
        </w:tc>
      </w:tr>
      <w:tr>
        <w:trPr/>
        <w:tc>
          <w:tcPr>
            <w:tcW w:w="1731" w:type="dxa"/>
            <w:vMerge w:val="continue"/>
            <w:tcBorders>
              <w:left w:val="single" w:sz="8" w:space="0" w:color="000000"/>
              <w:bottom w:val="single" w:sz="8" w:space="0" w:color="000000"/>
              <w:right w:val="single" w:sz="8" w:space="0" w:color="000000"/>
            </w:tcBorders>
            <w:shd w:fill="BDD6EE" w:val="clear"/>
            <w:tcMar>
              <w:top w:w="0" w:type="dxa"/>
            </w:tcMar>
            <w:vAlign w:val="center"/>
          </w:tcPr>
          <w:p>
            <w:pPr>
              <w:pStyle w:val="Normal"/>
              <w:bidi w:val="0"/>
              <w:jc w:val="left"/>
              <w:rPr/>
            </w:pPr>
            <w:r>
              <w:rPr/>
            </w:r>
          </w:p>
        </w:tc>
        <w:tc>
          <w:tcPr>
            <w:tcW w:w="1351" w:type="dxa"/>
            <w:vMerge w:val="continue"/>
            <w:tcBorders>
              <w:bottom w:val="single" w:sz="8" w:space="0" w:color="000000"/>
              <w:right w:val="single" w:sz="8" w:space="0" w:color="000000"/>
            </w:tcBorders>
            <w:shd w:fill="BDD6EE" w:val="clear"/>
            <w:tcMar>
              <w:top w:w="0" w:type="dxa"/>
              <w:left w:w="0" w:type="dxa"/>
            </w:tcMar>
            <w:vAlign w:val="center"/>
          </w:tcPr>
          <w:p>
            <w:pPr>
              <w:pStyle w:val="Normal"/>
              <w:bidi w:val="0"/>
              <w:jc w:val="left"/>
              <w:rPr/>
            </w:pPr>
            <w:r>
              <w:rPr/>
            </w:r>
          </w:p>
        </w:tc>
        <w:tc>
          <w:tcPr>
            <w:tcW w:w="3936"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People financially included through Yape (cumulative since 2020)</w:t>
            </w:r>
          </w:p>
        </w:tc>
        <w:tc>
          <w:tcPr>
            <w:tcW w:w="965"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 thousands</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934</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1,737</w:t>
            </w:r>
          </w:p>
        </w:tc>
        <w:tc>
          <w:tcPr>
            <w:tcW w:w="74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rFonts w:ascii="Arial" w:hAnsi="Arial"/>
                <w:b/>
                <w:i w:val="false"/>
                <w:caps w:val="false"/>
                <w:smallCaps w:val="false"/>
                <w:color w:val="34A853"/>
                <w:sz w:val="16"/>
              </w:rPr>
            </w:pPr>
            <w:r>
              <w:rPr>
                <w:rFonts w:ascii="Arial" w:hAnsi="Arial"/>
                <w:b/>
                <w:i w:val="false"/>
                <w:caps w:val="false"/>
                <w:smallCaps w:val="false"/>
                <w:color w:val="34A853"/>
                <w:sz w:val="16"/>
              </w:rPr>
              <w:t>86%</w:t>
            </w:r>
          </w:p>
        </w:tc>
      </w:tr>
      <w:tr>
        <w:trPr/>
        <w:tc>
          <w:tcPr>
            <w:tcW w:w="1731" w:type="dxa"/>
            <w:vMerge w:val="continue"/>
            <w:tcBorders>
              <w:left w:val="single" w:sz="8" w:space="0" w:color="000000"/>
              <w:bottom w:val="single" w:sz="8" w:space="0" w:color="000000"/>
              <w:right w:val="single" w:sz="8" w:space="0" w:color="000000"/>
            </w:tcBorders>
            <w:shd w:fill="BDD6EE" w:val="clear"/>
            <w:tcMar>
              <w:top w:w="0" w:type="dxa"/>
            </w:tcMar>
            <w:vAlign w:val="center"/>
          </w:tcPr>
          <w:p>
            <w:pPr>
              <w:pStyle w:val="Normal"/>
              <w:bidi w:val="0"/>
              <w:jc w:val="left"/>
              <w:rPr/>
            </w:pPr>
            <w:r>
              <w:rPr/>
            </w:r>
          </w:p>
        </w:tc>
        <w:tc>
          <w:tcPr>
            <w:tcW w:w="1351" w:type="dxa"/>
            <w:vMerge w:val="continue"/>
            <w:tcBorders>
              <w:bottom w:val="single" w:sz="8" w:space="0" w:color="000000"/>
              <w:right w:val="single" w:sz="8" w:space="0" w:color="000000"/>
            </w:tcBorders>
            <w:shd w:fill="BDD6EE" w:val="clear"/>
            <w:tcMar>
              <w:top w:w="0" w:type="dxa"/>
              <w:left w:w="0" w:type="dxa"/>
            </w:tcMar>
            <w:vAlign w:val="center"/>
          </w:tcPr>
          <w:p>
            <w:pPr>
              <w:pStyle w:val="Normal"/>
              <w:bidi w:val="0"/>
              <w:jc w:val="left"/>
              <w:rPr/>
            </w:pPr>
            <w:r>
              <w:rPr/>
            </w:r>
          </w:p>
        </w:tc>
        <w:tc>
          <w:tcPr>
            <w:tcW w:w="3936"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Women financially included through Yape</w:t>
            </w:r>
          </w:p>
        </w:tc>
        <w:tc>
          <w:tcPr>
            <w:tcW w:w="965"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49.4%</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49.5%</w:t>
            </w:r>
          </w:p>
        </w:tc>
        <w:tc>
          <w:tcPr>
            <w:tcW w:w="74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rFonts w:ascii="Arial" w:hAnsi="Arial"/>
                <w:b/>
                <w:i w:val="false"/>
                <w:caps w:val="false"/>
                <w:smallCaps w:val="false"/>
                <w:color w:val="34A853"/>
                <w:sz w:val="16"/>
              </w:rPr>
            </w:pPr>
            <w:r>
              <w:rPr>
                <w:rFonts w:ascii="Arial" w:hAnsi="Arial"/>
                <w:b/>
                <w:i w:val="false"/>
                <w:caps w:val="false"/>
                <w:smallCaps w:val="false"/>
                <w:color w:val="34A853"/>
                <w:sz w:val="16"/>
              </w:rPr>
              <w:t>0.1 pp</w:t>
            </w:r>
          </w:p>
        </w:tc>
      </w:tr>
      <w:tr>
        <w:trPr/>
        <w:tc>
          <w:tcPr>
            <w:tcW w:w="1731" w:type="dxa"/>
            <w:vMerge w:val="continue"/>
            <w:tcBorders>
              <w:left w:val="single" w:sz="8" w:space="0" w:color="000000"/>
              <w:bottom w:val="single" w:sz="8" w:space="0" w:color="000000"/>
              <w:right w:val="single" w:sz="8" w:space="0" w:color="000000"/>
            </w:tcBorders>
            <w:shd w:fill="BDD6EE" w:val="clear"/>
            <w:tcMar>
              <w:top w:w="0" w:type="dxa"/>
            </w:tcMar>
            <w:vAlign w:val="center"/>
          </w:tcPr>
          <w:p>
            <w:pPr>
              <w:pStyle w:val="Normal"/>
              <w:bidi w:val="0"/>
              <w:jc w:val="left"/>
              <w:rPr/>
            </w:pPr>
            <w:r>
              <w:rPr/>
            </w:r>
          </w:p>
        </w:tc>
        <w:tc>
          <w:tcPr>
            <w:tcW w:w="1351" w:type="dxa"/>
            <w:vMerge w:val="continue"/>
            <w:tcBorders>
              <w:bottom w:val="single" w:sz="8" w:space="0" w:color="000000"/>
              <w:right w:val="single" w:sz="8" w:space="0" w:color="000000"/>
            </w:tcBorders>
            <w:shd w:fill="BDD6EE" w:val="clear"/>
            <w:tcMar>
              <w:top w:w="0" w:type="dxa"/>
              <w:left w:w="0" w:type="dxa"/>
            </w:tcMar>
            <w:vAlign w:val="center"/>
          </w:tcPr>
          <w:p>
            <w:pPr>
              <w:pStyle w:val="Normal"/>
              <w:bidi w:val="0"/>
              <w:jc w:val="left"/>
              <w:rPr/>
            </w:pPr>
            <w:r>
              <w:rPr/>
            </w:r>
          </w:p>
        </w:tc>
        <w:tc>
          <w:tcPr>
            <w:tcW w:w="3936"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Transactions through Yape (monthly average)</w:t>
            </w:r>
          </w:p>
        </w:tc>
        <w:tc>
          <w:tcPr>
            <w:tcW w:w="965"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 millions</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162</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243</w:t>
            </w:r>
          </w:p>
        </w:tc>
        <w:tc>
          <w:tcPr>
            <w:tcW w:w="74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rFonts w:ascii="Arial" w:hAnsi="Arial"/>
                <w:b/>
                <w:i w:val="false"/>
                <w:caps w:val="false"/>
                <w:smallCaps w:val="false"/>
                <w:color w:val="34A853"/>
                <w:sz w:val="16"/>
              </w:rPr>
            </w:pPr>
            <w:r>
              <w:rPr>
                <w:rFonts w:ascii="Arial" w:hAnsi="Arial"/>
                <w:b/>
                <w:i w:val="false"/>
                <w:caps w:val="false"/>
                <w:smallCaps w:val="false"/>
                <w:color w:val="34A853"/>
                <w:sz w:val="16"/>
              </w:rPr>
              <w:t>50%</w:t>
            </w:r>
          </w:p>
        </w:tc>
      </w:tr>
      <w:tr>
        <w:trPr/>
        <w:tc>
          <w:tcPr>
            <w:tcW w:w="1731" w:type="dxa"/>
            <w:vMerge w:val="continue"/>
            <w:tcBorders>
              <w:left w:val="single" w:sz="8" w:space="0" w:color="000000"/>
              <w:bottom w:val="single" w:sz="8" w:space="0" w:color="000000"/>
              <w:right w:val="single" w:sz="8" w:space="0" w:color="000000"/>
            </w:tcBorders>
            <w:shd w:fill="BDD6EE" w:val="clear"/>
            <w:tcMar>
              <w:top w:w="0" w:type="dxa"/>
            </w:tcMar>
            <w:vAlign w:val="center"/>
          </w:tcPr>
          <w:p>
            <w:pPr>
              <w:pStyle w:val="Normal"/>
              <w:bidi w:val="0"/>
              <w:jc w:val="left"/>
              <w:rPr/>
            </w:pPr>
            <w:r>
              <w:rPr/>
            </w:r>
          </w:p>
        </w:tc>
        <w:tc>
          <w:tcPr>
            <w:tcW w:w="1351" w:type="dxa"/>
            <w:vMerge w:val="continue"/>
            <w:tcBorders>
              <w:bottom w:val="single" w:sz="8" w:space="0" w:color="000000"/>
              <w:right w:val="single" w:sz="8" w:space="0" w:color="000000"/>
            </w:tcBorders>
            <w:shd w:fill="BDD6EE" w:val="clear"/>
            <w:tcMar>
              <w:top w:w="0" w:type="dxa"/>
              <w:left w:w="0" w:type="dxa"/>
            </w:tcMar>
            <w:vAlign w:val="center"/>
          </w:tcPr>
          <w:p>
            <w:pPr>
              <w:pStyle w:val="Normal"/>
              <w:bidi w:val="0"/>
              <w:jc w:val="left"/>
              <w:rPr/>
            </w:pPr>
            <w:r>
              <w:rPr/>
            </w:r>
          </w:p>
        </w:tc>
        <w:tc>
          <w:tcPr>
            <w:tcW w:w="3936"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People financially included through Yape micro-credits</w:t>
            </w:r>
          </w:p>
        </w:tc>
        <w:tc>
          <w:tcPr>
            <w:tcW w:w="965"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 thousands</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25</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129</w:t>
            </w:r>
          </w:p>
        </w:tc>
        <w:tc>
          <w:tcPr>
            <w:tcW w:w="74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rFonts w:ascii="Arial" w:hAnsi="Arial"/>
                <w:b/>
                <w:i w:val="false"/>
                <w:caps w:val="false"/>
                <w:smallCaps w:val="false"/>
                <w:color w:val="34A853"/>
                <w:sz w:val="16"/>
              </w:rPr>
            </w:pPr>
            <w:r>
              <w:rPr>
                <w:rFonts w:ascii="Arial" w:hAnsi="Arial"/>
                <w:b/>
                <w:i w:val="false"/>
                <w:caps w:val="false"/>
                <w:smallCaps w:val="false"/>
                <w:color w:val="34A853"/>
                <w:sz w:val="16"/>
              </w:rPr>
              <w:t>416%</w:t>
            </w:r>
          </w:p>
        </w:tc>
      </w:tr>
      <w:tr>
        <w:trPr/>
        <w:tc>
          <w:tcPr>
            <w:tcW w:w="1731" w:type="dxa"/>
            <w:vMerge w:val="continue"/>
            <w:tcBorders>
              <w:left w:val="single" w:sz="8" w:space="0" w:color="000000"/>
              <w:bottom w:val="single" w:sz="8" w:space="0" w:color="000000"/>
              <w:right w:val="single" w:sz="8" w:space="0" w:color="000000"/>
            </w:tcBorders>
            <w:shd w:fill="BDD6EE" w:val="clear"/>
            <w:tcMar>
              <w:top w:w="0" w:type="dxa"/>
            </w:tcMar>
            <w:vAlign w:val="center"/>
          </w:tcPr>
          <w:p>
            <w:pPr>
              <w:pStyle w:val="Normal"/>
              <w:bidi w:val="0"/>
              <w:jc w:val="left"/>
              <w:rPr/>
            </w:pPr>
            <w:r>
              <w:rPr/>
            </w:r>
          </w:p>
        </w:tc>
        <w:tc>
          <w:tcPr>
            <w:tcW w:w="1351" w:type="dxa"/>
            <w:vMerge w:val="continue"/>
            <w:tcBorders>
              <w:bottom w:val="single" w:sz="8" w:space="0" w:color="000000"/>
              <w:right w:val="single" w:sz="8" w:space="0" w:color="000000"/>
            </w:tcBorders>
            <w:shd w:fill="BDD6EE" w:val="clear"/>
            <w:tcMar>
              <w:top w:w="0" w:type="dxa"/>
              <w:left w:w="0" w:type="dxa"/>
            </w:tcMar>
            <w:vAlign w:val="center"/>
          </w:tcPr>
          <w:p>
            <w:pPr>
              <w:pStyle w:val="Normal"/>
              <w:bidi w:val="0"/>
              <w:jc w:val="left"/>
              <w:rPr/>
            </w:pPr>
            <w:r>
              <w:rPr/>
            </w:r>
          </w:p>
        </w:tc>
        <w:tc>
          <w:tcPr>
            <w:tcW w:w="3936" w:type="dxa"/>
            <w:vMerge w:val="restart"/>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Micro-credits disbursed through Yape </w:t>
            </w:r>
          </w:p>
        </w:tc>
        <w:tc>
          <w:tcPr>
            <w:tcW w:w="965"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 thousands</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130</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941.4</w:t>
            </w:r>
          </w:p>
        </w:tc>
        <w:tc>
          <w:tcPr>
            <w:tcW w:w="74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rFonts w:ascii="Arial" w:hAnsi="Arial"/>
                <w:b/>
                <w:i w:val="false"/>
                <w:caps w:val="false"/>
                <w:smallCaps w:val="false"/>
                <w:color w:val="34A853"/>
                <w:sz w:val="16"/>
              </w:rPr>
            </w:pPr>
            <w:r>
              <w:rPr>
                <w:rFonts w:ascii="Arial" w:hAnsi="Arial"/>
                <w:b/>
                <w:i w:val="false"/>
                <w:caps w:val="false"/>
                <w:smallCaps w:val="false"/>
                <w:color w:val="34A853"/>
                <w:sz w:val="16"/>
              </w:rPr>
              <w:t>624%</w:t>
            </w:r>
          </w:p>
        </w:tc>
      </w:tr>
      <w:tr>
        <w:trPr/>
        <w:tc>
          <w:tcPr>
            <w:tcW w:w="1731" w:type="dxa"/>
            <w:vMerge w:val="continue"/>
            <w:tcBorders>
              <w:left w:val="single" w:sz="8" w:space="0" w:color="000000"/>
              <w:bottom w:val="single" w:sz="8" w:space="0" w:color="000000"/>
              <w:right w:val="single" w:sz="8" w:space="0" w:color="000000"/>
            </w:tcBorders>
            <w:shd w:fill="BDD6EE" w:val="clear"/>
            <w:tcMar>
              <w:top w:w="0" w:type="dxa"/>
            </w:tcMar>
            <w:vAlign w:val="center"/>
          </w:tcPr>
          <w:p>
            <w:pPr>
              <w:pStyle w:val="Normal"/>
              <w:bidi w:val="0"/>
              <w:jc w:val="left"/>
              <w:rPr/>
            </w:pPr>
            <w:r>
              <w:rPr/>
            </w:r>
          </w:p>
        </w:tc>
        <w:tc>
          <w:tcPr>
            <w:tcW w:w="1351" w:type="dxa"/>
            <w:vMerge w:val="continue"/>
            <w:tcBorders>
              <w:bottom w:val="single" w:sz="8" w:space="0" w:color="000000"/>
              <w:right w:val="single" w:sz="8" w:space="0" w:color="000000"/>
            </w:tcBorders>
            <w:shd w:fill="BDD6EE" w:val="clear"/>
            <w:tcMar>
              <w:top w:w="0" w:type="dxa"/>
              <w:left w:w="0" w:type="dxa"/>
            </w:tcMar>
            <w:vAlign w:val="center"/>
          </w:tcPr>
          <w:p>
            <w:pPr>
              <w:pStyle w:val="Normal"/>
              <w:bidi w:val="0"/>
              <w:jc w:val="left"/>
              <w:rPr/>
            </w:pPr>
            <w:r>
              <w:rPr/>
            </w:r>
          </w:p>
        </w:tc>
        <w:tc>
          <w:tcPr>
            <w:tcW w:w="3936" w:type="dxa"/>
            <w:vMerge w:val="continue"/>
            <w:tcBorders>
              <w:bottom w:val="single" w:sz="8" w:space="0" w:color="000000"/>
              <w:right w:val="single" w:sz="8" w:space="0" w:color="000000"/>
            </w:tcBorders>
            <w:shd w:fill="DFEAF2" w:val="clear"/>
            <w:tcMar>
              <w:top w:w="0" w:type="dxa"/>
              <w:left w:w="0" w:type="dxa"/>
            </w:tcMar>
            <w:vAlign w:val="center"/>
          </w:tcPr>
          <w:p>
            <w:pPr>
              <w:pStyle w:val="Normal"/>
              <w:bidi w:val="0"/>
              <w:jc w:val="left"/>
              <w:rPr/>
            </w:pPr>
            <w:r>
              <w:rPr/>
            </w:r>
          </w:p>
        </w:tc>
        <w:tc>
          <w:tcPr>
            <w:tcW w:w="965"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S/ millions</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25</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216.8</w:t>
            </w:r>
          </w:p>
        </w:tc>
        <w:tc>
          <w:tcPr>
            <w:tcW w:w="74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rFonts w:ascii="Arial" w:hAnsi="Arial"/>
                <w:b/>
                <w:i w:val="false"/>
                <w:caps w:val="false"/>
                <w:smallCaps w:val="false"/>
                <w:color w:val="34A853"/>
                <w:sz w:val="16"/>
              </w:rPr>
            </w:pPr>
            <w:r>
              <w:rPr>
                <w:rFonts w:ascii="Arial" w:hAnsi="Arial"/>
                <w:b/>
                <w:i w:val="false"/>
                <w:caps w:val="false"/>
                <w:smallCaps w:val="false"/>
                <w:color w:val="34A853"/>
                <w:sz w:val="16"/>
              </w:rPr>
              <w:t>767%</w:t>
            </w:r>
          </w:p>
        </w:tc>
      </w:tr>
      <w:tr>
        <w:trPr/>
        <w:tc>
          <w:tcPr>
            <w:tcW w:w="1731" w:type="dxa"/>
            <w:vMerge w:val="continue"/>
            <w:tcBorders>
              <w:left w:val="single" w:sz="8" w:space="0" w:color="000000"/>
              <w:bottom w:val="single" w:sz="8" w:space="0" w:color="000000"/>
              <w:right w:val="single" w:sz="8" w:space="0" w:color="000000"/>
            </w:tcBorders>
            <w:shd w:fill="BDD6EE" w:val="clear"/>
            <w:tcMar>
              <w:top w:w="0" w:type="dxa"/>
            </w:tcMar>
            <w:vAlign w:val="center"/>
          </w:tcPr>
          <w:p>
            <w:pPr>
              <w:pStyle w:val="Normal"/>
              <w:bidi w:val="0"/>
              <w:jc w:val="left"/>
              <w:rPr/>
            </w:pPr>
            <w:r>
              <w:rPr/>
            </w:r>
          </w:p>
        </w:tc>
        <w:tc>
          <w:tcPr>
            <w:tcW w:w="1351" w:type="dxa"/>
            <w:vMerge w:val="restart"/>
            <w:tcBorders>
              <w:bottom w:val="single" w:sz="8" w:space="0" w:color="000000"/>
              <w:right w:val="single" w:sz="8" w:space="0" w:color="000000"/>
            </w:tcBorders>
            <w:shd w:fill="BDD6EE" w:val="clear"/>
            <w:tcMar>
              <w:top w:w="0" w:type="dxa"/>
              <w:left w:w="0" w:type="dxa"/>
            </w:tcM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BCP BOLIVIA</w:t>
            </w:r>
          </w:p>
        </w:tc>
        <w:tc>
          <w:tcPr>
            <w:tcW w:w="3936"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Soli virtual wallet users (now Yape), people and businesses </w:t>
            </w:r>
          </w:p>
        </w:tc>
        <w:tc>
          <w:tcPr>
            <w:tcW w:w="965"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 thousands </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442 </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1,275 </w:t>
            </w:r>
          </w:p>
        </w:tc>
        <w:tc>
          <w:tcPr>
            <w:tcW w:w="74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i w:val="false"/>
                <w:caps w:val="false"/>
                <w:smallCaps w:val="false"/>
                <w:color w:val="34A853"/>
                <w:sz w:val="16"/>
              </w:rPr>
              <w:t>188%</w:t>
            </w:r>
            <w:r>
              <w:rPr>
                <w:rFonts w:ascii="Arial" w:hAnsi="Arial"/>
                <w:b w:val="false"/>
                <w:i w:val="false"/>
                <w:caps w:val="false"/>
                <w:smallCaps w:val="false"/>
                <w:sz w:val="16"/>
              </w:rPr>
              <w:t> </w:t>
            </w:r>
          </w:p>
        </w:tc>
      </w:tr>
      <w:tr>
        <w:trPr/>
        <w:tc>
          <w:tcPr>
            <w:tcW w:w="1731" w:type="dxa"/>
            <w:vMerge w:val="continue"/>
            <w:tcBorders>
              <w:left w:val="single" w:sz="8" w:space="0" w:color="000000"/>
              <w:bottom w:val="single" w:sz="8" w:space="0" w:color="000000"/>
              <w:right w:val="single" w:sz="8" w:space="0" w:color="000000"/>
            </w:tcBorders>
            <w:shd w:fill="BDD6EE" w:val="clear"/>
            <w:tcMar>
              <w:top w:w="0" w:type="dxa"/>
            </w:tcMar>
            <w:vAlign w:val="center"/>
          </w:tcPr>
          <w:p>
            <w:pPr>
              <w:pStyle w:val="Normal"/>
              <w:bidi w:val="0"/>
              <w:jc w:val="left"/>
              <w:rPr/>
            </w:pPr>
            <w:r>
              <w:rPr/>
            </w:r>
          </w:p>
        </w:tc>
        <w:tc>
          <w:tcPr>
            <w:tcW w:w="1351" w:type="dxa"/>
            <w:vMerge w:val="continue"/>
            <w:tcBorders>
              <w:bottom w:val="single" w:sz="8" w:space="0" w:color="000000"/>
              <w:right w:val="single" w:sz="8" w:space="0" w:color="000000"/>
            </w:tcBorders>
            <w:shd w:fill="BDD6EE" w:val="clear"/>
            <w:tcMar>
              <w:top w:w="0" w:type="dxa"/>
              <w:left w:w="0" w:type="dxa"/>
            </w:tcMar>
            <w:vAlign w:val="center"/>
          </w:tcPr>
          <w:p>
            <w:pPr>
              <w:pStyle w:val="Normal"/>
              <w:bidi w:val="0"/>
              <w:jc w:val="left"/>
              <w:rPr/>
            </w:pPr>
            <w:r>
              <w:rPr/>
            </w:r>
          </w:p>
        </w:tc>
        <w:tc>
          <w:tcPr>
            <w:tcW w:w="3936"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Usability of the Soli virtual wallet (now YAPE)</w:t>
            </w:r>
          </w:p>
        </w:tc>
        <w:tc>
          <w:tcPr>
            <w:tcW w:w="965"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28</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34</w:t>
            </w:r>
          </w:p>
        </w:tc>
        <w:tc>
          <w:tcPr>
            <w:tcW w:w="74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rFonts w:ascii="Arial" w:hAnsi="Arial"/>
                <w:b/>
                <w:i w:val="false"/>
                <w:caps w:val="false"/>
                <w:smallCaps w:val="false"/>
                <w:color w:val="34A853"/>
                <w:sz w:val="16"/>
              </w:rPr>
            </w:pPr>
            <w:r>
              <w:rPr>
                <w:rFonts w:ascii="Arial" w:hAnsi="Arial"/>
                <w:b/>
                <w:i w:val="false"/>
                <w:caps w:val="false"/>
                <w:smallCaps w:val="false"/>
                <w:color w:val="34A853"/>
                <w:sz w:val="16"/>
              </w:rPr>
              <w:t>6 pp</w:t>
            </w:r>
          </w:p>
        </w:tc>
      </w:tr>
      <w:tr>
        <w:trPr/>
        <w:tc>
          <w:tcPr>
            <w:tcW w:w="1731" w:type="dxa"/>
            <w:vMerge w:val="continue"/>
            <w:tcBorders>
              <w:left w:val="single" w:sz="8" w:space="0" w:color="000000"/>
              <w:bottom w:val="single" w:sz="8" w:space="0" w:color="000000"/>
              <w:right w:val="single" w:sz="8" w:space="0" w:color="000000"/>
            </w:tcBorders>
            <w:shd w:fill="BDD6EE" w:val="clear"/>
            <w:tcMar>
              <w:top w:w="0" w:type="dxa"/>
            </w:tcMar>
            <w:vAlign w:val="center"/>
          </w:tcPr>
          <w:p>
            <w:pPr>
              <w:pStyle w:val="Normal"/>
              <w:bidi w:val="0"/>
              <w:jc w:val="left"/>
              <w:rPr/>
            </w:pPr>
            <w:r>
              <w:rPr/>
            </w:r>
          </w:p>
        </w:tc>
        <w:tc>
          <w:tcPr>
            <w:tcW w:w="1351" w:type="dxa"/>
            <w:vMerge w:val="restart"/>
            <w:tcBorders>
              <w:bottom w:val="single" w:sz="8" w:space="0" w:color="000000"/>
              <w:right w:val="single" w:sz="8" w:space="0" w:color="000000"/>
            </w:tcBorders>
            <w:shd w:fill="BDD6EE" w:val="clear"/>
            <w:tcMar>
              <w:top w:w="0" w:type="dxa"/>
              <w:left w:w="0" w:type="dxa"/>
            </w:tcM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MIBANCO PERU</w:t>
            </w:r>
          </w:p>
        </w:tc>
        <w:tc>
          <w:tcPr>
            <w:tcW w:w="3936"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Clients who accessed Crediagua</w:t>
            </w:r>
          </w:p>
        </w:tc>
        <w:tc>
          <w:tcPr>
            <w:tcW w:w="965"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 thousands</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97.7</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77.5</w:t>
            </w:r>
          </w:p>
        </w:tc>
        <w:tc>
          <w:tcPr>
            <w:tcW w:w="74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rFonts w:ascii="Arial" w:hAnsi="Arial"/>
                <w:b/>
                <w:i w:val="false"/>
                <w:caps w:val="false"/>
                <w:smallCaps w:val="false"/>
                <w:color w:val="C00000"/>
                <w:sz w:val="16"/>
              </w:rPr>
            </w:pPr>
            <w:r>
              <w:rPr>
                <w:rFonts w:ascii="Arial" w:hAnsi="Arial"/>
                <w:b/>
                <w:i w:val="false"/>
                <w:caps w:val="false"/>
                <w:smallCaps w:val="false"/>
                <w:color w:val="C00000"/>
                <w:sz w:val="16"/>
              </w:rPr>
              <w:t>-21%</w:t>
            </w:r>
          </w:p>
        </w:tc>
      </w:tr>
      <w:tr>
        <w:trPr/>
        <w:tc>
          <w:tcPr>
            <w:tcW w:w="1731" w:type="dxa"/>
            <w:vMerge w:val="continue"/>
            <w:tcBorders>
              <w:left w:val="single" w:sz="8" w:space="0" w:color="000000"/>
              <w:bottom w:val="single" w:sz="8" w:space="0" w:color="000000"/>
              <w:right w:val="single" w:sz="8" w:space="0" w:color="000000"/>
            </w:tcBorders>
            <w:shd w:fill="BDD6EE" w:val="clear"/>
            <w:tcMar>
              <w:top w:w="0" w:type="dxa"/>
            </w:tcMar>
            <w:vAlign w:val="center"/>
          </w:tcPr>
          <w:p>
            <w:pPr>
              <w:pStyle w:val="Normal"/>
              <w:bidi w:val="0"/>
              <w:jc w:val="left"/>
              <w:rPr/>
            </w:pPr>
            <w:r>
              <w:rPr/>
            </w:r>
          </w:p>
        </w:tc>
        <w:tc>
          <w:tcPr>
            <w:tcW w:w="1351" w:type="dxa"/>
            <w:vMerge w:val="continue"/>
            <w:tcBorders>
              <w:bottom w:val="single" w:sz="8" w:space="0" w:color="000000"/>
              <w:right w:val="single" w:sz="8" w:space="0" w:color="000000"/>
            </w:tcBorders>
            <w:shd w:fill="BDD6EE" w:val="clear"/>
            <w:tcMar>
              <w:top w:w="0" w:type="dxa"/>
              <w:left w:w="0" w:type="dxa"/>
            </w:tcMar>
            <w:vAlign w:val="center"/>
          </w:tcPr>
          <w:p>
            <w:pPr>
              <w:pStyle w:val="Normal"/>
              <w:bidi w:val="0"/>
              <w:jc w:val="left"/>
              <w:rPr/>
            </w:pPr>
            <w:r>
              <w:rPr/>
            </w:r>
          </w:p>
        </w:tc>
        <w:tc>
          <w:tcPr>
            <w:tcW w:w="3936"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People banked through Crediagua</w:t>
            </w:r>
          </w:p>
        </w:tc>
        <w:tc>
          <w:tcPr>
            <w:tcW w:w="965"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 thousands</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5.6</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4.5</w:t>
            </w:r>
          </w:p>
        </w:tc>
        <w:tc>
          <w:tcPr>
            <w:tcW w:w="74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rFonts w:ascii="Arial" w:hAnsi="Arial"/>
                <w:b/>
                <w:i w:val="false"/>
                <w:caps w:val="false"/>
                <w:smallCaps w:val="false"/>
                <w:color w:val="C00000"/>
                <w:sz w:val="16"/>
              </w:rPr>
            </w:pPr>
            <w:r>
              <w:rPr>
                <w:rFonts w:ascii="Arial" w:hAnsi="Arial"/>
                <w:b/>
                <w:i w:val="false"/>
                <w:caps w:val="false"/>
                <w:smallCaps w:val="false"/>
                <w:color w:val="C00000"/>
                <w:sz w:val="16"/>
              </w:rPr>
              <w:t>-20%</w:t>
            </w:r>
          </w:p>
        </w:tc>
      </w:tr>
      <w:tr>
        <w:trPr/>
        <w:tc>
          <w:tcPr>
            <w:tcW w:w="1731" w:type="dxa"/>
            <w:vMerge w:val="continue"/>
            <w:tcBorders>
              <w:left w:val="single" w:sz="8" w:space="0" w:color="000000"/>
              <w:bottom w:val="single" w:sz="8" w:space="0" w:color="000000"/>
              <w:right w:val="single" w:sz="8" w:space="0" w:color="000000"/>
            </w:tcBorders>
            <w:shd w:fill="BDD6EE" w:val="clear"/>
            <w:tcMar>
              <w:top w:w="0" w:type="dxa"/>
            </w:tcMar>
            <w:vAlign w:val="center"/>
          </w:tcPr>
          <w:p>
            <w:pPr>
              <w:pStyle w:val="Normal"/>
              <w:bidi w:val="0"/>
              <w:jc w:val="left"/>
              <w:rPr/>
            </w:pPr>
            <w:r>
              <w:rPr/>
            </w:r>
          </w:p>
        </w:tc>
        <w:tc>
          <w:tcPr>
            <w:tcW w:w="1351" w:type="dxa"/>
            <w:vMerge w:val="continue"/>
            <w:tcBorders>
              <w:bottom w:val="single" w:sz="8" w:space="0" w:color="000000"/>
              <w:right w:val="single" w:sz="8" w:space="0" w:color="000000"/>
            </w:tcBorders>
            <w:shd w:fill="BDD6EE" w:val="clear"/>
            <w:tcMar>
              <w:top w:w="0" w:type="dxa"/>
              <w:left w:w="0" w:type="dxa"/>
            </w:tcMar>
            <w:vAlign w:val="center"/>
          </w:tcPr>
          <w:p>
            <w:pPr>
              <w:pStyle w:val="Normal"/>
              <w:bidi w:val="0"/>
              <w:jc w:val="left"/>
              <w:rPr/>
            </w:pPr>
            <w:r>
              <w:rPr/>
            </w:r>
          </w:p>
        </w:tc>
        <w:tc>
          <w:tcPr>
            <w:tcW w:w="3936"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Number of loans through Crediagua</w:t>
            </w:r>
          </w:p>
        </w:tc>
        <w:tc>
          <w:tcPr>
            <w:tcW w:w="965"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 thousands</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106</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83</w:t>
            </w:r>
          </w:p>
        </w:tc>
        <w:tc>
          <w:tcPr>
            <w:tcW w:w="74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rFonts w:ascii="Arial" w:hAnsi="Arial"/>
                <w:b/>
                <w:i w:val="false"/>
                <w:caps w:val="false"/>
                <w:smallCaps w:val="false"/>
                <w:color w:val="C00000"/>
                <w:sz w:val="16"/>
              </w:rPr>
            </w:pPr>
            <w:r>
              <w:rPr>
                <w:rFonts w:ascii="Arial" w:hAnsi="Arial"/>
                <w:b/>
                <w:i w:val="false"/>
                <w:caps w:val="false"/>
                <w:smallCaps w:val="false"/>
                <w:color w:val="C00000"/>
                <w:sz w:val="16"/>
              </w:rPr>
              <w:t>-22%</w:t>
            </w:r>
          </w:p>
        </w:tc>
      </w:tr>
      <w:tr>
        <w:trPr/>
        <w:tc>
          <w:tcPr>
            <w:tcW w:w="1731" w:type="dxa"/>
            <w:vMerge w:val="continue"/>
            <w:tcBorders>
              <w:left w:val="single" w:sz="8" w:space="0" w:color="000000"/>
              <w:bottom w:val="single" w:sz="8" w:space="0" w:color="000000"/>
              <w:right w:val="single" w:sz="8" w:space="0" w:color="000000"/>
            </w:tcBorders>
            <w:shd w:fill="BDD6EE" w:val="clear"/>
            <w:tcMar>
              <w:top w:w="0" w:type="dxa"/>
            </w:tcMar>
            <w:vAlign w:val="center"/>
          </w:tcPr>
          <w:p>
            <w:pPr>
              <w:pStyle w:val="Normal"/>
              <w:bidi w:val="0"/>
              <w:jc w:val="left"/>
              <w:rPr/>
            </w:pPr>
            <w:r>
              <w:rPr/>
            </w:r>
          </w:p>
        </w:tc>
        <w:tc>
          <w:tcPr>
            <w:tcW w:w="1351" w:type="dxa"/>
            <w:vMerge w:val="continue"/>
            <w:tcBorders>
              <w:bottom w:val="single" w:sz="8" w:space="0" w:color="000000"/>
              <w:right w:val="single" w:sz="8" w:space="0" w:color="000000"/>
            </w:tcBorders>
            <w:shd w:fill="BDD6EE" w:val="clear"/>
            <w:tcMar>
              <w:top w:w="0" w:type="dxa"/>
              <w:left w:w="0" w:type="dxa"/>
            </w:tcMar>
            <w:vAlign w:val="center"/>
          </w:tcPr>
          <w:p>
            <w:pPr>
              <w:pStyle w:val="Normal"/>
              <w:bidi w:val="0"/>
              <w:jc w:val="left"/>
              <w:rPr/>
            </w:pPr>
            <w:r>
              <w:rPr/>
            </w:r>
          </w:p>
        </w:tc>
        <w:tc>
          <w:tcPr>
            <w:tcW w:w="3936"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Total disbursed through Crediagua</w:t>
            </w:r>
          </w:p>
        </w:tc>
        <w:tc>
          <w:tcPr>
            <w:tcW w:w="965"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S/ millions</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1.869</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1,406.9</w:t>
            </w:r>
          </w:p>
        </w:tc>
        <w:tc>
          <w:tcPr>
            <w:tcW w:w="74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rFonts w:ascii="Arial" w:hAnsi="Arial"/>
                <w:b/>
                <w:i w:val="false"/>
                <w:caps w:val="false"/>
                <w:smallCaps w:val="false"/>
                <w:color w:val="C00000"/>
                <w:sz w:val="16"/>
              </w:rPr>
            </w:pPr>
            <w:r>
              <w:rPr>
                <w:rFonts w:ascii="Arial" w:hAnsi="Arial"/>
                <w:b/>
                <w:i w:val="false"/>
                <w:caps w:val="false"/>
                <w:smallCaps w:val="false"/>
                <w:color w:val="C00000"/>
                <w:sz w:val="16"/>
              </w:rPr>
              <w:t>-25%</w:t>
            </w:r>
          </w:p>
        </w:tc>
      </w:tr>
      <w:tr>
        <w:trPr/>
        <w:tc>
          <w:tcPr>
            <w:tcW w:w="1731" w:type="dxa"/>
            <w:vMerge w:val="continue"/>
            <w:tcBorders>
              <w:left w:val="single" w:sz="8" w:space="0" w:color="000000"/>
              <w:bottom w:val="single" w:sz="8" w:space="0" w:color="000000"/>
              <w:right w:val="single" w:sz="8" w:space="0" w:color="000000"/>
            </w:tcBorders>
            <w:shd w:fill="BDD6EE" w:val="clear"/>
            <w:tcMar>
              <w:top w:w="0" w:type="dxa"/>
            </w:tcMar>
            <w:vAlign w:val="center"/>
          </w:tcPr>
          <w:p>
            <w:pPr>
              <w:pStyle w:val="Normal"/>
              <w:bidi w:val="0"/>
              <w:jc w:val="left"/>
              <w:rPr/>
            </w:pPr>
            <w:r>
              <w:rPr/>
            </w:r>
          </w:p>
        </w:tc>
        <w:tc>
          <w:tcPr>
            <w:tcW w:w="1351" w:type="dxa"/>
            <w:vMerge w:val="continue"/>
            <w:tcBorders>
              <w:bottom w:val="single" w:sz="8" w:space="0" w:color="000000"/>
              <w:right w:val="single" w:sz="8" w:space="0" w:color="000000"/>
            </w:tcBorders>
            <w:shd w:fill="BDD6EE" w:val="clear"/>
            <w:tcMar>
              <w:top w:w="0" w:type="dxa"/>
              <w:left w:w="0" w:type="dxa"/>
            </w:tcMar>
            <w:vAlign w:val="center"/>
          </w:tcPr>
          <w:p>
            <w:pPr>
              <w:pStyle w:val="Normal"/>
              <w:bidi w:val="0"/>
              <w:jc w:val="left"/>
              <w:rPr/>
            </w:pPr>
            <w:r>
              <w:rPr/>
            </w:r>
          </w:p>
        </w:tc>
        <w:tc>
          <w:tcPr>
            <w:tcW w:w="3936"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Female clients in Mibanco portfolio</w:t>
            </w:r>
          </w:p>
        </w:tc>
        <w:tc>
          <w:tcPr>
            <w:tcW w:w="965"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50.6</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51.8</w:t>
            </w:r>
          </w:p>
        </w:tc>
        <w:tc>
          <w:tcPr>
            <w:tcW w:w="74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rFonts w:ascii="Arial" w:hAnsi="Arial"/>
                <w:b/>
                <w:i w:val="false"/>
                <w:caps w:val="false"/>
                <w:smallCaps w:val="false"/>
                <w:color w:val="34A853"/>
                <w:sz w:val="16"/>
              </w:rPr>
            </w:pPr>
            <w:r>
              <w:rPr>
                <w:rFonts w:ascii="Arial" w:hAnsi="Arial"/>
                <w:b/>
                <w:i w:val="false"/>
                <w:caps w:val="false"/>
                <w:smallCaps w:val="false"/>
                <w:color w:val="34A853"/>
                <w:sz w:val="16"/>
              </w:rPr>
              <w:t>1.2 pp</w:t>
            </w:r>
          </w:p>
        </w:tc>
      </w:tr>
      <w:tr>
        <w:trPr/>
        <w:tc>
          <w:tcPr>
            <w:tcW w:w="1731" w:type="dxa"/>
            <w:vMerge w:val="continue"/>
            <w:tcBorders>
              <w:left w:val="single" w:sz="8" w:space="0" w:color="000000"/>
              <w:bottom w:val="single" w:sz="8" w:space="0" w:color="000000"/>
              <w:right w:val="single" w:sz="8" w:space="0" w:color="000000"/>
            </w:tcBorders>
            <w:shd w:fill="BDD6EE" w:val="clear"/>
            <w:tcMar>
              <w:top w:w="0" w:type="dxa"/>
            </w:tcMar>
            <w:vAlign w:val="center"/>
          </w:tcPr>
          <w:p>
            <w:pPr>
              <w:pStyle w:val="Normal"/>
              <w:bidi w:val="0"/>
              <w:jc w:val="left"/>
              <w:rPr/>
            </w:pPr>
            <w:r>
              <w:rPr/>
            </w:r>
          </w:p>
        </w:tc>
        <w:tc>
          <w:tcPr>
            <w:tcW w:w="1351" w:type="dxa"/>
            <w:vMerge w:val="continue"/>
            <w:tcBorders>
              <w:bottom w:val="single" w:sz="8" w:space="0" w:color="000000"/>
              <w:right w:val="single" w:sz="8" w:space="0" w:color="000000"/>
            </w:tcBorders>
            <w:shd w:fill="BDD6EE" w:val="clear"/>
            <w:tcMar>
              <w:top w:w="0" w:type="dxa"/>
              <w:left w:w="0" w:type="dxa"/>
            </w:tcMar>
            <w:vAlign w:val="center"/>
          </w:tcPr>
          <w:p>
            <w:pPr>
              <w:pStyle w:val="Normal"/>
              <w:bidi w:val="0"/>
              <w:jc w:val="left"/>
              <w:rPr/>
            </w:pPr>
            <w:r>
              <w:rPr/>
            </w:r>
          </w:p>
        </w:tc>
        <w:tc>
          <w:tcPr>
            <w:tcW w:w="3936"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Banked clients (active)</w:t>
            </w:r>
          </w:p>
        </w:tc>
        <w:tc>
          <w:tcPr>
            <w:tcW w:w="965"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 thousands</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72.9</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63.6</w:t>
            </w:r>
          </w:p>
        </w:tc>
        <w:tc>
          <w:tcPr>
            <w:tcW w:w="74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rFonts w:ascii="Arial" w:hAnsi="Arial"/>
                <w:b/>
                <w:i w:val="false"/>
                <w:caps w:val="false"/>
                <w:smallCaps w:val="false"/>
                <w:color w:val="C00000"/>
                <w:sz w:val="16"/>
              </w:rPr>
            </w:pPr>
            <w:r>
              <w:rPr>
                <w:rFonts w:ascii="Arial" w:hAnsi="Arial"/>
                <w:b/>
                <w:i w:val="false"/>
                <w:caps w:val="false"/>
                <w:smallCaps w:val="false"/>
                <w:color w:val="C00000"/>
                <w:sz w:val="16"/>
              </w:rPr>
              <w:t>-13%</w:t>
            </w:r>
          </w:p>
        </w:tc>
      </w:tr>
      <w:tr>
        <w:trPr/>
        <w:tc>
          <w:tcPr>
            <w:tcW w:w="1731" w:type="dxa"/>
            <w:vMerge w:val="continue"/>
            <w:tcBorders>
              <w:left w:val="single" w:sz="8" w:space="0" w:color="000000"/>
              <w:bottom w:val="single" w:sz="8" w:space="0" w:color="000000"/>
              <w:right w:val="single" w:sz="8" w:space="0" w:color="000000"/>
            </w:tcBorders>
            <w:shd w:fill="BDD6EE" w:val="clear"/>
            <w:tcMar>
              <w:top w:w="0" w:type="dxa"/>
            </w:tcMar>
            <w:vAlign w:val="center"/>
          </w:tcPr>
          <w:p>
            <w:pPr>
              <w:pStyle w:val="Normal"/>
              <w:bidi w:val="0"/>
              <w:jc w:val="left"/>
              <w:rPr/>
            </w:pPr>
            <w:r>
              <w:rPr/>
            </w:r>
          </w:p>
        </w:tc>
        <w:tc>
          <w:tcPr>
            <w:tcW w:w="1351" w:type="dxa"/>
            <w:vMerge w:val="continue"/>
            <w:tcBorders>
              <w:bottom w:val="single" w:sz="8" w:space="0" w:color="000000"/>
              <w:right w:val="single" w:sz="8" w:space="0" w:color="000000"/>
            </w:tcBorders>
            <w:shd w:fill="BDD6EE" w:val="clear"/>
            <w:tcMar>
              <w:top w:w="0" w:type="dxa"/>
              <w:left w:w="0" w:type="dxa"/>
            </w:tcMar>
            <w:vAlign w:val="center"/>
          </w:tcPr>
          <w:p>
            <w:pPr>
              <w:pStyle w:val="Normal"/>
              <w:bidi w:val="0"/>
              <w:jc w:val="left"/>
              <w:rPr/>
            </w:pPr>
            <w:r>
              <w:rPr/>
            </w:r>
          </w:p>
        </w:tc>
        <w:tc>
          <w:tcPr>
            <w:tcW w:w="3936"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Banked clients (passive)</w:t>
            </w:r>
          </w:p>
        </w:tc>
        <w:tc>
          <w:tcPr>
            <w:tcW w:w="965"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 thousands</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16.5</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13.7</w:t>
            </w:r>
          </w:p>
        </w:tc>
        <w:tc>
          <w:tcPr>
            <w:tcW w:w="74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rFonts w:ascii="Arial" w:hAnsi="Arial"/>
                <w:b/>
                <w:i w:val="false"/>
                <w:caps w:val="false"/>
                <w:smallCaps w:val="false"/>
                <w:color w:val="C00000"/>
                <w:sz w:val="16"/>
              </w:rPr>
            </w:pPr>
            <w:r>
              <w:rPr>
                <w:rFonts w:ascii="Arial" w:hAnsi="Arial"/>
                <w:b/>
                <w:i w:val="false"/>
                <w:caps w:val="false"/>
                <w:smallCaps w:val="false"/>
                <w:color w:val="C00000"/>
                <w:sz w:val="16"/>
              </w:rPr>
              <w:t>-17%</w:t>
            </w:r>
          </w:p>
        </w:tc>
      </w:tr>
      <w:tr>
        <w:trPr/>
        <w:tc>
          <w:tcPr>
            <w:tcW w:w="1731" w:type="dxa"/>
            <w:vMerge w:val="continue"/>
            <w:tcBorders>
              <w:left w:val="single" w:sz="8" w:space="0" w:color="000000"/>
              <w:bottom w:val="single" w:sz="8" w:space="0" w:color="000000"/>
              <w:right w:val="single" w:sz="8" w:space="0" w:color="000000"/>
            </w:tcBorders>
            <w:shd w:fill="BDD6EE" w:val="clear"/>
            <w:tcMar>
              <w:top w:w="0" w:type="dxa"/>
            </w:tcMar>
            <w:vAlign w:val="center"/>
          </w:tcPr>
          <w:p>
            <w:pPr>
              <w:pStyle w:val="Normal"/>
              <w:bidi w:val="0"/>
              <w:jc w:val="left"/>
              <w:rPr/>
            </w:pPr>
            <w:r>
              <w:rPr/>
            </w:r>
          </w:p>
        </w:tc>
        <w:tc>
          <w:tcPr>
            <w:tcW w:w="1351" w:type="dxa"/>
            <w:tcBorders>
              <w:bottom w:val="single" w:sz="8" w:space="0" w:color="000000"/>
              <w:right w:val="single" w:sz="8" w:space="0" w:color="000000"/>
            </w:tcBorders>
            <w:shd w:fill="BDD6EE" w:val="clear"/>
            <w:tcMar>
              <w:top w:w="0" w:type="dxa"/>
              <w:left w:w="0" w:type="dxa"/>
            </w:tcM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MIBANCO COLOMBIA</w:t>
            </w:r>
          </w:p>
        </w:tc>
        <w:tc>
          <w:tcPr>
            <w:tcW w:w="3936"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Banked clients (active)</w:t>
            </w:r>
          </w:p>
        </w:tc>
        <w:tc>
          <w:tcPr>
            <w:tcW w:w="965"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 thousands</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27</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19</w:t>
            </w:r>
          </w:p>
        </w:tc>
        <w:tc>
          <w:tcPr>
            <w:tcW w:w="74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rFonts w:ascii="Arial" w:hAnsi="Arial"/>
                <w:b/>
                <w:i w:val="false"/>
                <w:caps w:val="false"/>
                <w:smallCaps w:val="false"/>
                <w:color w:val="C00000"/>
                <w:sz w:val="16"/>
              </w:rPr>
            </w:pPr>
            <w:r>
              <w:rPr>
                <w:rFonts w:ascii="Arial" w:hAnsi="Arial"/>
                <w:b/>
                <w:i w:val="false"/>
                <w:caps w:val="false"/>
                <w:smallCaps w:val="false"/>
                <w:color w:val="C00000"/>
                <w:sz w:val="16"/>
              </w:rPr>
              <w:t>-28%</w:t>
            </w:r>
          </w:p>
        </w:tc>
      </w:tr>
      <w:tr>
        <w:trPr/>
        <w:tc>
          <w:tcPr>
            <w:tcW w:w="1731" w:type="dxa"/>
            <w:vMerge w:val="continue"/>
            <w:tcBorders>
              <w:left w:val="single" w:sz="8" w:space="0" w:color="000000"/>
              <w:bottom w:val="single" w:sz="8" w:space="0" w:color="000000"/>
              <w:right w:val="single" w:sz="8" w:space="0" w:color="000000"/>
            </w:tcBorders>
            <w:shd w:fill="BDD6EE" w:val="clear"/>
            <w:tcMar>
              <w:top w:w="0" w:type="dxa"/>
            </w:tcMar>
            <w:vAlign w:val="center"/>
          </w:tcPr>
          <w:p>
            <w:pPr>
              <w:pStyle w:val="Normal"/>
              <w:bidi w:val="0"/>
              <w:jc w:val="left"/>
              <w:rPr/>
            </w:pPr>
            <w:r>
              <w:rPr/>
            </w:r>
          </w:p>
        </w:tc>
        <w:tc>
          <w:tcPr>
            <w:tcW w:w="1351" w:type="dxa"/>
            <w:tcBorders>
              <w:bottom w:val="single" w:sz="8" w:space="0" w:color="000000"/>
              <w:right w:val="single" w:sz="8" w:space="0" w:color="000000"/>
            </w:tcBorders>
            <w:shd w:fill="BDD6EE" w:val="clear"/>
            <w:tcMar>
              <w:top w:w="0" w:type="dxa"/>
              <w:left w:w="0" w:type="dxa"/>
            </w:tcM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PACIFICO SEGUROS</w:t>
            </w:r>
          </w:p>
        </w:tc>
        <w:tc>
          <w:tcPr>
            <w:tcW w:w="3936"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Active inclusive insurance policies through BCP and Mibanco</w:t>
            </w:r>
          </w:p>
        </w:tc>
        <w:tc>
          <w:tcPr>
            <w:tcW w:w="965"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2,615,690</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3,187,641</w:t>
            </w:r>
          </w:p>
        </w:tc>
        <w:tc>
          <w:tcPr>
            <w:tcW w:w="74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rFonts w:ascii="Arial" w:hAnsi="Arial"/>
                <w:b/>
                <w:i w:val="false"/>
                <w:caps w:val="false"/>
                <w:smallCaps w:val="false"/>
                <w:color w:val="34A853"/>
                <w:sz w:val="16"/>
              </w:rPr>
            </w:pPr>
            <w:r>
              <w:rPr>
                <w:rFonts w:ascii="Arial" w:hAnsi="Arial"/>
                <w:b/>
                <w:i w:val="false"/>
                <w:caps w:val="false"/>
                <w:smallCaps w:val="false"/>
                <w:color w:val="34A853"/>
                <w:sz w:val="16"/>
              </w:rPr>
              <w:t>22%</w:t>
            </w:r>
          </w:p>
        </w:tc>
      </w:tr>
      <w:tr>
        <w:trPr/>
        <w:tc>
          <w:tcPr>
            <w:tcW w:w="1731" w:type="dxa"/>
            <w:vMerge w:val="restart"/>
            <w:tcBorders>
              <w:left w:val="single" w:sz="8" w:space="0" w:color="000000"/>
              <w:bottom w:val="single" w:sz="8" w:space="0" w:color="000000"/>
              <w:right w:val="single" w:sz="8" w:space="0" w:color="000000"/>
            </w:tcBorders>
            <w:shd w:fill="BDD6EE" w:val="clear"/>
            <w:tcMar>
              <w:top w:w="0" w:type="dxa"/>
            </w:tcM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Helping small businesses grow</w:t>
            </w:r>
          </w:p>
        </w:tc>
        <w:tc>
          <w:tcPr>
            <w:tcW w:w="1351" w:type="dxa"/>
            <w:vMerge w:val="restart"/>
            <w:tcBorders>
              <w:bottom w:val="single" w:sz="8" w:space="0" w:color="000000"/>
              <w:right w:val="single" w:sz="8" w:space="0" w:color="000000"/>
            </w:tcBorders>
            <w:shd w:fill="BDD6EE" w:val="clear"/>
            <w:tcMar>
              <w:top w:w="0" w:type="dxa"/>
              <w:left w:w="0" w:type="dxa"/>
            </w:tcM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BCP</w:t>
            </w:r>
          </w:p>
        </w:tc>
        <w:tc>
          <w:tcPr>
            <w:tcW w:w="3936"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Disbursements of working capital credits for financially included MSMEs</w:t>
            </w:r>
          </w:p>
        </w:tc>
        <w:tc>
          <w:tcPr>
            <w:tcW w:w="965"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S/ millions</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1,766</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1,122</w:t>
            </w:r>
          </w:p>
        </w:tc>
        <w:tc>
          <w:tcPr>
            <w:tcW w:w="74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rFonts w:ascii="Arial" w:hAnsi="Arial"/>
                <w:b/>
                <w:i w:val="false"/>
                <w:caps w:val="false"/>
                <w:smallCaps w:val="false"/>
                <w:color w:val="C00000"/>
                <w:sz w:val="16"/>
              </w:rPr>
            </w:pPr>
            <w:r>
              <w:rPr>
                <w:rFonts w:ascii="Arial" w:hAnsi="Arial"/>
                <w:b/>
                <w:i w:val="false"/>
                <w:caps w:val="false"/>
                <w:smallCaps w:val="false"/>
                <w:color w:val="C00000"/>
                <w:sz w:val="16"/>
              </w:rPr>
              <w:t>-36%</w:t>
            </w:r>
          </w:p>
        </w:tc>
      </w:tr>
      <w:tr>
        <w:trPr/>
        <w:tc>
          <w:tcPr>
            <w:tcW w:w="1731" w:type="dxa"/>
            <w:vMerge w:val="continue"/>
            <w:tcBorders>
              <w:left w:val="single" w:sz="8" w:space="0" w:color="000000"/>
              <w:bottom w:val="single" w:sz="8" w:space="0" w:color="000000"/>
              <w:right w:val="single" w:sz="8" w:space="0" w:color="000000"/>
            </w:tcBorders>
            <w:shd w:fill="BDD6EE" w:val="clear"/>
            <w:tcMar>
              <w:top w:w="0" w:type="dxa"/>
            </w:tcMar>
            <w:vAlign w:val="center"/>
          </w:tcPr>
          <w:p>
            <w:pPr>
              <w:pStyle w:val="Normal"/>
              <w:bidi w:val="0"/>
              <w:jc w:val="left"/>
              <w:rPr/>
            </w:pPr>
            <w:r>
              <w:rPr/>
            </w:r>
          </w:p>
        </w:tc>
        <w:tc>
          <w:tcPr>
            <w:tcW w:w="1351" w:type="dxa"/>
            <w:vMerge w:val="continue"/>
            <w:tcBorders>
              <w:bottom w:val="single" w:sz="8" w:space="0" w:color="000000"/>
              <w:right w:val="single" w:sz="8" w:space="0" w:color="000000"/>
            </w:tcBorders>
            <w:shd w:fill="BDD6EE" w:val="clear"/>
            <w:tcMar>
              <w:top w:w="0" w:type="dxa"/>
              <w:left w:w="0" w:type="dxa"/>
            </w:tcMar>
            <w:vAlign w:val="center"/>
          </w:tcPr>
          <w:p>
            <w:pPr>
              <w:pStyle w:val="Normal"/>
              <w:bidi w:val="0"/>
              <w:jc w:val="left"/>
              <w:rPr/>
            </w:pPr>
            <w:r>
              <w:rPr/>
            </w:r>
          </w:p>
        </w:tc>
        <w:tc>
          <w:tcPr>
            <w:tcW w:w="3936"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Number of MSMEs financially included through working capital credits</w:t>
            </w:r>
          </w:p>
        </w:tc>
        <w:tc>
          <w:tcPr>
            <w:tcW w:w="965"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 thousands</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49</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33.3</w:t>
            </w:r>
          </w:p>
        </w:tc>
        <w:tc>
          <w:tcPr>
            <w:tcW w:w="74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rFonts w:ascii="Arial" w:hAnsi="Arial"/>
                <w:b/>
                <w:i w:val="false"/>
                <w:caps w:val="false"/>
                <w:smallCaps w:val="false"/>
                <w:color w:val="C00000"/>
                <w:sz w:val="16"/>
              </w:rPr>
            </w:pPr>
            <w:r>
              <w:rPr>
                <w:rFonts w:ascii="Arial" w:hAnsi="Arial"/>
                <w:b/>
                <w:i w:val="false"/>
                <w:caps w:val="false"/>
                <w:smallCaps w:val="false"/>
                <w:color w:val="C00000"/>
                <w:sz w:val="16"/>
              </w:rPr>
              <w:t>-32%</w:t>
            </w:r>
          </w:p>
        </w:tc>
      </w:tr>
      <w:tr>
        <w:trPr/>
        <w:tc>
          <w:tcPr>
            <w:tcW w:w="1731" w:type="dxa"/>
            <w:vMerge w:val="continue"/>
            <w:tcBorders>
              <w:left w:val="single" w:sz="8" w:space="0" w:color="000000"/>
              <w:bottom w:val="single" w:sz="8" w:space="0" w:color="000000"/>
              <w:right w:val="single" w:sz="8" w:space="0" w:color="000000"/>
            </w:tcBorders>
            <w:shd w:fill="BDD6EE" w:val="clear"/>
            <w:tcMar>
              <w:top w:w="0" w:type="dxa"/>
            </w:tcMar>
            <w:vAlign w:val="center"/>
          </w:tcPr>
          <w:p>
            <w:pPr>
              <w:pStyle w:val="Normal"/>
              <w:bidi w:val="0"/>
              <w:jc w:val="left"/>
              <w:rPr/>
            </w:pPr>
            <w:r>
              <w:rPr/>
            </w:r>
          </w:p>
        </w:tc>
        <w:tc>
          <w:tcPr>
            <w:tcW w:w="1351" w:type="dxa"/>
            <w:vMerge w:val="continue"/>
            <w:tcBorders>
              <w:bottom w:val="single" w:sz="8" w:space="0" w:color="000000"/>
              <w:right w:val="single" w:sz="8" w:space="0" w:color="000000"/>
            </w:tcBorders>
            <w:shd w:fill="BDD6EE" w:val="clear"/>
            <w:tcMar>
              <w:top w:w="0" w:type="dxa"/>
              <w:left w:w="0" w:type="dxa"/>
            </w:tcMar>
            <w:vAlign w:val="center"/>
          </w:tcPr>
          <w:p>
            <w:pPr>
              <w:pStyle w:val="Normal"/>
              <w:bidi w:val="0"/>
              <w:jc w:val="left"/>
              <w:rPr/>
            </w:pPr>
            <w:r>
              <w:rPr/>
            </w:r>
          </w:p>
        </w:tc>
        <w:tc>
          <w:tcPr>
            <w:tcW w:w="3936"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Plataforma Evalúate: Affiliated SMEs amount disbursed</w:t>
            </w:r>
          </w:p>
        </w:tc>
        <w:tc>
          <w:tcPr>
            <w:tcW w:w="965"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S/ millions</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NA</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90</w:t>
            </w:r>
          </w:p>
        </w:tc>
        <w:tc>
          <w:tcPr>
            <w:tcW w:w="74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w:t>
            </w:r>
          </w:p>
        </w:tc>
      </w:tr>
      <w:tr>
        <w:trPr/>
        <w:tc>
          <w:tcPr>
            <w:tcW w:w="1731" w:type="dxa"/>
            <w:vMerge w:val="continue"/>
            <w:tcBorders>
              <w:left w:val="single" w:sz="8" w:space="0" w:color="000000"/>
              <w:bottom w:val="single" w:sz="8" w:space="0" w:color="000000"/>
              <w:right w:val="single" w:sz="8" w:space="0" w:color="000000"/>
            </w:tcBorders>
            <w:shd w:fill="BDD6EE" w:val="clear"/>
            <w:tcMar>
              <w:top w:w="0" w:type="dxa"/>
            </w:tcMar>
            <w:vAlign w:val="center"/>
          </w:tcPr>
          <w:p>
            <w:pPr>
              <w:pStyle w:val="Normal"/>
              <w:bidi w:val="0"/>
              <w:jc w:val="left"/>
              <w:rPr/>
            </w:pPr>
            <w:r>
              <w:rPr/>
            </w:r>
          </w:p>
        </w:tc>
        <w:tc>
          <w:tcPr>
            <w:tcW w:w="1351" w:type="dxa"/>
            <w:vMerge w:val="continue"/>
            <w:tcBorders>
              <w:bottom w:val="single" w:sz="8" w:space="0" w:color="000000"/>
              <w:right w:val="single" w:sz="8" w:space="0" w:color="000000"/>
            </w:tcBorders>
            <w:shd w:fill="BDD6EE" w:val="clear"/>
            <w:tcMar>
              <w:top w:w="0" w:type="dxa"/>
              <w:left w:w="0" w:type="dxa"/>
            </w:tcMar>
            <w:vAlign w:val="center"/>
          </w:tcPr>
          <w:p>
            <w:pPr>
              <w:pStyle w:val="Normal"/>
              <w:bidi w:val="0"/>
              <w:jc w:val="left"/>
              <w:rPr/>
            </w:pPr>
            <w:r>
              <w:rPr/>
            </w:r>
          </w:p>
        </w:tc>
        <w:tc>
          <w:tcPr>
            <w:tcW w:w="3936"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Plataforma Evalúate: Affiliated SMEs</w:t>
            </w:r>
          </w:p>
        </w:tc>
        <w:tc>
          <w:tcPr>
            <w:tcW w:w="965"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NA</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6,931</w:t>
            </w:r>
          </w:p>
        </w:tc>
        <w:tc>
          <w:tcPr>
            <w:tcW w:w="74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w:t>
            </w:r>
          </w:p>
        </w:tc>
      </w:tr>
      <w:tr>
        <w:trPr/>
        <w:tc>
          <w:tcPr>
            <w:tcW w:w="1731" w:type="dxa"/>
            <w:vMerge w:val="continue"/>
            <w:tcBorders>
              <w:left w:val="single" w:sz="8" w:space="0" w:color="000000"/>
              <w:bottom w:val="single" w:sz="8" w:space="0" w:color="000000"/>
              <w:right w:val="single" w:sz="8" w:space="0" w:color="000000"/>
            </w:tcBorders>
            <w:shd w:fill="BDD6EE" w:val="clear"/>
            <w:tcMar>
              <w:top w:w="0" w:type="dxa"/>
            </w:tcMar>
            <w:vAlign w:val="center"/>
          </w:tcPr>
          <w:p>
            <w:pPr>
              <w:pStyle w:val="Normal"/>
              <w:bidi w:val="0"/>
              <w:jc w:val="left"/>
              <w:rPr/>
            </w:pPr>
            <w:r>
              <w:rPr/>
            </w:r>
          </w:p>
        </w:tc>
        <w:tc>
          <w:tcPr>
            <w:tcW w:w="1351" w:type="dxa"/>
            <w:vMerge w:val="continue"/>
            <w:tcBorders>
              <w:bottom w:val="single" w:sz="8" w:space="0" w:color="000000"/>
              <w:right w:val="single" w:sz="8" w:space="0" w:color="000000"/>
            </w:tcBorders>
            <w:shd w:fill="BDD6EE" w:val="clear"/>
            <w:tcMar>
              <w:top w:w="0" w:type="dxa"/>
              <w:left w:w="0" w:type="dxa"/>
            </w:tcMar>
            <w:vAlign w:val="center"/>
          </w:tcPr>
          <w:p>
            <w:pPr>
              <w:pStyle w:val="Normal"/>
              <w:bidi w:val="0"/>
              <w:jc w:val="left"/>
              <w:rPr/>
            </w:pPr>
            <w:r>
              <w:rPr/>
            </w:r>
          </w:p>
        </w:tc>
        <w:tc>
          <w:tcPr>
            <w:tcW w:w="3936"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Crece: Completed businesses registered (cumulative)</w:t>
            </w:r>
          </w:p>
        </w:tc>
        <w:tc>
          <w:tcPr>
            <w:tcW w:w="965"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NA</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2,350</w:t>
            </w:r>
          </w:p>
        </w:tc>
        <w:tc>
          <w:tcPr>
            <w:tcW w:w="74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w:t>
            </w:r>
          </w:p>
        </w:tc>
      </w:tr>
      <w:tr>
        <w:trPr/>
        <w:tc>
          <w:tcPr>
            <w:tcW w:w="1731" w:type="dxa"/>
            <w:vMerge w:val="continue"/>
            <w:tcBorders>
              <w:left w:val="single" w:sz="8" w:space="0" w:color="000000"/>
              <w:bottom w:val="single" w:sz="8" w:space="0" w:color="000000"/>
              <w:right w:val="single" w:sz="8" w:space="0" w:color="000000"/>
            </w:tcBorders>
            <w:shd w:fill="BDD6EE" w:val="clear"/>
            <w:tcMar>
              <w:top w:w="0" w:type="dxa"/>
            </w:tcMar>
            <w:vAlign w:val="center"/>
          </w:tcPr>
          <w:p>
            <w:pPr>
              <w:pStyle w:val="Normal"/>
              <w:bidi w:val="0"/>
              <w:jc w:val="left"/>
              <w:rPr/>
            </w:pPr>
            <w:r>
              <w:rPr/>
            </w:r>
          </w:p>
        </w:tc>
        <w:tc>
          <w:tcPr>
            <w:tcW w:w="1351" w:type="dxa"/>
            <w:vMerge w:val="continue"/>
            <w:tcBorders>
              <w:bottom w:val="single" w:sz="8" w:space="0" w:color="000000"/>
              <w:right w:val="single" w:sz="8" w:space="0" w:color="000000"/>
            </w:tcBorders>
            <w:shd w:fill="BDD6EE" w:val="clear"/>
            <w:tcMar>
              <w:top w:w="0" w:type="dxa"/>
              <w:left w:w="0" w:type="dxa"/>
            </w:tcMar>
            <w:vAlign w:val="center"/>
          </w:tcPr>
          <w:p>
            <w:pPr>
              <w:pStyle w:val="Normal"/>
              <w:bidi w:val="0"/>
              <w:jc w:val="left"/>
              <w:rPr/>
            </w:pPr>
            <w:r>
              <w:rPr/>
            </w:r>
          </w:p>
        </w:tc>
        <w:tc>
          <w:tcPr>
            <w:tcW w:w="3936"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Contigo Emprendedor program beneficiaries</w:t>
            </w:r>
          </w:p>
        </w:tc>
        <w:tc>
          <w:tcPr>
            <w:tcW w:w="965"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110,690</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121,019</w:t>
            </w:r>
          </w:p>
        </w:tc>
        <w:tc>
          <w:tcPr>
            <w:tcW w:w="74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rFonts w:ascii="Arial" w:hAnsi="Arial"/>
                <w:b/>
                <w:i w:val="false"/>
                <w:caps w:val="false"/>
                <w:smallCaps w:val="false"/>
                <w:color w:val="34A853"/>
                <w:sz w:val="16"/>
              </w:rPr>
            </w:pPr>
            <w:r>
              <w:rPr>
                <w:rFonts w:ascii="Arial" w:hAnsi="Arial"/>
                <w:b/>
                <w:i w:val="false"/>
                <w:caps w:val="false"/>
                <w:smallCaps w:val="false"/>
                <w:color w:val="34A853"/>
                <w:sz w:val="16"/>
              </w:rPr>
              <w:t>9%</w:t>
            </w:r>
          </w:p>
        </w:tc>
      </w:tr>
      <w:tr>
        <w:trPr/>
        <w:tc>
          <w:tcPr>
            <w:tcW w:w="1731" w:type="dxa"/>
            <w:vMerge w:val="continue"/>
            <w:tcBorders>
              <w:left w:val="single" w:sz="8" w:space="0" w:color="000000"/>
              <w:bottom w:val="single" w:sz="8" w:space="0" w:color="000000"/>
              <w:right w:val="single" w:sz="8" w:space="0" w:color="000000"/>
            </w:tcBorders>
            <w:shd w:fill="BDD6EE" w:val="clear"/>
            <w:tcMar>
              <w:top w:w="0" w:type="dxa"/>
            </w:tcMar>
            <w:vAlign w:val="center"/>
          </w:tcPr>
          <w:p>
            <w:pPr>
              <w:pStyle w:val="Normal"/>
              <w:bidi w:val="0"/>
              <w:jc w:val="left"/>
              <w:rPr/>
            </w:pPr>
            <w:r>
              <w:rPr/>
            </w:r>
          </w:p>
        </w:tc>
        <w:tc>
          <w:tcPr>
            <w:tcW w:w="1351" w:type="dxa"/>
            <w:vMerge w:val="continue"/>
            <w:tcBorders>
              <w:bottom w:val="single" w:sz="8" w:space="0" w:color="000000"/>
              <w:right w:val="single" w:sz="8" w:space="0" w:color="000000"/>
            </w:tcBorders>
            <w:shd w:fill="BDD6EE" w:val="clear"/>
            <w:tcMar>
              <w:top w:w="0" w:type="dxa"/>
              <w:left w:w="0" w:type="dxa"/>
            </w:tcMar>
            <w:vAlign w:val="center"/>
          </w:tcPr>
          <w:p>
            <w:pPr>
              <w:pStyle w:val="Normal"/>
              <w:bidi w:val="0"/>
              <w:jc w:val="left"/>
              <w:rPr/>
            </w:pPr>
            <w:r>
              <w:rPr/>
            </w:r>
          </w:p>
        </w:tc>
        <w:tc>
          <w:tcPr>
            <w:tcW w:w="3936"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Number MSMEs financially included through credits for invoice factoring</w:t>
            </w:r>
          </w:p>
        </w:tc>
        <w:tc>
          <w:tcPr>
            <w:tcW w:w="965"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785</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1,252</w:t>
            </w:r>
          </w:p>
        </w:tc>
        <w:tc>
          <w:tcPr>
            <w:tcW w:w="74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rFonts w:ascii="Arial" w:hAnsi="Arial"/>
                <w:b/>
                <w:i w:val="false"/>
                <w:caps w:val="false"/>
                <w:smallCaps w:val="false"/>
                <w:color w:val="34A853"/>
                <w:sz w:val="16"/>
              </w:rPr>
            </w:pPr>
            <w:r>
              <w:rPr>
                <w:rFonts w:ascii="Arial" w:hAnsi="Arial"/>
                <w:b/>
                <w:i w:val="false"/>
                <w:caps w:val="false"/>
                <w:smallCaps w:val="false"/>
                <w:color w:val="34A853"/>
                <w:sz w:val="16"/>
              </w:rPr>
              <w:t>59%</w:t>
            </w:r>
          </w:p>
        </w:tc>
      </w:tr>
      <w:tr>
        <w:trPr/>
        <w:tc>
          <w:tcPr>
            <w:tcW w:w="1731" w:type="dxa"/>
            <w:vMerge w:val="continue"/>
            <w:tcBorders>
              <w:left w:val="single" w:sz="8" w:space="0" w:color="000000"/>
              <w:bottom w:val="single" w:sz="8" w:space="0" w:color="000000"/>
              <w:right w:val="single" w:sz="8" w:space="0" w:color="000000"/>
            </w:tcBorders>
            <w:shd w:fill="BDD6EE" w:val="clear"/>
            <w:tcMar>
              <w:top w:w="0" w:type="dxa"/>
            </w:tcMar>
            <w:vAlign w:val="center"/>
          </w:tcPr>
          <w:p>
            <w:pPr>
              <w:pStyle w:val="Normal"/>
              <w:bidi w:val="0"/>
              <w:jc w:val="left"/>
              <w:rPr/>
            </w:pPr>
            <w:r>
              <w:rPr/>
            </w:r>
          </w:p>
        </w:tc>
        <w:tc>
          <w:tcPr>
            <w:tcW w:w="1351" w:type="dxa"/>
            <w:vMerge w:val="continue"/>
            <w:tcBorders>
              <w:bottom w:val="single" w:sz="8" w:space="0" w:color="000000"/>
              <w:right w:val="single" w:sz="8" w:space="0" w:color="000000"/>
            </w:tcBorders>
            <w:shd w:fill="BDD6EE" w:val="clear"/>
            <w:tcMar>
              <w:top w:w="0" w:type="dxa"/>
              <w:left w:w="0" w:type="dxa"/>
            </w:tcMar>
            <w:vAlign w:val="center"/>
          </w:tcPr>
          <w:p>
            <w:pPr>
              <w:pStyle w:val="Normal"/>
              <w:bidi w:val="0"/>
              <w:jc w:val="left"/>
              <w:rPr/>
            </w:pPr>
            <w:r>
              <w:rPr/>
            </w:r>
          </w:p>
        </w:tc>
        <w:tc>
          <w:tcPr>
            <w:tcW w:w="3936"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Credits for SME invoice factoring - Annual cumulative (financially included) </w:t>
            </w:r>
          </w:p>
        </w:tc>
        <w:tc>
          <w:tcPr>
            <w:tcW w:w="965"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S/ millions </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83.2 </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172 </w:t>
            </w:r>
          </w:p>
        </w:tc>
        <w:tc>
          <w:tcPr>
            <w:tcW w:w="74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i w:val="false"/>
                <w:caps w:val="false"/>
                <w:smallCaps w:val="false"/>
                <w:color w:val="34A853"/>
                <w:sz w:val="16"/>
              </w:rPr>
              <w:t>106%</w:t>
            </w:r>
            <w:r>
              <w:rPr>
                <w:rFonts w:ascii="Arial" w:hAnsi="Arial"/>
                <w:b w:val="false"/>
                <w:i w:val="false"/>
                <w:caps w:val="false"/>
                <w:smallCaps w:val="false"/>
                <w:sz w:val="16"/>
              </w:rPr>
              <w:t> </w:t>
            </w:r>
          </w:p>
        </w:tc>
      </w:tr>
      <w:tr>
        <w:trPr/>
        <w:tc>
          <w:tcPr>
            <w:tcW w:w="1731" w:type="dxa"/>
            <w:vMerge w:val="restart"/>
            <w:tcBorders>
              <w:left w:val="single" w:sz="8" w:space="0" w:color="000000"/>
              <w:bottom w:val="single" w:sz="8" w:space="0" w:color="000000"/>
              <w:right w:val="single" w:sz="8" w:space="0" w:color="000000"/>
            </w:tcBorders>
            <w:shd w:fill="BDD6EE" w:val="clear"/>
            <w:tcMar>
              <w:top w:w="0" w:type="dxa"/>
            </w:tcM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Sustainable AUMs</w:t>
            </w:r>
          </w:p>
        </w:tc>
        <w:tc>
          <w:tcPr>
            <w:tcW w:w="1351" w:type="dxa"/>
            <w:tcBorders>
              <w:bottom w:val="single" w:sz="8" w:space="0" w:color="000000"/>
              <w:right w:val="single" w:sz="8" w:space="0" w:color="000000"/>
            </w:tcBorders>
            <w:shd w:fill="BDD6EE" w:val="clear"/>
            <w:tcMar>
              <w:top w:w="0" w:type="dxa"/>
              <w:left w:w="0" w:type="dxa"/>
            </w:tcM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PACIFICO SEGUROS</w:t>
            </w:r>
          </w:p>
        </w:tc>
        <w:tc>
          <w:tcPr>
            <w:tcW w:w="3936"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 ESG integration over total portfolio</w:t>
            </w:r>
          </w:p>
        </w:tc>
        <w:tc>
          <w:tcPr>
            <w:tcW w:w="965"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44</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90</w:t>
            </w:r>
          </w:p>
        </w:tc>
        <w:tc>
          <w:tcPr>
            <w:tcW w:w="74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rFonts w:ascii="Arial" w:hAnsi="Arial"/>
                <w:b/>
                <w:i w:val="false"/>
                <w:caps w:val="false"/>
                <w:smallCaps w:val="false"/>
                <w:color w:val="34A853"/>
                <w:sz w:val="16"/>
              </w:rPr>
            </w:pPr>
            <w:r>
              <w:rPr>
                <w:rFonts w:ascii="Arial" w:hAnsi="Arial"/>
                <w:b/>
                <w:i w:val="false"/>
                <w:caps w:val="false"/>
                <w:smallCaps w:val="false"/>
                <w:color w:val="34A853"/>
                <w:sz w:val="16"/>
              </w:rPr>
              <w:t>46 pp</w:t>
            </w:r>
          </w:p>
        </w:tc>
      </w:tr>
      <w:tr>
        <w:trPr/>
        <w:tc>
          <w:tcPr>
            <w:tcW w:w="1731" w:type="dxa"/>
            <w:vMerge w:val="continue"/>
            <w:tcBorders>
              <w:left w:val="single" w:sz="8" w:space="0" w:color="000000"/>
              <w:bottom w:val="single" w:sz="8" w:space="0" w:color="000000"/>
              <w:right w:val="single" w:sz="8" w:space="0" w:color="000000"/>
            </w:tcBorders>
            <w:shd w:fill="BDD6EE" w:val="clear"/>
            <w:tcMar>
              <w:top w:w="0" w:type="dxa"/>
            </w:tcMar>
            <w:vAlign w:val="center"/>
          </w:tcPr>
          <w:p>
            <w:pPr>
              <w:pStyle w:val="Normal"/>
              <w:bidi w:val="0"/>
              <w:jc w:val="left"/>
              <w:rPr/>
            </w:pPr>
            <w:r>
              <w:rPr/>
            </w:r>
          </w:p>
        </w:tc>
        <w:tc>
          <w:tcPr>
            <w:tcW w:w="1351" w:type="dxa"/>
            <w:vMerge w:val="restart"/>
            <w:tcBorders>
              <w:bottom w:val="single" w:sz="8" w:space="0" w:color="000000"/>
              <w:right w:val="single" w:sz="8" w:space="0" w:color="000000"/>
            </w:tcBorders>
            <w:shd w:fill="BDD6EE" w:val="clear"/>
            <w:tcMar>
              <w:top w:w="0" w:type="dxa"/>
              <w:left w:w="0" w:type="dxa"/>
            </w:tcM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Credicorp Capital</w:t>
            </w:r>
          </w:p>
        </w:tc>
        <w:tc>
          <w:tcPr>
            <w:tcW w:w="3936"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 ESG integration over total portfolio</w:t>
            </w:r>
          </w:p>
        </w:tc>
        <w:tc>
          <w:tcPr>
            <w:tcW w:w="965"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57</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NA</w:t>
            </w:r>
          </w:p>
        </w:tc>
        <w:tc>
          <w:tcPr>
            <w:tcW w:w="74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w:t>
            </w:r>
          </w:p>
        </w:tc>
      </w:tr>
      <w:tr>
        <w:trPr/>
        <w:tc>
          <w:tcPr>
            <w:tcW w:w="1731" w:type="dxa"/>
            <w:vMerge w:val="continue"/>
            <w:tcBorders>
              <w:left w:val="single" w:sz="8" w:space="0" w:color="000000"/>
              <w:bottom w:val="single" w:sz="8" w:space="0" w:color="000000"/>
              <w:right w:val="single" w:sz="8" w:space="0" w:color="000000"/>
            </w:tcBorders>
            <w:shd w:fill="BDD6EE" w:val="clear"/>
            <w:tcMar>
              <w:top w:w="0" w:type="dxa"/>
            </w:tcMar>
            <w:vAlign w:val="center"/>
          </w:tcPr>
          <w:p>
            <w:pPr>
              <w:pStyle w:val="Normal"/>
              <w:bidi w:val="0"/>
              <w:jc w:val="left"/>
              <w:rPr/>
            </w:pPr>
            <w:r>
              <w:rPr/>
            </w:r>
          </w:p>
        </w:tc>
        <w:tc>
          <w:tcPr>
            <w:tcW w:w="1351" w:type="dxa"/>
            <w:vMerge w:val="continue"/>
            <w:tcBorders>
              <w:bottom w:val="single" w:sz="8" w:space="0" w:color="000000"/>
              <w:right w:val="single" w:sz="8" w:space="0" w:color="000000"/>
            </w:tcBorders>
            <w:shd w:fill="BDD6EE" w:val="clear"/>
            <w:tcMar>
              <w:top w:w="0" w:type="dxa"/>
              <w:left w:w="0" w:type="dxa"/>
            </w:tcMar>
            <w:vAlign w:val="center"/>
          </w:tcPr>
          <w:p>
            <w:pPr>
              <w:pStyle w:val="Normal"/>
              <w:bidi w:val="0"/>
              <w:jc w:val="left"/>
              <w:rPr/>
            </w:pPr>
            <w:r>
              <w:rPr/>
            </w:r>
          </w:p>
        </w:tc>
        <w:tc>
          <w:tcPr>
            <w:tcW w:w="3936"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Credicorp Capital PRI score</w:t>
            </w:r>
          </w:p>
        </w:tc>
        <w:tc>
          <w:tcPr>
            <w:tcW w:w="965"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 stars</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3</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3</w:t>
            </w:r>
          </w:p>
        </w:tc>
        <w:tc>
          <w:tcPr>
            <w:tcW w:w="74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w:t>
            </w:r>
          </w:p>
        </w:tc>
      </w:tr>
      <w:tr>
        <w:trPr/>
        <w:tc>
          <w:tcPr>
            <w:tcW w:w="1731" w:type="dxa"/>
            <w:vMerge w:val="continue"/>
            <w:tcBorders>
              <w:left w:val="single" w:sz="8" w:space="0" w:color="000000"/>
              <w:bottom w:val="single" w:sz="8" w:space="0" w:color="000000"/>
              <w:right w:val="single" w:sz="8" w:space="0" w:color="000000"/>
            </w:tcBorders>
            <w:shd w:fill="BDD6EE" w:val="clear"/>
            <w:tcMar>
              <w:top w:w="0" w:type="dxa"/>
            </w:tcMar>
            <w:vAlign w:val="center"/>
          </w:tcPr>
          <w:p>
            <w:pPr>
              <w:pStyle w:val="Normal"/>
              <w:bidi w:val="0"/>
              <w:jc w:val="left"/>
              <w:rPr/>
            </w:pPr>
            <w:r>
              <w:rPr/>
            </w:r>
          </w:p>
        </w:tc>
        <w:tc>
          <w:tcPr>
            <w:tcW w:w="1351" w:type="dxa"/>
            <w:tcBorders>
              <w:bottom w:val="single" w:sz="8" w:space="0" w:color="000000"/>
              <w:right w:val="single" w:sz="8" w:space="0" w:color="000000"/>
            </w:tcBorders>
            <w:shd w:fill="BDD6EE" w:val="clear"/>
            <w:tcMar>
              <w:top w:w="0" w:type="dxa"/>
              <w:left w:w="0" w:type="dxa"/>
            </w:tcM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PRIMA AFP</w:t>
            </w:r>
          </w:p>
        </w:tc>
        <w:tc>
          <w:tcPr>
            <w:tcW w:w="3936"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 ESG integration over total portfolio</w:t>
            </w:r>
          </w:p>
        </w:tc>
        <w:tc>
          <w:tcPr>
            <w:tcW w:w="965"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94</w:t>
            </w:r>
          </w:p>
        </w:tc>
        <w:tc>
          <w:tcPr>
            <w:tcW w:w="740" w:type="dxa"/>
            <w:tcBorders>
              <w:bottom w:val="single" w:sz="8" w:space="0" w:color="000000"/>
              <w:right w:val="single" w:sz="8" w:space="0" w:color="000000"/>
            </w:tcBorders>
            <w:shd w:fill="DFEAF2"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95</w:t>
            </w:r>
          </w:p>
        </w:tc>
        <w:tc>
          <w:tcPr>
            <w:tcW w:w="74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rFonts w:ascii="Arial" w:hAnsi="Arial"/>
                <w:b/>
                <w:i w:val="false"/>
                <w:caps w:val="false"/>
                <w:smallCaps w:val="false"/>
                <w:color w:val="34A853"/>
                <w:sz w:val="16"/>
              </w:rPr>
            </w:pPr>
            <w:r>
              <w:rPr>
                <w:rFonts w:ascii="Arial" w:hAnsi="Arial"/>
                <w:b/>
                <w:i w:val="false"/>
                <w:caps w:val="false"/>
                <w:smallCaps w:val="false"/>
                <w:color w:val="34A853"/>
                <w:sz w:val="16"/>
              </w:rPr>
              <w:t>1 pp</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200" w:after="20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63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7475" w:type="dxa"/>
        <w:jc w:val="left"/>
        <w:tblInd w:w="-10" w:type="dxa"/>
        <w:tblLayout w:type="fixed"/>
        <w:tblCellMar>
          <w:top w:w="0" w:type="dxa"/>
          <w:left w:w="40" w:type="dxa"/>
          <w:bottom w:w="28" w:type="dxa"/>
          <w:right w:w="40" w:type="dxa"/>
        </w:tblCellMar>
      </w:tblPr>
      <w:tblGrid>
        <w:gridCol w:w="1640"/>
        <w:gridCol w:w="1085"/>
        <w:gridCol w:w="2765"/>
        <w:gridCol w:w="815"/>
        <w:gridCol w:w="290"/>
        <w:gridCol w:w="425"/>
        <w:gridCol w:w="455"/>
      </w:tblGrid>
      <w:tr>
        <w:trPr/>
        <w:tc>
          <w:tcPr>
            <w:tcW w:w="1640" w:type="dxa"/>
            <w:vMerge w:val="restart"/>
            <w:tcBorders>
              <w:left w:val="single" w:sz="8" w:space="0" w:color="000000"/>
              <w:bottom w:val="single" w:sz="8" w:space="0" w:color="000000"/>
              <w:right w:val="single" w:sz="8" w:space="0" w:color="000000"/>
            </w:tcBorders>
            <w:shd w:fill="BCD3E8" w:val="cle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Sustainable Finance</w:t>
            </w:r>
          </w:p>
        </w:tc>
        <w:tc>
          <w:tcPr>
            <w:tcW w:w="1085" w:type="dxa"/>
            <w:vMerge w:val="restart"/>
            <w:tcBorders>
              <w:bottom w:val="single" w:sz="8" w:space="0" w:color="000000"/>
              <w:right w:val="single" w:sz="8" w:space="0" w:color="000000"/>
            </w:tcBorders>
            <w:shd w:fill="BCD3E8" w:val="clear"/>
            <w:tcMar>
              <w:left w:w="0" w:type="dxa"/>
            </w:tcM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BCP BOLIVIA</w:t>
            </w:r>
          </w:p>
        </w:tc>
        <w:tc>
          <w:tcPr>
            <w:tcW w:w="2765" w:type="dxa"/>
            <w:vMerge w:val="restart"/>
            <w:tcBorders>
              <w:bottom w:val="single" w:sz="8" w:space="0" w:color="000000"/>
              <w:right w:val="single" w:sz="8" w:space="0" w:color="000000"/>
            </w:tcBorders>
            <w:shd w:fill="DFEAF2" w:val="clear"/>
            <w:tcMar>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Outstanding green financing balances</w:t>
            </w:r>
          </w:p>
        </w:tc>
        <w:tc>
          <w:tcPr>
            <w:tcW w:w="815" w:type="dxa"/>
            <w:tcBorders>
              <w:bottom w:val="single" w:sz="8" w:space="0" w:color="000000"/>
              <w:right w:val="single" w:sz="8" w:space="0" w:color="000000"/>
            </w:tcBorders>
            <w:shd w:fill="DFEAF2" w:val="clear"/>
            <w:tcMar>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w:t>
            </w:r>
          </w:p>
        </w:tc>
        <w:tc>
          <w:tcPr>
            <w:tcW w:w="290" w:type="dxa"/>
            <w:tcBorders>
              <w:bottom w:val="single" w:sz="8" w:space="0" w:color="000000"/>
              <w:right w:val="single" w:sz="8" w:space="0" w:color="000000"/>
            </w:tcBorders>
            <w:shd w:fill="DFEAF2" w:val="clear"/>
            <w:tcMar>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NA</w:t>
            </w:r>
          </w:p>
        </w:tc>
        <w:tc>
          <w:tcPr>
            <w:tcW w:w="425" w:type="dxa"/>
            <w:tcBorders>
              <w:bottom w:val="single" w:sz="8" w:space="0" w:color="000000"/>
              <w:right w:val="single" w:sz="8" w:space="0" w:color="000000"/>
            </w:tcBorders>
            <w:shd w:fill="DFEAF2" w:val="clear"/>
            <w:tcMar>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27</w:t>
            </w:r>
          </w:p>
        </w:tc>
        <w:tc>
          <w:tcPr>
            <w:tcW w:w="455" w:type="dxa"/>
            <w:tcBorders>
              <w:bottom w:val="single" w:sz="8" w:space="0" w:color="000000"/>
              <w:right w:val="single" w:sz="8" w:space="0" w:color="000000"/>
            </w:tcBorders>
            <w:shd w:fill="F3F3F3" w:val="clear"/>
            <w:tcMar>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w:t>
            </w:r>
          </w:p>
        </w:tc>
      </w:tr>
      <w:tr>
        <w:trPr/>
        <w:tc>
          <w:tcPr>
            <w:tcW w:w="1640" w:type="dxa"/>
            <w:vMerge w:val="continue"/>
            <w:tcBorders>
              <w:left w:val="single" w:sz="8" w:space="0" w:color="000000"/>
              <w:bottom w:val="single" w:sz="8" w:space="0" w:color="000000"/>
              <w:right w:val="single" w:sz="8" w:space="0" w:color="000000"/>
            </w:tcBorders>
            <w:shd w:fill="BCD3E8" w:val="clear"/>
            <w:vAlign w:val="center"/>
          </w:tcPr>
          <w:p>
            <w:pPr>
              <w:pStyle w:val="Normal"/>
              <w:bidi w:val="0"/>
              <w:jc w:val="left"/>
              <w:rPr/>
            </w:pPr>
            <w:r>
              <w:rPr/>
            </w:r>
          </w:p>
        </w:tc>
        <w:tc>
          <w:tcPr>
            <w:tcW w:w="1085" w:type="dxa"/>
            <w:vMerge w:val="continue"/>
            <w:tcBorders>
              <w:bottom w:val="single" w:sz="8" w:space="0" w:color="000000"/>
              <w:right w:val="single" w:sz="8" w:space="0" w:color="000000"/>
            </w:tcBorders>
            <w:shd w:fill="BCD3E8" w:val="clear"/>
            <w:tcMar>
              <w:left w:w="0" w:type="dxa"/>
            </w:tcMar>
            <w:vAlign w:val="center"/>
          </w:tcPr>
          <w:p>
            <w:pPr>
              <w:pStyle w:val="Normal"/>
              <w:bidi w:val="0"/>
              <w:jc w:val="left"/>
              <w:rPr/>
            </w:pPr>
            <w:r>
              <w:rPr/>
            </w:r>
          </w:p>
        </w:tc>
        <w:tc>
          <w:tcPr>
            <w:tcW w:w="2765" w:type="dxa"/>
            <w:vMerge w:val="continue"/>
            <w:tcBorders>
              <w:bottom w:val="single" w:sz="8" w:space="0" w:color="000000"/>
              <w:right w:val="single" w:sz="8" w:space="0" w:color="000000"/>
            </w:tcBorders>
            <w:shd w:fill="DFEAF2" w:val="clear"/>
            <w:tcMar>
              <w:left w:w="0" w:type="dxa"/>
            </w:tcMar>
            <w:vAlign w:val="center"/>
          </w:tcPr>
          <w:p>
            <w:pPr>
              <w:pStyle w:val="Normal"/>
              <w:bidi w:val="0"/>
              <w:jc w:val="left"/>
              <w:rPr/>
            </w:pPr>
            <w:r>
              <w:rPr/>
            </w:r>
          </w:p>
        </w:tc>
        <w:tc>
          <w:tcPr>
            <w:tcW w:w="815" w:type="dxa"/>
            <w:tcBorders>
              <w:bottom w:val="single" w:sz="8" w:space="0" w:color="000000"/>
              <w:right w:val="single" w:sz="8" w:space="0" w:color="000000"/>
            </w:tcBorders>
            <w:shd w:fill="DFEAF2" w:val="clear"/>
            <w:tcMar>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US$ million</w:t>
            </w:r>
          </w:p>
        </w:tc>
        <w:tc>
          <w:tcPr>
            <w:tcW w:w="290" w:type="dxa"/>
            <w:tcBorders>
              <w:bottom w:val="single" w:sz="8" w:space="0" w:color="000000"/>
              <w:right w:val="single" w:sz="8" w:space="0" w:color="000000"/>
            </w:tcBorders>
            <w:shd w:fill="DFEAF2" w:val="clear"/>
            <w:tcMar>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NA</w:t>
            </w:r>
          </w:p>
        </w:tc>
        <w:tc>
          <w:tcPr>
            <w:tcW w:w="425" w:type="dxa"/>
            <w:tcBorders>
              <w:bottom w:val="single" w:sz="8" w:space="0" w:color="000000"/>
              <w:right w:val="single" w:sz="8" w:space="0" w:color="000000"/>
            </w:tcBorders>
            <w:shd w:fill="DFEAF2" w:val="clear"/>
            <w:tcMar>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46.5</w:t>
            </w:r>
          </w:p>
        </w:tc>
        <w:tc>
          <w:tcPr>
            <w:tcW w:w="455" w:type="dxa"/>
            <w:tcBorders>
              <w:bottom w:val="single" w:sz="8" w:space="0" w:color="000000"/>
              <w:right w:val="single" w:sz="8" w:space="0" w:color="000000"/>
            </w:tcBorders>
            <w:shd w:fill="F3F3F3" w:val="clear"/>
            <w:tcMar>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w:t>
            </w:r>
          </w:p>
        </w:tc>
      </w:tr>
      <w:tr>
        <w:trPr/>
        <w:tc>
          <w:tcPr>
            <w:tcW w:w="1640" w:type="dxa"/>
            <w:vMerge w:val="continue"/>
            <w:tcBorders>
              <w:left w:val="single" w:sz="8" w:space="0" w:color="000000"/>
              <w:bottom w:val="single" w:sz="8" w:space="0" w:color="000000"/>
              <w:right w:val="single" w:sz="8" w:space="0" w:color="000000"/>
            </w:tcBorders>
            <w:shd w:fill="BCD3E8" w:val="clear"/>
            <w:vAlign w:val="center"/>
          </w:tcPr>
          <w:p>
            <w:pPr>
              <w:pStyle w:val="Normal"/>
              <w:bidi w:val="0"/>
              <w:jc w:val="left"/>
              <w:rPr/>
            </w:pPr>
            <w:r>
              <w:rPr/>
            </w:r>
          </w:p>
        </w:tc>
        <w:tc>
          <w:tcPr>
            <w:tcW w:w="1085" w:type="dxa"/>
            <w:vMerge w:val="restart"/>
            <w:tcBorders>
              <w:bottom w:val="single" w:sz="8" w:space="0" w:color="000000"/>
              <w:right w:val="single" w:sz="8" w:space="0" w:color="000000"/>
            </w:tcBorders>
            <w:shd w:fill="BCD3E8" w:val="clear"/>
            <w:tcMar>
              <w:left w:w="0" w:type="dxa"/>
            </w:tcM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BCP</w:t>
            </w:r>
          </w:p>
        </w:tc>
        <w:tc>
          <w:tcPr>
            <w:tcW w:w="2765" w:type="dxa"/>
            <w:vMerge w:val="restart"/>
            <w:tcBorders>
              <w:bottom w:val="single" w:sz="8" w:space="0" w:color="000000"/>
              <w:right w:val="single" w:sz="8" w:space="0" w:color="000000"/>
            </w:tcBorders>
            <w:shd w:fill="DFEAF2" w:val="clear"/>
            <w:tcMar>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Green labeled financing</w:t>
            </w:r>
          </w:p>
        </w:tc>
        <w:tc>
          <w:tcPr>
            <w:tcW w:w="815" w:type="dxa"/>
            <w:tcBorders>
              <w:bottom w:val="single" w:sz="8" w:space="0" w:color="000000"/>
              <w:right w:val="single" w:sz="8" w:space="0" w:color="000000"/>
            </w:tcBorders>
            <w:shd w:fill="DFEAF2" w:val="clear"/>
            <w:tcMar>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w:t>
            </w:r>
          </w:p>
        </w:tc>
        <w:tc>
          <w:tcPr>
            <w:tcW w:w="290" w:type="dxa"/>
            <w:tcBorders>
              <w:bottom w:val="single" w:sz="8" w:space="0" w:color="000000"/>
              <w:right w:val="single" w:sz="8" w:space="0" w:color="000000"/>
            </w:tcBorders>
            <w:shd w:fill="DFEAF2" w:val="clear"/>
            <w:tcMar>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7</w:t>
            </w:r>
          </w:p>
        </w:tc>
        <w:tc>
          <w:tcPr>
            <w:tcW w:w="425" w:type="dxa"/>
            <w:tcBorders>
              <w:bottom w:val="single" w:sz="8" w:space="0" w:color="000000"/>
              <w:right w:val="single" w:sz="8" w:space="0" w:color="000000"/>
            </w:tcBorders>
            <w:shd w:fill="DFEAF2" w:val="clear"/>
            <w:tcMar>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59</w:t>
            </w:r>
          </w:p>
        </w:tc>
        <w:tc>
          <w:tcPr>
            <w:tcW w:w="455" w:type="dxa"/>
            <w:tcBorders>
              <w:bottom w:val="single" w:sz="8" w:space="0" w:color="000000"/>
              <w:right w:val="single" w:sz="8" w:space="0" w:color="000000"/>
            </w:tcBorders>
            <w:shd w:fill="F3F3F3" w:val="clear"/>
            <w:tcMar>
              <w:left w:w="0" w:type="dxa"/>
            </w:tcMar>
            <w:vAlign w:val="center"/>
          </w:tcPr>
          <w:p>
            <w:pPr>
              <w:pStyle w:val="TableContents"/>
              <w:bidi w:val="0"/>
              <w:spacing w:before="0" w:after="283"/>
              <w:jc w:val="center"/>
              <w:rPr>
                <w:rFonts w:ascii="Arial" w:hAnsi="Arial"/>
                <w:b/>
                <w:i w:val="false"/>
                <w:caps w:val="false"/>
                <w:smallCaps w:val="false"/>
                <w:color w:val="43AB5B"/>
                <w:sz w:val="16"/>
              </w:rPr>
            </w:pPr>
            <w:r>
              <w:rPr>
                <w:rFonts w:ascii="Arial" w:hAnsi="Arial"/>
                <w:b/>
                <w:i w:val="false"/>
                <w:caps w:val="false"/>
                <w:smallCaps w:val="false"/>
                <w:color w:val="43AB5B"/>
                <w:sz w:val="16"/>
              </w:rPr>
              <w:t>743%</w:t>
            </w:r>
          </w:p>
        </w:tc>
      </w:tr>
      <w:tr>
        <w:trPr/>
        <w:tc>
          <w:tcPr>
            <w:tcW w:w="1640" w:type="dxa"/>
            <w:vMerge w:val="continue"/>
            <w:tcBorders>
              <w:left w:val="single" w:sz="8" w:space="0" w:color="000000"/>
              <w:bottom w:val="single" w:sz="8" w:space="0" w:color="000000"/>
              <w:right w:val="single" w:sz="8" w:space="0" w:color="000000"/>
            </w:tcBorders>
            <w:shd w:fill="BCD3E8" w:val="clear"/>
            <w:vAlign w:val="center"/>
          </w:tcPr>
          <w:p>
            <w:pPr>
              <w:pStyle w:val="Normal"/>
              <w:bidi w:val="0"/>
              <w:jc w:val="left"/>
              <w:rPr/>
            </w:pPr>
            <w:r>
              <w:rPr/>
            </w:r>
          </w:p>
        </w:tc>
        <w:tc>
          <w:tcPr>
            <w:tcW w:w="1085" w:type="dxa"/>
            <w:vMerge w:val="continue"/>
            <w:tcBorders>
              <w:bottom w:val="single" w:sz="8" w:space="0" w:color="000000"/>
              <w:right w:val="single" w:sz="8" w:space="0" w:color="000000"/>
            </w:tcBorders>
            <w:shd w:fill="BCD3E8" w:val="clear"/>
            <w:tcMar>
              <w:left w:w="0" w:type="dxa"/>
            </w:tcMar>
            <w:vAlign w:val="center"/>
          </w:tcPr>
          <w:p>
            <w:pPr>
              <w:pStyle w:val="Normal"/>
              <w:bidi w:val="0"/>
              <w:jc w:val="left"/>
              <w:rPr/>
            </w:pPr>
            <w:r>
              <w:rPr/>
            </w:r>
          </w:p>
        </w:tc>
        <w:tc>
          <w:tcPr>
            <w:tcW w:w="2765" w:type="dxa"/>
            <w:vMerge w:val="continue"/>
            <w:tcBorders>
              <w:bottom w:val="single" w:sz="8" w:space="0" w:color="000000"/>
              <w:right w:val="single" w:sz="8" w:space="0" w:color="000000"/>
            </w:tcBorders>
            <w:shd w:fill="DFEAF2" w:val="clear"/>
            <w:tcMar>
              <w:left w:w="0" w:type="dxa"/>
            </w:tcMar>
            <w:vAlign w:val="center"/>
          </w:tcPr>
          <w:p>
            <w:pPr>
              <w:pStyle w:val="Normal"/>
              <w:bidi w:val="0"/>
              <w:jc w:val="left"/>
              <w:rPr/>
            </w:pPr>
            <w:r>
              <w:rPr/>
            </w:r>
          </w:p>
        </w:tc>
        <w:tc>
          <w:tcPr>
            <w:tcW w:w="815" w:type="dxa"/>
            <w:tcBorders>
              <w:bottom w:val="single" w:sz="8" w:space="0" w:color="000000"/>
              <w:right w:val="single" w:sz="8" w:space="0" w:color="000000"/>
            </w:tcBorders>
            <w:shd w:fill="DFEAF2" w:val="clear"/>
            <w:tcMar>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US$ million</w:t>
            </w:r>
          </w:p>
        </w:tc>
        <w:tc>
          <w:tcPr>
            <w:tcW w:w="290" w:type="dxa"/>
            <w:tcBorders>
              <w:bottom w:val="single" w:sz="8" w:space="0" w:color="000000"/>
              <w:right w:val="single" w:sz="8" w:space="0" w:color="000000"/>
            </w:tcBorders>
            <w:shd w:fill="DFEAF2" w:val="clear"/>
            <w:tcMar>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162</w:t>
            </w:r>
          </w:p>
        </w:tc>
        <w:tc>
          <w:tcPr>
            <w:tcW w:w="425" w:type="dxa"/>
            <w:tcBorders>
              <w:bottom w:val="single" w:sz="8" w:space="0" w:color="000000"/>
              <w:right w:val="single" w:sz="8" w:space="0" w:color="000000"/>
            </w:tcBorders>
            <w:shd w:fill="DFEAF2" w:val="clear"/>
            <w:tcMar>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585.8</w:t>
            </w:r>
          </w:p>
        </w:tc>
        <w:tc>
          <w:tcPr>
            <w:tcW w:w="455" w:type="dxa"/>
            <w:tcBorders>
              <w:bottom w:val="single" w:sz="8" w:space="0" w:color="000000"/>
              <w:right w:val="single" w:sz="8" w:space="0" w:color="000000"/>
            </w:tcBorders>
            <w:shd w:fill="F3F3F3" w:val="clear"/>
            <w:tcMar>
              <w:left w:w="0" w:type="dxa"/>
            </w:tcMar>
            <w:vAlign w:val="center"/>
          </w:tcPr>
          <w:p>
            <w:pPr>
              <w:pStyle w:val="TableContents"/>
              <w:bidi w:val="0"/>
              <w:spacing w:before="0" w:after="283"/>
              <w:jc w:val="center"/>
              <w:rPr>
                <w:rFonts w:ascii="Arial" w:hAnsi="Arial"/>
                <w:b/>
                <w:i w:val="false"/>
                <w:caps w:val="false"/>
                <w:smallCaps w:val="false"/>
                <w:color w:val="43AB5B"/>
                <w:sz w:val="16"/>
              </w:rPr>
            </w:pPr>
            <w:r>
              <w:rPr>
                <w:rFonts w:ascii="Arial" w:hAnsi="Arial"/>
                <w:b/>
                <w:i w:val="false"/>
                <w:caps w:val="false"/>
                <w:smallCaps w:val="false"/>
                <w:color w:val="43AB5B"/>
                <w:sz w:val="16"/>
              </w:rPr>
              <w:t>259%</w:t>
            </w:r>
          </w:p>
        </w:tc>
      </w:tr>
      <w:tr>
        <w:trPr/>
        <w:tc>
          <w:tcPr>
            <w:tcW w:w="1640" w:type="dxa"/>
            <w:tcBorders/>
            <w:tcMar>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tcMar>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2765" w:type="dxa"/>
            <w:tcBorders/>
            <w:tcMar>
              <w:left w:w="0" w:type="dxa"/>
              <w:bottom w:w="0" w:type="dxa"/>
              <w:right w:w="0" w:type="dxa"/>
            </w:tcMar>
            <w:vAlign w:val="center"/>
          </w:tcPr>
          <w:p>
            <w:pPr>
              <w:pStyle w:val="TableContents"/>
              <w:bidi w:val="0"/>
              <w:spacing w:before="0" w:after="283"/>
              <w:jc w:val="center"/>
              <w:rPr>
                <w:caps w:val="false"/>
                <w:smallCaps w:val="false"/>
              </w:rPr>
            </w:pPr>
            <w:r>
              <w:rPr>
                <w:caps w:val="false"/>
                <w:smallCaps w:val="false"/>
              </w:rPr>
              <w:t> </w:t>
            </w:r>
          </w:p>
        </w:tc>
        <w:tc>
          <w:tcPr>
            <w:tcW w:w="815" w:type="dxa"/>
            <w:tcBorders/>
            <w:tcMar>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290" w:type="dxa"/>
            <w:tcBorders/>
            <w:tcMar>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tcMar>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455" w:type="dxa"/>
            <w:tcBorders/>
            <w:tcMar>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r>
    </w:tbl>
    <w:tbl>
      <w:tblPr>
        <w:tblW w:w="10205" w:type="dxa"/>
        <w:jc w:val="left"/>
        <w:tblInd w:w="-10" w:type="dxa"/>
        <w:tblLayout w:type="fixed"/>
        <w:tblCellMar>
          <w:top w:w="28" w:type="dxa"/>
          <w:left w:w="40" w:type="dxa"/>
          <w:bottom w:w="28" w:type="dxa"/>
          <w:right w:w="40" w:type="dxa"/>
        </w:tblCellMar>
      </w:tblPr>
      <w:tblGrid>
        <w:gridCol w:w="1192"/>
        <w:gridCol w:w="1333"/>
        <w:gridCol w:w="4539"/>
        <w:gridCol w:w="920"/>
        <w:gridCol w:w="740"/>
        <w:gridCol w:w="740"/>
        <w:gridCol w:w="741"/>
      </w:tblGrid>
      <w:tr>
        <w:trPr/>
        <w:tc>
          <w:tcPr>
            <w:tcW w:w="10205" w:type="dxa"/>
            <w:gridSpan w:val="7"/>
            <w:tcBorders>
              <w:top w:val="single" w:sz="8" w:space="0" w:color="000000"/>
              <w:left w:val="single" w:sz="8" w:space="0" w:color="000000"/>
              <w:bottom w:val="single" w:sz="8" w:space="0" w:color="000000"/>
              <w:right w:val="single" w:sz="8" w:space="0" w:color="000000"/>
            </w:tcBorders>
            <w:shd w:fill="ACD9B6" w:val="clear"/>
            <w:vAlign w:val="center"/>
          </w:tcPr>
          <w:p>
            <w:pPr>
              <w:pStyle w:val="TableContents"/>
              <w:bidi w:val="0"/>
              <w:spacing w:before="0" w:after="283"/>
              <w:jc w:val="left"/>
              <w:rPr>
                <w:rFonts w:ascii="Arial" w:hAnsi="Arial"/>
                <w:b/>
                <w:i w:val="false"/>
                <w:caps w:val="false"/>
                <w:smallCaps w:val="false"/>
                <w:sz w:val="16"/>
              </w:rPr>
            </w:pPr>
            <w:r>
              <w:rPr>
                <w:rFonts w:ascii="Arial" w:hAnsi="Arial"/>
                <w:b/>
                <w:i w:val="false"/>
                <w:caps w:val="false"/>
                <w:smallCaps w:val="false"/>
                <w:sz w:val="16"/>
              </w:rPr>
              <w:t>Pillar 2: Improve citizens’ financial health</w:t>
            </w:r>
          </w:p>
        </w:tc>
      </w:tr>
      <w:tr>
        <w:trPr/>
        <w:tc>
          <w:tcPr>
            <w:tcW w:w="1192" w:type="dxa"/>
            <w:tcBorders>
              <w:left w:val="single" w:sz="8" w:space="0" w:color="000000"/>
              <w:bottom w:val="single" w:sz="8" w:space="0" w:color="000000"/>
              <w:right w:val="single" w:sz="8" w:space="0" w:color="000000"/>
            </w:tcBorders>
            <w:shd w:fill="ACD9B6" w:val="clear"/>
            <w:tcMar>
              <w:top w:w="0" w:type="dxa"/>
            </w:tcM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Ambition</w:t>
            </w:r>
          </w:p>
        </w:tc>
        <w:tc>
          <w:tcPr>
            <w:tcW w:w="1333" w:type="dxa"/>
            <w:tcBorders>
              <w:bottom w:val="single" w:sz="8" w:space="0" w:color="000000"/>
              <w:right w:val="single" w:sz="8" w:space="0" w:color="000000"/>
            </w:tcBorders>
            <w:shd w:fill="ACD9B6" w:val="clear"/>
            <w:tcMar>
              <w:top w:w="0" w:type="dxa"/>
              <w:left w:w="0" w:type="dxa"/>
            </w:tcM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Subsidiary</w:t>
            </w:r>
          </w:p>
        </w:tc>
        <w:tc>
          <w:tcPr>
            <w:tcW w:w="4539" w:type="dxa"/>
            <w:tcBorders>
              <w:bottom w:val="single" w:sz="8" w:space="0" w:color="000000"/>
              <w:right w:val="single" w:sz="8" w:space="0" w:color="000000"/>
            </w:tcBorders>
            <w:shd w:fill="ACD9B6" w:val="clear"/>
            <w:tcMar>
              <w:top w:w="0" w:type="dxa"/>
              <w:left w:w="0" w:type="dxa"/>
            </w:tcM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Indicator</w:t>
            </w:r>
          </w:p>
        </w:tc>
        <w:tc>
          <w:tcPr>
            <w:tcW w:w="920" w:type="dxa"/>
            <w:tcBorders>
              <w:bottom w:val="single" w:sz="8" w:space="0" w:color="000000"/>
              <w:right w:val="single" w:sz="8" w:space="0" w:color="000000"/>
            </w:tcBorders>
            <w:shd w:fill="ACD9B6" w:val="clear"/>
            <w:tcMar>
              <w:top w:w="0" w:type="dxa"/>
              <w:left w:w="0" w:type="dxa"/>
            </w:tcM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Unit</w:t>
            </w:r>
          </w:p>
        </w:tc>
        <w:tc>
          <w:tcPr>
            <w:tcW w:w="740" w:type="dxa"/>
            <w:tcBorders>
              <w:bottom w:val="single" w:sz="8" w:space="0" w:color="000000"/>
              <w:right w:val="single" w:sz="8" w:space="0" w:color="000000"/>
            </w:tcBorders>
            <w:shd w:fill="ACD9B6" w:val="clear"/>
            <w:tcMar>
              <w:top w:w="0" w:type="dxa"/>
              <w:left w:w="0" w:type="dxa"/>
            </w:tcM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2022</w:t>
            </w:r>
          </w:p>
        </w:tc>
        <w:tc>
          <w:tcPr>
            <w:tcW w:w="740" w:type="dxa"/>
            <w:tcBorders>
              <w:bottom w:val="single" w:sz="8" w:space="0" w:color="000000"/>
              <w:right w:val="single" w:sz="8" w:space="0" w:color="000000"/>
            </w:tcBorders>
            <w:shd w:fill="ACD9B6" w:val="clear"/>
            <w:tcMar>
              <w:top w:w="0" w:type="dxa"/>
              <w:left w:w="0" w:type="dxa"/>
            </w:tcM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2023</w:t>
            </w:r>
          </w:p>
        </w:tc>
        <w:tc>
          <w:tcPr>
            <w:tcW w:w="741" w:type="dxa"/>
            <w:tcBorders>
              <w:bottom w:val="single" w:sz="8" w:space="0" w:color="000000"/>
              <w:right w:val="single" w:sz="8" w:space="0" w:color="000000"/>
            </w:tcBorders>
            <w:shd w:fill="ACD9B6" w:val="clear"/>
            <w:tcMar>
              <w:top w:w="0" w:type="dxa"/>
              <w:left w:w="0" w:type="dxa"/>
            </w:tcM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Variation</w:t>
            </w:r>
          </w:p>
        </w:tc>
      </w:tr>
      <w:tr>
        <w:trPr/>
        <w:tc>
          <w:tcPr>
            <w:tcW w:w="1192" w:type="dxa"/>
            <w:vMerge w:val="restart"/>
            <w:tcBorders>
              <w:left w:val="single" w:sz="8" w:space="0" w:color="000000"/>
              <w:bottom w:val="single" w:sz="8" w:space="0" w:color="000000"/>
              <w:right w:val="single" w:sz="8" w:space="0" w:color="000000"/>
            </w:tcBorders>
            <w:shd w:fill="ACD9B6" w:val="clear"/>
            <w:tcMar>
              <w:top w:w="0" w:type="dxa"/>
            </w:tcM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Financial education</w:t>
            </w:r>
          </w:p>
        </w:tc>
        <w:tc>
          <w:tcPr>
            <w:tcW w:w="1333" w:type="dxa"/>
            <w:vMerge w:val="restart"/>
            <w:tcBorders>
              <w:bottom w:val="single" w:sz="8" w:space="0" w:color="000000"/>
              <w:right w:val="single" w:sz="8" w:space="0" w:color="000000"/>
            </w:tcBorders>
            <w:shd w:fill="ACD9B6" w:val="clear"/>
            <w:tcMar>
              <w:top w:w="0" w:type="dxa"/>
              <w:left w:w="0" w:type="dxa"/>
            </w:tcM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BCP</w:t>
            </w:r>
          </w:p>
        </w:tc>
        <w:tc>
          <w:tcPr>
            <w:tcW w:w="4539"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Entrepreneurs benefited by Contigo Emprendedor program</w:t>
            </w:r>
          </w:p>
        </w:tc>
        <w:tc>
          <w:tcPr>
            <w:tcW w:w="92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w:t>
            </w:r>
          </w:p>
        </w:tc>
        <w:tc>
          <w:tcPr>
            <w:tcW w:w="74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110,690</w:t>
            </w:r>
          </w:p>
        </w:tc>
        <w:tc>
          <w:tcPr>
            <w:tcW w:w="74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121,019</w:t>
            </w:r>
          </w:p>
        </w:tc>
        <w:tc>
          <w:tcPr>
            <w:tcW w:w="741" w:type="dxa"/>
            <w:tcBorders>
              <w:bottom w:val="single" w:sz="8" w:space="0" w:color="000000"/>
              <w:right w:val="single" w:sz="8" w:space="0" w:color="000000"/>
            </w:tcBorders>
            <w:shd w:fill="F3F3F3" w:val="clear"/>
            <w:tcMar>
              <w:top w:w="0" w:type="dxa"/>
              <w:left w:w="0" w:type="dxa"/>
            </w:tcMar>
            <w:vAlign w:val="center"/>
          </w:tcPr>
          <w:p>
            <w:pPr>
              <w:pStyle w:val="TableContents"/>
              <w:bidi w:val="0"/>
              <w:spacing w:before="0" w:after="283"/>
              <w:jc w:val="center"/>
              <w:rPr>
                <w:rFonts w:ascii="Arial" w:hAnsi="Arial"/>
                <w:b/>
                <w:i w:val="false"/>
                <w:caps w:val="false"/>
                <w:smallCaps w:val="false"/>
                <w:color w:val="43AB5B"/>
                <w:sz w:val="16"/>
              </w:rPr>
            </w:pPr>
            <w:r>
              <w:rPr>
                <w:rFonts w:ascii="Arial" w:hAnsi="Arial"/>
                <w:b/>
                <w:i w:val="false"/>
                <w:caps w:val="false"/>
                <w:smallCaps w:val="false"/>
                <w:color w:val="43AB5B"/>
                <w:sz w:val="16"/>
              </w:rPr>
              <w:t>9%</w:t>
            </w:r>
          </w:p>
        </w:tc>
      </w:tr>
      <w:tr>
        <w:trPr/>
        <w:tc>
          <w:tcPr>
            <w:tcW w:w="1192" w:type="dxa"/>
            <w:vMerge w:val="continue"/>
            <w:tcBorders>
              <w:left w:val="single" w:sz="8" w:space="0" w:color="000000"/>
              <w:bottom w:val="single" w:sz="8" w:space="0" w:color="000000"/>
              <w:right w:val="single" w:sz="8" w:space="0" w:color="000000"/>
            </w:tcBorders>
            <w:shd w:fill="ACD9B6" w:val="clear"/>
            <w:tcMar>
              <w:top w:w="0" w:type="dxa"/>
            </w:tcMar>
            <w:vAlign w:val="center"/>
          </w:tcPr>
          <w:p>
            <w:pPr>
              <w:pStyle w:val="Normal"/>
              <w:bidi w:val="0"/>
              <w:jc w:val="left"/>
              <w:rPr/>
            </w:pPr>
            <w:r>
              <w:rPr/>
            </w:r>
          </w:p>
        </w:tc>
        <w:tc>
          <w:tcPr>
            <w:tcW w:w="1333" w:type="dxa"/>
            <w:vMerge w:val="continue"/>
            <w:tcBorders>
              <w:bottom w:val="single" w:sz="8" w:space="0" w:color="000000"/>
              <w:right w:val="single" w:sz="8" w:space="0" w:color="000000"/>
            </w:tcBorders>
            <w:shd w:fill="ACD9B6" w:val="clear"/>
            <w:tcMar>
              <w:top w:w="0" w:type="dxa"/>
              <w:left w:w="0" w:type="dxa"/>
            </w:tcMar>
            <w:vAlign w:val="center"/>
          </w:tcPr>
          <w:p>
            <w:pPr>
              <w:pStyle w:val="Normal"/>
              <w:bidi w:val="0"/>
              <w:jc w:val="left"/>
              <w:rPr/>
            </w:pPr>
            <w:r>
              <w:rPr/>
            </w:r>
          </w:p>
        </w:tc>
        <w:tc>
          <w:tcPr>
            <w:tcW w:w="4539"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Contigo Emprendedor program volunteers</w:t>
            </w:r>
          </w:p>
        </w:tc>
        <w:tc>
          <w:tcPr>
            <w:tcW w:w="92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w:t>
            </w:r>
          </w:p>
        </w:tc>
        <w:tc>
          <w:tcPr>
            <w:tcW w:w="74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660</w:t>
            </w:r>
          </w:p>
        </w:tc>
        <w:tc>
          <w:tcPr>
            <w:tcW w:w="74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2,213</w:t>
            </w:r>
          </w:p>
        </w:tc>
        <w:tc>
          <w:tcPr>
            <w:tcW w:w="741" w:type="dxa"/>
            <w:tcBorders>
              <w:bottom w:val="single" w:sz="8" w:space="0" w:color="000000"/>
              <w:right w:val="single" w:sz="8" w:space="0" w:color="000000"/>
            </w:tcBorders>
            <w:shd w:fill="F3F3F3" w:val="clear"/>
            <w:tcMar>
              <w:top w:w="0" w:type="dxa"/>
              <w:left w:w="0" w:type="dxa"/>
            </w:tcMar>
            <w:vAlign w:val="center"/>
          </w:tcPr>
          <w:p>
            <w:pPr>
              <w:pStyle w:val="TableContents"/>
              <w:bidi w:val="0"/>
              <w:spacing w:before="0" w:after="283"/>
              <w:jc w:val="center"/>
              <w:rPr>
                <w:rFonts w:ascii="Arial" w:hAnsi="Arial"/>
                <w:b/>
                <w:i w:val="false"/>
                <w:caps w:val="false"/>
                <w:smallCaps w:val="false"/>
                <w:color w:val="43AB5B"/>
                <w:sz w:val="16"/>
              </w:rPr>
            </w:pPr>
            <w:r>
              <w:rPr>
                <w:rFonts w:ascii="Arial" w:hAnsi="Arial"/>
                <w:b/>
                <w:i w:val="false"/>
                <w:caps w:val="false"/>
                <w:smallCaps w:val="false"/>
                <w:color w:val="43AB5B"/>
                <w:sz w:val="16"/>
              </w:rPr>
              <w:t>235%</w:t>
            </w:r>
          </w:p>
        </w:tc>
      </w:tr>
      <w:tr>
        <w:trPr/>
        <w:tc>
          <w:tcPr>
            <w:tcW w:w="1192" w:type="dxa"/>
            <w:vMerge w:val="continue"/>
            <w:tcBorders>
              <w:left w:val="single" w:sz="8" w:space="0" w:color="000000"/>
              <w:bottom w:val="single" w:sz="8" w:space="0" w:color="000000"/>
              <w:right w:val="single" w:sz="8" w:space="0" w:color="000000"/>
            </w:tcBorders>
            <w:shd w:fill="ACD9B6" w:val="clear"/>
            <w:tcMar>
              <w:top w:w="0" w:type="dxa"/>
            </w:tcMar>
            <w:vAlign w:val="center"/>
          </w:tcPr>
          <w:p>
            <w:pPr>
              <w:pStyle w:val="Normal"/>
              <w:bidi w:val="0"/>
              <w:jc w:val="left"/>
              <w:rPr/>
            </w:pPr>
            <w:r>
              <w:rPr/>
            </w:r>
          </w:p>
        </w:tc>
        <w:tc>
          <w:tcPr>
            <w:tcW w:w="1333" w:type="dxa"/>
            <w:vMerge w:val="continue"/>
            <w:tcBorders>
              <w:bottom w:val="single" w:sz="8" w:space="0" w:color="000000"/>
              <w:right w:val="single" w:sz="8" w:space="0" w:color="000000"/>
            </w:tcBorders>
            <w:shd w:fill="ACD9B6" w:val="clear"/>
            <w:tcMar>
              <w:top w:w="0" w:type="dxa"/>
              <w:left w:w="0" w:type="dxa"/>
            </w:tcMar>
            <w:vAlign w:val="center"/>
          </w:tcPr>
          <w:p>
            <w:pPr>
              <w:pStyle w:val="Normal"/>
              <w:bidi w:val="0"/>
              <w:jc w:val="left"/>
              <w:rPr/>
            </w:pPr>
            <w:r>
              <w:rPr/>
            </w:r>
          </w:p>
        </w:tc>
        <w:tc>
          <w:tcPr>
            <w:tcW w:w="4539"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People who improved their financial behavior</w:t>
            </w:r>
          </w:p>
        </w:tc>
        <w:tc>
          <w:tcPr>
            <w:tcW w:w="92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w:t>
            </w:r>
          </w:p>
        </w:tc>
        <w:tc>
          <w:tcPr>
            <w:tcW w:w="74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113,600</w:t>
            </w:r>
          </w:p>
        </w:tc>
        <w:tc>
          <w:tcPr>
            <w:tcW w:w="74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214,000</w:t>
            </w:r>
          </w:p>
        </w:tc>
        <w:tc>
          <w:tcPr>
            <w:tcW w:w="741" w:type="dxa"/>
            <w:tcBorders>
              <w:bottom w:val="single" w:sz="8" w:space="0" w:color="000000"/>
              <w:right w:val="single" w:sz="8" w:space="0" w:color="000000"/>
            </w:tcBorders>
            <w:shd w:fill="F3F3F3" w:val="clear"/>
            <w:tcMar>
              <w:top w:w="0" w:type="dxa"/>
              <w:left w:w="0" w:type="dxa"/>
            </w:tcMar>
            <w:vAlign w:val="center"/>
          </w:tcPr>
          <w:p>
            <w:pPr>
              <w:pStyle w:val="TableContents"/>
              <w:bidi w:val="0"/>
              <w:spacing w:before="0" w:after="283"/>
              <w:jc w:val="center"/>
              <w:rPr>
                <w:rFonts w:ascii="Arial" w:hAnsi="Arial"/>
                <w:b/>
                <w:i w:val="false"/>
                <w:caps w:val="false"/>
                <w:smallCaps w:val="false"/>
                <w:color w:val="43AB5B"/>
                <w:sz w:val="16"/>
              </w:rPr>
            </w:pPr>
            <w:r>
              <w:rPr>
                <w:rFonts w:ascii="Arial" w:hAnsi="Arial"/>
                <w:b/>
                <w:i w:val="false"/>
                <w:caps w:val="false"/>
                <w:smallCaps w:val="false"/>
                <w:color w:val="43AB5B"/>
                <w:sz w:val="16"/>
              </w:rPr>
              <w:t>88%</w:t>
            </w:r>
          </w:p>
        </w:tc>
      </w:tr>
      <w:tr>
        <w:trPr/>
        <w:tc>
          <w:tcPr>
            <w:tcW w:w="1192" w:type="dxa"/>
            <w:vMerge w:val="continue"/>
            <w:tcBorders>
              <w:left w:val="single" w:sz="8" w:space="0" w:color="000000"/>
              <w:bottom w:val="single" w:sz="8" w:space="0" w:color="000000"/>
              <w:right w:val="single" w:sz="8" w:space="0" w:color="000000"/>
            </w:tcBorders>
            <w:shd w:fill="ACD9B6" w:val="clear"/>
            <w:tcMar>
              <w:top w:w="0" w:type="dxa"/>
            </w:tcMar>
            <w:vAlign w:val="center"/>
          </w:tcPr>
          <w:p>
            <w:pPr>
              <w:pStyle w:val="Normal"/>
              <w:bidi w:val="0"/>
              <w:jc w:val="left"/>
              <w:rPr/>
            </w:pPr>
            <w:r>
              <w:rPr/>
            </w:r>
          </w:p>
        </w:tc>
        <w:tc>
          <w:tcPr>
            <w:tcW w:w="1333" w:type="dxa"/>
            <w:vMerge w:val="continue"/>
            <w:tcBorders>
              <w:bottom w:val="single" w:sz="8" w:space="0" w:color="000000"/>
              <w:right w:val="single" w:sz="8" w:space="0" w:color="000000"/>
            </w:tcBorders>
            <w:shd w:fill="ACD9B6" w:val="clear"/>
            <w:tcMar>
              <w:top w:w="0" w:type="dxa"/>
              <w:left w:w="0" w:type="dxa"/>
            </w:tcMar>
            <w:vAlign w:val="center"/>
          </w:tcPr>
          <w:p>
            <w:pPr>
              <w:pStyle w:val="Normal"/>
              <w:bidi w:val="0"/>
              <w:jc w:val="left"/>
              <w:rPr/>
            </w:pPr>
            <w:r>
              <w:rPr/>
            </w:r>
          </w:p>
        </w:tc>
        <w:tc>
          <w:tcPr>
            <w:tcW w:w="4539"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People trained through the ABC at BCP (on-line and face-to-face)</w:t>
            </w:r>
          </w:p>
        </w:tc>
        <w:tc>
          <w:tcPr>
            <w:tcW w:w="92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w:t>
            </w:r>
          </w:p>
        </w:tc>
        <w:tc>
          <w:tcPr>
            <w:tcW w:w="74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310,311</w:t>
            </w:r>
          </w:p>
        </w:tc>
        <w:tc>
          <w:tcPr>
            <w:tcW w:w="74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614,061</w:t>
            </w:r>
          </w:p>
        </w:tc>
        <w:tc>
          <w:tcPr>
            <w:tcW w:w="741" w:type="dxa"/>
            <w:tcBorders>
              <w:bottom w:val="single" w:sz="8" w:space="0" w:color="000000"/>
              <w:right w:val="single" w:sz="8" w:space="0" w:color="000000"/>
            </w:tcBorders>
            <w:shd w:fill="F3F3F3" w:val="clear"/>
            <w:tcMar>
              <w:top w:w="0" w:type="dxa"/>
              <w:left w:w="0" w:type="dxa"/>
            </w:tcMar>
            <w:vAlign w:val="center"/>
          </w:tcPr>
          <w:p>
            <w:pPr>
              <w:pStyle w:val="TableContents"/>
              <w:bidi w:val="0"/>
              <w:spacing w:before="0" w:after="283"/>
              <w:jc w:val="center"/>
              <w:rPr>
                <w:rFonts w:ascii="Arial" w:hAnsi="Arial"/>
                <w:b/>
                <w:i w:val="false"/>
                <w:caps w:val="false"/>
                <w:smallCaps w:val="false"/>
                <w:color w:val="43AB5B"/>
                <w:sz w:val="16"/>
              </w:rPr>
            </w:pPr>
            <w:r>
              <w:rPr>
                <w:rFonts w:ascii="Arial" w:hAnsi="Arial"/>
                <w:b/>
                <w:i w:val="false"/>
                <w:caps w:val="false"/>
                <w:smallCaps w:val="false"/>
                <w:color w:val="43AB5B"/>
                <w:sz w:val="16"/>
              </w:rPr>
              <w:t>98%</w:t>
            </w:r>
          </w:p>
        </w:tc>
      </w:tr>
      <w:tr>
        <w:trPr/>
        <w:tc>
          <w:tcPr>
            <w:tcW w:w="1192" w:type="dxa"/>
            <w:vMerge w:val="continue"/>
            <w:tcBorders>
              <w:left w:val="single" w:sz="8" w:space="0" w:color="000000"/>
              <w:bottom w:val="single" w:sz="8" w:space="0" w:color="000000"/>
              <w:right w:val="single" w:sz="8" w:space="0" w:color="000000"/>
            </w:tcBorders>
            <w:shd w:fill="ACD9B6" w:val="clear"/>
            <w:tcMar>
              <w:top w:w="0" w:type="dxa"/>
            </w:tcMar>
            <w:vAlign w:val="center"/>
          </w:tcPr>
          <w:p>
            <w:pPr>
              <w:pStyle w:val="Normal"/>
              <w:bidi w:val="0"/>
              <w:jc w:val="left"/>
              <w:rPr/>
            </w:pPr>
            <w:r>
              <w:rPr/>
            </w:r>
          </w:p>
        </w:tc>
        <w:tc>
          <w:tcPr>
            <w:tcW w:w="1333" w:type="dxa"/>
            <w:vMerge w:val="continue"/>
            <w:tcBorders>
              <w:bottom w:val="single" w:sz="8" w:space="0" w:color="000000"/>
              <w:right w:val="single" w:sz="8" w:space="0" w:color="000000"/>
            </w:tcBorders>
            <w:shd w:fill="ACD9B6" w:val="clear"/>
            <w:tcMar>
              <w:top w:w="0" w:type="dxa"/>
              <w:left w:w="0" w:type="dxa"/>
            </w:tcMar>
            <w:vAlign w:val="center"/>
          </w:tcPr>
          <w:p>
            <w:pPr>
              <w:pStyle w:val="Normal"/>
              <w:bidi w:val="0"/>
              <w:jc w:val="left"/>
              <w:rPr/>
            </w:pPr>
            <w:r>
              <w:rPr/>
            </w:r>
          </w:p>
        </w:tc>
        <w:tc>
          <w:tcPr>
            <w:tcW w:w="4539"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 xml:space="preserve">Cumulative reproductions of the </w:t>
            </w:r>
            <w:r>
              <w:rPr>
                <w:rFonts w:ascii="Arial" w:hAnsi="Arial"/>
                <w:b w:val="false"/>
                <w:i/>
                <w:caps w:val="false"/>
                <w:smallCaps w:val="false"/>
                <w:sz w:val="16"/>
              </w:rPr>
              <w:t>BCP 5th floor</w:t>
            </w:r>
            <w:r>
              <w:rPr>
                <w:rFonts w:ascii="Arial" w:hAnsi="Arial"/>
                <w:b w:val="false"/>
                <w:i w:val="false"/>
                <w:caps w:val="false"/>
                <w:smallCaps w:val="false"/>
                <w:sz w:val="16"/>
              </w:rPr>
              <w:t xml:space="preserve"> web series</w:t>
            </w:r>
          </w:p>
        </w:tc>
        <w:tc>
          <w:tcPr>
            <w:tcW w:w="92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 thousands</w:t>
            </w:r>
          </w:p>
        </w:tc>
        <w:tc>
          <w:tcPr>
            <w:tcW w:w="74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49,000</w:t>
            </w:r>
          </w:p>
        </w:tc>
        <w:tc>
          <w:tcPr>
            <w:tcW w:w="74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46,100</w:t>
            </w:r>
          </w:p>
        </w:tc>
        <w:tc>
          <w:tcPr>
            <w:tcW w:w="741" w:type="dxa"/>
            <w:tcBorders>
              <w:bottom w:val="single" w:sz="8" w:space="0" w:color="000000"/>
              <w:right w:val="single" w:sz="8" w:space="0" w:color="000000"/>
            </w:tcBorders>
            <w:shd w:fill="F3F3F3" w:val="clear"/>
            <w:tcMar>
              <w:top w:w="0" w:type="dxa"/>
              <w:left w:w="0" w:type="dxa"/>
            </w:tcMar>
            <w:vAlign w:val="center"/>
          </w:tcPr>
          <w:p>
            <w:pPr>
              <w:pStyle w:val="TableContents"/>
              <w:bidi w:val="0"/>
              <w:spacing w:before="0" w:after="283"/>
              <w:jc w:val="center"/>
              <w:rPr>
                <w:rFonts w:ascii="Arial" w:hAnsi="Arial"/>
                <w:b/>
                <w:i w:val="false"/>
                <w:caps w:val="false"/>
                <w:smallCaps w:val="false"/>
                <w:color w:val="D38D8E"/>
                <w:sz w:val="16"/>
              </w:rPr>
            </w:pPr>
            <w:r>
              <w:rPr>
                <w:rFonts w:ascii="Arial" w:hAnsi="Arial"/>
                <w:b/>
                <w:i w:val="false"/>
                <w:caps w:val="false"/>
                <w:smallCaps w:val="false"/>
                <w:color w:val="D38D8E"/>
                <w:sz w:val="16"/>
              </w:rPr>
              <w:t>-6%</w:t>
            </w:r>
          </w:p>
        </w:tc>
      </w:tr>
      <w:tr>
        <w:trPr/>
        <w:tc>
          <w:tcPr>
            <w:tcW w:w="1192" w:type="dxa"/>
            <w:vMerge w:val="continue"/>
            <w:tcBorders>
              <w:left w:val="single" w:sz="8" w:space="0" w:color="000000"/>
              <w:bottom w:val="single" w:sz="8" w:space="0" w:color="000000"/>
              <w:right w:val="single" w:sz="8" w:space="0" w:color="000000"/>
            </w:tcBorders>
            <w:shd w:fill="ACD9B6" w:val="clear"/>
            <w:tcMar>
              <w:top w:w="0" w:type="dxa"/>
            </w:tcMar>
            <w:vAlign w:val="center"/>
          </w:tcPr>
          <w:p>
            <w:pPr>
              <w:pStyle w:val="Normal"/>
              <w:bidi w:val="0"/>
              <w:jc w:val="left"/>
              <w:rPr/>
            </w:pPr>
            <w:r>
              <w:rPr/>
            </w:r>
          </w:p>
        </w:tc>
        <w:tc>
          <w:tcPr>
            <w:tcW w:w="1333" w:type="dxa"/>
            <w:vMerge w:val="continue"/>
            <w:tcBorders>
              <w:bottom w:val="single" w:sz="8" w:space="0" w:color="000000"/>
              <w:right w:val="single" w:sz="8" w:space="0" w:color="000000"/>
            </w:tcBorders>
            <w:shd w:fill="ACD9B6" w:val="clear"/>
            <w:tcMar>
              <w:top w:w="0" w:type="dxa"/>
              <w:left w:w="0" w:type="dxa"/>
            </w:tcMar>
            <w:vAlign w:val="center"/>
          </w:tcPr>
          <w:p>
            <w:pPr>
              <w:pStyle w:val="Normal"/>
              <w:bidi w:val="0"/>
              <w:jc w:val="left"/>
              <w:rPr/>
            </w:pPr>
            <w:r>
              <w:rPr/>
            </w:r>
          </w:p>
        </w:tc>
        <w:tc>
          <w:tcPr>
            <w:tcW w:w="4539"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 xml:space="preserve">Effective views of the </w:t>
            </w:r>
            <w:r>
              <w:rPr>
                <w:rFonts w:ascii="Arial" w:hAnsi="Arial"/>
                <w:b w:val="false"/>
                <w:i/>
                <w:caps w:val="false"/>
                <w:smallCaps w:val="false"/>
                <w:sz w:val="16"/>
              </w:rPr>
              <w:t>BCP 5th floor</w:t>
            </w:r>
            <w:r>
              <w:rPr>
                <w:rFonts w:ascii="Arial" w:hAnsi="Arial"/>
                <w:b w:val="false"/>
                <w:i w:val="false"/>
                <w:caps w:val="false"/>
                <w:smallCaps w:val="false"/>
                <w:sz w:val="16"/>
              </w:rPr>
              <w:t xml:space="preserve"> web series - Annual cumulative</w:t>
            </w:r>
          </w:p>
        </w:tc>
        <w:tc>
          <w:tcPr>
            <w:tcW w:w="92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Millions</w:t>
            </w:r>
          </w:p>
        </w:tc>
        <w:tc>
          <w:tcPr>
            <w:tcW w:w="74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13.9</w:t>
            </w:r>
          </w:p>
        </w:tc>
        <w:tc>
          <w:tcPr>
            <w:tcW w:w="74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10.3</w:t>
            </w:r>
          </w:p>
        </w:tc>
        <w:tc>
          <w:tcPr>
            <w:tcW w:w="741" w:type="dxa"/>
            <w:tcBorders>
              <w:bottom w:val="single" w:sz="8" w:space="0" w:color="000000"/>
              <w:right w:val="single" w:sz="8" w:space="0" w:color="000000"/>
            </w:tcBorders>
            <w:shd w:fill="F3F3F3" w:val="clear"/>
            <w:tcMar>
              <w:top w:w="0" w:type="dxa"/>
              <w:left w:w="0" w:type="dxa"/>
            </w:tcMar>
            <w:vAlign w:val="center"/>
          </w:tcPr>
          <w:p>
            <w:pPr>
              <w:pStyle w:val="TableContents"/>
              <w:bidi w:val="0"/>
              <w:spacing w:before="0" w:after="283"/>
              <w:jc w:val="center"/>
              <w:rPr>
                <w:rFonts w:ascii="Arial" w:hAnsi="Arial"/>
                <w:b/>
                <w:i w:val="false"/>
                <w:caps w:val="false"/>
                <w:smallCaps w:val="false"/>
                <w:color w:val="D38D8E"/>
                <w:sz w:val="16"/>
              </w:rPr>
            </w:pPr>
            <w:r>
              <w:rPr>
                <w:rFonts w:ascii="Arial" w:hAnsi="Arial"/>
                <w:b/>
                <w:i w:val="false"/>
                <w:caps w:val="false"/>
                <w:smallCaps w:val="false"/>
                <w:color w:val="D38D8E"/>
                <w:sz w:val="16"/>
              </w:rPr>
              <w:t>-26%</w:t>
            </w:r>
          </w:p>
        </w:tc>
      </w:tr>
      <w:tr>
        <w:trPr/>
        <w:tc>
          <w:tcPr>
            <w:tcW w:w="1192" w:type="dxa"/>
            <w:vMerge w:val="continue"/>
            <w:tcBorders>
              <w:left w:val="single" w:sz="8" w:space="0" w:color="000000"/>
              <w:bottom w:val="single" w:sz="8" w:space="0" w:color="000000"/>
              <w:right w:val="single" w:sz="8" w:space="0" w:color="000000"/>
            </w:tcBorders>
            <w:shd w:fill="ACD9B6" w:val="clear"/>
            <w:tcMar>
              <w:top w:w="0" w:type="dxa"/>
            </w:tcMar>
            <w:vAlign w:val="center"/>
          </w:tcPr>
          <w:p>
            <w:pPr>
              <w:pStyle w:val="Normal"/>
              <w:bidi w:val="0"/>
              <w:jc w:val="left"/>
              <w:rPr/>
            </w:pPr>
            <w:r>
              <w:rPr/>
            </w:r>
          </w:p>
        </w:tc>
        <w:tc>
          <w:tcPr>
            <w:tcW w:w="1333" w:type="dxa"/>
            <w:tcBorders>
              <w:bottom w:val="single" w:sz="8" w:space="0" w:color="000000"/>
              <w:right w:val="single" w:sz="8" w:space="0" w:color="000000"/>
            </w:tcBorders>
            <w:shd w:fill="ACD9B6" w:val="clear"/>
            <w:tcMar>
              <w:top w:w="0" w:type="dxa"/>
              <w:left w:w="0" w:type="dxa"/>
            </w:tcM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BCP BOLIVIA</w:t>
            </w:r>
          </w:p>
        </w:tc>
        <w:tc>
          <w:tcPr>
            <w:tcW w:w="4539"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Clients trained through the ABC at BCP</w:t>
            </w:r>
          </w:p>
        </w:tc>
        <w:tc>
          <w:tcPr>
            <w:tcW w:w="92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w:t>
            </w:r>
          </w:p>
        </w:tc>
        <w:tc>
          <w:tcPr>
            <w:tcW w:w="74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116,153</w:t>
            </w:r>
          </w:p>
        </w:tc>
        <w:tc>
          <w:tcPr>
            <w:tcW w:w="74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247,856</w:t>
            </w:r>
          </w:p>
        </w:tc>
        <w:tc>
          <w:tcPr>
            <w:tcW w:w="741" w:type="dxa"/>
            <w:tcBorders>
              <w:bottom w:val="single" w:sz="8" w:space="0" w:color="000000"/>
              <w:right w:val="single" w:sz="8" w:space="0" w:color="000000"/>
            </w:tcBorders>
            <w:shd w:fill="F3F3F3" w:val="clear"/>
            <w:tcMar>
              <w:top w:w="0" w:type="dxa"/>
              <w:left w:w="0" w:type="dxa"/>
            </w:tcMar>
            <w:vAlign w:val="center"/>
          </w:tcPr>
          <w:p>
            <w:pPr>
              <w:pStyle w:val="TableContents"/>
              <w:bidi w:val="0"/>
              <w:spacing w:before="0" w:after="283"/>
              <w:jc w:val="center"/>
              <w:rPr>
                <w:rFonts w:ascii="Arial" w:hAnsi="Arial"/>
                <w:b/>
                <w:i w:val="false"/>
                <w:caps w:val="false"/>
                <w:smallCaps w:val="false"/>
                <w:color w:val="43AB5B"/>
                <w:sz w:val="16"/>
              </w:rPr>
            </w:pPr>
            <w:r>
              <w:rPr>
                <w:rFonts w:ascii="Arial" w:hAnsi="Arial"/>
                <w:b/>
                <w:i w:val="false"/>
                <w:caps w:val="false"/>
                <w:smallCaps w:val="false"/>
                <w:color w:val="43AB5B"/>
                <w:sz w:val="16"/>
              </w:rPr>
              <w:t>9%</w:t>
            </w:r>
          </w:p>
        </w:tc>
      </w:tr>
      <w:tr>
        <w:trPr/>
        <w:tc>
          <w:tcPr>
            <w:tcW w:w="1192" w:type="dxa"/>
            <w:vMerge w:val="continue"/>
            <w:tcBorders>
              <w:left w:val="single" w:sz="8" w:space="0" w:color="000000"/>
              <w:bottom w:val="single" w:sz="8" w:space="0" w:color="000000"/>
              <w:right w:val="single" w:sz="8" w:space="0" w:color="000000"/>
            </w:tcBorders>
            <w:shd w:fill="ACD9B6" w:val="clear"/>
            <w:tcMar>
              <w:top w:w="0" w:type="dxa"/>
            </w:tcMar>
            <w:vAlign w:val="center"/>
          </w:tcPr>
          <w:p>
            <w:pPr>
              <w:pStyle w:val="Normal"/>
              <w:bidi w:val="0"/>
              <w:jc w:val="left"/>
              <w:rPr/>
            </w:pPr>
            <w:r>
              <w:rPr/>
            </w:r>
          </w:p>
        </w:tc>
        <w:tc>
          <w:tcPr>
            <w:tcW w:w="1333" w:type="dxa"/>
            <w:tcBorders>
              <w:bottom w:val="single" w:sz="8" w:space="0" w:color="000000"/>
              <w:right w:val="single" w:sz="8" w:space="0" w:color="000000"/>
            </w:tcBorders>
            <w:shd w:fill="ACD9B6" w:val="clear"/>
            <w:tcMar>
              <w:top w:w="0" w:type="dxa"/>
              <w:left w:w="0" w:type="dxa"/>
            </w:tcM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MIBANCO PERU</w:t>
            </w:r>
          </w:p>
        </w:tc>
        <w:tc>
          <w:tcPr>
            <w:tcW w:w="4539"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People trained by financial education programs</w:t>
            </w:r>
          </w:p>
        </w:tc>
        <w:tc>
          <w:tcPr>
            <w:tcW w:w="92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w:t>
            </w:r>
          </w:p>
        </w:tc>
        <w:tc>
          <w:tcPr>
            <w:tcW w:w="74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251,153</w:t>
            </w:r>
          </w:p>
        </w:tc>
        <w:tc>
          <w:tcPr>
            <w:tcW w:w="74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413,260</w:t>
            </w:r>
          </w:p>
        </w:tc>
        <w:tc>
          <w:tcPr>
            <w:tcW w:w="741" w:type="dxa"/>
            <w:tcBorders>
              <w:bottom w:val="single" w:sz="8" w:space="0" w:color="000000"/>
              <w:right w:val="single" w:sz="8" w:space="0" w:color="000000"/>
            </w:tcBorders>
            <w:shd w:fill="F3F3F3" w:val="clear"/>
            <w:tcMar>
              <w:top w:w="0" w:type="dxa"/>
              <w:left w:w="0" w:type="dxa"/>
            </w:tcMar>
            <w:vAlign w:val="center"/>
          </w:tcPr>
          <w:p>
            <w:pPr>
              <w:pStyle w:val="TableContents"/>
              <w:bidi w:val="0"/>
              <w:spacing w:before="0" w:after="283"/>
              <w:jc w:val="center"/>
              <w:rPr>
                <w:rFonts w:ascii="Arial" w:hAnsi="Arial"/>
                <w:b/>
                <w:i w:val="false"/>
                <w:caps w:val="false"/>
                <w:smallCaps w:val="false"/>
                <w:color w:val="43AB5B"/>
                <w:sz w:val="16"/>
              </w:rPr>
            </w:pPr>
            <w:r>
              <w:rPr>
                <w:rFonts w:ascii="Arial" w:hAnsi="Arial"/>
                <w:b/>
                <w:i w:val="false"/>
                <w:caps w:val="false"/>
                <w:smallCaps w:val="false"/>
                <w:color w:val="43AB5B"/>
                <w:sz w:val="16"/>
              </w:rPr>
              <w:t>65%</w:t>
            </w:r>
          </w:p>
        </w:tc>
      </w:tr>
      <w:tr>
        <w:trPr/>
        <w:tc>
          <w:tcPr>
            <w:tcW w:w="1192" w:type="dxa"/>
            <w:vMerge w:val="continue"/>
            <w:tcBorders>
              <w:left w:val="single" w:sz="8" w:space="0" w:color="000000"/>
              <w:bottom w:val="single" w:sz="8" w:space="0" w:color="000000"/>
              <w:right w:val="single" w:sz="8" w:space="0" w:color="000000"/>
            </w:tcBorders>
            <w:shd w:fill="ACD9B6" w:val="clear"/>
            <w:tcMar>
              <w:top w:w="0" w:type="dxa"/>
            </w:tcMar>
            <w:vAlign w:val="center"/>
          </w:tcPr>
          <w:p>
            <w:pPr>
              <w:pStyle w:val="Normal"/>
              <w:bidi w:val="0"/>
              <w:jc w:val="left"/>
              <w:rPr/>
            </w:pPr>
            <w:r>
              <w:rPr/>
            </w:r>
          </w:p>
        </w:tc>
        <w:tc>
          <w:tcPr>
            <w:tcW w:w="1333" w:type="dxa"/>
            <w:vMerge w:val="restart"/>
            <w:tcBorders>
              <w:bottom w:val="single" w:sz="8" w:space="0" w:color="000000"/>
              <w:right w:val="single" w:sz="8" w:space="0" w:color="000000"/>
            </w:tcBorders>
            <w:shd w:fill="ACD9B6" w:val="clear"/>
            <w:tcMar>
              <w:top w:w="0" w:type="dxa"/>
              <w:left w:w="0" w:type="dxa"/>
            </w:tcM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MIBANCO COLOMBIA</w:t>
            </w:r>
          </w:p>
        </w:tc>
        <w:tc>
          <w:tcPr>
            <w:tcW w:w="4539"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 xml:space="preserve">People trained by the </w:t>
            </w:r>
            <w:r>
              <w:rPr>
                <w:rFonts w:ascii="Arial" w:hAnsi="Arial"/>
                <w:b w:val="false"/>
                <w:i/>
                <w:caps w:val="false"/>
                <w:smallCaps w:val="false"/>
                <w:sz w:val="16"/>
              </w:rPr>
              <w:t>Mi academia del progreso</w:t>
            </w:r>
            <w:r>
              <w:rPr>
                <w:rFonts w:ascii="Arial" w:hAnsi="Arial"/>
                <w:b w:val="false"/>
                <w:i w:val="false"/>
                <w:caps w:val="false"/>
                <w:smallCaps w:val="false"/>
                <w:sz w:val="16"/>
              </w:rPr>
              <w:t xml:space="preserve"> program</w:t>
            </w:r>
          </w:p>
        </w:tc>
        <w:tc>
          <w:tcPr>
            <w:tcW w:w="92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w:t>
            </w:r>
          </w:p>
        </w:tc>
        <w:tc>
          <w:tcPr>
            <w:tcW w:w="74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28,545</w:t>
            </w:r>
          </w:p>
        </w:tc>
        <w:tc>
          <w:tcPr>
            <w:tcW w:w="74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45,752</w:t>
            </w:r>
          </w:p>
        </w:tc>
        <w:tc>
          <w:tcPr>
            <w:tcW w:w="741" w:type="dxa"/>
            <w:tcBorders>
              <w:bottom w:val="single" w:sz="8" w:space="0" w:color="000000"/>
              <w:right w:val="single" w:sz="8" w:space="0" w:color="000000"/>
            </w:tcBorders>
            <w:shd w:fill="F3F3F3" w:val="clear"/>
            <w:tcMar>
              <w:top w:w="0" w:type="dxa"/>
              <w:left w:w="0" w:type="dxa"/>
            </w:tcMar>
            <w:vAlign w:val="center"/>
          </w:tcPr>
          <w:p>
            <w:pPr>
              <w:pStyle w:val="TableContents"/>
              <w:bidi w:val="0"/>
              <w:spacing w:before="0" w:after="283"/>
              <w:jc w:val="center"/>
              <w:rPr>
                <w:rFonts w:ascii="Arial" w:hAnsi="Arial"/>
                <w:b/>
                <w:i w:val="false"/>
                <w:caps w:val="false"/>
                <w:smallCaps w:val="false"/>
                <w:color w:val="43AB5B"/>
                <w:sz w:val="16"/>
              </w:rPr>
            </w:pPr>
            <w:r>
              <w:rPr>
                <w:rFonts w:ascii="Arial" w:hAnsi="Arial"/>
                <w:b/>
                <w:i w:val="false"/>
                <w:caps w:val="false"/>
                <w:smallCaps w:val="false"/>
                <w:color w:val="43AB5B"/>
                <w:sz w:val="16"/>
              </w:rPr>
              <w:t>60%</w:t>
            </w:r>
          </w:p>
        </w:tc>
      </w:tr>
      <w:tr>
        <w:trPr/>
        <w:tc>
          <w:tcPr>
            <w:tcW w:w="1192" w:type="dxa"/>
            <w:vMerge w:val="continue"/>
            <w:tcBorders>
              <w:left w:val="single" w:sz="8" w:space="0" w:color="000000"/>
              <w:bottom w:val="single" w:sz="8" w:space="0" w:color="000000"/>
              <w:right w:val="single" w:sz="8" w:space="0" w:color="000000"/>
            </w:tcBorders>
            <w:shd w:fill="ACD9B6" w:val="clear"/>
            <w:tcMar>
              <w:top w:w="0" w:type="dxa"/>
            </w:tcMar>
            <w:vAlign w:val="center"/>
          </w:tcPr>
          <w:p>
            <w:pPr>
              <w:pStyle w:val="Normal"/>
              <w:bidi w:val="0"/>
              <w:jc w:val="left"/>
              <w:rPr/>
            </w:pPr>
            <w:r>
              <w:rPr/>
            </w:r>
          </w:p>
        </w:tc>
        <w:tc>
          <w:tcPr>
            <w:tcW w:w="1333" w:type="dxa"/>
            <w:vMerge w:val="continue"/>
            <w:tcBorders>
              <w:bottom w:val="single" w:sz="8" w:space="0" w:color="000000"/>
              <w:right w:val="single" w:sz="8" w:space="0" w:color="000000"/>
            </w:tcBorders>
            <w:shd w:fill="ACD9B6" w:val="clear"/>
            <w:tcMar>
              <w:top w:w="0" w:type="dxa"/>
              <w:left w:w="0" w:type="dxa"/>
            </w:tcMar>
            <w:vAlign w:val="center"/>
          </w:tcPr>
          <w:p>
            <w:pPr>
              <w:pStyle w:val="Normal"/>
              <w:bidi w:val="0"/>
              <w:jc w:val="left"/>
              <w:rPr/>
            </w:pPr>
            <w:r>
              <w:rPr/>
            </w:r>
          </w:p>
        </w:tc>
        <w:tc>
          <w:tcPr>
            <w:tcW w:w="4539"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Clients trained through the Basic Program of Financial and Digital Advisory</w:t>
            </w:r>
          </w:p>
        </w:tc>
        <w:tc>
          <w:tcPr>
            <w:tcW w:w="92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w:t>
            </w:r>
          </w:p>
        </w:tc>
        <w:tc>
          <w:tcPr>
            <w:tcW w:w="74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244,529</w:t>
            </w:r>
          </w:p>
        </w:tc>
        <w:tc>
          <w:tcPr>
            <w:tcW w:w="74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272,289</w:t>
            </w:r>
          </w:p>
        </w:tc>
        <w:tc>
          <w:tcPr>
            <w:tcW w:w="741" w:type="dxa"/>
            <w:tcBorders>
              <w:bottom w:val="single" w:sz="8" w:space="0" w:color="000000"/>
              <w:right w:val="single" w:sz="8" w:space="0" w:color="000000"/>
            </w:tcBorders>
            <w:shd w:fill="F3F3F3" w:val="clear"/>
            <w:tcMar>
              <w:top w:w="0" w:type="dxa"/>
              <w:left w:w="0" w:type="dxa"/>
            </w:tcMar>
            <w:vAlign w:val="center"/>
          </w:tcPr>
          <w:p>
            <w:pPr>
              <w:pStyle w:val="TableContents"/>
              <w:bidi w:val="0"/>
              <w:spacing w:before="0" w:after="283"/>
              <w:jc w:val="center"/>
              <w:rPr>
                <w:rFonts w:ascii="Arial" w:hAnsi="Arial"/>
                <w:b/>
                <w:i w:val="false"/>
                <w:caps w:val="false"/>
                <w:smallCaps w:val="false"/>
                <w:color w:val="43AB5B"/>
                <w:sz w:val="16"/>
              </w:rPr>
            </w:pPr>
            <w:r>
              <w:rPr>
                <w:rFonts w:ascii="Arial" w:hAnsi="Arial"/>
                <w:b/>
                <w:i w:val="false"/>
                <w:caps w:val="false"/>
                <w:smallCaps w:val="false"/>
                <w:color w:val="43AB5B"/>
                <w:sz w:val="16"/>
              </w:rPr>
              <w:t>11%</w:t>
            </w:r>
          </w:p>
        </w:tc>
      </w:tr>
      <w:tr>
        <w:trPr/>
        <w:tc>
          <w:tcPr>
            <w:tcW w:w="1192" w:type="dxa"/>
            <w:vMerge w:val="continue"/>
            <w:tcBorders>
              <w:left w:val="single" w:sz="8" w:space="0" w:color="000000"/>
              <w:bottom w:val="single" w:sz="8" w:space="0" w:color="000000"/>
              <w:right w:val="single" w:sz="8" w:space="0" w:color="000000"/>
            </w:tcBorders>
            <w:shd w:fill="ACD9B6" w:val="clear"/>
            <w:tcMar>
              <w:top w:w="0" w:type="dxa"/>
            </w:tcMar>
            <w:vAlign w:val="center"/>
          </w:tcPr>
          <w:p>
            <w:pPr>
              <w:pStyle w:val="Normal"/>
              <w:bidi w:val="0"/>
              <w:jc w:val="left"/>
              <w:rPr/>
            </w:pPr>
            <w:r>
              <w:rPr/>
            </w:r>
          </w:p>
        </w:tc>
        <w:tc>
          <w:tcPr>
            <w:tcW w:w="1333" w:type="dxa"/>
            <w:vMerge w:val="restart"/>
            <w:tcBorders>
              <w:bottom w:val="single" w:sz="8" w:space="0" w:color="000000"/>
              <w:right w:val="single" w:sz="8" w:space="0" w:color="000000"/>
            </w:tcBorders>
            <w:shd w:fill="ACD9B6" w:val="clear"/>
            <w:tcMar>
              <w:top w:w="0" w:type="dxa"/>
              <w:left w:w="0" w:type="dxa"/>
            </w:tcM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PACIFICO SEGUROS</w:t>
            </w:r>
          </w:p>
        </w:tc>
        <w:tc>
          <w:tcPr>
            <w:tcW w:w="4539"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People reached by the ABC at Pacifico</w:t>
            </w:r>
          </w:p>
        </w:tc>
        <w:tc>
          <w:tcPr>
            <w:tcW w:w="92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w:t>
            </w:r>
          </w:p>
        </w:tc>
        <w:tc>
          <w:tcPr>
            <w:tcW w:w="74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5,100,000</w:t>
            </w:r>
          </w:p>
        </w:tc>
        <w:tc>
          <w:tcPr>
            <w:tcW w:w="74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3,194,860</w:t>
            </w:r>
          </w:p>
        </w:tc>
        <w:tc>
          <w:tcPr>
            <w:tcW w:w="741" w:type="dxa"/>
            <w:tcBorders>
              <w:bottom w:val="single" w:sz="8" w:space="0" w:color="000000"/>
              <w:right w:val="single" w:sz="8" w:space="0" w:color="000000"/>
            </w:tcBorders>
            <w:shd w:fill="F3F3F3" w:val="clear"/>
            <w:tcMar>
              <w:top w:w="0" w:type="dxa"/>
              <w:left w:w="0" w:type="dxa"/>
            </w:tcMar>
            <w:vAlign w:val="center"/>
          </w:tcPr>
          <w:p>
            <w:pPr>
              <w:pStyle w:val="TableContents"/>
              <w:bidi w:val="0"/>
              <w:spacing w:before="0" w:after="283"/>
              <w:jc w:val="center"/>
              <w:rPr>
                <w:rFonts w:ascii="Arial" w:hAnsi="Arial"/>
                <w:b/>
                <w:i w:val="false"/>
                <w:caps w:val="false"/>
                <w:smallCaps w:val="false"/>
                <w:color w:val="D38D8E"/>
                <w:sz w:val="16"/>
              </w:rPr>
            </w:pPr>
            <w:r>
              <w:rPr>
                <w:rFonts w:ascii="Arial" w:hAnsi="Arial"/>
                <w:b/>
                <w:i w:val="false"/>
                <w:caps w:val="false"/>
                <w:smallCaps w:val="false"/>
                <w:color w:val="D38D8E"/>
                <w:sz w:val="16"/>
              </w:rPr>
              <w:t>-37%</w:t>
            </w:r>
          </w:p>
        </w:tc>
      </w:tr>
      <w:tr>
        <w:trPr/>
        <w:tc>
          <w:tcPr>
            <w:tcW w:w="1192" w:type="dxa"/>
            <w:vMerge w:val="continue"/>
            <w:tcBorders>
              <w:left w:val="single" w:sz="8" w:space="0" w:color="000000"/>
              <w:bottom w:val="single" w:sz="8" w:space="0" w:color="000000"/>
              <w:right w:val="single" w:sz="8" w:space="0" w:color="000000"/>
            </w:tcBorders>
            <w:shd w:fill="ACD9B6" w:val="clear"/>
            <w:tcMar>
              <w:top w:w="0" w:type="dxa"/>
            </w:tcMar>
            <w:vAlign w:val="center"/>
          </w:tcPr>
          <w:p>
            <w:pPr>
              <w:pStyle w:val="Normal"/>
              <w:bidi w:val="0"/>
              <w:jc w:val="left"/>
              <w:rPr/>
            </w:pPr>
            <w:r>
              <w:rPr/>
            </w:r>
          </w:p>
        </w:tc>
        <w:tc>
          <w:tcPr>
            <w:tcW w:w="1333" w:type="dxa"/>
            <w:vMerge w:val="continue"/>
            <w:tcBorders>
              <w:bottom w:val="single" w:sz="8" w:space="0" w:color="000000"/>
              <w:right w:val="single" w:sz="8" w:space="0" w:color="000000"/>
            </w:tcBorders>
            <w:shd w:fill="ACD9B6" w:val="clear"/>
            <w:tcMar>
              <w:top w:w="0" w:type="dxa"/>
              <w:left w:w="0" w:type="dxa"/>
            </w:tcMar>
            <w:vAlign w:val="center"/>
          </w:tcPr>
          <w:p>
            <w:pPr>
              <w:pStyle w:val="Normal"/>
              <w:bidi w:val="0"/>
              <w:jc w:val="left"/>
              <w:rPr/>
            </w:pPr>
            <w:r>
              <w:rPr/>
            </w:r>
          </w:p>
        </w:tc>
        <w:tc>
          <w:tcPr>
            <w:tcW w:w="4539"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 xml:space="preserve">Effective views of the educational content of the </w:t>
            </w:r>
            <w:r>
              <w:rPr>
                <w:rFonts w:ascii="Arial" w:hAnsi="Arial"/>
                <w:b w:val="false"/>
                <w:i/>
                <w:caps w:val="false"/>
                <w:smallCaps w:val="false"/>
                <w:sz w:val="16"/>
              </w:rPr>
              <w:t>En Letras Grandes</w:t>
            </w:r>
            <w:r>
              <w:rPr>
                <w:rFonts w:ascii="Arial" w:hAnsi="Arial"/>
                <w:b w:val="false"/>
                <w:i w:val="false"/>
                <w:caps w:val="false"/>
                <w:smallCaps w:val="false"/>
                <w:sz w:val="16"/>
              </w:rPr>
              <w:t xml:space="preserve"> video podcast</w:t>
            </w:r>
          </w:p>
        </w:tc>
        <w:tc>
          <w:tcPr>
            <w:tcW w:w="92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 thousands</w:t>
            </w:r>
          </w:p>
        </w:tc>
        <w:tc>
          <w:tcPr>
            <w:tcW w:w="74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NA</w:t>
            </w:r>
          </w:p>
        </w:tc>
        <w:tc>
          <w:tcPr>
            <w:tcW w:w="74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800</w:t>
            </w:r>
          </w:p>
        </w:tc>
        <w:tc>
          <w:tcPr>
            <w:tcW w:w="741" w:type="dxa"/>
            <w:tcBorders>
              <w:bottom w:val="single" w:sz="8" w:space="0" w:color="000000"/>
              <w:right w:val="single" w:sz="8" w:space="0" w:color="000000"/>
            </w:tcBorders>
            <w:shd w:fill="F3F3F3" w:val="clear"/>
            <w:tcMar>
              <w:top w:w="0" w:type="dxa"/>
              <w:left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192" w:type="dxa"/>
            <w:vMerge w:val="continue"/>
            <w:tcBorders>
              <w:left w:val="single" w:sz="8" w:space="0" w:color="000000"/>
              <w:bottom w:val="single" w:sz="8" w:space="0" w:color="000000"/>
              <w:right w:val="single" w:sz="8" w:space="0" w:color="000000"/>
            </w:tcBorders>
            <w:shd w:fill="ACD9B6" w:val="clear"/>
            <w:tcMar>
              <w:top w:w="0" w:type="dxa"/>
            </w:tcMar>
            <w:vAlign w:val="center"/>
          </w:tcPr>
          <w:p>
            <w:pPr>
              <w:pStyle w:val="Normal"/>
              <w:bidi w:val="0"/>
              <w:jc w:val="left"/>
              <w:rPr/>
            </w:pPr>
            <w:r>
              <w:rPr/>
            </w:r>
          </w:p>
        </w:tc>
        <w:tc>
          <w:tcPr>
            <w:tcW w:w="1333" w:type="dxa"/>
            <w:vMerge w:val="continue"/>
            <w:tcBorders>
              <w:bottom w:val="single" w:sz="8" w:space="0" w:color="000000"/>
              <w:right w:val="single" w:sz="8" w:space="0" w:color="000000"/>
            </w:tcBorders>
            <w:shd w:fill="ACD9B6" w:val="clear"/>
            <w:tcMar>
              <w:top w:w="0" w:type="dxa"/>
              <w:left w:w="0" w:type="dxa"/>
            </w:tcMar>
            <w:vAlign w:val="center"/>
          </w:tcPr>
          <w:p>
            <w:pPr>
              <w:pStyle w:val="Normal"/>
              <w:bidi w:val="0"/>
              <w:jc w:val="left"/>
              <w:rPr/>
            </w:pPr>
            <w:r>
              <w:rPr/>
            </w:r>
          </w:p>
        </w:tc>
        <w:tc>
          <w:tcPr>
            <w:tcW w:w="4539"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 xml:space="preserve">Effective views of the educational content of the </w:t>
            </w:r>
            <w:r>
              <w:rPr>
                <w:rFonts w:ascii="Arial" w:hAnsi="Arial"/>
                <w:b w:val="false"/>
                <w:i/>
                <w:caps w:val="false"/>
                <w:smallCaps w:val="false"/>
                <w:sz w:val="16"/>
              </w:rPr>
              <w:t>Salado y Piña</w:t>
            </w:r>
            <w:r>
              <w:rPr>
                <w:rFonts w:ascii="Arial" w:hAnsi="Arial"/>
                <w:b w:val="false"/>
                <w:i w:val="false"/>
                <w:caps w:val="false"/>
                <w:smallCaps w:val="false"/>
                <w:sz w:val="16"/>
              </w:rPr>
              <w:t xml:space="preserve"> video show</w:t>
            </w:r>
          </w:p>
        </w:tc>
        <w:tc>
          <w:tcPr>
            <w:tcW w:w="92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Millions</w:t>
            </w:r>
          </w:p>
        </w:tc>
        <w:tc>
          <w:tcPr>
            <w:tcW w:w="74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0.94</w:t>
            </w:r>
          </w:p>
        </w:tc>
        <w:tc>
          <w:tcPr>
            <w:tcW w:w="74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2.3</w:t>
            </w:r>
          </w:p>
        </w:tc>
        <w:tc>
          <w:tcPr>
            <w:tcW w:w="741" w:type="dxa"/>
            <w:tcBorders>
              <w:bottom w:val="single" w:sz="8" w:space="0" w:color="000000"/>
              <w:right w:val="single" w:sz="8" w:space="0" w:color="000000"/>
            </w:tcBorders>
            <w:shd w:fill="F3F3F3" w:val="clear"/>
            <w:tcMar>
              <w:top w:w="0" w:type="dxa"/>
              <w:left w:w="0" w:type="dxa"/>
            </w:tcMar>
            <w:vAlign w:val="center"/>
          </w:tcPr>
          <w:p>
            <w:pPr>
              <w:pStyle w:val="TableContents"/>
              <w:bidi w:val="0"/>
              <w:spacing w:before="0" w:after="283"/>
              <w:jc w:val="center"/>
              <w:rPr>
                <w:rFonts w:ascii="Arial" w:hAnsi="Arial"/>
                <w:b/>
                <w:i w:val="false"/>
                <w:caps w:val="false"/>
                <w:smallCaps w:val="false"/>
                <w:color w:val="43AB5B"/>
                <w:sz w:val="16"/>
              </w:rPr>
            </w:pPr>
            <w:r>
              <w:rPr>
                <w:rFonts w:ascii="Arial" w:hAnsi="Arial"/>
                <w:b/>
                <w:i w:val="false"/>
                <w:caps w:val="false"/>
                <w:smallCaps w:val="false"/>
                <w:color w:val="43AB5B"/>
                <w:sz w:val="16"/>
              </w:rPr>
              <w:t>145%</w:t>
            </w:r>
          </w:p>
        </w:tc>
      </w:tr>
      <w:tr>
        <w:trPr/>
        <w:tc>
          <w:tcPr>
            <w:tcW w:w="1192" w:type="dxa"/>
            <w:vMerge w:val="continue"/>
            <w:tcBorders>
              <w:left w:val="single" w:sz="8" w:space="0" w:color="000000"/>
              <w:bottom w:val="single" w:sz="8" w:space="0" w:color="000000"/>
              <w:right w:val="single" w:sz="8" w:space="0" w:color="000000"/>
            </w:tcBorders>
            <w:shd w:fill="ACD9B6" w:val="clear"/>
            <w:tcMar>
              <w:top w:w="0" w:type="dxa"/>
            </w:tcMar>
            <w:vAlign w:val="center"/>
          </w:tcPr>
          <w:p>
            <w:pPr>
              <w:pStyle w:val="Normal"/>
              <w:bidi w:val="0"/>
              <w:jc w:val="left"/>
              <w:rPr/>
            </w:pPr>
            <w:r>
              <w:rPr/>
            </w:r>
          </w:p>
        </w:tc>
        <w:tc>
          <w:tcPr>
            <w:tcW w:w="1333" w:type="dxa"/>
            <w:vMerge w:val="continue"/>
            <w:tcBorders>
              <w:bottom w:val="single" w:sz="8" w:space="0" w:color="000000"/>
              <w:right w:val="single" w:sz="8" w:space="0" w:color="000000"/>
            </w:tcBorders>
            <w:shd w:fill="ACD9B6" w:val="clear"/>
            <w:tcMar>
              <w:top w:w="0" w:type="dxa"/>
              <w:left w:w="0" w:type="dxa"/>
            </w:tcMar>
            <w:vAlign w:val="center"/>
          </w:tcPr>
          <w:p>
            <w:pPr>
              <w:pStyle w:val="Normal"/>
              <w:bidi w:val="0"/>
              <w:jc w:val="left"/>
              <w:rPr/>
            </w:pPr>
            <w:r>
              <w:rPr/>
            </w:r>
          </w:p>
        </w:tc>
        <w:tc>
          <w:tcPr>
            <w:tcW w:w="4539"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People educated about risk prevention (</w:t>
            </w:r>
            <w:r>
              <w:rPr>
                <w:rFonts w:ascii="Arial" w:hAnsi="Arial"/>
                <w:b w:val="false"/>
                <w:i/>
                <w:caps w:val="false"/>
                <w:smallCaps w:val="false"/>
                <w:sz w:val="16"/>
              </w:rPr>
              <w:t>Comunidad Segura</w:t>
            </w:r>
            <w:r>
              <w:rPr>
                <w:rFonts w:ascii="Arial" w:hAnsi="Arial"/>
                <w:b w:val="false"/>
                <w:i w:val="false"/>
                <w:caps w:val="false"/>
                <w:smallCaps w:val="false"/>
                <w:sz w:val="16"/>
              </w:rPr>
              <w:t>)</w:t>
            </w:r>
          </w:p>
        </w:tc>
        <w:tc>
          <w:tcPr>
            <w:tcW w:w="92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w:t>
            </w:r>
          </w:p>
        </w:tc>
        <w:tc>
          <w:tcPr>
            <w:tcW w:w="74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11,117</w:t>
            </w:r>
          </w:p>
        </w:tc>
        <w:tc>
          <w:tcPr>
            <w:tcW w:w="74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38,419</w:t>
            </w:r>
          </w:p>
        </w:tc>
        <w:tc>
          <w:tcPr>
            <w:tcW w:w="741" w:type="dxa"/>
            <w:tcBorders>
              <w:bottom w:val="single" w:sz="8" w:space="0" w:color="000000"/>
              <w:right w:val="single" w:sz="8" w:space="0" w:color="000000"/>
            </w:tcBorders>
            <w:shd w:fill="F3F3F3" w:val="clear"/>
            <w:tcMar>
              <w:top w:w="0" w:type="dxa"/>
              <w:left w:w="0" w:type="dxa"/>
            </w:tcMar>
            <w:vAlign w:val="center"/>
          </w:tcPr>
          <w:p>
            <w:pPr>
              <w:pStyle w:val="TableContents"/>
              <w:bidi w:val="0"/>
              <w:spacing w:before="0" w:after="283"/>
              <w:jc w:val="center"/>
              <w:rPr>
                <w:rFonts w:ascii="Arial" w:hAnsi="Arial"/>
                <w:b/>
                <w:i w:val="false"/>
                <w:caps w:val="false"/>
                <w:smallCaps w:val="false"/>
                <w:color w:val="43AB5B"/>
                <w:sz w:val="16"/>
              </w:rPr>
            </w:pPr>
            <w:r>
              <w:rPr>
                <w:rFonts w:ascii="Arial" w:hAnsi="Arial"/>
                <w:b/>
                <w:i w:val="false"/>
                <w:caps w:val="false"/>
                <w:smallCaps w:val="false"/>
                <w:color w:val="43AB5B"/>
                <w:sz w:val="16"/>
              </w:rPr>
              <w:t>246%</w:t>
            </w:r>
          </w:p>
        </w:tc>
      </w:tr>
      <w:tr>
        <w:trPr/>
        <w:tc>
          <w:tcPr>
            <w:tcW w:w="1192" w:type="dxa"/>
            <w:vMerge w:val="continue"/>
            <w:tcBorders>
              <w:left w:val="single" w:sz="8" w:space="0" w:color="000000"/>
              <w:bottom w:val="single" w:sz="8" w:space="0" w:color="000000"/>
              <w:right w:val="single" w:sz="8" w:space="0" w:color="000000"/>
            </w:tcBorders>
            <w:shd w:fill="ACD9B6" w:val="clear"/>
            <w:tcMar>
              <w:top w:w="0" w:type="dxa"/>
            </w:tcMar>
            <w:vAlign w:val="center"/>
          </w:tcPr>
          <w:p>
            <w:pPr>
              <w:pStyle w:val="Normal"/>
              <w:bidi w:val="0"/>
              <w:jc w:val="left"/>
              <w:rPr/>
            </w:pPr>
            <w:r>
              <w:rPr/>
            </w:r>
          </w:p>
        </w:tc>
        <w:tc>
          <w:tcPr>
            <w:tcW w:w="1333" w:type="dxa"/>
            <w:vMerge w:val="continue"/>
            <w:tcBorders>
              <w:bottom w:val="single" w:sz="8" w:space="0" w:color="000000"/>
              <w:right w:val="single" w:sz="8" w:space="0" w:color="000000"/>
            </w:tcBorders>
            <w:shd w:fill="ACD9B6" w:val="clear"/>
            <w:tcMar>
              <w:top w:w="0" w:type="dxa"/>
              <w:left w:w="0" w:type="dxa"/>
            </w:tcMar>
            <w:vAlign w:val="center"/>
          </w:tcPr>
          <w:p>
            <w:pPr>
              <w:pStyle w:val="Normal"/>
              <w:bidi w:val="0"/>
              <w:jc w:val="left"/>
              <w:rPr/>
            </w:pPr>
            <w:r>
              <w:rPr/>
            </w:r>
          </w:p>
        </w:tc>
        <w:tc>
          <w:tcPr>
            <w:tcW w:w="4539"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 xml:space="preserve">Companies reached by risk prevention advisory services and training through </w:t>
            </w:r>
            <w:r>
              <w:rPr>
                <w:rFonts w:ascii="Arial" w:hAnsi="Arial"/>
                <w:b w:val="false"/>
                <w:i/>
                <w:caps w:val="false"/>
                <w:smallCaps w:val="false"/>
                <w:sz w:val="16"/>
              </w:rPr>
              <w:t xml:space="preserve">Protege 365 </w:t>
            </w:r>
            <w:r>
              <w:rPr>
                <w:rFonts w:ascii="Arial" w:hAnsi="Arial"/>
                <w:b w:val="false"/>
                <w:i w:val="false"/>
                <w:caps w:val="false"/>
                <w:smallCaps w:val="false"/>
                <w:sz w:val="16"/>
              </w:rPr>
              <w:t>(cumulative since 2022)</w:t>
            </w:r>
          </w:p>
        </w:tc>
        <w:tc>
          <w:tcPr>
            <w:tcW w:w="92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w:t>
            </w:r>
          </w:p>
        </w:tc>
        <w:tc>
          <w:tcPr>
            <w:tcW w:w="74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2,197</w:t>
            </w:r>
          </w:p>
        </w:tc>
        <w:tc>
          <w:tcPr>
            <w:tcW w:w="74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5,594</w:t>
            </w:r>
          </w:p>
        </w:tc>
        <w:tc>
          <w:tcPr>
            <w:tcW w:w="741" w:type="dxa"/>
            <w:tcBorders>
              <w:bottom w:val="single" w:sz="8" w:space="0" w:color="000000"/>
              <w:right w:val="single" w:sz="8" w:space="0" w:color="000000"/>
            </w:tcBorders>
            <w:shd w:fill="F3F3F3" w:val="clear"/>
            <w:tcMar>
              <w:top w:w="0" w:type="dxa"/>
              <w:left w:w="0" w:type="dxa"/>
            </w:tcMar>
            <w:vAlign w:val="center"/>
          </w:tcPr>
          <w:p>
            <w:pPr>
              <w:pStyle w:val="TableContents"/>
              <w:bidi w:val="0"/>
              <w:spacing w:before="0" w:after="283"/>
              <w:jc w:val="center"/>
              <w:rPr>
                <w:rFonts w:ascii="Arial" w:hAnsi="Arial"/>
                <w:b/>
                <w:i w:val="false"/>
                <w:caps w:val="false"/>
                <w:smallCaps w:val="false"/>
                <w:color w:val="43AB5B"/>
                <w:sz w:val="16"/>
              </w:rPr>
            </w:pPr>
            <w:r>
              <w:rPr>
                <w:rFonts w:ascii="Arial" w:hAnsi="Arial"/>
                <w:b/>
                <w:i w:val="false"/>
                <w:caps w:val="false"/>
                <w:smallCaps w:val="false"/>
                <w:color w:val="43AB5B"/>
                <w:sz w:val="16"/>
              </w:rPr>
              <w:t>155%</w:t>
            </w:r>
          </w:p>
        </w:tc>
      </w:tr>
      <w:tr>
        <w:trPr/>
        <w:tc>
          <w:tcPr>
            <w:tcW w:w="1192" w:type="dxa"/>
            <w:vMerge w:val="continue"/>
            <w:tcBorders>
              <w:left w:val="single" w:sz="8" w:space="0" w:color="000000"/>
              <w:bottom w:val="single" w:sz="8" w:space="0" w:color="000000"/>
              <w:right w:val="single" w:sz="8" w:space="0" w:color="000000"/>
            </w:tcBorders>
            <w:shd w:fill="ACD9B6" w:val="clear"/>
            <w:tcMar>
              <w:top w:w="0" w:type="dxa"/>
            </w:tcMar>
            <w:vAlign w:val="center"/>
          </w:tcPr>
          <w:p>
            <w:pPr>
              <w:pStyle w:val="Normal"/>
              <w:bidi w:val="0"/>
              <w:jc w:val="left"/>
              <w:rPr/>
            </w:pPr>
            <w:r>
              <w:rPr/>
            </w:r>
          </w:p>
        </w:tc>
        <w:tc>
          <w:tcPr>
            <w:tcW w:w="1333" w:type="dxa"/>
            <w:vMerge w:val="restart"/>
            <w:tcBorders>
              <w:bottom w:val="single" w:sz="8" w:space="0" w:color="000000"/>
              <w:right w:val="single" w:sz="8" w:space="0" w:color="000000"/>
            </w:tcBorders>
            <w:shd w:fill="ACD9B6" w:val="clear"/>
            <w:tcMar>
              <w:top w:w="0" w:type="dxa"/>
              <w:left w:w="0" w:type="dxa"/>
            </w:tcM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PRIMA AFP</w:t>
            </w:r>
          </w:p>
        </w:tc>
        <w:tc>
          <w:tcPr>
            <w:tcW w:w="4539"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 xml:space="preserve">People reached by the </w:t>
            </w:r>
            <w:r>
              <w:rPr>
                <w:rFonts w:ascii="Arial" w:hAnsi="Arial"/>
                <w:b w:val="false"/>
                <w:i/>
                <w:caps w:val="false"/>
                <w:smallCaps w:val="false"/>
                <w:sz w:val="16"/>
              </w:rPr>
              <w:t>ABC de la Cultura previsional</w:t>
            </w:r>
            <w:r>
              <w:rPr>
                <w:rFonts w:ascii="Arial" w:hAnsi="Arial"/>
                <w:b w:val="false"/>
                <w:i w:val="false"/>
                <w:caps w:val="false"/>
                <w:smallCaps w:val="false"/>
                <w:sz w:val="16"/>
              </w:rPr>
              <w:t xml:space="preserve"> (culture of prevention) program</w:t>
            </w:r>
          </w:p>
        </w:tc>
        <w:tc>
          <w:tcPr>
            <w:tcW w:w="92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w:t>
            </w:r>
          </w:p>
        </w:tc>
        <w:tc>
          <w:tcPr>
            <w:tcW w:w="74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61,026</w:t>
            </w:r>
          </w:p>
        </w:tc>
        <w:tc>
          <w:tcPr>
            <w:tcW w:w="74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138,060</w:t>
            </w:r>
          </w:p>
        </w:tc>
        <w:tc>
          <w:tcPr>
            <w:tcW w:w="741" w:type="dxa"/>
            <w:tcBorders>
              <w:bottom w:val="single" w:sz="8" w:space="0" w:color="000000"/>
              <w:right w:val="single" w:sz="8" w:space="0" w:color="000000"/>
            </w:tcBorders>
            <w:shd w:fill="F3F3F3" w:val="clear"/>
            <w:tcMar>
              <w:top w:w="0" w:type="dxa"/>
              <w:left w:w="0" w:type="dxa"/>
            </w:tcMar>
            <w:vAlign w:val="center"/>
          </w:tcPr>
          <w:p>
            <w:pPr>
              <w:pStyle w:val="TableContents"/>
              <w:bidi w:val="0"/>
              <w:spacing w:before="0" w:after="283"/>
              <w:jc w:val="center"/>
              <w:rPr>
                <w:rFonts w:ascii="Arial" w:hAnsi="Arial"/>
                <w:b/>
                <w:i w:val="false"/>
                <w:caps w:val="false"/>
                <w:smallCaps w:val="false"/>
                <w:color w:val="43AB5B"/>
                <w:sz w:val="16"/>
              </w:rPr>
            </w:pPr>
            <w:r>
              <w:rPr>
                <w:rFonts w:ascii="Arial" w:hAnsi="Arial"/>
                <w:b/>
                <w:i w:val="false"/>
                <w:caps w:val="false"/>
                <w:smallCaps w:val="false"/>
                <w:color w:val="43AB5B"/>
                <w:sz w:val="16"/>
              </w:rPr>
              <w:t>126%</w:t>
            </w:r>
          </w:p>
        </w:tc>
      </w:tr>
      <w:tr>
        <w:trPr/>
        <w:tc>
          <w:tcPr>
            <w:tcW w:w="1192" w:type="dxa"/>
            <w:vMerge w:val="continue"/>
            <w:tcBorders>
              <w:left w:val="single" w:sz="8" w:space="0" w:color="000000"/>
              <w:bottom w:val="single" w:sz="8" w:space="0" w:color="000000"/>
              <w:right w:val="single" w:sz="8" w:space="0" w:color="000000"/>
            </w:tcBorders>
            <w:shd w:fill="ACD9B6" w:val="clear"/>
            <w:tcMar>
              <w:top w:w="0" w:type="dxa"/>
            </w:tcMar>
            <w:vAlign w:val="center"/>
          </w:tcPr>
          <w:p>
            <w:pPr>
              <w:pStyle w:val="Normal"/>
              <w:bidi w:val="0"/>
              <w:jc w:val="left"/>
              <w:rPr/>
            </w:pPr>
            <w:r>
              <w:rPr/>
            </w:r>
          </w:p>
        </w:tc>
        <w:tc>
          <w:tcPr>
            <w:tcW w:w="1333" w:type="dxa"/>
            <w:vMerge w:val="continue"/>
            <w:tcBorders>
              <w:bottom w:val="single" w:sz="8" w:space="0" w:color="000000"/>
              <w:right w:val="single" w:sz="8" w:space="0" w:color="000000"/>
            </w:tcBorders>
            <w:shd w:fill="ACD9B6" w:val="clear"/>
            <w:tcMar>
              <w:top w:w="0" w:type="dxa"/>
              <w:left w:w="0" w:type="dxa"/>
            </w:tcMar>
            <w:vAlign w:val="center"/>
          </w:tcPr>
          <w:p>
            <w:pPr>
              <w:pStyle w:val="Normal"/>
              <w:bidi w:val="0"/>
              <w:jc w:val="left"/>
              <w:rPr/>
            </w:pPr>
            <w:r>
              <w:rPr/>
            </w:r>
          </w:p>
        </w:tc>
        <w:tc>
          <w:tcPr>
            <w:tcW w:w="4539"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 xml:space="preserve">Effective visualizations of the </w:t>
            </w:r>
            <w:r>
              <w:rPr>
                <w:rFonts w:ascii="Arial" w:hAnsi="Arial"/>
                <w:b w:val="false"/>
                <w:i/>
                <w:caps w:val="false"/>
                <w:smallCaps w:val="false"/>
                <w:sz w:val="16"/>
              </w:rPr>
              <w:t>El Depa</w:t>
            </w:r>
            <w:r>
              <w:rPr>
                <w:rFonts w:ascii="Arial" w:hAnsi="Arial"/>
                <w:b w:val="false"/>
                <w:i w:val="false"/>
                <w:caps w:val="false"/>
                <w:smallCaps w:val="false"/>
                <w:sz w:val="16"/>
              </w:rPr>
              <w:t xml:space="preserve"> web series</w:t>
            </w:r>
          </w:p>
        </w:tc>
        <w:tc>
          <w:tcPr>
            <w:tcW w:w="92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 millions</w:t>
            </w:r>
          </w:p>
        </w:tc>
        <w:tc>
          <w:tcPr>
            <w:tcW w:w="74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11.7</w:t>
            </w:r>
          </w:p>
        </w:tc>
        <w:tc>
          <w:tcPr>
            <w:tcW w:w="740" w:type="dxa"/>
            <w:tcBorders>
              <w:bottom w:val="single" w:sz="8" w:space="0" w:color="000000"/>
              <w:right w:val="single" w:sz="8" w:space="0" w:color="000000"/>
            </w:tcBorders>
            <w:shd w:fill="D4EAD8"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12.0</w:t>
            </w:r>
          </w:p>
        </w:tc>
        <w:tc>
          <w:tcPr>
            <w:tcW w:w="741" w:type="dxa"/>
            <w:tcBorders>
              <w:bottom w:val="single" w:sz="8" w:space="0" w:color="000000"/>
              <w:right w:val="single" w:sz="8" w:space="0" w:color="000000"/>
            </w:tcBorders>
            <w:shd w:fill="F3F3F3" w:val="clear"/>
            <w:tcMar>
              <w:top w:w="0" w:type="dxa"/>
              <w:left w:w="0" w:type="dxa"/>
            </w:tcMar>
            <w:vAlign w:val="center"/>
          </w:tcPr>
          <w:p>
            <w:pPr>
              <w:pStyle w:val="TableContents"/>
              <w:bidi w:val="0"/>
              <w:spacing w:before="0" w:after="283"/>
              <w:jc w:val="center"/>
              <w:rPr>
                <w:rFonts w:ascii="Arial" w:hAnsi="Arial"/>
                <w:b/>
                <w:i w:val="false"/>
                <w:caps w:val="false"/>
                <w:smallCaps w:val="false"/>
                <w:color w:val="43AB5B"/>
                <w:sz w:val="16"/>
              </w:rPr>
            </w:pPr>
            <w:r>
              <w:rPr>
                <w:rFonts w:ascii="Arial" w:hAnsi="Arial"/>
                <w:b/>
                <w:i w:val="false"/>
                <w:caps w:val="false"/>
                <w:smallCaps w:val="false"/>
                <w:color w:val="43AB5B"/>
                <w:sz w:val="16"/>
              </w:rPr>
              <w:t>3%</w:t>
            </w:r>
          </w:p>
        </w:tc>
      </w:tr>
      <w:tr>
        <w:trPr/>
        <w:tc>
          <w:tcPr>
            <w:tcW w:w="1192"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1333" w:type="dxa"/>
            <w:tcBorders/>
            <w:tcMar>
              <w:top w:w="0" w:type="dxa"/>
              <w:left w:w="0" w:type="dxa"/>
              <w:bottom w:w="0" w:type="dxa"/>
              <w:right w:w="0" w:type="dxa"/>
            </w:tcMar>
            <w:vAlign w:val="center"/>
          </w:tcPr>
          <w:p>
            <w:pPr>
              <w:pStyle w:val="TableContents"/>
              <w:bidi w:val="0"/>
              <w:spacing w:before="0" w:after="283"/>
              <w:jc w:val="center"/>
              <w:rPr>
                <w:caps w:val="false"/>
                <w:smallCaps w:val="false"/>
              </w:rPr>
            </w:pPr>
            <w:r>
              <w:rPr>
                <w:caps w:val="false"/>
                <w:smallCaps w:val="false"/>
              </w:rPr>
              <w:t> </w:t>
            </w:r>
          </w:p>
        </w:tc>
        <w:tc>
          <w:tcPr>
            <w:tcW w:w="4539"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tcMar>
              <w:top w:w="0" w:type="dxa"/>
              <w:left w:w="0" w:type="dxa"/>
              <w:bottom w:w="0" w:type="dxa"/>
              <w:right w:w="0" w:type="dxa"/>
            </w:tcMar>
            <w:vAlign w:val="center"/>
          </w:tcPr>
          <w:p>
            <w:pPr>
              <w:pStyle w:val="TableContents"/>
              <w:bidi w:val="0"/>
              <w:spacing w:before="0" w:after="283"/>
              <w:jc w:val="center"/>
              <w:rPr>
                <w:caps w:val="false"/>
                <w:smallCaps w:val="false"/>
              </w:rPr>
            </w:pPr>
            <w:r>
              <w:rPr>
                <w:caps w:val="false"/>
                <w:smallCaps w:val="false"/>
              </w:rPr>
              <w:t> </w:t>
            </w:r>
          </w:p>
        </w:tc>
        <w:tc>
          <w:tcPr>
            <w:tcW w:w="740" w:type="dxa"/>
            <w:tcBorders/>
            <w:tcMar>
              <w:top w:w="0" w:type="dxa"/>
              <w:left w:w="0" w:type="dxa"/>
              <w:bottom w:w="0" w:type="dxa"/>
              <w:right w:w="0" w:type="dxa"/>
            </w:tcMar>
            <w:vAlign w:val="center"/>
          </w:tcPr>
          <w:p>
            <w:pPr>
              <w:pStyle w:val="TableContents"/>
              <w:bidi w:val="0"/>
              <w:spacing w:before="0" w:after="283"/>
              <w:jc w:val="center"/>
              <w:rPr>
                <w:caps w:val="false"/>
                <w:smallCaps w:val="false"/>
              </w:rPr>
            </w:pPr>
            <w:r>
              <w:rPr>
                <w:caps w:val="false"/>
                <w:smallCaps w:val="false"/>
              </w:rPr>
              <w:t> </w:t>
            </w:r>
          </w:p>
        </w:tc>
        <w:tc>
          <w:tcPr>
            <w:tcW w:w="740" w:type="dxa"/>
            <w:tcBorders/>
            <w:tcMar>
              <w:top w:w="0" w:type="dxa"/>
              <w:left w:w="0" w:type="dxa"/>
              <w:bottom w:w="0" w:type="dxa"/>
              <w:right w:w="0" w:type="dxa"/>
            </w:tcMar>
            <w:vAlign w:val="center"/>
          </w:tcPr>
          <w:p>
            <w:pPr>
              <w:pStyle w:val="TableContents"/>
              <w:bidi w:val="0"/>
              <w:spacing w:before="0" w:after="283"/>
              <w:jc w:val="center"/>
              <w:rPr>
                <w:caps w:val="false"/>
                <w:smallCaps w:val="false"/>
              </w:rPr>
            </w:pPr>
            <w:r>
              <w:rPr>
                <w:caps w:val="false"/>
                <w:smallCaps w:val="false"/>
              </w:rPr>
              <w:t> </w:t>
            </w:r>
          </w:p>
        </w:tc>
        <w:tc>
          <w:tcPr>
            <w:tcW w:w="741" w:type="dxa"/>
            <w:tcBorders/>
            <w:tcMar>
              <w:top w:w="0" w:type="dxa"/>
              <w:left w:w="0" w:type="dxa"/>
              <w:bottom w:w="0" w:type="dxa"/>
              <w:right w:w="0" w:type="dxa"/>
            </w:tcMar>
            <w:vAlign w:val="center"/>
          </w:tcPr>
          <w:p>
            <w:pPr>
              <w:pStyle w:val="TableContents"/>
              <w:bidi w:val="0"/>
              <w:spacing w:before="0" w:after="283"/>
              <w:jc w:val="center"/>
              <w:rPr>
                <w:caps w:val="false"/>
                <w:smallCaps w:val="false"/>
              </w:rPr>
            </w:pPr>
            <w:r>
              <w:rPr>
                <w:caps w:val="false"/>
                <w:smallCaps w:val="false"/>
              </w:rPr>
              <w:t> </w:t>
            </w:r>
          </w:p>
        </w:tc>
      </w:tr>
    </w:tbl>
    <w:tbl>
      <w:tblPr>
        <w:tblW w:w="10205" w:type="dxa"/>
        <w:jc w:val="left"/>
        <w:tblInd w:w="-10" w:type="dxa"/>
        <w:tblLayout w:type="fixed"/>
        <w:tblCellMar>
          <w:top w:w="28" w:type="dxa"/>
          <w:left w:w="40" w:type="dxa"/>
          <w:bottom w:w="28" w:type="dxa"/>
          <w:right w:w="40" w:type="dxa"/>
        </w:tblCellMar>
      </w:tblPr>
      <w:tblGrid>
        <w:gridCol w:w="2779"/>
        <w:gridCol w:w="1617"/>
        <w:gridCol w:w="3117"/>
        <w:gridCol w:w="920"/>
        <w:gridCol w:w="515"/>
        <w:gridCol w:w="515"/>
        <w:gridCol w:w="742"/>
      </w:tblGrid>
      <w:tr>
        <w:trPr/>
        <w:tc>
          <w:tcPr>
            <w:tcW w:w="10205" w:type="dxa"/>
            <w:gridSpan w:val="7"/>
            <w:tcBorders>
              <w:top w:val="single" w:sz="8" w:space="0" w:color="000000"/>
              <w:left w:val="single" w:sz="8" w:space="0" w:color="000000"/>
              <w:bottom w:val="single" w:sz="8" w:space="0" w:color="000000"/>
              <w:right w:val="single" w:sz="8" w:space="0" w:color="000000"/>
            </w:tcBorders>
            <w:shd w:fill="F6CBB0" w:val="clear"/>
            <w:vAlign w:val="center"/>
          </w:tcPr>
          <w:p>
            <w:pPr>
              <w:pStyle w:val="TableContents"/>
              <w:bidi w:val="0"/>
              <w:spacing w:before="0" w:after="283"/>
              <w:jc w:val="left"/>
              <w:rPr>
                <w:rFonts w:ascii="Arial" w:hAnsi="Arial"/>
                <w:b/>
                <w:i w:val="false"/>
                <w:caps w:val="false"/>
                <w:smallCaps w:val="false"/>
                <w:sz w:val="16"/>
              </w:rPr>
            </w:pPr>
            <w:r>
              <w:rPr>
                <w:rFonts w:ascii="Arial" w:hAnsi="Arial"/>
                <w:b/>
                <w:i w:val="false"/>
                <w:caps w:val="false"/>
                <w:smallCaps w:val="false"/>
                <w:sz w:val="16"/>
              </w:rPr>
              <w:t>Pillar 3: Empower our people to thrive</w:t>
            </w:r>
          </w:p>
        </w:tc>
      </w:tr>
      <w:tr>
        <w:trPr/>
        <w:tc>
          <w:tcPr>
            <w:tcW w:w="2779" w:type="dxa"/>
            <w:tcBorders>
              <w:left w:val="single" w:sz="8" w:space="0" w:color="000000"/>
              <w:bottom w:val="single" w:sz="8" w:space="0" w:color="000000"/>
              <w:right w:val="single" w:sz="8" w:space="0" w:color="000000"/>
            </w:tcBorders>
            <w:shd w:fill="F6CBB0" w:val="clear"/>
            <w:tcMar>
              <w:top w:w="0" w:type="dxa"/>
            </w:tcM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Ambition</w:t>
            </w:r>
          </w:p>
        </w:tc>
        <w:tc>
          <w:tcPr>
            <w:tcW w:w="1617" w:type="dxa"/>
            <w:tcBorders>
              <w:bottom w:val="single" w:sz="8" w:space="0" w:color="000000"/>
              <w:right w:val="single" w:sz="8" w:space="0" w:color="000000"/>
            </w:tcBorders>
            <w:shd w:fill="F6CBB0" w:val="clear"/>
            <w:tcMar>
              <w:top w:w="0" w:type="dxa"/>
              <w:left w:w="0" w:type="dxa"/>
            </w:tcM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Subsidiary</w:t>
            </w:r>
          </w:p>
        </w:tc>
        <w:tc>
          <w:tcPr>
            <w:tcW w:w="3117" w:type="dxa"/>
            <w:tcBorders>
              <w:bottom w:val="single" w:sz="8" w:space="0" w:color="000000"/>
              <w:right w:val="single" w:sz="8" w:space="0" w:color="000000"/>
            </w:tcBorders>
            <w:shd w:fill="F6CBB0" w:val="clear"/>
            <w:tcMar>
              <w:top w:w="0" w:type="dxa"/>
              <w:left w:w="0" w:type="dxa"/>
            </w:tcM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Indicator</w:t>
            </w:r>
          </w:p>
        </w:tc>
        <w:tc>
          <w:tcPr>
            <w:tcW w:w="920" w:type="dxa"/>
            <w:tcBorders>
              <w:bottom w:val="single" w:sz="8" w:space="0" w:color="000000"/>
              <w:right w:val="single" w:sz="8" w:space="0" w:color="000000"/>
            </w:tcBorders>
            <w:shd w:fill="F6CBB0" w:val="clear"/>
            <w:tcMar>
              <w:top w:w="0" w:type="dxa"/>
              <w:left w:w="0" w:type="dxa"/>
            </w:tcM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Unit</w:t>
            </w:r>
          </w:p>
        </w:tc>
        <w:tc>
          <w:tcPr>
            <w:tcW w:w="515" w:type="dxa"/>
            <w:tcBorders>
              <w:bottom w:val="single" w:sz="8" w:space="0" w:color="000000"/>
              <w:right w:val="single" w:sz="8" w:space="0" w:color="000000"/>
            </w:tcBorders>
            <w:shd w:fill="F6CBB0" w:val="clear"/>
            <w:tcMar>
              <w:top w:w="0" w:type="dxa"/>
              <w:left w:w="0" w:type="dxa"/>
            </w:tcM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2022</w:t>
            </w:r>
          </w:p>
        </w:tc>
        <w:tc>
          <w:tcPr>
            <w:tcW w:w="515" w:type="dxa"/>
            <w:tcBorders>
              <w:bottom w:val="single" w:sz="8" w:space="0" w:color="000000"/>
              <w:right w:val="single" w:sz="8" w:space="0" w:color="000000"/>
            </w:tcBorders>
            <w:shd w:fill="F6CBB0" w:val="clear"/>
            <w:tcMar>
              <w:top w:w="0" w:type="dxa"/>
              <w:left w:w="0" w:type="dxa"/>
            </w:tcM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2023</w:t>
            </w:r>
          </w:p>
        </w:tc>
        <w:tc>
          <w:tcPr>
            <w:tcW w:w="742" w:type="dxa"/>
            <w:tcBorders>
              <w:bottom w:val="single" w:sz="8" w:space="0" w:color="000000"/>
              <w:right w:val="single" w:sz="8" w:space="0" w:color="000000"/>
            </w:tcBorders>
            <w:shd w:fill="F6CBB0" w:val="clear"/>
            <w:tcMar>
              <w:top w:w="0" w:type="dxa"/>
              <w:left w:w="0" w:type="dxa"/>
            </w:tcM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Variation</w:t>
            </w:r>
          </w:p>
        </w:tc>
      </w:tr>
      <w:tr>
        <w:trPr/>
        <w:tc>
          <w:tcPr>
            <w:tcW w:w="2779" w:type="dxa"/>
            <w:vMerge w:val="restart"/>
            <w:tcBorders>
              <w:left w:val="single" w:sz="8" w:space="0" w:color="000000"/>
              <w:bottom w:val="single" w:sz="8" w:space="0" w:color="000000"/>
              <w:right w:val="single" w:sz="8" w:space="0" w:color="000000"/>
            </w:tcBorders>
            <w:shd w:fill="F6CBB0" w:val="clear"/>
            <w:tcMar>
              <w:top w:w="0" w:type="dxa"/>
            </w:tcM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Opportunities and products for women</w:t>
            </w:r>
          </w:p>
        </w:tc>
        <w:tc>
          <w:tcPr>
            <w:tcW w:w="1617" w:type="dxa"/>
            <w:vMerge w:val="restart"/>
            <w:tcBorders>
              <w:bottom w:val="single" w:sz="8" w:space="0" w:color="000000"/>
              <w:right w:val="single" w:sz="8" w:space="0" w:color="000000"/>
            </w:tcBorders>
            <w:shd w:fill="F6CBB0" w:val="clear"/>
            <w:tcMar>
              <w:top w:w="0" w:type="dxa"/>
              <w:left w:w="0" w:type="dxa"/>
            </w:tcM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MIBANCO PERU</w:t>
            </w:r>
          </w:p>
        </w:tc>
        <w:tc>
          <w:tcPr>
            <w:tcW w:w="3117" w:type="dxa"/>
            <w:tcBorders>
              <w:bottom w:val="single" w:sz="8" w:space="0" w:color="000000"/>
              <w:right w:val="single" w:sz="8" w:space="0" w:color="000000"/>
            </w:tcBorders>
            <w:shd w:fill="FAE4D6"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Clients who disbursed through Crédito Mujer</w:t>
            </w:r>
          </w:p>
        </w:tc>
        <w:tc>
          <w:tcPr>
            <w:tcW w:w="920" w:type="dxa"/>
            <w:tcBorders>
              <w:bottom w:val="single" w:sz="8" w:space="0" w:color="000000"/>
              <w:right w:val="single" w:sz="8" w:space="0" w:color="000000"/>
            </w:tcBorders>
            <w:shd w:fill="FAE4D6"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w:t>
            </w:r>
          </w:p>
        </w:tc>
        <w:tc>
          <w:tcPr>
            <w:tcW w:w="515" w:type="dxa"/>
            <w:tcBorders>
              <w:bottom w:val="single" w:sz="8" w:space="0" w:color="000000"/>
              <w:right w:val="single" w:sz="8" w:space="0" w:color="000000"/>
            </w:tcBorders>
            <w:shd w:fill="FAE4D6"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31,366</w:t>
            </w:r>
          </w:p>
        </w:tc>
        <w:tc>
          <w:tcPr>
            <w:tcW w:w="515" w:type="dxa"/>
            <w:tcBorders>
              <w:bottom w:val="single" w:sz="8" w:space="0" w:color="000000"/>
              <w:right w:val="single" w:sz="8" w:space="0" w:color="000000"/>
            </w:tcBorders>
            <w:shd w:fill="FAE4D6"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51,178</w:t>
            </w:r>
          </w:p>
        </w:tc>
        <w:tc>
          <w:tcPr>
            <w:tcW w:w="742" w:type="dxa"/>
            <w:tcBorders>
              <w:bottom w:val="single" w:sz="8" w:space="0" w:color="000000"/>
              <w:right w:val="single" w:sz="8" w:space="0" w:color="000000"/>
            </w:tcBorders>
            <w:shd w:fill="F3F3F3" w:val="clear"/>
            <w:tcMar>
              <w:top w:w="0" w:type="dxa"/>
              <w:left w:w="0" w:type="dxa"/>
            </w:tcMar>
            <w:vAlign w:val="center"/>
          </w:tcPr>
          <w:p>
            <w:pPr>
              <w:pStyle w:val="TableContents"/>
              <w:bidi w:val="0"/>
              <w:spacing w:before="0" w:after="283"/>
              <w:jc w:val="center"/>
              <w:rPr>
                <w:rFonts w:ascii="Arial" w:hAnsi="Arial"/>
                <w:b/>
                <w:i w:val="false"/>
                <w:caps w:val="false"/>
                <w:smallCaps w:val="false"/>
                <w:color w:val="43AB5B"/>
                <w:sz w:val="16"/>
              </w:rPr>
            </w:pPr>
            <w:r>
              <w:rPr>
                <w:rFonts w:ascii="Arial" w:hAnsi="Arial"/>
                <w:b/>
                <w:i w:val="false"/>
                <w:caps w:val="false"/>
                <w:smallCaps w:val="false"/>
                <w:color w:val="43AB5B"/>
                <w:sz w:val="16"/>
              </w:rPr>
              <w:t>63%</w:t>
            </w:r>
          </w:p>
        </w:tc>
      </w:tr>
      <w:tr>
        <w:trPr/>
        <w:tc>
          <w:tcPr>
            <w:tcW w:w="2779" w:type="dxa"/>
            <w:vMerge w:val="continue"/>
            <w:tcBorders>
              <w:left w:val="single" w:sz="8" w:space="0" w:color="000000"/>
              <w:bottom w:val="single" w:sz="8" w:space="0" w:color="000000"/>
              <w:right w:val="single" w:sz="8" w:space="0" w:color="000000"/>
            </w:tcBorders>
            <w:shd w:fill="F6CBB0" w:val="clear"/>
            <w:tcMar>
              <w:top w:w="0" w:type="dxa"/>
            </w:tcMar>
            <w:vAlign w:val="center"/>
          </w:tcPr>
          <w:p>
            <w:pPr>
              <w:pStyle w:val="Normal"/>
              <w:bidi w:val="0"/>
              <w:jc w:val="left"/>
              <w:rPr/>
            </w:pPr>
            <w:r>
              <w:rPr/>
            </w:r>
          </w:p>
        </w:tc>
        <w:tc>
          <w:tcPr>
            <w:tcW w:w="1617" w:type="dxa"/>
            <w:vMerge w:val="continue"/>
            <w:tcBorders>
              <w:bottom w:val="single" w:sz="8" w:space="0" w:color="000000"/>
              <w:right w:val="single" w:sz="8" w:space="0" w:color="000000"/>
            </w:tcBorders>
            <w:shd w:fill="F6CBB0" w:val="clear"/>
            <w:tcMar>
              <w:top w:w="0" w:type="dxa"/>
              <w:left w:w="0" w:type="dxa"/>
            </w:tcMar>
            <w:vAlign w:val="center"/>
          </w:tcPr>
          <w:p>
            <w:pPr>
              <w:pStyle w:val="Normal"/>
              <w:bidi w:val="0"/>
              <w:jc w:val="left"/>
              <w:rPr/>
            </w:pPr>
            <w:r>
              <w:rPr/>
            </w:r>
          </w:p>
        </w:tc>
        <w:tc>
          <w:tcPr>
            <w:tcW w:w="3117" w:type="dxa"/>
            <w:tcBorders>
              <w:bottom w:val="single" w:sz="8" w:space="0" w:color="000000"/>
              <w:right w:val="single" w:sz="8" w:space="0" w:color="000000"/>
            </w:tcBorders>
            <w:shd w:fill="FAE4D6"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Crédito Mujer disbursements</w:t>
            </w:r>
          </w:p>
        </w:tc>
        <w:tc>
          <w:tcPr>
            <w:tcW w:w="920" w:type="dxa"/>
            <w:tcBorders>
              <w:bottom w:val="single" w:sz="8" w:space="0" w:color="000000"/>
              <w:right w:val="single" w:sz="8" w:space="0" w:color="000000"/>
            </w:tcBorders>
            <w:shd w:fill="FAE4D6"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S/ millions</w:t>
            </w:r>
          </w:p>
        </w:tc>
        <w:tc>
          <w:tcPr>
            <w:tcW w:w="515" w:type="dxa"/>
            <w:tcBorders>
              <w:bottom w:val="single" w:sz="8" w:space="0" w:color="000000"/>
              <w:right w:val="single" w:sz="8" w:space="0" w:color="000000"/>
            </w:tcBorders>
            <w:shd w:fill="FAE4D6"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62.8</w:t>
            </w:r>
          </w:p>
        </w:tc>
        <w:tc>
          <w:tcPr>
            <w:tcW w:w="515" w:type="dxa"/>
            <w:tcBorders>
              <w:bottom w:val="single" w:sz="8" w:space="0" w:color="000000"/>
              <w:right w:val="single" w:sz="8" w:space="0" w:color="000000"/>
            </w:tcBorders>
            <w:shd w:fill="FAE4D6"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108.5</w:t>
            </w:r>
          </w:p>
        </w:tc>
        <w:tc>
          <w:tcPr>
            <w:tcW w:w="742" w:type="dxa"/>
            <w:tcBorders>
              <w:bottom w:val="single" w:sz="8" w:space="0" w:color="000000"/>
              <w:right w:val="single" w:sz="8" w:space="0" w:color="000000"/>
            </w:tcBorders>
            <w:shd w:fill="F3F3F3" w:val="clear"/>
            <w:tcMar>
              <w:top w:w="0" w:type="dxa"/>
              <w:left w:w="0" w:type="dxa"/>
            </w:tcMar>
            <w:vAlign w:val="center"/>
          </w:tcPr>
          <w:p>
            <w:pPr>
              <w:pStyle w:val="TableContents"/>
              <w:bidi w:val="0"/>
              <w:spacing w:before="0" w:after="283"/>
              <w:jc w:val="center"/>
              <w:rPr>
                <w:rFonts w:ascii="Arial" w:hAnsi="Arial"/>
                <w:b/>
                <w:i w:val="false"/>
                <w:caps w:val="false"/>
                <w:smallCaps w:val="false"/>
                <w:color w:val="43AB5B"/>
                <w:sz w:val="16"/>
              </w:rPr>
            </w:pPr>
            <w:r>
              <w:rPr>
                <w:rFonts w:ascii="Arial" w:hAnsi="Arial"/>
                <w:b/>
                <w:i w:val="false"/>
                <w:caps w:val="false"/>
                <w:smallCaps w:val="false"/>
                <w:color w:val="43AB5B"/>
                <w:sz w:val="16"/>
              </w:rPr>
              <w:t>73%</w:t>
            </w:r>
          </w:p>
        </w:tc>
      </w:tr>
      <w:tr>
        <w:trPr/>
        <w:tc>
          <w:tcPr>
            <w:tcW w:w="2779" w:type="dxa"/>
            <w:vMerge w:val="continue"/>
            <w:tcBorders>
              <w:left w:val="single" w:sz="8" w:space="0" w:color="000000"/>
              <w:bottom w:val="single" w:sz="8" w:space="0" w:color="000000"/>
              <w:right w:val="single" w:sz="8" w:space="0" w:color="000000"/>
            </w:tcBorders>
            <w:shd w:fill="F6CBB0" w:val="clear"/>
            <w:tcMar>
              <w:top w:w="0" w:type="dxa"/>
            </w:tcMar>
            <w:vAlign w:val="center"/>
          </w:tcPr>
          <w:p>
            <w:pPr>
              <w:pStyle w:val="Normal"/>
              <w:bidi w:val="0"/>
              <w:jc w:val="left"/>
              <w:rPr/>
            </w:pPr>
            <w:r>
              <w:rPr/>
            </w:r>
          </w:p>
        </w:tc>
        <w:tc>
          <w:tcPr>
            <w:tcW w:w="1617" w:type="dxa"/>
            <w:vMerge w:val="continue"/>
            <w:tcBorders>
              <w:bottom w:val="single" w:sz="8" w:space="0" w:color="000000"/>
              <w:right w:val="single" w:sz="8" w:space="0" w:color="000000"/>
            </w:tcBorders>
            <w:shd w:fill="F6CBB0" w:val="clear"/>
            <w:tcMar>
              <w:top w:w="0" w:type="dxa"/>
              <w:left w:w="0" w:type="dxa"/>
            </w:tcMar>
            <w:vAlign w:val="center"/>
          </w:tcPr>
          <w:p>
            <w:pPr>
              <w:pStyle w:val="Normal"/>
              <w:bidi w:val="0"/>
              <w:jc w:val="left"/>
              <w:rPr/>
            </w:pPr>
            <w:r>
              <w:rPr/>
            </w:r>
          </w:p>
        </w:tc>
        <w:tc>
          <w:tcPr>
            <w:tcW w:w="3117" w:type="dxa"/>
            <w:tcBorders>
              <w:bottom w:val="single" w:sz="8" w:space="0" w:color="000000"/>
              <w:right w:val="single" w:sz="8" w:space="0" w:color="000000"/>
            </w:tcBorders>
            <w:shd w:fill="FAE4D6"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Women banked through Crédito Mujer</w:t>
            </w:r>
          </w:p>
        </w:tc>
        <w:tc>
          <w:tcPr>
            <w:tcW w:w="920" w:type="dxa"/>
            <w:tcBorders>
              <w:bottom w:val="single" w:sz="8" w:space="0" w:color="000000"/>
              <w:right w:val="single" w:sz="8" w:space="0" w:color="000000"/>
            </w:tcBorders>
            <w:shd w:fill="FAE4D6"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 thousands</w:t>
            </w:r>
          </w:p>
        </w:tc>
        <w:tc>
          <w:tcPr>
            <w:tcW w:w="515" w:type="dxa"/>
            <w:tcBorders>
              <w:bottom w:val="single" w:sz="8" w:space="0" w:color="000000"/>
              <w:right w:val="single" w:sz="8" w:space="0" w:color="000000"/>
            </w:tcBorders>
            <w:shd w:fill="FAE4D6"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9.3</w:t>
            </w:r>
          </w:p>
        </w:tc>
        <w:tc>
          <w:tcPr>
            <w:tcW w:w="515" w:type="dxa"/>
            <w:tcBorders>
              <w:bottom w:val="single" w:sz="8" w:space="0" w:color="000000"/>
              <w:right w:val="single" w:sz="8" w:space="0" w:color="000000"/>
            </w:tcBorders>
            <w:shd w:fill="FAE4D6"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13.2</w:t>
            </w:r>
          </w:p>
        </w:tc>
        <w:tc>
          <w:tcPr>
            <w:tcW w:w="742" w:type="dxa"/>
            <w:tcBorders>
              <w:bottom w:val="single" w:sz="8" w:space="0" w:color="000000"/>
              <w:right w:val="single" w:sz="8" w:space="0" w:color="000000"/>
            </w:tcBorders>
            <w:shd w:fill="F3F3F3" w:val="clear"/>
            <w:tcMar>
              <w:top w:w="0" w:type="dxa"/>
              <w:left w:w="0" w:type="dxa"/>
            </w:tcMar>
            <w:vAlign w:val="center"/>
          </w:tcPr>
          <w:p>
            <w:pPr>
              <w:pStyle w:val="TableContents"/>
              <w:bidi w:val="0"/>
              <w:spacing w:before="0" w:after="283"/>
              <w:jc w:val="center"/>
              <w:rPr>
                <w:rFonts w:ascii="Arial" w:hAnsi="Arial"/>
                <w:b/>
                <w:i w:val="false"/>
                <w:caps w:val="false"/>
                <w:smallCaps w:val="false"/>
                <w:color w:val="43AB5B"/>
                <w:sz w:val="16"/>
              </w:rPr>
            </w:pPr>
            <w:r>
              <w:rPr>
                <w:rFonts w:ascii="Arial" w:hAnsi="Arial"/>
                <w:b/>
                <w:i w:val="false"/>
                <w:caps w:val="false"/>
                <w:smallCaps w:val="false"/>
                <w:color w:val="43AB5B"/>
                <w:sz w:val="16"/>
              </w:rPr>
              <w:t>42%</w:t>
            </w:r>
          </w:p>
        </w:tc>
      </w:tr>
      <w:tr>
        <w:trPr/>
        <w:tc>
          <w:tcPr>
            <w:tcW w:w="2779" w:type="dxa"/>
            <w:vMerge w:val="continue"/>
            <w:tcBorders>
              <w:left w:val="single" w:sz="8" w:space="0" w:color="000000"/>
              <w:bottom w:val="single" w:sz="8" w:space="0" w:color="000000"/>
              <w:right w:val="single" w:sz="8" w:space="0" w:color="000000"/>
            </w:tcBorders>
            <w:shd w:fill="F6CBB0" w:val="clear"/>
            <w:tcMar>
              <w:top w:w="0" w:type="dxa"/>
            </w:tcMar>
            <w:vAlign w:val="center"/>
          </w:tcPr>
          <w:p>
            <w:pPr>
              <w:pStyle w:val="Normal"/>
              <w:bidi w:val="0"/>
              <w:jc w:val="left"/>
              <w:rPr/>
            </w:pPr>
            <w:r>
              <w:rPr/>
            </w:r>
          </w:p>
        </w:tc>
        <w:tc>
          <w:tcPr>
            <w:tcW w:w="1617" w:type="dxa"/>
            <w:vMerge w:val="continue"/>
            <w:tcBorders>
              <w:bottom w:val="single" w:sz="8" w:space="0" w:color="000000"/>
              <w:right w:val="single" w:sz="8" w:space="0" w:color="000000"/>
            </w:tcBorders>
            <w:shd w:fill="F6CBB0" w:val="clear"/>
            <w:tcMar>
              <w:top w:w="0" w:type="dxa"/>
              <w:left w:w="0" w:type="dxa"/>
            </w:tcMar>
            <w:vAlign w:val="center"/>
          </w:tcPr>
          <w:p>
            <w:pPr>
              <w:pStyle w:val="Normal"/>
              <w:bidi w:val="0"/>
              <w:jc w:val="left"/>
              <w:rPr/>
            </w:pPr>
            <w:r>
              <w:rPr/>
            </w:r>
          </w:p>
        </w:tc>
        <w:tc>
          <w:tcPr>
            <w:tcW w:w="3117" w:type="dxa"/>
            <w:tcBorders>
              <w:bottom w:val="single" w:sz="8" w:space="0" w:color="000000"/>
              <w:right w:val="single" w:sz="8" w:space="0" w:color="000000"/>
            </w:tcBorders>
            <w:shd w:fill="FAE4D6"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Loans through Crédito Mujer</w:t>
            </w:r>
          </w:p>
        </w:tc>
        <w:tc>
          <w:tcPr>
            <w:tcW w:w="920" w:type="dxa"/>
            <w:tcBorders>
              <w:bottom w:val="single" w:sz="8" w:space="0" w:color="000000"/>
              <w:right w:val="single" w:sz="8" w:space="0" w:color="000000"/>
            </w:tcBorders>
            <w:shd w:fill="FAE4D6"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w:t>
            </w:r>
          </w:p>
        </w:tc>
        <w:tc>
          <w:tcPr>
            <w:tcW w:w="515" w:type="dxa"/>
            <w:tcBorders>
              <w:bottom w:val="single" w:sz="8" w:space="0" w:color="000000"/>
              <w:right w:val="single" w:sz="8" w:space="0" w:color="000000"/>
            </w:tcBorders>
            <w:shd w:fill="FAE4D6"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36,904</w:t>
            </w:r>
          </w:p>
        </w:tc>
        <w:tc>
          <w:tcPr>
            <w:tcW w:w="515" w:type="dxa"/>
            <w:tcBorders>
              <w:bottom w:val="single" w:sz="8" w:space="0" w:color="000000"/>
              <w:right w:val="single" w:sz="8" w:space="0" w:color="000000"/>
            </w:tcBorders>
            <w:shd w:fill="FAE4D6"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59,867</w:t>
            </w:r>
          </w:p>
        </w:tc>
        <w:tc>
          <w:tcPr>
            <w:tcW w:w="742" w:type="dxa"/>
            <w:tcBorders>
              <w:bottom w:val="single" w:sz="8" w:space="0" w:color="000000"/>
              <w:right w:val="single" w:sz="8" w:space="0" w:color="000000"/>
            </w:tcBorders>
            <w:shd w:fill="F3F3F3" w:val="clear"/>
            <w:tcMar>
              <w:top w:w="0" w:type="dxa"/>
              <w:left w:w="0" w:type="dxa"/>
            </w:tcMar>
            <w:vAlign w:val="center"/>
          </w:tcPr>
          <w:p>
            <w:pPr>
              <w:pStyle w:val="TableContents"/>
              <w:bidi w:val="0"/>
              <w:spacing w:before="0" w:after="283"/>
              <w:jc w:val="center"/>
              <w:rPr>
                <w:rFonts w:ascii="Arial" w:hAnsi="Arial"/>
                <w:b/>
                <w:i w:val="false"/>
                <w:caps w:val="false"/>
                <w:smallCaps w:val="false"/>
                <w:color w:val="43AB5B"/>
                <w:sz w:val="16"/>
              </w:rPr>
            </w:pPr>
            <w:r>
              <w:rPr>
                <w:rFonts w:ascii="Arial" w:hAnsi="Arial"/>
                <w:b/>
                <w:i w:val="false"/>
                <w:caps w:val="false"/>
                <w:smallCaps w:val="false"/>
                <w:color w:val="43AB5B"/>
                <w:sz w:val="16"/>
              </w:rPr>
              <w:t>62%</w:t>
            </w:r>
          </w:p>
        </w:tc>
      </w:tr>
      <w:tr>
        <w:trPr/>
        <w:tc>
          <w:tcPr>
            <w:tcW w:w="2779" w:type="dxa"/>
            <w:vMerge w:val="continue"/>
            <w:tcBorders>
              <w:left w:val="single" w:sz="8" w:space="0" w:color="000000"/>
              <w:bottom w:val="single" w:sz="8" w:space="0" w:color="000000"/>
              <w:right w:val="single" w:sz="8" w:space="0" w:color="000000"/>
            </w:tcBorders>
            <w:shd w:fill="F6CBB0" w:val="clear"/>
            <w:tcMar>
              <w:top w:w="0" w:type="dxa"/>
            </w:tcMar>
            <w:vAlign w:val="center"/>
          </w:tcPr>
          <w:p>
            <w:pPr>
              <w:pStyle w:val="Normal"/>
              <w:bidi w:val="0"/>
              <w:jc w:val="left"/>
              <w:rPr/>
            </w:pPr>
            <w:r>
              <w:rPr/>
            </w:r>
          </w:p>
        </w:tc>
        <w:tc>
          <w:tcPr>
            <w:tcW w:w="1617" w:type="dxa"/>
            <w:vMerge w:val="restart"/>
            <w:tcBorders>
              <w:bottom w:val="single" w:sz="8" w:space="0" w:color="000000"/>
              <w:right w:val="single" w:sz="8" w:space="0" w:color="000000"/>
            </w:tcBorders>
            <w:shd w:fill="F6CBB0" w:val="clear"/>
            <w:tcMar>
              <w:top w:w="0" w:type="dxa"/>
              <w:left w:w="0" w:type="dxa"/>
            </w:tcM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MIBANCO COLOMBIA</w:t>
            </w:r>
          </w:p>
        </w:tc>
        <w:tc>
          <w:tcPr>
            <w:tcW w:w="3117" w:type="dxa"/>
            <w:tcBorders>
              <w:bottom w:val="single" w:sz="8" w:space="0" w:color="000000"/>
              <w:right w:val="single" w:sz="8" w:space="0" w:color="000000"/>
            </w:tcBorders>
            <w:shd w:fill="FAE4D6"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Clients who disbursed through Mujeres Pa’ Lante</w:t>
            </w:r>
          </w:p>
        </w:tc>
        <w:tc>
          <w:tcPr>
            <w:tcW w:w="920" w:type="dxa"/>
            <w:tcBorders>
              <w:bottom w:val="single" w:sz="8" w:space="0" w:color="000000"/>
              <w:right w:val="single" w:sz="8" w:space="0" w:color="000000"/>
            </w:tcBorders>
            <w:shd w:fill="FAE4D6"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w:t>
            </w:r>
          </w:p>
        </w:tc>
        <w:tc>
          <w:tcPr>
            <w:tcW w:w="515" w:type="dxa"/>
            <w:tcBorders>
              <w:bottom w:val="single" w:sz="8" w:space="0" w:color="000000"/>
              <w:right w:val="single" w:sz="8" w:space="0" w:color="000000"/>
            </w:tcBorders>
            <w:shd w:fill="FAE4D6"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9,214</w:t>
            </w:r>
          </w:p>
        </w:tc>
        <w:tc>
          <w:tcPr>
            <w:tcW w:w="515" w:type="dxa"/>
            <w:tcBorders>
              <w:bottom w:val="single" w:sz="8" w:space="0" w:color="000000"/>
              <w:right w:val="single" w:sz="8" w:space="0" w:color="000000"/>
            </w:tcBorders>
            <w:shd w:fill="FAE4D6"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11,798</w:t>
            </w:r>
          </w:p>
        </w:tc>
        <w:tc>
          <w:tcPr>
            <w:tcW w:w="742" w:type="dxa"/>
            <w:tcBorders>
              <w:bottom w:val="single" w:sz="8" w:space="0" w:color="000000"/>
              <w:right w:val="single" w:sz="8" w:space="0" w:color="000000"/>
            </w:tcBorders>
            <w:shd w:fill="F3F3F3" w:val="clear"/>
            <w:tcMar>
              <w:top w:w="0" w:type="dxa"/>
              <w:left w:w="0" w:type="dxa"/>
            </w:tcMar>
            <w:vAlign w:val="center"/>
          </w:tcPr>
          <w:p>
            <w:pPr>
              <w:pStyle w:val="TableContents"/>
              <w:bidi w:val="0"/>
              <w:spacing w:before="0" w:after="283"/>
              <w:jc w:val="center"/>
              <w:rPr>
                <w:rFonts w:ascii="Arial" w:hAnsi="Arial"/>
                <w:b/>
                <w:i w:val="false"/>
                <w:caps w:val="false"/>
                <w:smallCaps w:val="false"/>
                <w:color w:val="43AB5B"/>
                <w:sz w:val="16"/>
              </w:rPr>
            </w:pPr>
            <w:r>
              <w:rPr>
                <w:rFonts w:ascii="Arial" w:hAnsi="Arial"/>
                <w:b/>
                <w:i w:val="false"/>
                <w:caps w:val="false"/>
                <w:smallCaps w:val="false"/>
                <w:color w:val="43AB5B"/>
                <w:sz w:val="16"/>
              </w:rPr>
              <w:t>28%</w:t>
            </w:r>
          </w:p>
        </w:tc>
      </w:tr>
      <w:tr>
        <w:trPr/>
        <w:tc>
          <w:tcPr>
            <w:tcW w:w="2779" w:type="dxa"/>
            <w:vMerge w:val="continue"/>
            <w:tcBorders>
              <w:left w:val="single" w:sz="8" w:space="0" w:color="000000"/>
              <w:bottom w:val="single" w:sz="8" w:space="0" w:color="000000"/>
              <w:right w:val="single" w:sz="8" w:space="0" w:color="000000"/>
            </w:tcBorders>
            <w:shd w:fill="F6CBB0" w:val="clear"/>
            <w:tcMar>
              <w:top w:w="0" w:type="dxa"/>
            </w:tcMar>
            <w:vAlign w:val="center"/>
          </w:tcPr>
          <w:p>
            <w:pPr>
              <w:pStyle w:val="Normal"/>
              <w:bidi w:val="0"/>
              <w:jc w:val="left"/>
              <w:rPr/>
            </w:pPr>
            <w:r>
              <w:rPr/>
            </w:r>
          </w:p>
        </w:tc>
        <w:tc>
          <w:tcPr>
            <w:tcW w:w="1617" w:type="dxa"/>
            <w:vMerge w:val="continue"/>
            <w:tcBorders>
              <w:bottom w:val="single" w:sz="8" w:space="0" w:color="000000"/>
              <w:right w:val="single" w:sz="8" w:space="0" w:color="000000"/>
            </w:tcBorders>
            <w:shd w:fill="F6CBB0" w:val="clear"/>
            <w:tcMar>
              <w:top w:w="0" w:type="dxa"/>
              <w:left w:w="0" w:type="dxa"/>
            </w:tcMar>
            <w:vAlign w:val="center"/>
          </w:tcPr>
          <w:p>
            <w:pPr>
              <w:pStyle w:val="Normal"/>
              <w:bidi w:val="0"/>
              <w:jc w:val="left"/>
              <w:rPr/>
            </w:pPr>
            <w:r>
              <w:rPr/>
            </w:r>
          </w:p>
        </w:tc>
        <w:tc>
          <w:tcPr>
            <w:tcW w:w="3117" w:type="dxa"/>
            <w:tcBorders>
              <w:bottom w:val="single" w:sz="8" w:space="0" w:color="000000"/>
              <w:right w:val="single" w:sz="8" w:space="0" w:color="000000"/>
            </w:tcBorders>
            <w:shd w:fill="FAE4D6"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Disbursements by Mujeres Pa’ Lante</w:t>
            </w:r>
          </w:p>
        </w:tc>
        <w:tc>
          <w:tcPr>
            <w:tcW w:w="920" w:type="dxa"/>
            <w:tcBorders>
              <w:bottom w:val="single" w:sz="8" w:space="0" w:color="000000"/>
              <w:right w:val="single" w:sz="8" w:space="0" w:color="000000"/>
            </w:tcBorders>
            <w:shd w:fill="FAE4D6"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S/ millions</w:t>
            </w:r>
          </w:p>
        </w:tc>
        <w:tc>
          <w:tcPr>
            <w:tcW w:w="515" w:type="dxa"/>
            <w:tcBorders>
              <w:bottom w:val="single" w:sz="8" w:space="0" w:color="000000"/>
              <w:right w:val="single" w:sz="8" w:space="0" w:color="000000"/>
            </w:tcBorders>
            <w:shd w:fill="FAE4D6"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8.4</w:t>
            </w:r>
          </w:p>
        </w:tc>
        <w:tc>
          <w:tcPr>
            <w:tcW w:w="515" w:type="dxa"/>
            <w:tcBorders>
              <w:bottom w:val="single" w:sz="8" w:space="0" w:color="000000"/>
              <w:right w:val="single" w:sz="8" w:space="0" w:color="000000"/>
            </w:tcBorders>
            <w:shd w:fill="FAE4D6"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17.4</w:t>
            </w:r>
          </w:p>
        </w:tc>
        <w:tc>
          <w:tcPr>
            <w:tcW w:w="742" w:type="dxa"/>
            <w:tcBorders>
              <w:bottom w:val="single" w:sz="8" w:space="0" w:color="000000"/>
              <w:right w:val="single" w:sz="8" w:space="0" w:color="000000"/>
            </w:tcBorders>
            <w:shd w:fill="F3F3F3" w:val="clear"/>
            <w:tcMar>
              <w:top w:w="0" w:type="dxa"/>
              <w:left w:w="0" w:type="dxa"/>
            </w:tcMar>
            <w:vAlign w:val="center"/>
          </w:tcPr>
          <w:p>
            <w:pPr>
              <w:pStyle w:val="TableContents"/>
              <w:bidi w:val="0"/>
              <w:spacing w:before="0" w:after="283"/>
              <w:jc w:val="center"/>
              <w:rPr>
                <w:rFonts w:ascii="Arial" w:hAnsi="Arial"/>
                <w:b/>
                <w:i w:val="false"/>
                <w:caps w:val="false"/>
                <w:smallCaps w:val="false"/>
                <w:color w:val="43AB5B"/>
                <w:sz w:val="16"/>
              </w:rPr>
            </w:pPr>
            <w:r>
              <w:rPr>
                <w:rFonts w:ascii="Arial" w:hAnsi="Arial"/>
                <w:b/>
                <w:i w:val="false"/>
                <w:caps w:val="false"/>
                <w:smallCaps w:val="false"/>
                <w:color w:val="43AB5B"/>
                <w:sz w:val="16"/>
              </w:rPr>
              <w:t>108%</w:t>
            </w:r>
          </w:p>
        </w:tc>
      </w:tr>
      <w:tr>
        <w:trPr/>
        <w:tc>
          <w:tcPr>
            <w:tcW w:w="2779" w:type="dxa"/>
            <w:vMerge w:val="continue"/>
            <w:tcBorders>
              <w:left w:val="single" w:sz="8" w:space="0" w:color="000000"/>
              <w:bottom w:val="single" w:sz="8" w:space="0" w:color="000000"/>
              <w:right w:val="single" w:sz="8" w:space="0" w:color="000000"/>
            </w:tcBorders>
            <w:shd w:fill="F6CBB0" w:val="clear"/>
            <w:tcMar>
              <w:top w:w="0" w:type="dxa"/>
            </w:tcMar>
            <w:vAlign w:val="center"/>
          </w:tcPr>
          <w:p>
            <w:pPr>
              <w:pStyle w:val="Normal"/>
              <w:bidi w:val="0"/>
              <w:jc w:val="left"/>
              <w:rPr/>
            </w:pPr>
            <w:r>
              <w:rPr/>
            </w:r>
          </w:p>
        </w:tc>
        <w:tc>
          <w:tcPr>
            <w:tcW w:w="1617" w:type="dxa"/>
            <w:vMerge w:val="continue"/>
            <w:tcBorders>
              <w:bottom w:val="single" w:sz="8" w:space="0" w:color="000000"/>
              <w:right w:val="single" w:sz="8" w:space="0" w:color="000000"/>
            </w:tcBorders>
            <w:shd w:fill="F6CBB0" w:val="clear"/>
            <w:tcMar>
              <w:top w:w="0" w:type="dxa"/>
              <w:left w:w="0" w:type="dxa"/>
            </w:tcMar>
            <w:vAlign w:val="center"/>
          </w:tcPr>
          <w:p>
            <w:pPr>
              <w:pStyle w:val="Normal"/>
              <w:bidi w:val="0"/>
              <w:jc w:val="left"/>
              <w:rPr/>
            </w:pPr>
            <w:r>
              <w:rPr/>
            </w:r>
          </w:p>
        </w:tc>
        <w:tc>
          <w:tcPr>
            <w:tcW w:w="3117" w:type="dxa"/>
            <w:tcBorders>
              <w:bottom w:val="single" w:sz="8" w:space="0" w:color="000000"/>
              <w:right w:val="single" w:sz="8" w:space="0" w:color="000000"/>
            </w:tcBorders>
            <w:shd w:fill="FAE4D6" w:val="clear"/>
            <w:tcMar>
              <w:top w:w="0" w:type="dxa"/>
              <w:left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Women banked through Mujeres Pa’ Lante</w:t>
            </w:r>
          </w:p>
        </w:tc>
        <w:tc>
          <w:tcPr>
            <w:tcW w:w="920" w:type="dxa"/>
            <w:tcBorders>
              <w:bottom w:val="single" w:sz="8" w:space="0" w:color="000000"/>
              <w:right w:val="single" w:sz="8" w:space="0" w:color="000000"/>
            </w:tcBorders>
            <w:shd w:fill="FAE4D6"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w:t>
            </w:r>
          </w:p>
        </w:tc>
        <w:tc>
          <w:tcPr>
            <w:tcW w:w="515" w:type="dxa"/>
            <w:tcBorders>
              <w:bottom w:val="single" w:sz="8" w:space="0" w:color="000000"/>
              <w:right w:val="single" w:sz="8" w:space="0" w:color="000000"/>
            </w:tcBorders>
            <w:shd w:fill="FAE4D6"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6,295</w:t>
            </w:r>
          </w:p>
        </w:tc>
        <w:tc>
          <w:tcPr>
            <w:tcW w:w="515" w:type="dxa"/>
            <w:tcBorders>
              <w:bottom w:val="single" w:sz="8" w:space="0" w:color="000000"/>
              <w:right w:val="single" w:sz="8" w:space="0" w:color="000000"/>
            </w:tcBorders>
            <w:shd w:fill="FAE4D6" w:val="clear"/>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6,919</w:t>
            </w:r>
          </w:p>
        </w:tc>
        <w:tc>
          <w:tcPr>
            <w:tcW w:w="742" w:type="dxa"/>
            <w:tcBorders>
              <w:bottom w:val="single" w:sz="8" w:space="0" w:color="000000"/>
              <w:right w:val="single" w:sz="8" w:space="0" w:color="000000"/>
            </w:tcBorders>
            <w:shd w:fill="F3F3F3" w:val="clear"/>
            <w:tcMar>
              <w:top w:w="0" w:type="dxa"/>
              <w:left w:w="0" w:type="dxa"/>
            </w:tcMar>
            <w:vAlign w:val="center"/>
          </w:tcPr>
          <w:p>
            <w:pPr>
              <w:pStyle w:val="TableContents"/>
              <w:bidi w:val="0"/>
              <w:spacing w:before="0" w:after="283"/>
              <w:jc w:val="center"/>
              <w:rPr>
                <w:rFonts w:ascii="Arial" w:hAnsi="Arial"/>
                <w:b/>
                <w:i w:val="false"/>
                <w:caps w:val="false"/>
                <w:smallCaps w:val="false"/>
                <w:color w:val="43AB5B"/>
                <w:sz w:val="16"/>
              </w:rPr>
            </w:pPr>
            <w:r>
              <w:rPr>
                <w:rFonts w:ascii="Arial" w:hAnsi="Arial"/>
                <w:b/>
                <w:i w:val="false"/>
                <w:caps w:val="false"/>
                <w:smallCaps w:val="false"/>
                <w:color w:val="43AB5B"/>
                <w:sz w:val="16"/>
              </w:rPr>
              <w:t>10%</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200" w:after="20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64</w:t>
      </w:r>
    </w:p>
    <w:p>
      <w:pPr>
        <w:pStyle w:val="HorizontalLine"/>
        <w:pBdr>
          <w:bottom w:val="single" w:sz="12" w:space="0" w:color="808080"/>
        </w:pBdr>
        <w:bidi w:val="0"/>
        <w:spacing w:before="200" w:after="200"/>
        <w:jc w:val="left"/>
        <w:rPr/>
      </w:pPr>
      <w:r>
        <w:rPr/>
      </w:r>
    </w:p>
    <w:p>
      <w:pPr>
        <w:pStyle w:val="TextBody"/>
        <w:bidi w:val="0"/>
        <w:spacing w:before="0" w:after="0"/>
        <w:ind w:left="400" w:right="0" w:hanging="0"/>
        <w:jc w:val="both"/>
        <w:rPr>
          <w:rFonts w:ascii="Arial" w:hAnsi="Arial"/>
          <w:b/>
          <w:i w:val="false"/>
          <w:caps w:val="false"/>
          <w:smallCaps w:val="false"/>
          <w:color w:val="FE5000"/>
          <w:sz w:val="28"/>
        </w:rPr>
      </w:pPr>
      <w:r>
        <w:rPr>
          <w:rFonts w:ascii="Arial" w:hAnsi="Arial"/>
          <w:b/>
          <w:i w:val="false"/>
          <w:caps w:val="false"/>
          <w:smallCaps w:val="false"/>
          <w:color w:val="FE5000"/>
          <w:sz w:val="28"/>
        </w:rPr>
        <w:t>1.5.3. Creation of shared value Approach to stakeholder engagement</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400" w:right="0" w:hanging="0"/>
        <w:jc w:val="both"/>
        <w:rPr>
          <w:rFonts w:ascii="Arial" w:hAnsi="Arial"/>
          <w:b w:val="false"/>
          <w:i w:val="false"/>
          <w:caps w:val="false"/>
          <w:smallCaps w:val="false"/>
          <w:sz w:val="20"/>
        </w:rPr>
      </w:pPr>
      <w:r>
        <w:rPr>
          <w:rFonts w:ascii="Arial" w:hAnsi="Arial"/>
          <w:b/>
          <w:i w:val="false"/>
          <w:caps w:val="false"/>
          <w:smallCaps w:val="false"/>
          <w:sz w:val="20"/>
        </w:rPr>
        <w:t xml:space="preserve">GRI </w:t>
      </w:r>
      <w:r>
        <w:rPr>
          <w:rFonts w:ascii="Arial" w:hAnsi="Arial"/>
          <w:b w:val="false"/>
          <w:i w:val="false"/>
          <w:caps w:val="false"/>
          <w:smallCaps w:val="false"/>
          <w:sz w:val="20"/>
        </w:rPr>
        <w:t>2-29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In 2022, we published our Credicorp Sustainability Policy, which sets out the general principles for cultivating and strengthening our relationships with each stakeholder group. Further details about our engagement principles are found </w:t>
      </w:r>
      <w:r>
        <w:rPr>
          <w:rFonts w:ascii="Arial" w:hAnsi="Arial"/>
          <w:b w:val="false"/>
          <w:i w:val="false"/>
          <w:caps w:val="false"/>
          <w:smallCaps w:val="false"/>
          <w:color w:val="0563C1"/>
          <w:sz w:val="20"/>
          <w:u w:val="single"/>
        </w:rPr>
        <w:t>here</w:t>
      </w:r>
      <w:r>
        <w:rPr>
          <w:rFonts w:ascii="Arial" w:hAnsi="Arial"/>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rFonts w:ascii="Arial" w:hAnsi="Arial"/>
          <w:b w:val="false"/>
          <w:i w:val="false"/>
          <w:caps w:val="false"/>
          <w:smallCaps w:val="false"/>
          <w:sz w:val="20"/>
        </w:rPr>
      </w:pPr>
      <w:r>
        <w:rPr>
          <w:rFonts w:ascii="Arial" w:hAnsi="Arial"/>
          <w:b/>
          <w:i w:val="false"/>
          <w:caps w:val="false"/>
          <w:smallCaps w:val="false"/>
          <w:sz w:val="20"/>
        </w:rPr>
        <w:t>Key groups</w:t>
      </w:r>
      <w:r>
        <w:rPr>
          <w:rFonts w:ascii="Arial" w:hAnsi="Arial"/>
          <w:b w:val="false"/>
          <w:i w:val="false"/>
          <w:caps w:val="false"/>
          <w:smallCaps w:val="false"/>
          <w:sz w:val="20"/>
        </w:rPr>
        <w:t> </w:t>
      </w:r>
    </w:p>
    <w:p>
      <w:pPr>
        <w:pStyle w:val="TextBody"/>
        <w:bidi w:val="0"/>
        <w:spacing w:before="0" w:after="0"/>
        <w:ind w:left="40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In the </w:t>
      </w:r>
      <w:r>
        <w:rPr>
          <w:rFonts w:ascii="Arial" w:hAnsi="Arial"/>
          <w:b w:val="false"/>
          <w:i w:val="false"/>
          <w:caps w:val="false"/>
          <w:smallCaps w:val="false"/>
          <w:color w:val="0563C1"/>
          <w:sz w:val="20"/>
          <w:u w:val="single"/>
        </w:rPr>
        <w:t>Sustainability Policy</w:t>
      </w:r>
      <w:r>
        <w:rPr>
          <w:rFonts w:ascii="Arial" w:hAnsi="Arial"/>
          <w:b w:val="false"/>
          <w:i w:val="false"/>
          <w:caps w:val="false"/>
          <w:smallCaps w:val="false"/>
          <w:sz w:val="20"/>
        </w:rPr>
        <w:t xml:space="preserve">, we define a two-step process for identifying stakeholders. First, we identify those groups that are directly or indirectly affected by our activities or have an interest in or the ability to influence Credicorp's results positively or negatively. Then, we prioritize the groups identified according to three characteristics: urgency, power, and legitimacy. By </w:t>
      </w:r>
      <w:r>
        <w:rPr>
          <w:rFonts w:ascii="Arial" w:hAnsi="Arial"/>
          <w:b w:val="false"/>
          <w:i/>
          <w:caps w:val="false"/>
          <w:smallCaps w:val="false"/>
          <w:sz w:val="20"/>
        </w:rPr>
        <w:t>urgency</w:t>
      </w:r>
      <w:r>
        <w:rPr>
          <w:rFonts w:ascii="Arial" w:hAnsi="Arial"/>
          <w:b w:val="false"/>
          <w:i w:val="false"/>
          <w:caps w:val="false"/>
          <w:smallCaps w:val="false"/>
          <w:sz w:val="20"/>
        </w:rPr>
        <w:t xml:space="preserve"> we mean sensitivity to delays in meeting their requirements and the importance we attach to this group. By </w:t>
      </w:r>
      <w:r>
        <w:rPr>
          <w:rFonts w:ascii="Arial" w:hAnsi="Arial"/>
          <w:b w:val="false"/>
          <w:i/>
          <w:caps w:val="false"/>
          <w:smallCaps w:val="false"/>
          <w:sz w:val="20"/>
        </w:rPr>
        <w:t>power</w:t>
      </w:r>
      <w:r>
        <w:rPr>
          <w:rFonts w:ascii="Arial" w:hAnsi="Arial"/>
          <w:b w:val="false"/>
          <w:i w:val="false"/>
          <w:caps w:val="false"/>
          <w:smallCaps w:val="false"/>
          <w:sz w:val="20"/>
        </w:rPr>
        <w:t xml:space="preserve"> we mean the capacity to affect our organization. By </w:t>
      </w:r>
      <w:r>
        <w:rPr>
          <w:rFonts w:ascii="Arial" w:hAnsi="Arial"/>
          <w:b w:val="false"/>
          <w:i/>
          <w:caps w:val="false"/>
          <w:smallCaps w:val="false"/>
          <w:sz w:val="20"/>
        </w:rPr>
        <w:t>legitimacy</w:t>
      </w:r>
      <w:r>
        <w:rPr>
          <w:rFonts w:ascii="Arial" w:hAnsi="Arial"/>
          <w:b w:val="false"/>
          <w:i w:val="false"/>
          <w:caps w:val="false"/>
          <w:smallCaps w:val="false"/>
          <w:sz w:val="20"/>
        </w:rPr>
        <w:t xml:space="preserve"> we mean actions that are desirable, proper, or appropriate within a social system of norms, values, and beliefs.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rFonts w:ascii="Arial" w:hAnsi="Arial"/>
          <w:b w:val="false"/>
          <w:i w:val="false"/>
          <w:caps w:val="false"/>
          <w:smallCaps w:val="false"/>
          <w:sz w:val="20"/>
        </w:rPr>
      </w:pPr>
      <w:r>
        <w:rPr>
          <w:rFonts w:ascii="Arial" w:hAnsi="Arial"/>
          <w:b w:val="false"/>
          <w:i w:val="false"/>
          <w:caps w:val="false"/>
          <w:smallCaps w:val="false"/>
          <w:sz w:val="20"/>
        </w:rPr>
        <w:t>On this basis, Credicorp has the following priority stakeholders. However, in addition to those mentioned, Credicorp and its subsidiaries also interact with other stakeholders (such as NGOs, academia, and industry associations) that are also managed within the framework of strategic partnerships or when the situation warrants it.</w:t>
      </w:r>
    </w:p>
    <w:p>
      <w:pPr>
        <w:pStyle w:val="TextBody"/>
        <w:bidi w:val="0"/>
        <w:spacing w:before="0" w:after="0"/>
        <w:ind w:left="0" w:right="0" w:hanging="0"/>
        <w:jc w:val="both"/>
        <w:rPr>
          <w:caps w:val="false"/>
          <w:smallCaps w:val="false"/>
        </w:rPr>
      </w:pPr>
      <w:r>
        <w:rPr>
          <w:caps w:val="false"/>
          <w:smallCaps w:val="false"/>
        </w:rPr>
        <w:t> </w:t>
      </w:r>
    </w:p>
    <w:tbl>
      <w:tblPr>
        <w:tblW w:w="1353" w:type="dxa"/>
        <w:jc w:val="left"/>
        <w:tblInd w:w="0" w:type="dxa"/>
        <w:tblLayout w:type="fixed"/>
        <w:tblCellMar>
          <w:top w:w="0" w:type="dxa"/>
          <w:left w:w="0" w:type="dxa"/>
          <w:bottom w:w="0" w:type="dxa"/>
          <w:right w:w="0" w:type="dxa"/>
        </w:tblCellMar>
      </w:tblPr>
      <w:tblGrid>
        <w:gridCol w:w="38"/>
        <w:gridCol w:w="185"/>
        <w:gridCol w:w="113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1.</w:t>
            </w:r>
          </w:p>
        </w:tc>
        <w:tc>
          <w:tcPr>
            <w:tcW w:w="1130" w:type="dxa"/>
            <w:tcBorders/>
            <w:vAlign w:val="center"/>
          </w:tcPr>
          <w:p>
            <w:pPr>
              <w:pStyle w:val="TableContents"/>
              <w:bidi w:val="0"/>
              <w:spacing w:before="0" w:after="283"/>
              <w:jc w:val="both"/>
              <w:rPr>
                <w:rFonts w:ascii="Arial" w:hAnsi="Arial"/>
                <w:b/>
                <w:i w:val="false"/>
                <w:caps w:val="false"/>
                <w:smallCaps w:val="false"/>
                <w:sz w:val="20"/>
              </w:rPr>
            </w:pPr>
            <w:r>
              <w:rPr>
                <w:rFonts w:ascii="Arial" w:hAnsi="Arial"/>
                <w:b/>
                <w:i w:val="false"/>
                <w:caps w:val="false"/>
                <w:smallCaps w:val="false"/>
                <w:sz w:val="20"/>
              </w:rPr>
              <w:t xml:space="preserve">Employees </w:t>
            </w:r>
          </w:p>
        </w:tc>
      </w:tr>
    </w:tbl>
    <w:tbl>
      <w:tblPr>
        <w:tblW w:w="963" w:type="dxa"/>
        <w:jc w:val="left"/>
        <w:tblInd w:w="0" w:type="dxa"/>
        <w:tblLayout w:type="fixed"/>
        <w:tblCellMar>
          <w:top w:w="0" w:type="dxa"/>
          <w:left w:w="0" w:type="dxa"/>
          <w:bottom w:w="0" w:type="dxa"/>
          <w:right w:w="0" w:type="dxa"/>
        </w:tblCellMar>
      </w:tblPr>
      <w:tblGrid>
        <w:gridCol w:w="38"/>
        <w:gridCol w:w="185"/>
        <w:gridCol w:w="74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2.</w:t>
            </w:r>
          </w:p>
        </w:tc>
        <w:tc>
          <w:tcPr>
            <w:tcW w:w="740" w:type="dxa"/>
            <w:tcBorders/>
            <w:vAlign w:val="center"/>
          </w:tcPr>
          <w:p>
            <w:pPr>
              <w:pStyle w:val="TableContents"/>
              <w:bidi w:val="0"/>
              <w:spacing w:before="0" w:after="283"/>
              <w:jc w:val="both"/>
              <w:rPr>
                <w:rFonts w:ascii="Arial" w:hAnsi="Arial"/>
                <w:b/>
                <w:i w:val="false"/>
                <w:caps w:val="false"/>
                <w:smallCaps w:val="false"/>
                <w:sz w:val="20"/>
              </w:rPr>
            </w:pPr>
            <w:r>
              <w:rPr>
                <w:rFonts w:ascii="Arial" w:hAnsi="Arial"/>
                <w:b/>
                <w:i w:val="false"/>
                <w:caps w:val="false"/>
                <w:smallCaps w:val="false"/>
                <w:sz w:val="20"/>
              </w:rPr>
              <w:t xml:space="preserve">Clients </w:t>
            </w:r>
          </w:p>
        </w:tc>
      </w:tr>
    </w:tbl>
    <w:tbl>
      <w:tblPr>
        <w:tblW w:w="2568" w:type="dxa"/>
        <w:jc w:val="left"/>
        <w:tblInd w:w="0" w:type="dxa"/>
        <w:tblLayout w:type="fixed"/>
        <w:tblCellMar>
          <w:top w:w="0" w:type="dxa"/>
          <w:left w:w="0" w:type="dxa"/>
          <w:bottom w:w="0" w:type="dxa"/>
          <w:right w:w="0" w:type="dxa"/>
        </w:tblCellMar>
      </w:tblPr>
      <w:tblGrid>
        <w:gridCol w:w="38"/>
        <w:gridCol w:w="185"/>
        <w:gridCol w:w="234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3.</w:t>
            </w:r>
          </w:p>
        </w:tc>
        <w:tc>
          <w:tcPr>
            <w:tcW w:w="2345" w:type="dxa"/>
            <w:tcBorders/>
            <w:vAlign w:val="center"/>
          </w:tcPr>
          <w:p>
            <w:pPr>
              <w:pStyle w:val="TableContents"/>
              <w:bidi w:val="0"/>
              <w:spacing w:before="0" w:after="283"/>
              <w:jc w:val="both"/>
              <w:rPr>
                <w:rFonts w:ascii="Arial" w:hAnsi="Arial"/>
                <w:b/>
                <w:i w:val="false"/>
                <w:caps w:val="false"/>
                <w:smallCaps w:val="false"/>
                <w:sz w:val="20"/>
              </w:rPr>
            </w:pPr>
            <w:r>
              <w:rPr>
                <w:rFonts w:ascii="Arial" w:hAnsi="Arial"/>
                <w:b/>
                <w:i w:val="false"/>
                <w:caps w:val="false"/>
                <w:smallCaps w:val="false"/>
                <w:sz w:val="20"/>
              </w:rPr>
              <w:t xml:space="preserve">Investors / shareholders </w:t>
            </w:r>
          </w:p>
        </w:tc>
      </w:tr>
    </w:tbl>
    <w:tbl>
      <w:tblPr>
        <w:tblW w:w="2868" w:type="dxa"/>
        <w:jc w:val="left"/>
        <w:tblInd w:w="0" w:type="dxa"/>
        <w:tblLayout w:type="fixed"/>
        <w:tblCellMar>
          <w:top w:w="0" w:type="dxa"/>
          <w:left w:w="0" w:type="dxa"/>
          <w:bottom w:w="0" w:type="dxa"/>
          <w:right w:w="0" w:type="dxa"/>
        </w:tblCellMar>
      </w:tblPr>
      <w:tblGrid>
        <w:gridCol w:w="38"/>
        <w:gridCol w:w="185"/>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4.</w:t>
            </w:r>
          </w:p>
        </w:tc>
        <w:tc>
          <w:tcPr>
            <w:tcW w:w="2645" w:type="dxa"/>
            <w:tcBorders/>
            <w:vAlign w:val="center"/>
          </w:tcPr>
          <w:p>
            <w:pPr>
              <w:pStyle w:val="TableContents"/>
              <w:bidi w:val="0"/>
              <w:spacing w:before="0" w:after="283"/>
              <w:jc w:val="both"/>
              <w:rPr>
                <w:rFonts w:ascii="Arial" w:hAnsi="Arial"/>
                <w:b/>
                <w:i w:val="false"/>
                <w:caps w:val="false"/>
                <w:smallCaps w:val="false"/>
                <w:sz w:val="20"/>
              </w:rPr>
            </w:pPr>
            <w:r>
              <w:rPr>
                <w:rFonts w:ascii="Arial" w:hAnsi="Arial"/>
                <w:b/>
                <w:i w:val="false"/>
                <w:caps w:val="false"/>
                <w:smallCaps w:val="false"/>
                <w:sz w:val="20"/>
              </w:rPr>
              <w:t xml:space="preserve">Government and regulators </w:t>
            </w:r>
          </w:p>
        </w:tc>
      </w:tr>
    </w:tbl>
    <w:tbl>
      <w:tblPr>
        <w:tblW w:w="1218" w:type="dxa"/>
        <w:jc w:val="left"/>
        <w:tblInd w:w="0" w:type="dxa"/>
        <w:tblLayout w:type="fixed"/>
        <w:tblCellMar>
          <w:top w:w="0" w:type="dxa"/>
          <w:left w:w="0" w:type="dxa"/>
          <w:bottom w:w="0" w:type="dxa"/>
          <w:right w:w="0" w:type="dxa"/>
        </w:tblCellMar>
      </w:tblPr>
      <w:tblGrid>
        <w:gridCol w:w="38"/>
        <w:gridCol w:w="185"/>
        <w:gridCol w:w="99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5.</w:t>
            </w:r>
          </w:p>
        </w:tc>
        <w:tc>
          <w:tcPr>
            <w:tcW w:w="995" w:type="dxa"/>
            <w:tcBorders/>
            <w:vAlign w:val="center"/>
          </w:tcPr>
          <w:p>
            <w:pPr>
              <w:pStyle w:val="TableContents"/>
              <w:bidi w:val="0"/>
              <w:spacing w:before="0" w:after="283"/>
              <w:jc w:val="both"/>
              <w:rPr>
                <w:rFonts w:ascii="Arial" w:hAnsi="Arial"/>
                <w:b/>
                <w:i w:val="false"/>
                <w:caps w:val="false"/>
                <w:smallCaps w:val="false"/>
                <w:sz w:val="20"/>
              </w:rPr>
            </w:pPr>
            <w:r>
              <w:rPr>
                <w:rFonts w:ascii="Arial" w:hAnsi="Arial"/>
                <w:b/>
                <w:i w:val="false"/>
                <w:caps w:val="false"/>
                <w:smallCaps w:val="false"/>
                <w:sz w:val="20"/>
              </w:rPr>
              <w:t xml:space="preserve">Suppliers </w:t>
            </w:r>
          </w:p>
        </w:tc>
      </w:tr>
    </w:tbl>
    <w:tbl>
      <w:tblPr>
        <w:tblW w:w="1398" w:type="dxa"/>
        <w:jc w:val="left"/>
        <w:tblInd w:w="0" w:type="dxa"/>
        <w:tblLayout w:type="fixed"/>
        <w:tblCellMar>
          <w:top w:w="0" w:type="dxa"/>
          <w:left w:w="0" w:type="dxa"/>
          <w:bottom w:w="0" w:type="dxa"/>
          <w:right w:w="0" w:type="dxa"/>
        </w:tblCellMar>
      </w:tblPr>
      <w:tblGrid>
        <w:gridCol w:w="38"/>
        <w:gridCol w:w="185"/>
        <w:gridCol w:w="117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6.</w:t>
            </w:r>
          </w:p>
        </w:tc>
        <w:tc>
          <w:tcPr>
            <w:tcW w:w="1175" w:type="dxa"/>
            <w:tcBorders/>
            <w:vAlign w:val="center"/>
          </w:tcPr>
          <w:p>
            <w:pPr>
              <w:pStyle w:val="TableContents"/>
              <w:bidi w:val="0"/>
              <w:spacing w:before="0" w:after="283"/>
              <w:jc w:val="both"/>
              <w:rPr>
                <w:rFonts w:ascii="Arial" w:hAnsi="Arial"/>
                <w:b/>
                <w:i w:val="false"/>
                <w:caps w:val="false"/>
                <w:smallCaps w:val="false"/>
                <w:sz w:val="20"/>
              </w:rPr>
            </w:pPr>
            <w:r>
              <w:rPr>
                <w:rFonts w:ascii="Arial" w:hAnsi="Arial"/>
                <w:b/>
                <w:i w:val="false"/>
                <w:caps w:val="false"/>
                <w:smallCaps w:val="false"/>
                <w:sz w:val="20"/>
              </w:rPr>
              <w:t xml:space="preserve">Community </w:t>
            </w:r>
          </w:p>
        </w:tc>
      </w:tr>
    </w:tbl>
    <w:tbl>
      <w:tblPr>
        <w:tblW w:w="2538" w:type="dxa"/>
        <w:jc w:val="left"/>
        <w:tblInd w:w="0" w:type="dxa"/>
        <w:tblLayout w:type="fixed"/>
        <w:tblCellMar>
          <w:top w:w="0" w:type="dxa"/>
          <w:left w:w="0" w:type="dxa"/>
          <w:bottom w:w="0" w:type="dxa"/>
          <w:right w:w="0" w:type="dxa"/>
        </w:tblCellMar>
      </w:tblPr>
      <w:tblGrid>
        <w:gridCol w:w="38"/>
        <w:gridCol w:w="185"/>
        <w:gridCol w:w="231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7.</w:t>
            </w:r>
          </w:p>
        </w:tc>
        <w:tc>
          <w:tcPr>
            <w:tcW w:w="2315" w:type="dxa"/>
            <w:tcBorders/>
            <w:vAlign w:val="center"/>
          </w:tcPr>
          <w:p>
            <w:pPr>
              <w:pStyle w:val="TableContents"/>
              <w:bidi w:val="0"/>
              <w:spacing w:before="0" w:after="283"/>
              <w:jc w:val="both"/>
              <w:rPr>
                <w:rFonts w:ascii="Arial" w:hAnsi="Arial"/>
                <w:b/>
                <w:i w:val="false"/>
                <w:caps w:val="false"/>
                <w:smallCaps w:val="false"/>
                <w:sz w:val="20"/>
              </w:rPr>
            </w:pPr>
            <w:r>
              <w:rPr>
                <w:rFonts w:ascii="Arial" w:hAnsi="Arial"/>
                <w:b/>
                <w:i w:val="false"/>
                <w:caps w:val="false"/>
                <w:smallCaps w:val="false"/>
                <w:sz w:val="20"/>
              </w:rPr>
              <w:t xml:space="preserve">Communications media </w:t>
            </w:r>
          </w:p>
        </w:tc>
      </w:tr>
    </w:tbl>
    <w:tbl>
      <w:tblPr>
        <w:tblW w:w="1698" w:type="dxa"/>
        <w:jc w:val="left"/>
        <w:tblInd w:w="0" w:type="dxa"/>
        <w:tblLayout w:type="fixed"/>
        <w:tblCellMar>
          <w:top w:w="0" w:type="dxa"/>
          <w:left w:w="0" w:type="dxa"/>
          <w:bottom w:w="0" w:type="dxa"/>
          <w:right w:w="0" w:type="dxa"/>
        </w:tblCellMar>
      </w:tblPr>
      <w:tblGrid>
        <w:gridCol w:w="38"/>
        <w:gridCol w:w="185"/>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 w:hAnsi="Arial"/>
                <w:b/>
                <w:i w:val="false"/>
                <w:caps w:val="false"/>
                <w:smallCaps w:val="false"/>
                <w:sz w:val="20"/>
              </w:rPr>
            </w:pPr>
            <w:r>
              <w:rPr>
                <w:rFonts w:ascii="Arial" w:hAnsi="Arial"/>
                <w:b/>
                <w:i w:val="false"/>
                <w:caps w:val="false"/>
                <w:smallCaps w:val="false"/>
                <w:sz w:val="20"/>
              </w:rPr>
              <w:t>8.</w:t>
            </w:r>
          </w:p>
        </w:tc>
        <w:tc>
          <w:tcPr>
            <w:tcW w:w="1475" w:type="dxa"/>
            <w:tcBorders/>
            <w:vAlign w:val="center"/>
          </w:tcPr>
          <w:p>
            <w:pPr>
              <w:pStyle w:val="TableContents"/>
              <w:bidi w:val="0"/>
              <w:spacing w:before="0" w:after="283"/>
              <w:jc w:val="both"/>
              <w:rPr>
                <w:rFonts w:ascii="Arial" w:hAnsi="Arial"/>
                <w:b/>
                <w:i w:val="false"/>
                <w:caps w:val="false"/>
                <w:smallCaps w:val="false"/>
                <w:sz w:val="20"/>
              </w:rPr>
            </w:pPr>
            <w:r>
              <w:rPr>
                <w:rFonts w:ascii="Arial" w:hAnsi="Arial"/>
                <w:b/>
                <w:i w:val="false"/>
                <w:caps w:val="false"/>
                <w:smallCaps w:val="false"/>
                <w:sz w:val="20"/>
              </w:rPr>
              <w:t xml:space="preserve">Public opinion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0" w:right="0" w:hanging="0"/>
        <w:jc w:val="both"/>
        <w:rPr>
          <w:rFonts w:ascii="Arial" w:hAnsi="Arial"/>
          <w:b w:val="false"/>
          <w:i w:val="false"/>
          <w:caps w:val="false"/>
          <w:smallCaps w:val="false"/>
          <w:sz w:val="20"/>
        </w:rPr>
      </w:pPr>
      <w:r>
        <w:rPr>
          <w:rFonts w:ascii="Arial" w:hAnsi="Arial"/>
          <w:b/>
          <w:i w:val="false"/>
          <w:caps w:val="false"/>
          <w:smallCaps w:val="false"/>
          <w:sz w:val="20"/>
        </w:rPr>
        <w:t xml:space="preserve">Dialog spaces </w:t>
      </w:r>
      <w:r>
        <w:rPr>
          <w:rFonts w:ascii="Arial" w:hAnsi="Arial"/>
          <w:b w:val="false"/>
          <w:i w:val="false"/>
          <w:caps w:val="false"/>
          <w:smallCaps w:val="false"/>
          <w:sz w:val="20"/>
        </w:rPr>
        <w:t> </w:t>
      </w:r>
    </w:p>
    <w:p>
      <w:pPr>
        <w:pStyle w:val="TextBody"/>
        <w:bidi w:val="0"/>
        <w:spacing w:before="0" w:after="0"/>
        <w:ind w:left="400" w:right="0" w:hanging="0"/>
        <w:jc w:val="both"/>
        <w:rPr>
          <w:rFonts w:ascii="Arial" w:hAnsi="Arial"/>
          <w:b w:val="false"/>
          <w:i w:val="false"/>
          <w:caps w:val="false"/>
          <w:smallCaps w:val="false"/>
          <w:sz w:val="20"/>
        </w:rPr>
      </w:pPr>
      <w:r>
        <w:rPr>
          <w:rFonts w:ascii="Arial" w:hAnsi="Arial"/>
          <w:b w:val="false"/>
          <w:i w:val="false"/>
          <w:caps w:val="false"/>
          <w:smallCaps w:val="false"/>
          <w:sz w:val="20"/>
        </w:rPr>
        <w:t>We maintain a strong relationship with our stakeholders. We use different key communication channels to address their needs, concerns, and expectations about our activities and those of our subsidiaries.</w:t>
      </w:r>
    </w:p>
    <w:p>
      <w:pPr>
        <w:pStyle w:val="TextBody"/>
        <w:bidi w:val="0"/>
        <w:spacing w:before="0" w:after="0"/>
        <w:ind w:left="400" w:right="0" w:hanging="0"/>
        <w:jc w:val="both"/>
        <w:rPr>
          <w:caps w:val="false"/>
          <w:smallCaps w:val="false"/>
        </w:rPr>
      </w:pPr>
      <w:r>
        <w:rPr>
          <w:caps w:val="false"/>
          <w:smallCaps w:val="false"/>
        </w:rPr>
        <w:t> </w:t>
      </w:r>
    </w:p>
    <w:p>
      <w:pPr>
        <w:pStyle w:val="TextBody"/>
        <w:bidi w:val="0"/>
        <w:spacing w:before="0" w:after="0"/>
        <w:ind w:left="400" w:right="0" w:hanging="0"/>
        <w:jc w:val="both"/>
        <w:rPr>
          <w:rFonts w:ascii="Arial" w:hAnsi="Arial"/>
          <w:b w:val="false"/>
          <w:i w:val="false"/>
          <w:caps w:val="false"/>
          <w:smallCaps w:val="false"/>
          <w:sz w:val="20"/>
        </w:rPr>
      </w:pPr>
      <w:r>
        <w:rPr>
          <w:rFonts w:ascii="Arial" w:hAnsi="Arial"/>
          <w:b w:val="false"/>
          <w:i w:val="false"/>
          <w:caps w:val="false"/>
          <w:smallCaps w:val="false"/>
          <w:sz w:val="20"/>
        </w:rPr>
        <w:t>We also undertake an in-depth materiality exercise at least every two years drawing on studies, interviews, surveys, among other means, to gather stakeholder perceptions. While different areas of Credicorp and its subsidiaries lead the relationship with each stakeholder group, they each have the responsibility of coordinating with the Sustainability Office the collection of the aforementioned information, which complements our reviews and updates of the corporate sustainability strategy.</w:t>
      </w:r>
    </w:p>
    <w:p>
      <w:pPr>
        <w:pStyle w:val="TextBody"/>
        <w:bidi w:val="0"/>
        <w:spacing w:before="0" w:after="0"/>
        <w:ind w:left="400" w:right="0" w:hanging="0"/>
        <w:jc w:val="both"/>
        <w:rPr>
          <w:caps w:val="false"/>
          <w:smallCaps w:val="false"/>
        </w:rPr>
      </w:pPr>
      <w:r>
        <w:rPr>
          <w:caps w:val="false"/>
          <w:smallCaps w:val="false"/>
        </w:rPr>
        <w:t> </w:t>
      </w:r>
    </w:p>
    <w:p>
      <w:pPr>
        <w:pStyle w:val="TextBody"/>
        <w:bidi w:val="0"/>
        <w:spacing w:before="0" w:after="0"/>
        <w:ind w:left="400" w:right="0" w:hanging="0"/>
        <w:jc w:val="both"/>
        <w:rPr>
          <w:rFonts w:ascii="Arial" w:hAnsi="Arial"/>
          <w:b w:val="false"/>
          <w:i w:val="false"/>
          <w:caps w:val="false"/>
          <w:smallCaps w:val="false"/>
          <w:sz w:val="20"/>
        </w:rPr>
      </w:pPr>
      <w:r>
        <w:rPr>
          <w:rFonts w:ascii="Arial" w:hAnsi="Arial"/>
          <w:b w:val="false"/>
          <w:i w:val="false"/>
          <w:caps w:val="false"/>
          <w:smallCaps w:val="false"/>
          <w:sz w:val="20"/>
        </w:rPr>
        <w:t>Credicorp is always open to listening to the expectations, needs, and concerns of these and other stakeholders through its public channels and those of its subsidiaries.</w:t>
      </w:r>
    </w:p>
    <w:p>
      <w:pPr>
        <w:pStyle w:val="TextBody"/>
        <w:bidi w:val="0"/>
        <w:spacing w:before="0" w:after="0"/>
        <w:ind w:left="287" w:right="0" w:hanging="0"/>
        <w:jc w:val="both"/>
        <w:rPr>
          <w:caps w:val="false"/>
          <w:smallCaps w:val="false"/>
        </w:rPr>
      </w:pPr>
      <w:r>
        <w:rPr>
          <w:caps w:val="false"/>
          <w:smallCaps w:val="false"/>
        </w:rPr>
        <w:t> </w:t>
      </w:r>
    </w:p>
    <w:p>
      <w:pPr>
        <w:pStyle w:val="TextBody"/>
        <w:bidi w:val="0"/>
        <w:spacing w:before="200" w:after="20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65</w:t>
      </w:r>
    </w:p>
    <w:p>
      <w:pPr>
        <w:pStyle w:val="HorizontalLine"/>
        <w:pBdr>
          <w:bottom w:val="single" w:sz="12" w:space="0" w:color="808080"/>
        </w:pBdr>
        <w:bidi w:val="0"/>
        <w:spacing w:before="200" w:after="200"/>
        <w:jc w:val="left"/>
        <w:rPr/>
      </w:pPr>
      <w:r>
        <w:rPr/>
      </w:r>
    </w:p>
    <w:p>
      <w:pPr>
        <w:pStyle w:val="TextBody"/>
        <w:bidi w:val="0"/>
        <w:spacing w:before="0" w:after="0"/>
        <w:ind w:left="18100" w:right="0" w:hanging="0"/>
        <w:jc w:val="left"/>
        <w:rPr>
          <w:caps w:val="false"/>
          <w:smallCaps w:val="false"/>
        </w:rPr>
      </w:pPr>
      <w:r>
        <w:rPr>
          <w:caps w:val="false"/>
          <w:smallCaps w:val="false"/>
        </w:rPr>
        <w:t> </w:t>
      </w:r>
    </w:p>
    <w:tbl>
      <w:tblPr>
        <w:tblW w:w="10545" w:type="dxa"/>
        <w:jc w:val="left"/>
        <w:tblInd w:w="-10" w:type="dxa"/>
        <w:tblLayout w:type="fixed"/>
        <w:tblCellMar>
          <w:top w:w="28" w:type="dxa"/>
          <w:left w:w="40" w:type="dxa"/>
          <w:bottom w:w="28" w:type="dxa"/>
          <w:right w:w="40" w:type="dxa"/>
        </w:tblCellMar>
      </w:tblPr>
      <w:tblGrid>
        <w:gridCol w:w="1310"/>
        <w:gridCol w:w="1160"/>
        <w:gridCol w:w="1115"/>
        <w:gridCol w:w="1160"/>
        <w:gridCol w:w="1160"/>
        <w:gridCol w:w="1010"/>
        <w:gridCol w:w="1160"/>
        <w:gridCol w:w="1385"/>
        <w:gridCol w:w="1085"/>
      </w:tblGrid>
      <w:tr>
        <w:trPr/>
        <w:tc>
          <w:tcPr>
            <w:tcW w:w="131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w:t>
            </w:r>
          </w:p>
        </w:tc>
        <w:tc>
          <w:tcPr>
            <w:tcW w:w="11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Arial" w:hAnsi="Arial"/>
                <w:b/>
                <w:sz w:val="16"/>
              </w:rPr>
            </w:pPr>
            <w:r>
              <w:rPr>
                <w:rFonts w:ascii="Arial" w:hAnsi="Arial"/>
                <w:b/>
                <w:sz w:val="16"/>
              </w:rPr>
              <w:t>Employees</w:t>
            </w:r>
          </w:p>
        </w:tc>
        <w:tc>
          <w:tcPr>
            <w:tcW w:w="11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Arial" w:hAnsi="Arial"/>
                <w:b/>
                <w:sz w:val="16"/>
              </w:rPr>
            </w:pPr>
            <w:r>
              <w:rPr>
                <w:rFonts w:ascii="Arial" w:hAnsi="Arial"/>
                <w:b/>
                <w:sz w:val="16"/>
              </w:rPr>
              <w:t>Clients</w:t>
            </w:r>
          </w:p>
        </w:tc>
        <w:tc>
          <w:tcPr>
            <w:tcW w:w="11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Arial" w:hAnsi="Arial"/>
                <w:b/>
                <w:sz w:val="16"/>
              </w:rPr>
            </w:pPr>
            <w:r>
              <w:rPr>
                <w:rFonts w:ascii="Arial" w:hAnsi="Arial"/>
                <w:b/>
                <w:sz w:val="16"/>
              </w:rPr>
              <w:t>Investors and shareholders</w:t>
            </w:r>
          </w:p>
        </w:tc>
        <w:tc>
          <w:tcPr>
            <w:tcW w:w="11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Arial" w:hAnsi="Arial"/>
                <w:b/>
                <w:sz w:val="16"/>
              </w:rPr>
            </w:pPr>
            <w:r>
              <w:rPr>
                <w:rFonts w:ascii="Arial" w:hAnsi="Arial"/>
                <w:b/>
                <w:sz w:val="16"/>
              </w:rPr>
              <w:t>Government and regulators</w:t>
            </w:r>
          </w:p>
        </w:tc>
        <w:tc>
          <w:tcPr>
            <w:tcW w:w="10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Arial" w:hAnsi="Arial"/>
                <w:b/>
                <w:sz w:val="16"/>
              </w:rPr>
            </w:pPr>
            <w:r>
              <w:rPr>
                <w:rFonts w:ascii="Arial" w:hAnsi="Arial"/>
                <w:b/>
                <w:sz w:val="16"/>
              </w:rPr>
              <w:t>Suppliers</w:t>
            </w:r>
          </w:p>
        </w:tc>
        <w:tc>
          <w:tcPr>
            <w:tcW w:w="11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Arial" w:hAnsi="Arial"/>
                <w:b/>
                <w:sz w:val="16"/>
              </w:rPr>
            </w:pPr>
            <w:r>
              <w:rPr>
                <w:rFonts w:ascii="Arial" w:hAnsi="Arial"/>
                <w:b/>
                <w:sz w:val="16"/>
              </w:rPr>
              <w:t>Community</w:t>
            </w:r>
          </w:p>
        </w:tc>
        <w:tc>
          <w:tcPr>
            <w:tcW w:w="138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Arial" w:hAnsi="Arial"/>
                <w:b/>
                <w:sz w:val="16"/>
              </w:rPr>
            </w:pPr>
            <w:r>
              <w:rPr>
                <w:rFonts w:ascii="Arial" w:hAnsi="Arial"/>
                <w:b/>
                <w:sz w:val="16"/>
              </w:rPr>
              <w:t>Communications media</w:t>
            </w:r>
          </w:p>
        </w:tc>
        <w:tc>
          <w:tcPr>
            <w:tcW w:w="108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Arial" w:hAnsi="Arial"/>
                <w:b/>
                <w:sz w:val="16"/>
              </w:rPr>
            </w:pPr>
            <w:r>
              <w:rPr>
                <w:rFonts w:ascii="Arial" w:hAnsi="Arial"/>
                <w:b/>
                <w:sz w:val="16"/>
              </w:rPr>
              <w:t>Public opinion</w:t>
            </w:r>
          </w:p>
        </w:tc>
      </w:tr>
      <w:tr>
        <w:trPr/>
        <w:tc>
          <w:tcPr>
            <w:tcW w:w="1310" w:type="dxa"/>
            <w:tcBorders>
              <w:left w:val="single" w:sz="8" w:space="0" w:color="000000"/>
              <w:bottom w:val="single" w:sz="8" w:space="0" w:color="000000"/>
              <w:right w:val="single" w:sz="8" w:space="0" w:color="000000"/>
            </w:tcBorders>
            <w:tcMar>
              <w:top w:w="0" w:type="dxa"/>
              <w:bottom w:w="120" w:type="dxa"/>
            </w:tcMar>
            <w:vAlign w:val="center"/>
          </w:tcPr>
          <w:p>
            <w:pPr>
              <w:pStyle w:val="TableContents"/>
              <w:bidi w:val="0"/>
              <w:spacing w:before="0" w:after="283"/>
              <w:jc w:val="center"/>
              <w:rPr>
                <w:rFonts w:ascii="Arial" w:hAnsi="Arial"/>
                <w:b/>
                <w:sz w:val="16"/>
              </w:rPr>
            </w:pPr>
            <w:r>
              <w:rPr>
                <w:rFonts w:ascii="Arial" w:hAnsi="Arial"/>
                <w:b/>
                <w:sz w:val="16"/>
              </w:rPr>
              <w:t xml:space="preserve">Communication and dialog channels </w:t>
            </w:r>
          </w:p>
        </w:tc>
        <w:tc>
          <w:tcPr>
            <w:tcW w:w="1160" w:type="dxa"/>
            <w:tcBorders>
              <w:bottom w:val="single" w:sz="8" w:space="0" w:color="000000"/>
              <w:right w:val="single" w:sz="8" w:space="0" w:color="000000"/>
            </w:tcBorders>
            <w:tcMar>
              <w:top w:w="0" w:type="dxa"/>
              <w:left w:w="0" w:type="dxa"/>
              <w:bottom w:w="120" w:type="dxa"/>
            </w:tcMar>
            <w:vAlign w:val="center"/>
          </w:tcPr>
          <w:p>
            <w:pPr>
              <w:pStyle w:val="TableContents"/>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Bidirectional and ongoing communication. Perception surveys on: </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16"/>
              </w:rPr>
              <w:t>the climate in the workplace </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16"/>
              </w:rPr>
              <w:t>the organizational culture </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16"/>
              </w:rPr>
              <w:t>personal experience at every stageof the organization’s life cycle </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16"/>
              </w:rPr>
              <w:t>experience working with the supervisor </w:t>
            </w:r>
          </w:p>
          <w:p>
            <w:pPr>
              <w:pStyle w:val="TableContents"/>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In addition, each subsidiary has communication channels that include forums, events, platforms, newsletters, and open door sessions with leaders.</w:t>
            </w:r>
          </w:p>
          <w:p>
            <w:pPr>
              <w:pStyle w:val="TableContents"/>
              <w:bidi w:val="0"/>
              <w:spacing w:before="0" w:after="0"/>
              <w:ind w:left="0" w:right="0" w:hanging="0"/>
              <w:jc w:val="left"/>
              <w:rPr>
                <w:caps w:val="false"/>
                <w:smallCaps w:val="false"/>
              </w:rPr>
            </w:pPr>
            <w:r>
              <w:rPr>
                <w:caps w:val="false"/>
                <w:smallCaps w:val="false"/>
              </w:rPr>
              <w:t> </w:t>
            </w:r>
          </w:p>
        </w:tc>
        <w:tc>
          <w:tcPr>
            <w:tcW w:w="1115" w:type="dxa"/>
            <w:tcBorders>
              <w:bottom w:val="single" w:sz="8" w:space="0" w:color="000000"/>
              <w:right w:val="single" w:sz="8" w:space="0" w:color="000000"/>
            </w:tcBorders>
            <w:tcMar>
              <w:top w:w="0" w:type="dxa"/>
              <w:left w:w="0" w:type="dxa"/>
              <w:bottom w:w="120" w:type="dxa"/>
            </w:tcMar>
            <w:vAlign w:val="center"/>
          </w:tcPr>
          <w:p>
            <w:pPr>
              <w:pStyle w:val="TableContents"/>
              <w:bidi w:val="0"/>
              <w:spacing w:before="0" w:after="283"/>
              <w:jc w:val="left"/>
              <w:rPr>
                <w:rFonts w:ascii="Arial" w:hAnsi="Arial"/>
                <w:sz w:val="16"/>
              </w:rPr>
            </w:pPr>
            <w:r>
              <w:rPr>
                <w:rFonts w:ascii="Arial" w:hAnsi="Arial"/>
                <w:sz w:val="16"/>
              </w:rPr>
              <w:t xml:space="preserve">Studies or satisfaction surveys, and the gathering of perception and concerns. Digital and face-to-face platforms, business officials, social networks, chatbots, mobile applications, claims system, informal meetings, and market research daily measurements </w:t>
            </w:r>
          </w:p>
        </w:tc>
        <w:tc>
          <w:tcPr>
            <w:tcW w:w="1160" w:type="dxa"/>
            <w:tcBorders>
              <w:bottom w:val="single" w:sz="8" w:space="0" w:color="000000"/>
              <w:right w:val="single" w:sz="8" w:space="0" w:color="000000"/>
            </w:tcBorders>
            <w:tcMar>
              <w:top w:w="0" w:type="dxa"/>
              <w:left w:w="0" w:type="dxa"/>
              <w:bottom w:w="120" w:type="dxa"/>
            </w:tcMar>
            <w:vAlign w:val="center"/>
          </w:tcPr>
          <w:p>
            <w:pPr>
              <w:pStyle w:val="TableContents"/>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16"/>
              </w:rPr>
              <w:t>We proactively manage interactions:</w:t>
            </w:r>
            <w:r>
              <w:rPr>
                <w:rFonts w:ascii="Arial" w:hAnsi="Arial"/>
                <w:b w:val="false"/>
                <w:i w:val="false"/>
                <w:caps w:val="false"/>
                <w:smallCaps w:val="false"/>
                <w:sz w:val="20"/>
              </w:rPr>
              <w:t> </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16"/>
              </w:rPr>
              <w:t>Conference calls: quarterly results reporting </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16"/>
              </w:rPr>
              <w:t>Calls or one-on-one meetings </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16"/>
              </w:rPr>
              <w:t>Conferences and non-deal-roadshows (NDRs) to strengthen relationships with investors in other regions. </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16"/>
              </w:rPr>
              <w:t>Ad-hoc events such as Investor Days, Digital Days, and ESG roadshows. </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16"/>
              </w:rPr>
              <w:t xml:space="preserve">The biennial </w:t>
            </w:r>
            <w:r>
              <w:rPr>
                <w:rFonts w:ascii="Arial" w:hAnsi="Arial"/>
                <w:b w:val="false"/>
                <w:i/>
                <w:caps w:val="false"/>
                <w:smallCaps w:val="false"/>
                <w:sz w:val="16"/>
              </w:rPr>
              <w:t>Investor Survey</w:t>
            </w:r>
            <w:r>
              <w:rPr>
                <w:rFonts w:ascii="Arial" w:hAnsi="Arial"/>
                <w:b w:val="false"/>
                <w:i w:val="false"/>
                <w:caps w:val="false"/>
                <w:smallCaps w:val="false"/>
                <w:sz w:val="16"/>
              </w:rPr>
              <w:t>, using an external agent to collect feedback on the Group, its strategies, and how the Investor Relations team is performing</w:t>
            </w:r>
          </w:p>
        </w:tc>
        <w:tc>
          <w:tcPr>
            <w:tcW w:w="1160" w:type="dxa"/>
            <w:tcBorders>
              <w:bottom w:val="single" w:sz="8" w:space="0" w:color="000000"/>
              <w:right w:val="single" w:sz="8" w:space="0" w:color="000000"/>
            </w:tcBorders>
            <w:tcMar>
              <w:top w:w="0" w:type="dxa"/>
              <w:left w:w="0" w:type="dxa"/>
              <w:bottom w:w="120" w:type="dxa"/>
            </w:tcMar>
            <w:vAlign w:val="center"/>
          </w:tcPr>
          <w:p>
            <w:pPr>
              <w:pStyle w:val="TableContents"/>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Having a positive and collaborative relationship with the government as a stakeholder and the regulatory bodies is essential.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We channel our initiatives through the business associations of which we are part.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We undertake a quarterly reputation study to discover our levels of trust and how Credicorp and its subsidiaries are regarded, including how representatives of the public sector and regulatory bodies perceive us. This enables us to design initiatives to bed down healthy relationships and improve teamwork.</w:t>
            </w:r>
          </w:p>
          <w:p>
            <w:pPr>
              <w:pStyle w:val="TableContents"/>
              <w:bidi w:val="0"/>
              <w:spacing w:before="0" w:after="0"/>
              <w:ind w:left="0" w:right="0" w:hanging="0"/>
              <w:jc w:val="left"/>
              <w:rPr>
                <w:caps w:val="false"/>
                <w:smallCaps w:val="false"/>
              </w:rPr>
            </w:pPr>
            <w:r>
              <w:rPr>
                <w:caps w:val="false"/>
                <w:smallCaps w:val="false"/>
              </w:rPr>
              <w:t> </w:t>
            </w:r>
          </w:p>
        </w:tc>
        <w:tc>
          <w:tcPr>
            <w:tcW w:w="1010" w:type="dxa"/>
            <w:tcBorders>
              <w:bottom w:val="single" w:sz="8" w:space="0" w:color="000000"/>
              <w:right w:val="single" w:sz="8" w:space="0" w:color="000000"/>
            </w:tcBorders>
            <w:tcMar>
              <w:top w:w="0" w:type="dxa"/>
              <w:left w:w="0" w:type="dxa"/>
              <w:bottom w:w="120" w:type="dxa"/>
            </w:tcMar>
            <w:vAlign w:val="center"/>
          </w:tcPr>
          <w:p>
            <w:pPr>
              <w:pStyle w:val="TableContents"/>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We promote a dynamic supplier ecosystem with good business practices.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In 2021, Credicorp set up the Corporate Supplier Negotiation and Management Area with the aim of having a centralized and efficient strategy to the highest commercial and ethical standards. The centralized purchasing process complies with the guidelines defined by ISO 37001 Anti-Bribery Management.</w:t>
            </w:r>
          </w:p>
          <w:p>
            <w:pPr>
              <w:pStyle w:val="TableContents"/>
              <w:bidi w:val="0"/>
              <w:spacing w:before="0" w:after="0"/>
              <w:ind w:left="0" w:right="0" w:hanging="0"/>
              <w:jc w:val="left"/>
              <w:rPr>
                <w:caps w:val="false"/>
                <w:smallCaps w:val="false"/>
              </w:rPr>
            </w:pPr>
            <w:r>
              <w:rPr>
                <w:caps w:val="false"/>
                <w:smallCaps w:val="false"/>
              </w:rPr>
              <w:t> </w:t>
            </w:r>
          </w:p>
        </w:tc>
        <w:tc>
          <w:tcPr>
            <w:tcW w:w="1160" w:type="dxa"/>
            <w:tcBorders>
              <w:bottom w:val="single" w:sz="8" w:space="0" w:color="000000"/>
              <w:right w:val="single" w:sz="8" w:space="0" w:color="000000"/>
            </w:tcBorders>
            <w:tcMar>
              <w:top w:w="0" w:type="dxa"/>
              <w:left w:w="0" w:type="dxa"/>
              <w:bottom w:w="120" w:type="dxa"/>
            </w:tcMar>
            <w:vAlign w:val="center"/>
          </w:tcPr>
          <w:p>
            <w:pPr>
              <w:pStyle w:val="TableContents"/>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Different parts of the community are directly or indirectly impacted by the operations and businesses of Credicorp and its subsidiaries.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Our subsidiaries measure the most significant impacts of their programs. They also offer dialog and exchange spaces. At the company level, social media channels are always active for any communication.</w:t>
            </w:r>
          </w:p>
          <w:p>
            <w:pPr>
              <w:pStyle w:val="TableContents"/>
              <w:bidi w:val="0"/>
              <w:spacing w:before="0" w:after="0"/>
              <w:ind w:left="0" w:right="0" w:hanging="0"/>
              <w:jc w:val="left"/>
              <w:rPr>
                <w:caps w:val="false"/>
                <w:smallCaps w:val="false"/>
              </w:rPr>
            </w:pPr>
            <w:r>
              <w:rPr>
                <w:caps w:val="false"/>
                <w:smallCaps w:val="false"/>
              </w:rPr>
              <w:t> </w:t>
            </w:r>
          </w:p>
        </w:tc>
        <w:tc>
          <w:tcPr>
            <w:tcW w:w="1385" w:type="dxa"/>
            <w:tcBorders>
              <w:bottom w:val="single" w:sz="8" w:space="0" w:color="000000"/>
              <w:right w:val="single" w:sz="8" w:space="0" w:color="000000"/>
            </w:tcBorders>
            <w:tcMar>
              <w:top w:w="0" w:type="dxa"/>
              <w:left w:w="0" w:type="dxa"/>
              <w:bottom w:w="120" w:type="dxa"/>
            </w:tcMar>
            <w:vAlign w:val="center"/>
          </w:tcPr>
          <w:p>
            <w:pPr>
              <w:pStyle w:val="TableContents"/>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In addition to the media, this group includes journalists and people who have influence on public opinion and society. Managing a fluid relationship with the media is key to communicating the company's purpose, vision, and objectives.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We conducted a quarterly reputation study with opinion leaders.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We maintain a very fluid relationship by providing them with relevant information about the financial industry, which they share with the public as press content. We provider training to journalists to strengthen their skills and to enable them to more solidly address issues related to national economic activity.</w:t>
            </w:r>
          </w:p>
          <w:p>
            <w:pPr>
              <w:pStyle w:val="TableContents"/>
              <w:bidi w:val="0"/>
              <w:spacing w:before="0" w:after="0"/>
              <w:ind w:left="0" w:right="0" w:hanging="0"/>
              <w:jc w:val="left"/>
              <w:rPr>
                <w:caps w:val="false"/>
                <w:smallCaps w:val="false"/>
              </w:rPr>
            </w:pPr>
            <w:r>
              <w:rPr>
                <w:caps w:val="false"/>
                <w:smallCaps w:val="false"/>
              </w:rPr>
              <w:t> </w:t>
            </w:r>
          </w:p>
        </w:tc>
        <w:tc>
          <w:tcPr>
            <w:tcW w:w="1085" w:type="dxa"/>
            <w:tcBorders>
              <w:bottom w:val="single" w:sz="8" w:space="0" w:color="000000"/>
              <w:right w:val="single" w:sz="8" w:space="0" w:color="000000"/>
            </w:tcBorders>
            <w:tcMar>
              <w:top w:w="0" w:type="dxa"/>
              <w:left w:w="0" w:type="dxa"/>
              <w:bottom w:w="120" w:type="dxa"/>
            </w:tcMar>
            <w:vAlign w:val="center"/>
          </w:tcPr>
          <w:p>
            <w:pPr>
              <w:pStyle w:val="TableContents"/>
              <w:bidi w:val="0"/>
              <w:spacing w:before="0" w:after="283"/>
              <w:jc w:val="left"/>
              <w:rPr>
                <w:rFonts w:ascii="Arial" w:hAnsi="Arial"/>
                <w:sz w:val="16"/>
              </w:rPr>
            </w:pPr>
            <w:r>
              <w:rPr>
                <w:rFonts w:ascii="Arial" w:hAnsi="Arial"/>
                <w:sz w:val="16"/>
              </w:rPr>
              <w:t>We conduct a survey of a representative group of the urban Peruvian population over the age of 18 to determine the level of trust in Credicorp and its Peruvian subsidiaries. The data informs our companies’ communication plans with the public and design the social responsibility programs.</w:t>
            </w:r>
          </w:p>
        </w:tc>
      </w:tr>
      <w:tr>
        <w:trPr/>
        <w:tc>
          <w:tcPr>
            <w:tcW w:w="13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Arial" w:hAnsi="Arial"/>
                <w:b/>
                <w:sz w:val="16"/>
              </w:rPr>
            </w:pPr>
            <w:r>
              <w:rPr>
                <w:rFonts w:ascii="Arial" w:hAnsi="Arial"/>
                <w:b/>
                <w:sz w:val="16"/>
              </w:rPr>
              <w:t>Frequency</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sz w:val="16"/>
              </w:rPr>
            </w:pPr>
            <w:r>
              <w:rPr>
                <w:rFonts w:ascii="Arial" w:hAnsi="Arial"/>
                <w:sz w:val="16"/>
              </w:rPr>
              <w:t>Quarterly and/or annual</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sz w:val="16"/>
              </w:rPr>
            </w:pPr>
            <w:r>
              <w:rPr>
                <w:rFonts w:ascii="Arial" w:hAnsi="Arial"/>
                <w:sz w:val="16"/>
              </w:rPr>
              <w:t>Quarterly, monthly and in some cases daily for all channels of the subsidiaries</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sz w:val="16"/>
              </w:rPr>
            </w:pPr>
            <w:r>
              <w:rPr>
                <w:rFonts w:ascii="Arial" w:hAnsi="Arial"/>
                <w:sz w:val="16"/>
              </w:rPr>
              <w:t>Quarterly results. Ad hoc meetings (Investor Day), annual surveys. Calls or one-to-one meetings at the frequency required by investors</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Arial" w:hAnsi="Arial"/>
                <w:b w:val="false"/>
                <w:i w:val="false"/>
                <w:caps w:val="false"/>
                <w:smallCaps w:val="false"/>
                <w:sz w:val="16"/>
              </w:rPr>
            </w:pPr>
            <w:r>
              <w:rPr>
                <w:rFonts w:ascii="Arial" w:hAnsi="Arial"/>
                <w:b w:val="false"/>
                <w:i w:val="false"/>
                <w:caps w:val="false"/>
                <w:smallCaps w:val="false"/>
                <w:sz w:val="16"/>
              </w:rPr>
              <w:t>A quarterly study, ongoing conversations</w:t>
            </w:r>
          </w:p>
          <w:p>
            <w:pPr>
              <w:pStyle w:val="TableContents"/>
              <w:bidi w:val="0"/>
              <w:spacing w:before="0" w:after="0"/>
              <w:ind w:left="0" w:right="0" w:hanging="0"/>
              <w:jc w:val="center"/>
              <w:rPr>
                <w:caps w:val="false"/>
                <w:smallCaps w:val="false"/>
              </w:rPr>
            </w:pPr>
            <w:r>
              <w:rPr>
                <w:caps w:val="false"/>
                <w:smallCaps w:val="false"/>
              </w:rPr>
              <w:t> </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38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Arial" w:hAnsi="Arial"/>
                <w:b w:val="false"/>
                <w:i w:val="false"/>
                <w:caps w:val="false"/>
                <w:smallCaps w:val="false"/>
                <w:sz w:val="16"/>
              </w:rPr>
            </w:pPr>
            <w:r>
              <w:rPr>
                <w:rFonts w:ascii="Arial" w:hAnsi="Arial"/>
                <w:b w:val="false"/>
                <w:i w:val="false"/>
                <w:caps w:val="false"/>
                <w:smallCaps w:val="false"/>
                <w:sz w:val="16"/>
              </w:rPr>
              <w:t>Quarterly survey</w:t>
            </w:r>
          </w:p>
          <w:p>
            <w:pPr>
              <w:pStyle w:val="TableContents"/>
              <w:bidi w:val="0"/>
              <w:spacing w:before="0" w:after="0"/>
              <w:ind w:left="0" w:right="0" w:hanging="0"/>
              <w:jc w:val="center"/>
              <w:rPr>
                <w:caps w:val="false"/>
                <w:smallCaps w:val="false"/>
              </w:rPr>
            </w:pPr>
            <w:r>
              <w:rPr>
                <w:caps w:val="false"/>
                <w:smallCaps w:val="false"/>
              </w:rPr>
              <w:t> </w:t>
            </w:r>
          </w:p>
        </w:tc>
        <w:tc>
          <w:tcPr>
            <w:tcW w:w="10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sz w:val="16"/>
              </w:rPr>
            </w:pPr>
            <w:r>
              <w:rPr>
                <w:rFonts w:ascii="Arial" w:hAnsi="Arial"/>
                <w:sz w:val="16"/>
              </w:rPr>
              <w:t>Quarterly survey</w:t>
            </w:r>
          </w:p>
        </w:tc>
      </w:tr>
    </w:tbl>
    <w:p>
      <w:pPr>
        <w:pStyle w:val="TextBody"/>
        <w:bidi w:val="0"/>
        <w:spacing w:before="0" w:after="0"/>
        <w:ind w:left="18100" w:right="0" w:hanging="0"/>
        <w:jc w:val="left"/>
        <w:rPr>
          <w:caps w:val="false"/>
          <w:smallCaps w:val="false"/>
        </w:rPr>
      </w:pPr>
      <w:r>
        <w:rPr>
          <w:caps w:val="false"/>
          <w:smallCaps w:val="false"/>
        </w:rPr>
        <w:t> </w:t>
      </w:r>
    </w:p>
    <w:p>
      <w:pPr>
        <w:pStyle w:val="TextBody"/>
        <w:bidi w:val="0"/>
        <w:spacing w:before="200" w:after="200"/>
        <w:ind w:left="18100" w:right="0" w:hanging="0"/>
        <w:jc w:val="right"/>
        <w:rPr>
          <w:rFonts w:ascii="Arial" w:hAnsi="Arial"/>
          <w:b w:val="false"/>
          <w:i w:val="false"/>
          <w:caps w:val="false"/>
          <w:smallCaps w:val="false"/>
          <w:sz w:val="20"/>
        </w:rPr>
      </w:pPr>
      <w:r>
        <w:rPr>
          <w:rFonts w:ascii="Arial" w:hAnsi="Arial"/>
          <w:b w:val="false"/>
          <w:i w:val="false"/>
          <w:caps w:val="false"/>
          <w:smallCaps w:val="false"/>
          <w:sz w:val="20"/>
        </w:rPr>
        <w:t>66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rFonts w:ascii="Arial" w:hAnsi="Arial"/>
          <w:b w:val="false"/>
          <w:i w:val="false"/>
          <w:caps w:val="false"/>
          <w:smallCaps w:val="false"/>
          <w:color w:val="FE5000"/>
          <w:sz w:val="30"/>
        </w:rPr>
      </w:pPr>
      <w:r>
        <w:rPr>
          <w:rFonts w:ascii="Arial" w:hAnsi="Arial"/>
          <w:b/>
          <w:i w:val="false"/>
          <w:caps w:val="false"/>
          <w:smallCaps w:val="false"/>
          <w:color w:val="FE5000"/>
          <w:sz w:val="30"/>
        </w:rPr>
        <w:t>1.6. SUSTAINABILITY INTEGRATION ENABLERS</w:t>
      </w:r>
      <w:r>
        <w:rPr>
          <w:rFonts w:ascii="Arial" w:hAnsi="Arial"/>
          <w:b w:val="false"/>
          <w:i w:val="false"/>
          <w:caps w:val="false"/>
          <w:smallCaps w:val="false"/>
          <w:color w:val="FE5000"/>
          <w:sz w:val="30"/>
        </w:rPr>
        <w:t> </w:t>
      </w:r>
    </w:p>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1.6.1. The change management program</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i w:val="false"/>
          <w:caps w:val="false"/>
          <w:smallCaps w:val="false"/>
          <w:sz w:val="20"/>
        </w:rPr>
        <w:t>MATERIAL TOPIC EMPLOYMENT AND TALENT MANAGEMENT</w:t>
      </w:r>
      <w:r>
        <w:rPr>
          <w:rFonts w:ascii="Arial" w:hAnsi="Arial"/>
          <w:b w:val="false"/>
          <w:i w:val="false"/>
          <w:caps w:val="false"/>
          <w:smallCaps w:val="false"/>
          <w:sz w:val="20"/>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i w:val="false"/>
          <w:caps w:val="false"/>
          <w:smallCaps w:val="false"/>
          <w:sz w:val="20"/>
        </w:rPr>
        <w:t xml:space="preserve">GRI 404-2 </w:t>
      </w:r>
      <w:r>
        <w:rPr>
          <w:rFonts w:ascii="Arial" w:hAnsi="Arial"/>
          <w:b w:val="false"/>
          <w:i w:val="false"/>
          <w:caps w:val="false"/>
          <w:smallCaps w:val="false"/>
          <w:sz w:val="20"/>
        </w:rPr>
        <w:t>Programs for upgrading employee skills and transition assistance programs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i w:val="false"/>
          <w:caps w:val="false"/>
          <w:smallCaps w:val="false"/>
          <w:sz w:val="20"/>
        </w:rPr>
        <w:t xml:space="preserve">The Change Management Training Program: </w:t>
      </w:r>
      <w:r>
        <w:rPr>
          <w:rFonts w:ascii="Arial" w:hAnsi="Arial"/>
          <w:b w:val="false"/>
          <w:i w:val="false"/>
          <w:caps w:val="false"/>
          <w:smallCaps w:val="false"/>
          <w:sz w:val="20"/>
        </w:rPr>
        <w:t>Training to leaders and prioritized streams in specific themes for each line of business:</w:t>
      </w:r>
    </w:p>
    <w:p>
      <w:pPr>
        <w:pStyle w:val="TextBody"/>
        <w:bidi w:val="0"/>
        <w:spacing w:before="0" w:after="0"/>
        <w:ind w:left="62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1081"/>
        <w:gridCol w:w="1673"/>
        <w:gridCol w:w="2612"/>
        <w:gridCol w:w="1623"/>
        <w:gridCol w:w="3216"/>
      </w:tblGrid>
      <w:tr>
        <w:trPr/>
        <w:tc>
          <w:tcPr>
            <w:tcW w:w="10205" w:type="dxa"/>
            <w:gridSpan w:val="5"/>
            <w:tcBorders>
              <w:top w:val="single" w:sz="8" w:space="0" w:color="000000"/>
              <w:left w:val="single" w:sz="8" w:space="0" w:color="000000"/>
              <w:bottom w:val="single" w:sz="8" w:space="0" w:color="000000"/>
              <w:right w:val="single" w:sz="8" w:space="0" w:color="000000"/>
            </w:tcBorders>
            <w:shd w:fill="E8E6E6" w:val="clear"/>
            <w:vAlign w:val="center"/>
          </w:tcPr>
          <w:p>
            <w:pPr>
              <w:pStyle w:val="TableContents"/>
              <w:bidi w:val="0"/>
              <w:spacing w:before="0" w:after="283"/>
              <w:jc w:val="center"/>
              <w:rPr>
                <w:rFonts w:ascii="Arial" w:hAnsi="Arial"/>
                <w:b/>
                <w:sz w:val="16"/>
              </w:rPr>
            </w:pPr>
            <w:r>
              <w:rPr>
                <w:rFonts w:ascii="Arial" w:hAnsi="Arial"/>
                <w:b/>
                <w:sz w:val="16"/>
              </w:rPr>
              <w:t>Training by segments</w:t>
            </w:r>
          </w:p>
        </w:tc>
      </w:tr>
      <w:tr>
        <w:trPr/>
        <w:tc>
          <w:tcPr>
            <w:tcW w:w="1081" w:type="dxa"/>
            <w:tcBorders>
              <w:left w:val="single" w:sz="8" w:space="0" w:color="000000"/>
              <w:bottom w:val="single" w:sz="8" w:space="0" w:color="000000"/>
              <w:right w:val="single" w:sz="8" w:space="0" w:color="000000"/>
            </w:tcBorders>
            <w:shd w:fill="E8E6E6" w:val="clear"/>
            <w:tcMar>
              <w:top w:w="0" w:type="dxa"/>
            </w:tcMar>
            <w:vAlign w:val="center"/>
          </w:tcPr>
          <w:p>
            <w:pPr>
              <w:pStyle w:val="TableContents"/>
              <w:bidi w:val="0"/>
              <w:spacing w:before="0" w:after="283"/>
              <w:jc w:val="center"/>
              <w:rPr/>
            </w:pPr>
            <w:r>
              <w:rPr/>
              <w:t> </w:t>
            </w:r>
          </w:p>
        </w:tc>
        <w:tc>
          <w:tcPr>
            <w:tcW w:w="1673" w:type="dxa"/>
            <w:tcBorders>
              <w:bottom w:val="single" w:sz="8" w:space="0" w:color="000000"/>
              <w:right w:val="single" w:sz="8" w:space="0" w:color="000000"/>
            </w:tcBorders>
            <w:shd w:fill="E8E6E6" w:val="clear"/>
            <w:tcMar>
              <w:top w:w="0" w:type="dxa"/>
              <w:left w:w="0" w:type="dxa"/>
            </w:tcMar>
            <w:vAlign w:val="center"/>
          </w:tcPr>
          <w:p>
            <w:pPr>
              <w:pStyle w:val="TableContents"/>
              <w:bidi w:val="0"/>
              <w:spacing w:before="0" w:after="283"/>
              <w:jc w:val="center"/>
              <w:rPr>
                <w:rFonts w:ascii="Arial" w:hAnsi="Arial"/>
                <w:b/>
                <w:sz w:val="16"/>
              </w:rPr>
            </w:pPr>
            <w:r>
              <w:rPr>
                <w:rFonts w:ascii="Arial" w:hAnsi="Arial"/>
                <w:b/>
                <w:sz w:val="16"/>
              </w:rPr>
              <w:t>Credicorp and Subsidiaries</w:t>
              <w:br/>
              <w:t>Directors</w:t>
            </w:r>
          </w:p>
        </w:tc>
        <w:tc>
          <w:tcPr>
            <w:tcW w:w="2612" w:type="dxa"/>
            <w:tcBorders>
              <w:bottom w:val="single" w:sz="8" w:space="0" w:color="000000"/>
              <w:right w:val="single" w:sz="8" w:space="0" w:color="000000"/>
            </w:tcBorders>
            <w:shd w:fill="E8E6E6" w:val="clear"/>
            <w:tcMar>
              <w:top w:w="0" w:type="dxa"/>
              <w:left w:w="0" w:type="dxa"/>
            </w:tcMar>
            <w:vAlign w:val="center"/>
          </w:tcPr>
          <w:p>
            <w:pPr>
              <w:pStyle w:val="TableContents"/>
              <w:bidi w:val="0"/>
              <w:spacing w:before="0" w:after="283"/>
              <w:jc w:val="center"/>
              <w:rPr>
                <w:rFonts w:ascii="Arial" w:hAnsi="Arial"/>
                <w:b/>
                <w:sz w:val="16"/>
              </w:rPr>
            </w:pPr>
            <w:r>
              <w:rPr>
                <w:rFonts w:ascii="Arial" w:hAnsi="Arial"/>
                <w:b/>
                <w:sz w:val="16"/>
              </w:rPr>
              <w:t>Senior Leaders and Middle Managers</w:t>
            </w:r>
          </w:p>
        </w:tc>
        <w:tc>
          <w:tcPr>
            <w:tcW w:w="1623" w:type="dxa"/>
            <w:tcBorders>
              <w:bottom w:val="single" w:sz="8" w:space="0" w:color="000000"/>
              <w:right w:val="single" w:sz="8" w:space="0" w:color="000000"/>
            </w:tcBorders>
            <w:shd w:fill="E8E6E6" w:val="clear"/>
            <w:tcMar>
              <w:top w:w="0" w:type="dxa"/>
              <w:left w:w="0" w:type="dxa"/>
            </w:tcMar>
            <w:vAlign w:val="center"/>
          </w:tcPr>
          <w:p>
            <w:pPr>
              <w:pStyle w:val="TableContents"/>
              <w:bidi w:val="0"/>
              <w:spacing w:before="0" w:after="283"/>
              <w:jc w:val="center"/>
              <w:rPr>
                <w:rFonts w:ascii="Arial" w:hAnsi="Arial"/>
                <w:b/>
                <w:sz w:val="16"/>
              </w:rPr>
            </w:pPr>
            <w:r>
              <w:rPr>
                <w:rFonts w:ascii="Arial" w:hAnsi="Arial"/>
                <w:b/>
                <w:sz w:val="16"/>
              </w:rPr>
              <w:t>Specialized teams</w:t>
            </w:r>
          </w:p>
        </w:tc>
        <w:tc>
          <w:tcPr>
            <w:tcW w:w="3216" w:type="dxa"/>
            <w:tcBorders>
              <w:bottom w:val="single" w:sz="8" w:space="0" w:color="000000"/>
              <w:right w:val="single" w:sz="8" w:space="0" w:color="000000"/>
            </w:tcBorders>
            <w:shd w:fill="E8E6E6" w:val="clear"/>
            <w:tcMar>
              <w:top w:w="0" w:type="dxa"/>
              <w:left w:w="0" w:type="dxa"/>
            </w:tcMar>
            <w:vAlign w:val="center"/>
          </w:tcPr>
          <w:p>
            <w:pPr>
              <w:pStyle w:val="TableContents"/>
              <w:bidi w:val="0"/>
              <w:spacing w:before="0" w:after="283"/>
              <w:jc w:val="center"/>
              <w:rPr>
                <w:rFonts w:ascii="Arial" w:hAnsi="Arial"/>
                <w:b/>
                <w:sz w:val="16"/>
              </w:rPr>
            </w:pPr>
            <w:r>
              <w:rPr>
                <w:rFonts w:ascii="Arial" w:hAnsi="Arial"/>
                <w:b/>
                <w:sz w:val="16"/>
              </w:rPr>
              <w:t>Business line leaders</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Arial" w:hAnsi="Arial"/>
                <w:b/>
                <w:sz w:val="16"/>
              </w:rPr>
            </w:pPr>
            <w:r>
              <w:rPr>
                <w:rFonts w:ascii="Arial" w:hAnsi="Arial"/>
                <w:b/>
                <w:sz w:val="16"/>
              </w:rPr>
              <w:t>Topics</w:t>
            </w:r>
          </w:p>
        </w:tc>
        <w:tc>
          <w:tcPr>
            <w:tcW w:w="167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Arial" w:hAnsi="Arial"/>
                <w:b/>
                <w:i w:val="false"/>
                <w:caps w:val="false"/>
                <w:smallCaps w:val="false"/>
                <w:sz w:val="16"/>
              </w:rPr>
            </w:pPr>
            <w:r>
              <w:rPr>
                <w:rFonts w:ascii="Arial" w:hAnsi="Arial"/>
                <w:b/>
                <w:i w:val="false"/>
                <w:caps w:val="false"/>
                <w:smallCaps w:val="false"/>
                <w:sz w:val="16"/>
              </w:rPr>
              <w:t xml:space="preserve">Social Vertical: </w:t>
            </w:r>
          </w:p>
          <w:p>
            <w:pPr>
              <w:pStyle w:val="TableContents"/>
              <w:bidi w:val="0"/>
              <w:spacing w:before="0" w:after="0"/>
              <w:ind w:left="360" w:right="0" w:hanging="360"/>
              <w:jc w:val="left"/>
              <w:rPr>
                <w:caps w:val="false"/>
                <w:smallCaps w:val="false"/>
              </w:rPr>
            </w:pPr>
            <w:r>
              <w:rPr>
                <w:caps w:val="false"/>
                <w:smallCaps w:val="false"/>
              </w:rPr>
              <w:drawing>
                <wp:inline distT="0" distB="0" distL="0" distR="0">
                  <wp:extent cx="142875" cy="104775"/>
                  <wp:effectExtent l="0" t="0" r="0" b="0"/>
                  <wp:docPr id="411"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Image164" descr=""/>
                          <pic:cNvPicPr>
                            <a:picLocks noChangeAspect="1" noChangeArrowheads="1"/>
                          </pic:cNvPicPr>
                        </pic:nvPicPr>
                        <pic:blipFill>
                          <a:blip r:embed="rId287"/>
                          <a:stretch>
                            <a:fillRect/>
                          </a:stretch>
                        </pic:blipFill>
                        <pic:spPr bwMode="auto">
                          <a:xfrm>
                            <a:off x="0" y="0"/>
                            <a:ext cx="142875" cy="104775"/>
                          </a:xfrm>
                          <a:prstGeom prst="rect">
                            <a:avLst/>
                          </a:prstGeom>
                        </pic:spPr>
                      </pic:pic>
                    </a:graphicData>
                  </a:graphic>
                </wp:inline>
              </w:drawing>
            </w:r>
            <w:r>
              <w:rPr>
                <w:caps w:val="false"/>
                <w:smallCaps w:val="false"/>
              </w:rPr>
              <w:t> </w:t>
            </w:r>
            <w:r>
              <w:rPr>
                <w:caps w:val="false"/>
                <w:smallCaps w:val="false"/>
                <w:color w:val="FA6204"/>
              </w:rPr>
              <w:t xml:space="preserve"> </w:t>
            </w:r>
            <w:r>
              <w:rPr>
                <w:rFonts w:ascii="Arial" w:hAnsi="Arial"/>
                <w:b w:val="false"/>
                <w:i w:val="false"/>
                <w:caps w:val="false"/>
                <w:smallCaps w:val="false"/>
                <w:sz w:val="16"/>
              </w:rPr>
              <w:t xml:space="preserve">The difference between philanthropy and sustainability </w:t>
            </w:r>
          </w:p>
          <w:p>
            <w:pPr>
              <w:pStyle w:val="TableContents"/>
              <w:bidi w:val="0"/>
              <w:spacing w:before="0" w:after="0"/>
              <w:ind w:left="360" w:right="0" w:hanging="360"/>
              <w:jc w:val="left"/>
              <w:rPr>
                <w:caps w:val="false"/>
                <w:smallCaps w:val="false"/>
              </w:rPr>
            </w:pPr>
            <w:r>
              <w:rPr>
                <w:caps w:val="false"/>
                <w:smallCaps w:val="false"/>
              </w:rPr>
              <w:drawing>
                <wp:inline distT="0" distB="0" distL="0" distR="0">
                  <wp:extent cx="142875" cy="104775"/>
                  <wp:effectExtent l="0" t="0" r="0" b="0"/>
                  <wp:docPr id="412"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Image165" descr=""/>
                          <pic:cNvPicPr>
                            <a:picLocks noChangeAspect="1" noChangeArrowheads="1"/>
                          </pic:cNvPicPr>
                        </pic:nvPicPr>
                        <pic:blipFill>
                          <a:blip r:embed="rId288"/>
                          <a:stretch>
                            <a:fillRect/>
                          </a:stretch>
                        </pic:blipFill>
                        <pic:spPr bwMode="auto">
                          <a:xfrm>
                            <a:off x="0" y="0"/>
                            <a:ext cx="142875" cy="104775"/>
                          </a:xfrm>
                          <a:prstGeom prst="rect">
                            <a:avLst/>
                          </a:prstGeom>
                        </pic:spPr>
                      </pic:pic>
                    </a:graphicData>
                  </a:graphic>
                </wp:inline>
              </w:drawing>
            </w:r>
            <w:r>
              <w:rPr>
                <w:caps w:val="false"/>
                <w:smallCaps w:val="false"/>
              </w:rPr>
              <w:t>  </w:t>
            </w:r>
            <w:r>
              <w:rPr>
                <w:rFonts w:ascii="Arial" w:hAnsi="Arial"/>
                <w:b w:val="false"/>
                <w:i w:val="false"/>
                <w:caps w:val="false"/>
                <w:smallCaps w:val="false"/>
                <w:sz w:val="16"/>
              </w:rPr>
              <w:t xml:space="preserve">The importance of impact evidence </w:t>
            </w:r>
          </w:p>
          <w:p>
            <w:pPr>
              <w:pStyle w:val="TableContents"/>
              <w:bidi w:val="0"/>
              <w:spacing w:before="0" w:after="0"/>
              <w:ind w:left="360" w:right="0" w:hanging="360"/>
              <w:jc w:val="left"/>
              <w:rPr>
                <w:caps w:val="false"/>
                <w:smallCaps w:val="false"/>
              </w:rPr>
            </w:pPr>
            <w:r>
              <w:rPr>
                <w:caps w:val="false"/>
                <w:smallCaps w:val="false"/>
              </w:rPr>
              <w:drawing>
                <wp:inline distT="0" distB="0" distL="0" distR="0">
                  <wp:extent cx="142875" cy="104775"/>
                  <wp:effectExtent l="0" t="0" r="0" b="0"/>
                  <wp:docPr id="413"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Image166" descr=""/>
                          <pic:cNvPicPr>
                            <a:picLocks noChangeAspect="1" noChangeArrowheads="1"/>
                          </pic:cNvPicPr>
                        </pic:nvPicPr>
                        <pic:blipFill>
                          <a:blip r:embed="rId289"/>
                          <a:stretch>
                            <a:fillRect/>
                          </a:stretch>
                        </pic:blipFill>
                        <pic:spPr bwMode="auto">
                          <a:xfrm>
                            <a:off x="0" y="0"/>
                            <a:ext cx="142875" cy="104775"/>
                          </a:xfrm>
                          <a:prstGeom prst="rect">
                            <a:avLst/>
                          </a:prstGeom>
                        </pic:spPr>
                      </pic:pic>
                    </a:graphicData>
                  </a:graphic>
                </wp:inline>
              </w:drawing>
            </w:r>
            <w:r>
              <w:rPr>
                <w:caps w:val="false"/>
                <w:smallCaps w:val="false"/>
              </w:rPr>
              <w:t>  </w:t>
            </w:r>
            <w:r>
              <w:rPr>
                <w:rFonts w:ascii="Arial" w:hAnsi="Arial"/>
                <w:b w:val="false"/>
                <w:i w:val="false"/>
                <w:caps w:val="false"/>
                <w:smallCaps w:val="false"/>
                <w:sz w:val="16"/>
              </w:rPr>
              <w:t xml:space="preserve">Driving sustainability from their role as directors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lineRule="auto" w:line="240" w:before="0" w:after="0"/>
              <w:ind w:left="0" w:right="0" w:hanging="0"/>
              <w:jc w:val="left"/>
              <w:rPr>
                <w:rFonts w:ascii="Arial" w:hAnsi="Arial"/>
                <w:b/>
                <w:i w:val="false"/>
                <w:caps w:val="false"/>
                <w:smallCaps w:val="false"/>
                <w:sz w:val="16"/>
              </w:rPr>
            </w:pPr>
            <w:r>
              <w:rPr>
                <w:rFonts w:ascii="Arial" w:hAnsi="Arial"/>
                <w:b/>
                <w:i w:val="false"/>
                <w:caps w:val="false"/>
                <w:smallCaps w:val="false"/>
                <w:sz w:val="16"/>
              </w:rPr>
              <w:t xml:space="preserve">Environmental Vertical64: </w:t>
            </w:r>
          </w:p>
          <w:p>
            <w:pPr>
              <w:pStyle w:val="TableContents"/>
              <w:bidi w:val="0"/>
              <w:spacing w:before="0" w:after="0"/>
              <w:ind w:left="360" w:right="0" w:hanging="360"/>
              <w:jc w:val="left"/>
              <w:rPr>
                <w:caps w:val="false"/>
                <w:smallCaps w:val="false"/>
              </w:rPr>
            </w:pPr>
            <w:r>
              <w:rPr>
                <w:caps w:val="false"/>
                <w:smallCaps w:val="false"/>
              </w:rPr>
              <w:drawing>
                <wp:inline distT="0" distB="0" distL="0" distR="0">
                  <wp:extent cx="142875" cy="104775"/>
                  <wp:effectExtent l="0" t="0" r="0" b="0"/>
                  <wp:docPr id="414"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Image167" descr=""/>
                          <pic:cNvPicPr>
                            <a:picLocks noChangeAspect="1" noChangeArrowheads="1"/>
                          </pic:cNvPicPr>
                        </pic:nvPicPr>
                        <pic:blipFill>
                          <a:blip r:embed="rId290"/>
                          <a:stretch>
                            <a:fillRect/>
                          </a:stretch>
                        </pic:blipFill>
                        <pic:spPr bwMode="auto">
                          <a:xfrm>
                            <a:off x="0" y="0"/>
                            <a:ext cx="142875" cy="104775"/>
                          </a:xfrm>
                          <a:prstGeom prst="rect">
                            <a:avLst/>
                          </a:prstGeom>
                        </pic:spPr>
                      </pic:pic>
                    </a:graphicData>
                  </a:graphic>
                </wp:inline>
              </w:drawing>
            </w:r>
            <w:r>
              <w:rPr>
                <w:caps w:val="false"/>
                <w:smallCaps w:val="false"/>
              </w:rPr>
              <w:t>  </w:t>
            </w:r>
            <w:r>
              <w:rPr>
                <w:rFonts w:ascii="Arial" w:hAnsi="Arial"/>
                <w:b w:val="false"/>
                <w:i w:val="false"/>
                <w:caps w:val="false"/>
                <w:smallCaps w:val="false"/>
                <w:sz w:val="16"/>
              </w:rPr>
              <w:t>Climate change</w:t>
            </w:r>
          </w:p>
          <w:p>
            <w:pPr>
              <w:pStyle w:val="TableContents"/>
              <w:bidi w:val="0"/>
              <w:spacing w:before="0" w:after="0"/>
              <w:ind w:left="360" w:right="0" w:hanging="360"/>
              <w:jc w:val="left"/>
              <w:rPr>
                <w:caps w:val="false"/>
                <w:smallCaps w:val="false"/>
              </w:rPr>
            </w:pPr>
            <w:r>
              <w:rPr>
                <w:caps w:val="false"/>
                <w:smallCaps w:val="false"/>
              </w:rPr>
              <w:drawing>
                <wp:inline distT="0" distB="0" distL="0" distR="0">
                  <wp:extent cx="142875" cy="104775"/>
                  <wp:effectExtent l="0" t="0" r="0" b="0"/>
                  <wp:docPr id="415"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 name="Image168" descr=""/>
                          <pic:cNvPicPr>
                            <a:picLocks noChangeAspect="1" noChangeArrowheads="1"/>
                          </pic:cNvPicPr>
                        </pic:nvPicPr>
                        <pic:blipFill>
                          <a:blip r:embed="rId291"/>
                          <a:stretch>
                            <a:fillRect/>
                          </a:stretch>
                        </pic:blipFill>
                        <pic:spPr bwMode="auto">
                          <a:xfrm>
                            <a:off x="0" y="0"/>
                            <a:ext cx="142875" cy="104775"/>
                          </a:xfrm>
                          <a:prstGeom prst="rect">
                            <a:avLst/>
                          </a:prstGeom>
                        </pic:spPr>
                      </pic:pic>
                    </a:graphicData>
                  </a:graphic>
                </wp:inline>
              </w:drawing>
            </w:r>
            <w:r>
              <w:rPr>
                <w:caps w:val="false"/>
                <w:smallCaps w:val="false"/>
              </w:rPr>
              <w:t>  </w:t>
            </w:r>
            <w:r>
              <w:rPr>
                <w:rFonts w:ascii="Arial" w:hAnsi="Arial"/>
                <w:b w:val="false"/>
                <w:i w:val="false"/>
                <w:caps w:val="false"/>
                <w:smallCaps w:val="false"/>
                <w:sz w:val="16"/>
              </w:rPr>
              <w:t>Internal and portfolio carbon footprints</w:t>
            </w:r>
          </w:p>
          <w:p>
            <w:pPr>
              <w:pStyle w:val="TableContents"/>
              <w:bidi w:val="0"/>
              <w:spacing w:before="0" w:after="0"/>
              <w:ind w:left="0" w:right="0" w:hanging="0"/>
              <w:jc w:val="left"/>
              <w:rPr>
                <w:caps w:val="false"/>
                <w:smallCaps w:val="false"/>
              </w:rPr>
            </w:pPr>
            <w:r>
              <w:rPr>
                <w:caps w:val="false"/>
                <w:smallCaps w:val="false"/>
              </w:rPr>
              <w:t> </w:t>
            </w:r>
          </w:p>
        </w:tc>
        <w:tc>
          <w:tcPr>
            <w:tcW w:w="261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Arial" w:hAnsi="Arial"/>
                <w:b/>
                <w:i w:val="false"/>
                <w:caps w:val="false"/>
                <w:smallCaps w:val="false"/>
                <w:sz w:val="16"/>
              </w:rPr>
            </w:pPr>
            <w:r>
              <w:rPr>
                <w:rFonts w:ascii="Arial" w:hAnsi="Arial"/>
                <w:b/>
                <w:i w:val="false"/>
                <w:caps w:val="false"/>
                <w:smallCaps w:val="false"/>
                <w:sz w:val="16"/>
              </w:rPr>
              <w:t xml:space="preserve">Social Vertical: </w:t>
            </w:r>
          </w:p>
          <w:p>
            <w:pPr>
              <w:pStyle w:val="TableContents"/>
              <w:bidi w:val="0"/>
              <w:spacing w:before="0" w:after="0"/>
              <w:ind w:left="360" w:right="0" w:hanging="360"/>
              <w:jc w:val="left"/>
              <w:rPr>
                <w:caps w:val="false"/>
                <w:smallCaps w:val="false"/>
              </w:rPr>
            </w:pPr>
            <w:r>
              <w:rPr>
                <w:caps w:val="false"/>
                <w:smallCaps w:val="false"/>
              </w:rPr>
              <w:drawing>
                <wp:inline distT="0" distB="0" distL="0" distR="0">
                  <wp:extent cx="142875" cy="104775"/>
                  <wp:effectExtent l="0" t="0" r="0" b="0"/>
                  <wp:docPr id="416"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Image169" descr=""/>
                          <pic:cNvPicPr>
                            <a:picLocks noChangeAspect="1" noChangeArrowheads="1"/>
                          </pic:cNvPicPr>
                        </pic:nvPicPr>
                        <pic:blipFill>
                          <a:blip r:embed="rId292"/>
                          <a:stretch>
                            <a:fillRect/>
                          </a:stretch>
                        </pic:blipFill>
                        <pic:spPr bwMode="auto">
                          <a:xfrm>
                            <a:off x="0" y="0"/>
                            <a:ext cx="142875" cy="104775"/>
                          </a:xfrm>
                          <a:prstGeom prst="rect">
                            <a:avLst/>
                          </a:prstGeom>
                        </pic:spPr>
                      </pic:pic>
                    </a:graphicData>
                  </a:graphic>
                </wp:inline>
              </w:drawing>
            </w:r>
            <w:r>
              <w:rPr>
                <w:caps w:val="false"/>
                <w:smallCaps w:val="false"/>
              </w:rPr>
              <w:t>  </w:t>
            </w:r>
            <w:r>
              <w:rPr>
                <w:rFonts w:ascii="Arial" w:hAnsi="Arial"/>
                <w:b w:val="false"/>
                <w:i w:val="false"/>
                <w:caps w:val="false"/>
                <w:smallCaps w:val="false"/>
                <w:sz w:val="16"/>
              </w:rPr>
              <w:t xml:space="preserve">Reflection and alignment on where we (the Group and its companies) find ourselves on our sustainability journey and social benchmarks </w:t>
            </w:r>
          </w:p>
          <w:p>
            <w:pPr>
              <w:pStyle w:val="TableContents"/>
              <w:bidi w:val="0"/>
              <w:spacing w:before="0" w:after="0"/>
              <w:ind w:left="360" w:right="0" w:hanging="360"/>
              <w:jc w:val="left"/>
              <w:rPr>
                <w:caps w:val="false"/>
                <w:smallCaps w:val="false"/>
              </w:rPr>
            </w:pPr>
            <w:r>
              <w:rPr>
                <w:caps w:val="false"/>
                <w:smallCaps w:val="false"/>
              </w:rPr>
              <w:drawing>
                <wp:inline distT="0" distB="0" distL="0" distR="0">
                  <wp:extent cx="142875" cy="104775"/>
                  <wp:effectExtent l="0" t="0" r="0" b="0"/>
                  <wp:docPr id="417"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Image170" descr=""/>
                          <pic:cNvPicPr>
                            <a:picLocks noChangeAspect="1" noChangeArrowheads="1"/>
                          </pic:cNvPicPr>
                        </pic:nvPicPr>
                        <pic:blipFill>
                          <a:blip r:embed="rId293"/>
                          <a:stretch>
                            <a:fillRect/>
                          </a:stretch>
                        </pic:blipFill>
                        <pic:spPr bwMode="auto">
                          <a:xfrm>
                            <a:off x="0" y="0"/>
                            <a:ext cx="142875" cy="104775"/>
                          </a:xfrm>
                          <a:prstGeom prst="rect">
                            <a:avLst/>
                          </a:prstGeom>
                        </pic:spPr>
                      </pic:pic>
                    </a:graphicData>
                  </a:graphic>
                </wp:inline>
              </w:drawing>
            </w:r>
            <w:r>
              <w:rPr>
                <w:caps w:val="false"/>
                <w:smallCaps w:val="false"/>
              </w:rPr>
              <w:t>  </w:t>
            </w:r>
            <w:r>
              <w:rPr>
                <w:rFonts w:ascii="Arial" w:hAnsi="Arial"/>
                <w:b w:val="false"/>
                <w:i w:val="false"/>
                <w:caps w:val="false"/>
                <w:smallCaps w:val="false"/>
                <w:sz w:val="16"/>
              </w:rPr>
              <w:t xml:space="preserve">Systems to integrate sustainability </w:t>
            </w:r>
          </w:p>
          <w:p>
            <w:pPr>
              <w:pStyle w:val="TableContents"/>
              <w:bidi w:val="0"/>
              <w:spacing w:before="0" w:after="0"/>
              <w:ind w:left="360" w:right="0" w:hanging="360"/>
              <w:jc w:val="left"/>
              <w:rPr>
                <w:caps w:val="false"/>
                <w:smallCaps w:val="false"/>
              </w:rPr>
            </w:pPr>
            <w:r>
              <w:rPr>
                <w:caps w:val="false"/>
                <w:smallCaps w:val="false"/>
              </w:rPr>
              <w:drawing>
                <wp:inline distT="0" distB="0" distL="0" distR="0">
                  <wp:extent cx="142875" cy="104775"/>
                  <wp:effectExtent l="0" t="0" r="0" b="0"/>
                  <wp:docPr id="418"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171" descr=""/>
                          <pic:cNvPicPr>
                            <a:picLocks noChangeAspect="1" noChangeArrowheads="1"/>
                          </pic:cNvPicPr>
                        </pic:nvPicPr>
                        <pic:blipFill>
                          <a:blip r:embed="rId294"/>
                          <a:stretch>
                            <a:fillRect/>
                          </a:stretch>
                        </pic:blipFill>
                        <pic:spPr bwMode="auto">
                          <a:xfrm>
                            <a:off x="0" y="0"/>
                            <a:ext cx="142875" cy="104775"/>
                          </a:xfrm>
                          <a:prstGeom prst="rect">
                            <a:avLst/>
                          </a:prstGeom>
                        </pic:spPr>
                      </pic:pic>
                    </a:graphicData>
                  </a:graphic>
                </wp:inline>
              </w:drawing>
            </w:r>
            <w:r>
              <w:rPr>
                <w:caps w:val="false"/>
                <w:smallCaps w:val="false"/>
              </w:rPr>
              <w:t>  </w:t>
            </w:r>
            <w:r>
              <w:rPr>
                <w:rFonts w:ascii="Arial" w:hAnsi="Arial"/>
                <w:b w:val="false"/>
                <w:i w:val="false"/>
                <w:caps w:val="false"/>
                <w:smallCaps w:val="false"/>
                <w:sz w:val="16"/>
              </w:rPr>
              <w:t xml:space="preserve">12 ODS standards impact steps, how business impact is integrated, metrics, and tools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b/>
                <w:i w:val="false"/>
                <w:caps w:val="false"/>
                <w:smallCaps w:val="false"/>
                <w:sz w:val="16"/>
              </w:rPr>
            </w:pPr>
            <w:r>
              <w:rPr>
                <w:rFonts w:ascii="Arial" w:hAnsi="Arial"/>
                <w:b/>
                <w:i w:val="false"/>
                <w:caps w:val="false"/>
                <w:smallCaps w:val="false"/>
                <w:sz w:val="16"/>
              </w:rPr>
              <w:t xml:space="preserve">Environmental Vertical: </w:t>
            </w:r>
          </w:p>
          <w:p>
            <w:pPr>
              <w:pStyle w:val="TableContents"/>
              <w:bidi w:val="0"/>
              <w:spacing w:before="0" w:after="0"/>
              <w:ind w:left="360" w:right="0" w:hanging="360"/>
              <w:jc w:val="left"/>
              <w:rPr>
                <w:caps w:val="false"/>
                <w:smallCaps w:val="false"/>
              </w:rPr>
            </w:pPr>
            <w:r>
              <w:rPr>
                <w:caps w:val="false"/>
                <w:smallCaps w:val="false"/>
              </w:rPr>
              <w:drawing>
                <wp:inline distT="0" distB="0" distL="0" distR="0">
                  <wp:extent cx="142875" cy="104775"/>
                  <wp:effectExtent l="0" t="0" r="0" b="0"/>
                  <wp:docPr id="419"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Image172" descr=""/>
                          <pic:cNvPicPr>
                            <a:picLocks noChangeAspect="1" noChangeArrowheads="1"/>
                          </pic:cNvPicPr>
                        </pic:nvPicPr>
                        <pic:blipFill>
                          <a:blip r:embed="rId295"/>
                          <a:stretch>
                            <a:fillRect/>
                          </a:stretch>
                        </pic:blipFill>
                        <pic:spPr bwMode="auto">
                          <a:xfrm>
                            <a:off x="0" y="0"/>
                            <a:ext cx="142875" cy="104775"/>
                          </a:xfrm>
                          <a:prstGeom prst="rect">
                            <a:avLst/>
                          </a:prstGeom>
                        </pic:spPr>
                      </pic:pic>
                    </a:graphicData>
                  </a:graphic>
                </wp:inline>
              </w:drawing>
            </w:r>
            <w:r>
              <w:rPr>
                <w:caps w:val="false"/>
                <w:smallCaps w:val="false"/>
              </w:rPr>
              <w:t>  </w:t>
            </w:r>
            <w:r>
              <w:rPr>
                <w:rFonts w:ascii="Arial" w:hAnsi="Arial"/>
                <w:b w:val="false"/>
                <w:i w:val="false"/>
                <w:caps w:val="false"/>
                <w:smallCaps w:val="false"/>
                <w:sz w:val="16"/>
              </w:rPr>
              <w:t xml:space="preserve">Update on global and local trends </w:t>
            </w:r>
          </w:p>
          <w:p>
            <w:pPr>
              <w:pStyle w:val="TableContents"/>
              <w:bidi w:val="0"/>
              <w:spacing w:before="0" w:after="0"/>
              <w:ind w:left="360" w:right="0" w:hanging="360"/>
              <w:jc w:val="left"/>
              <w:rPr>
                <w:caps w:val="false"/>
                <w:smallCaps w:val="false"/>
              </w:rPr>
            </w:pPr>
            <w:r>
              <w:rPr>
                <w:caps w:val="false"/>
                <w:smallCaps w:val="false"/>
              </w:rPr>
              <w:drawing>
                <wp:inline distT="0" distB="0" distL="0" distR="0">
                  <wp:extent cx="142875" cy="104775"/>
                  <wp:effectExtent l="0" t="0" r="0" b="0"/>
                  <wp:docPr id="420"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Image173" descr=""/>
                          <pic:cNvPicPr>
                            <a:picLocks noChangeAspect="1" noChangeArrowheads="1"/>
                          </pic:cNvPicPr>
                        </pic:nvPicPr>
                        <pic:blipFill>
                          <a:blip r:embed="rId296"/>
                          <a:stretch>
                            <a:fillRect/>
                          </a:stretch>
                        </pic:blipFill>
                        <pic:spPr bwMode="auto">
                          <a:xfrm>
                            <a:off x="0" y="0"/>
                            <a:ext cx="142875" cy="104775"/>
                          </a:xfrm>
                          <a:prstGeom prst="rect">
                            <a:avLst/>
                          </a:prstGeom>
                        </pic:spPr>
                      </pic:pic>
                    </a:graphicData>
                  </a:graphic>
                </wp:inline>
              </w:drawing>
            </w:r>
            <w:r>
              <w:rPr>
                <w:caps w:val="false"/>
                <w:smallCaps w:val="false"/>
              </w:rPr>
              <w:t>  </w:t>
            </w:r>
            <w:r>
              <w:rPr>
                <w:rFonts w:ascii="Arial" w:hAnsi="Arial"/>
                <w:b w:val="false"/>
                <w:i w:val="false"/>
                <w:caps w:val="false"/>
                <w:smallCaps w:val="false"/>
                <w:sz w:val="16"/>
              </w:rPr>
              <w:t xml:space="preserve">Reporting standards, nature (TNFD), business opportunities, and reflection on the priority and impact of new environmental issues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b/>
                <w:i w:val="false"/>
                <w:caps w:val="false"/>
                <w:smallCaps w:val="false"/>
                <w:sz w:val="16"/>
              </w:rPr>
            </w:pPr>
            <w:r>
              <w:rPr>
                <w:rFonts w:ascii="Arial" w:hAnsi="Arial"/>
                <w:b/>
                <w:i w:val="false"/>
                <w:caps w:val="false"/>
                <w:smallCaps w:val="false"/>
                <w:sz w:val="16"/>
              </w:rPr>
              <w:t xml:space="preserve">Transversal: </w:t>
            </w:r>
          </w:p>
          <w:p>
            <w:pPr>
              <w:pStyle w:val="TableContents"/>
              <w:bidi w:val="0"/>
              <w:spacing w:before="0" w:after="0"/>
              <w:ind w:left="360" w:right="0" w:hanging="360"/>
              <w:jc w:val="left"/>
              <w:rPr>
                <w:caps w:val="false"/>
                <w:smallCaps w:val="false"/>
              </w:rPr>
            </w:pPr>
            <w:r>
              <w:rPr>
                <w:caps w:val="false"/>
                <w:smallCaps w:val="false"/>
              </w:rPr>
              <w:drawing>
                <wp:inline distT="0" distB="0" distL="0" distR="0">
                  <wp:extent cx="161925" cy="123825"/>
                  <wp:effectExtent l="0" t="0" r="0" b="0"/>
                  <wp:docPr id="421"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Image174" descr=""/>
                          <pic:cNvPicPr>
                            <a:picLocks noChangeAspect="1" noChangeArrowheads="1"/>
                          </pic:cNvPicPr>
                        </pic:nvPicPr>
                        <pic:blipFill>
                          <a:blip r:embed="rId297"/>
                          <a:stretch>
                            <a:fillRect/>
                          </a:stretch>
                        </pic:blipFill>
                        <pic:spPr bwMode="auto">
                          <a:xfrm>
                            <a:off x="0" y="0"/>
                            <a:ext cx="161925" cy="123825"/>
                          </a:xfrm>
                          <a:prstGeom prst="rect">
                            <a:avLst/>
                          </a:prstGeom>
                        </pic:spPr>
                      </pic:pic>
                    </a:graphicData>
                  </a:graphic>
                </wp:inline>
              </w:drawing>
            </w:r>
            <w:r>
              <w:rPr>
                <w:caps w:val="false"/>
                <w:smallCaps w:val="false"/>
              </w:rPr>
              <w:t>  </w:t>
            </w:r>
            <w:r>
              <w:rPr>
                <w:rFonts w:ascii="Arial" w:hAnsi="Arial"/>
                <w:b w:val="false"/>
                <w:i w:val="false"/>
                <w:caps w:val="false"/>
                <w:smallCaps w:val="false"/>
                <w:sz w:val="16"/>
              </w:rPr>
              <w:t xml:space="preserve">The sustainability imperative </w:t>
            </w:r>
          </w:p>
          <w:p>
            <w:pPr>
              <w:pStyle w:val="TableContents"/>
              <w:bidi w:val="0"/>
              <w:spacing w:before="0" w:after="0"/>
              <w:ind w:left="360" w:right="0" w:hanging="360"/>
              <w:jc w:val="left"/>
              <w:rPr>
                <w:caps w:val="false"/>
                <w:smallCaps w:val="false"/>
              </w:rPr>
            </w:pPr>
            <w:r>
              <w:rPr>
                <w:caps w:val="false"/>
                <w:smallCaps w:val="false"/>
              </w:rPr>
              <w:drawing>
                <wp:inline distT="0" distB="0" distL="0" distR="0">
                  <wp:extent cx="142875" cy="104775"/>
                  <wp:effectExtent l="0" t="0" r="0" b="0"/>
                  <wp:docPr id="422"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175" descr=""/>
                          <pic:cNvPicPr>
                            <a:picLocks noChangeAspect="1" noChangeArrowheads="1"/>
                          </pic:cNvPicPr>
                        </pic:nvPicPr>
                        <pic:blipFill>
                          <a:blip r:embed="rId298"/>
                          <a:stretch>
                            <a:fillRect/>
                          </a:stretch>
                        </pic:blipFill>
                        <pic:spPr bwMode="auto">
                          <a:xfrm>
                            <a:off x="0" y="0"/>
                            <a:ext cx="142875" cy="104775"/>
                          </a:xfrm>
                          <a:prstGeom prst="rect">
                            <a:avLst/>
                          </a:prstGeom>
                        </pic:spPr>
                      </pic:pic>
                    </a:graphicData>
                  </a:graphic>
                </wp:inline>
              </w:drawing>
            </w:r>
            <w:r>
              <w:rPr>
                <w:caps w:val="false"/>
                <w:smallCaps w:val="false"/>
              </w:rPr>
              <w:t>  </w:t>
            </w:r>
            <w:r>
              <w:rPr>
                <w:rFonts w:ascii="Arial" w:hAnsi="Arial"/>
                <w:b w:val="false"/>
                <w:i w:val="false"/>
                <w:caps w:val="false"/>
                <w:smallCaps w:val="false"/>
                <w:sz w:val="16"/>
              </w:rPr>
              <w:t>Climate change</w:t>
            </w:r>
          </w:p>
          <w:p>
            <w:pPr>
              <w:pStyle w:val="TableContents"/>
              <w:bidi w:val="0"/>
              <w:spacing w:before="0" w:after="0"/>
              <w:ind w:left="360" w:right="0" w:hanging="360"/>
              <w:jc w:val="left"/>
              <w:rPr>
                <w:caps w:val="false"/>
                <w:smallCaps w:val="false"/>
              </w:rPr>
            </w:pPr>
            <w:r>
              <w:rPr>
                <w:caps w:val="false"/>
                <w:smallCaps w:val="false"/>
              </w:rPr>
              <w:drawing>
                <wp:inline distT="0" distB="0" distL="0" distR="0">
                  <wp:extent cx="142875" cy="104775"/>
                  <wp:effectExtent l="0" t="0" r="0" b="0"/>
                  <wp:docPr id="423"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Image176" descr=""/>
                          <pic:cNvPicPr>
                            <a:picLocks noChangeAspect="1" noChangeArrowheads="1"/>
                          </pic:cNvPicPr>
                        </pic:nvPicPr>
                        <pic:blipFill>
                          <a:blip r:embed="rId299"/>
                          <a:stretch>
                            <a:fillRect/>
                          </a:stretch>
                        </pic:blipFill>
                        <pic:spPr bwMode="auto">
                          <a:xfrm>
                            <a:off x="0" y="0"/>
                            <a:ext cx="142875" cy="104775"/>
                          </a:xfrm>
                          <a:prstGeom prst="rect">
                            <a:avLst/>
                          </a:prstGeom>
                        </pic:spPr>
                      </pic:pic>
                    </a:graphicData>
                  </a:graphic>
                </wp:inline>
              </w:drawing>
            </w:r>
            <w:r>
              <w:rPr>
                <w:caps w:val="false"/>
                <w:smallCaps w:val="false"/>
              </w:rPr>
              <w:t>  </w:t>
            </w:r>
            <w:r>
              <w:rPr>
                <w:rFonts w:ascii="Arial" w:hAnsi="Arial"/>
                <w:b w:val="false"/>
                <w:i w:val="false"/>
                <w:caps w:val="false"/>
                <w:smallCaps w:val="false"/>
                <w:sz w:val="16"/>
              </w:rPr>
              <w:t>Applying sustainability to financial institutions</w:t>
            </w:r>
          </w:p>
        </w:tc>
        <w:tc>
          <w:tcPr>
            <w:tcW w:w="162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Arial" w:hAnsi="Arial"/>
                <w:b/>
                <w:i w:val="false"/>
                <w:caps w:val="false"/>
                <w:smallCaps w:val="false"/>
                <w:sz w:val="16"/>
              </w:rPr>
            </w:pPr>
            <w:r>
              <w:rPr>
                <w:rFonts w:ascii="Arial" w:hAnsi="Arial"/>
                <w:b/>
                <w:i w:val="false"/>
                <w:caps w:val="false"/>
                <w:smallCaps w:val="false"/>
                <w:sz w:val="16"/>
              </w:rPr>
              <w:t xml:space="preserve">BCP and BCP Bolivia loan analysis: </w:t>
            </w:r>
          </w:p>
          <w:p>
            <w:pPr>
              <w:pStyle w:val="TableContents"/>
              <w:bidi w:val="0"/>
              <w:spacing w:before="0" w:after="0"/>
              <w:ind w:left="360" w:right="0" w:hanging="360"/>
              <w:jc w:val="left"/>
              <w:rPr>
                <w:caps w:val="false"/>
                <w:smallCaps w:val="false"/>
              </w:rPr>
            </w:pPr>
            <w:r>
              <w:rPr>
                <w:caps w:val="false"/>
                <w:smallCaps w:val="false"/>
              </w:rPr>
              <w:drawing>
                <wp:inline distT="0" distB="0" distL="0" distR="0">
                  <wp:extent cx="142875" cy="104775"/>
                  <wp:effectExtent l="0" t="0" r="0" b="0"/>
                  <wp:docPr id="424"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Image177" descr=""/>
                          <pic:cNvPicPr>
                            <a:picLocks noChangeAspect="1" noChangeArrowheads="1"/>
                          </pic:cNvPicPr>
                        </pic:nvPicPr>
                        <pic:blipFill>
                          <a:blip r:embed="rId300"/>
                          <a:stretch>
                            <a:fillRect/>
                          </a:stretch>
                        </pic:blipFill>
                        <pic:spPr bwMode="auto">
                          <a:xfrm>
                            <a:off x="0" y="0"/>
                            <a:ext cx="142875" cy="104775"/>
                          </a:xfrm>
                          <a:prstGeom prst="rect">
                            <a:avLst/>
                          </a:prstGeom>
                        </pic:spPr>
                      </pic:pic>
                    </a:graphicData>
                  </a:graphic>
                </wp:inline>
              </w:drawing>
            </w:r>
            <w:r>
              <w:rPr>
                <w:caps w:val="false"/>
                <w:smallCaps w:val="false"/>
              </w:rPr>
              <w:t>  </w:t>
            </w:r>
            <w:r>
              <w:rPr>
                <w:rFonts w:ascii="Arial" w:hAnsi="Arial"/>
                <w:b w:val="false"/>
                <w:i w:val="false"/>
                <w:caps w:val="false"/>
                <w:smallCaps w:val="false"/>
                <w:sz w:val="16"/>
              </w:rPr>
              <w:t xml:space="preserve">Sectoral ESG risks </w:t>
            </w:r>
          </w:p>
          <w:p>
            <w:pPr>
              <w:pStyle w:val="TableContents"/>
              <w:bidi w:val="0"/>
              <w:spacing w:before="0" w:after="0"/>
              <w:ind w:left="360" w:right="0" w:hanging="360"/>
              <w:jc w:val="left"/>
              <w:rPr>
                <w:caps w:val="false"/>
                <w:smallCaps w:val="false"/>
              </w:rPr>
            </w:pPr>
            <w:r>
              <w:rPr>
                <w:caps w:val="false"/>
                <w:smallCaps w:val="false"/>
              </w:rPr>
              <w:drawing>
                <wp:inline distT="0" distB="0" distL="0" distR="0">
                  <wp:extent cx="142875" cy="104775"/>
                  <wp:effectExtent l="0" t="0" r="0" b="0"/>
                  <wp:docPr id="425"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Image178" descr=""/>
                          <pic:cNvPicPr>
                            <a:picLocks noChangeAspect="1" noChangeArrowheads="1"/>
                          </pic:cNvPicPr>
                        </pic:nvPicPr>
                        <pic:blipFill>
                          <a:blip r:embed="rId301"/>
                          <a:stretch>
                            <a:fillRect/>
                          </a:stretch>
                        </pic:blipFill>
                        <pic:spPr bwMode="auto">
                          <a:xfrm>
                            <a:off x="0" y="0"/>
                            <a:ext cx="142875" cy="104775"/>
                          </a:xfrm>
                          <a:prstGeom prst="rect">
                            <a:avLst/>
                          </a:prstGeom>
                        </pic:spPr>
                      </pic:pic>
                    </a:graphicData>
                  </a:graphic>
                </wp:inline>
              </w:drawing>
            </w:r>
            <w:r>
              <w:rPr>
                <w:caps w:val="false"/>
                <w:smallCaps w:val="false"/>
              </w:rPr>
              <w:t>  </w:t>
            </w:r>
            <w:r>
              <w:rPr>
                <w:rFonts w:ascii="Arial" w:hAnsi="Arial"/>
                <w:b w:val="false"/>
                <w:i w:val="false"/>
                <w:caps w:val="false"/>
                <w:smallCaps w:val="false"/>
                <w:sz w:val="16"/>
              </w:rPr>
              <w:t xml:space="preserve">PCAF methodology for measuring the loan portfolio footprint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b/>
                <w:i w:val="false"/>
                <w:caps w:val="false"/>
                <w:smallCaps w:val="false"/>
                <w:sz w:val="16"/>
              </w:rPr>
            </w:pPr>
            <w:r>
              <w:rPr>
                <w:rFonts w:ascii="Arial" w:hAnsi="Arial"/>
                <w:b/>
                <w:i w:val="false"/>
                <w:caps w:val="false"/>
                <w:smallCaps w:val="false"/>
                <w:sz w:val="16"/>
              </w:rPr>
              <w:t xml:space="preserve">Investment teams: </w:t>
            </w:r>
          </w:p>
          <w:p>
            <w:pPr>
              <w:pStyle w:val="TableContents"/>
              <w:bidi w:val="0"/>
              <w:spacing w:before="0" w:after="0"/>
              <w:ind w:left="360" w:right="0" w:hanging="360"/>
              <w:jc w:val="left"/>
              <w:rPr>
                <w:caps w:val="false"/>
                <w:smallCaps w:val="false"/>
              </w:rPr>
            </w:pPr>
            <w:r>
              <w:rPr>
                <w:caps w:val="false"/>
                <w:smallCaps w:val="false"/>
              </w:rPr>
              <w:drawing>
                <wp:inline distT="0" distB="0" distL="0" distR="0">
                  <wp:extent cx="142875" cy="104775"/>
                  <wp:effectExtent l="0" t="0" r="0" b="0"/>
                  <wp:docPr id="426"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179" descr=""/>
                          <pic:cNvPicPr>
                            <a:picLocks noChangeAspect="1" noChangeArrowheads="1"/>
                          </pic:cNvPicPr>
                        </pic:nvPicPr>
                        <pic:blipFill>
                          <a:blip r:embed="rId302"/>
                          <a:stretch>
                            <a:fillRect/>
                          </a:stretch>
                        </pic:blipFill>
                        <pic:spPr bwMode="auto">
                          <a:xfrm>
                            <a:off x="0" y="0"/>
                            <a:ext cx="142875" cy="104775"/>
                          </a:xfrm>
                          <a:prstGeom prst="rect">
                            <a:avLst/>
                          </a:prstGeom>
                        </pic:spPr>
                      </pic:pic>
                    </a:graphicData>
                  </a:graphic>
                </wp:inline>
              </w:drawing>
            </w:r>
            <w:r>
              <w:rPr>
                <w:caps w:val="false"/>
                <w:smallCaps w:val="false"/>
              </w:rPr>
              <w:t>  </w:t>
            </w:r>
            <w:r>
              <w:rPr>
                <w:rFonts w:ascii="Arial" w:hAnsi="Arial"/>
                <w:b w:val="false"/>
                <w:i w:val="false"/>
                <w:caps w:val="false"/>
                <w:smallCaps w:val="false"/>
                <w:sz w:val="16"/>
              </w:rPr>
              <w:t xml:space="preserve">PCAF methodology for measuring the investment portfolio footprint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b/>
                <w:i w:val="false"/>
                <w:caps w:val="false"/>
                <w:smallCaps w:val="false"/>
                <w:sz w:val="16"/>
              </w:rPr>
            </w:pPr>
            <w:r>
              <w:rPr>
                <w:rFonts w:ascii="Arial" w:hAnsi="Arial"/>
                <w:b/>
                <w:i w:val="false"/>
                <w:caps w:val="false"/>
                <w:smallCaps w:val="false"/>
                <w:sz w:val="16"/>
              </w:rPr>
              <w:t xml:space="preserve">Subsidiary innovation teams: </w:t>
            </w:r>
          </w:p>
          <w:p>
            <w:pPr>
              <w:pStyle w:val="TableContents"/>
              <w:bidi w:val="0"/>
              <w:spacing w:before="0" w:after="0"/>
              <w:ind w:left="360" w:right="0" w:hanging="360"/>
              <w:jc w:val="left"/>
              <w:rPr>
                <w:caps w:val="false"/>
                <w:smallCaps w:val="false"/>
              </w:rPr>
            </w:pPr>
            <w:r>
              <w:rPr>
                <w:caps w:val="false"/>
                <w:smallCaps w:val="false"/>
              </w:rPr>
              <w:drawing>
                <wp:inline distT="0" distB="0" distL="0" distR="0">
                  <wp:extent cx="142875" cy="104775"/>
                  <wp:effectExtent l="0" t="0" r="0" b="0"/>
                  <wp:docPr id="427"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 name="Image180" descr=""/>
                          <pic:cNvPicPr>
                            <a:picLocks noChangeAspect="1" noChangeArrowheads="1"/>
                          </pic:cNvPicPr>
                        </pic:nvPicPr>
                        <pic:blipFill>
                          <a:blip r:embed="rId303"/>
                          <a:stretch>
                            <a:fillRect/>
                          </a:stretch>
                        </pic:blipFill>
                        <pic:spPr bwMode="auto">
                          <a:xfrm>
                            <a:off x="0" y="0"/>
                            <a:ext cx="142875" cy="104775"/>
                          </a:xfrm>
                          <a:prstGeom prst="rect">
                            <a:avLst/>
                          </a:prstGeom>
                        </pic:spPr>
                      </pic:pic>
                    </a:graphicData>
                  </a:graphic>
                </wp:inline>
              </w:drawing>
            </w:r>
            <w:r>
              <w:rPr>
                <w:caps w:val="false"/>
                <w:smallCaps w:val="false"/>
              </w:rPr>
              <w:t>  </w:t>
            </w:r>
            <w:r>
              <w:rPr>
                <w:rFonts w:ascii="Arial" w:hAnsi="Arial"/>
                <w:b w:val="false"/>
                <w:i w:val="false"/>
                <w:caps w:val="false"/>
                <w:smallCaps w:val="false"/>
                <w:sz w:val="16"/>
              </w:rPr>
              <w:t xml:space="preserve">Sustainability strategy and case history presentation </w:t>
            </w:r>
          </w:p>
          <w:p>
            <w:pPr>
              <w:pStyle w:val="TableContents"/>
              <w:bidi w:val="0"/>
              <w:spacing w:before="0" w:after="0"/>
              <w:ind w:left="360" w:right="0" w:hanging="360"/>
              <w:jc w:val="left"/>
              <w:rPr>
                <w:caps w:val="false"/>
                <w:smallCaps w:val="false"/>
              </w:rPr>
            </w:pPr>
            <w:r>
              <w:rPr>
                <w:caps w:val="false"/>
                <w:smallCaps w:val="false"/>
              </w:rPr>
              <w:drawing>
                <wp:inline distT="0" distB="0" distL="0" distR="0">
                  <wp:extent cx="142875" cy="104775"/>
                  <wp:effectExtent l="0" t="0" r="0" b="0"/>
                  <wp:docPr id="428"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Image181" descr=""/>
                          <pic:cNvPicPr>
                            <a:picLocks noChangeAspect="1" noChangeArrowheads="1"/>
                          </pic:cNvPicPr>
                        </pic:nvPicPr>
                        <pic:blipFill>
                          <a:blip r:embed="rId304"/>
                          <a:stretch>
                            <a:fillRect/>
                          </a:stretch>
                        </pic:blipFill>
                        <pic:spPr bwMode="auto">
                          <a:xfrm>
                            <a:off x="0" y="0"/>
                            <a:ext cx="142875" cy="104775"/>
                          </a:xfrm>
                          <a:prstGeom prst="rect">
                            <a:avLst/>
                          </a:prstGeom>
                        </pic:spPr>
                      </pic:pic>
                    </a:graphicData>
                  </a:graphic>
                </wp:inline>
              </w:drawing>
            </w:r>
            <w:r>
              <w:rPr>
                <w:caps w:val="false"/>
                <w:smallCaps w:val="false"/>
              </w:rPr>
              <w:t>  </w:t>
            </w:r>
            <w:r>
              <w:rPr>
                <w:rFonts w:ascii="Arial" w:hAnsi="Arial"/>
                <w:b w:val="false"/>
                <w:i w:val="false"/>
                <w:caps w:val="false"/>
                <w:smallCaps w:val="false"/>
                <w:sz w:val="16"/>
              </w:rPr>
              <w:t xml:space="preserve">Sustainability tools co-creation for solutions design </w:t>
            </w:r>
          </w:p>
          <w:p>
            <w:pPr>
              <w:pStyle w:val="TableContents"/>
              <w:bidi w:val="0"/>
              <w:spacing w:before="0" w:after="0"/>
              <w:ind w:left="0" w:right="0" w:hanging="0"/>
              <w:jc w:val="left"/>
              <w:rPr>
                <w:caps w:val="false"/>
                <w:smallCaps w:val="false"/>
              </w:rPr>
            </w:pPr>
            <w:r>
              <w:rPr>
                <w:caps w:val="false"/>
                <w:smallCaps w:val="false"/>
              </w:rPr>
              <w:t> </w:t>
            </w:r>
          </w:p>
        </w:tc>
        <w:tc>
          <w:tcPr>
            <w:tcW w:w="321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360" w:right="0" w:hanging="360"/>
              <w:jc w:val="left"/>
              <w:rPr>
                <w:caps w:val="false"/>
                <w:smallCaps w:val="false"/>
              </w:rPr>
            </w:pPr>
            <w:r>
              <w:rPr>
                <w:caps w:val="false"/>
                <w:smallCaps w:val="false"/>
              </w:rPr>
              <w:drawing>
                <wp:inline distT="0" distB="0" distL="0" distR="0">
                  <wp:extent cx="142875" cy="104775"/>
                  <wp:effectExtent l="0" t="0" r="0" b="0"/>
                  <wp:docPr id="429"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Image182" descr=""/>
                          <pic:cNvPicPr>
                            <a:picLocks noChangeAspect="1" noChangeArrowheads="1"/>
                          </pic:cNvPicPr>
                        </pic:nvPicPr>
                        <pic:blipFill>
                          <a:blip r:embed="rId305"/>
                          <a:stretch>
                            <a:fillRect/>
                          </a:stretch>
                        </pic:blipFill>
                        <pic:spPr bwMode="auto">
                          <a:xfrm>
                            <a:off x="0" y="0"/>
                            <a:ext cx="142875" cy="104775"/>
                          </a:xfrm>
                          <a:prstGeom prst="rect">
                            <a:avLst/>
                          </a:prstGeom>
                        </pic:spPr>
                      </pic:pic>
                    </a:graphicData>
                  </a:graphic>
                </wp:inline>
              </w:drawing>
            </w:r>
            <w:r>
              <w:rPr>
                <w:caps w:val="false"/>
                <w:smallCaps w:val="false"/>
              </w:rPr>
              <w:t>  </w:t>
            </w:r>
            <w:r>
              <w:rPr>
                <w:rFonts w:ascii="Arial" w:hAnsi="Arial"/>
                <w:b/>
                <w:i w:val="false"/>
                <w:caps w:val="false"/>
                <w:smallCaps w:val="false"/>
                <w:sz w:val="16"/>
              </w:rPr>
              <w:t xml:space="preserve">Pacífico Seguros – Leaders of personal, life, vehicle, and bancaseguros business lines: </w:t>
            </w:r>
            <w:r>
              <w:rPr>
                <w:rFonts w:ascii="Arial" w:hAnsi="Arial"/>
                <w:b w:val="false"/>
                <w:i w:val="false"/>
                <w:caps w:val="false"/>
                <w:smallCaps w:val="false"/>
                <w:sz w:val="16"/>
              </w:rPr>
              <w:t xml:space="preserve">How to find insurance business opportunities taking account of sustainability? Success stories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drawing>
                <wp:inline distT="0" distB="0" distL="0" distR="0">
                  <wp:extent cx="142875" cy="104775"/>
                  <wp:effectExtent l="0" t="0" r="0" b="0"/>
                  <wp:docPr id="430"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Image183" descr=""/>
                          <pic:cNvPicPr>
                            <a:picLocks noChangeAspect="1" noChangeArrowheads="1"/>
                          </pic:cNvPicPr>
                        </pic:nvPicPr>
                        <pic:blipFill>
                          <a:blip r:embed="rId306"/>
                          <a:stretch>
                            <a:fillRect/>
                          </a:stretch>
                        </pic:blipFill>
                        <pic:spPr bwMode="auto">
                          <a:xfrm>
                            <a:off x="0" y="0"/>
                            <a:ext cx="142875" cy="104775"/>
                          </a:xfrm>
                          <a:prstGeom prst="rect">
                            <a:avLst/>
                          </a:prstGeom>
                        </pic:spPr>
                      </pic:pic>
                    </a:graphicData>
                  </a:graphic>
                </wp:inline>
              </w:drawing>
            </w:r>
            <w:r>
              <w:rPr>
                <w:caps w:val="false"/>
                <w:smallCaps w:val="false"/>
              </w:rPr>
              <w:t>  </w:t>
            </w:r>
            <w:r>
              <w:rPr>
                <w:rFonts w:ascii="Arial" w:hAnsi="Arial"/>
                <w:b/>
                <w:i w:val="false"/>
                <w:caps w:val="false"/>
                <w:smallCaps w:val="false"/>
                <w:sz w:val="16"/>
              </w:rPr>
              <w:t>Credicorp Capital (2 training sessions):</w:t>
            </w:r>
          </w:p>
          <w:p>
            <w:pPr>
              <w:pStyle w:val="TableContents"/>
              <w:bidi w:val="0"/>
              <w:spacing w:before="0" w:after="0"/>
              <w:ind w:left="720" w:right="0" w:hanging="360"/>
              <w:jc w:val="left"/>
              <w:rPr>
                <w:caps w:val="false"/>
                <w:smallCaps w:val="false"/>
              </w:rPr>
            </w:pPr>
            <w:r>
              <w:rPr>
                <w:caps w:val="false"/>
                <w:smallCaps w:val="false"/>
              </w:rPr>
              <w:t>○     </w:t>
            </w:r>
            <w:r>
              <w:rPr>
                <w:rFonts w:ascii="Arial" w:hAnsi="Arial"/>
                <w:b w:val="false"/>
                <w:i w:val="false"/>
                <w:caps w:val="false"/>
                <w:smallCaps w:val="false"/>
                <w:sz w:val="16"/>
              </w:rPr>
              <w:t xml:space="preserve">Training for advisors and bankers in identifying </w:t>
            </w:r>
            <w:r>
              <w:rPr>
                <w:rFonts w:ascii="Arial" w:hAnsi="Arial"/>
                <w:b/>
                <w:i w:val="false"/>
                <w:caps w:val="false"/>
                <w:smallCaps w:val="false"/>
                <w:sz w:val="16"/>
              </w:rPr>
              <w:t xml:space="preserve">responsible and sustainable investment strategies </w:t>
            </w:r>
            <w:r>
              <w:rPr>
                <w:rFonts w:ascii="Arial" w:hAnsi="Arial"/>
                <w:b w:val="false"/>
                <w:i w:val="false"/>
                <w:caps w:val="false"/>
                <w:smallCaps w:val="false"/>
                <w:sz w:val="16"/>
              </w:rPr>
              <w:t>appropriate to the client profile</w:t>
            </w:r>
          </w:p>
          <w:p>
            <w:pPr>
              <w:pStyle w:val="TableContents"/>
              <w:bidi w:val="0"/>
              <w:spacing w:before="0" w:after="0"/>
              <w:ind w:left="720" w:right="0" w:hanging="360"/>
              <w:jc w:val="left"/>
              <w:rPr>
                <w:caps w:val="false"/>
                <w:smallCaps w:val="false"/>
              </w:rPr>
            </w:pPr>
            <w:r>
              <w:rPr>
                <w:caps w:val="false"/>
                <w:smallCaps w:val="false"/>
              </w:rPr>
              <w:t>○     </w:t>
            </w:r>
            <w:r>
              <w:rPr>
                <w:rFonts w:ascii="Arial" w:hAnsi="Arial"/>
                <w:b w:val="false"/>
                <w:i w:val="false"/>
                <w:caps w:val="false"/>
                <w:smallCaps w:val="false"/>
                <w:sz w:val="16"/>
              </w:rPr>
              <w:t>Climate risk management in investment</w:t>
            </w:r>
          </w:p>
          <w:p>
            <w:pPr>
              <w:pStyle w:val="TableContents"/>
              <w:bidi w:val="0"/>
              <w:spacing w:before="0" w:after="0"/>
              <w:ind w:left="0" w:right="0" w:firstLine="360"/>
              <w:jc w:val="left"/>
              <w:rPr>
                <w:caps w:val="false"/>
                <w:smallCaps w:val="false"/>
              </w:rPr>
            </w:pPr>
            <w:r>
              <w:rPr>
                <w:caps w:val="false"/>
                <w:smallCaps w:val="false"/>
              </w:rPr>
              <w:t> </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rFonts w:ascii="Arial" w:hAnsi="Arial"/>
                <w:b/>
                <w:i w:val="false"/>
                <w:caps w:val="false"/>
                <w:smallCaps w:val="false"/>
                <w:sz w:val="16"/>
              </w:rPr>
            </w:pPr>
            <w:r>
              <w:rPr>
                <w:rFonts w:ascii="Arial" w:hAnsi="Arial"/>
                <w:b/>
                <w:i w:val="false"/>
                <w:caps w:val="false"/>
                <w:smallCaps w:val="false"/>
                <w:sz w:val="16"/>
              </w:rPr>
              <w:t># people</w:t>
            </w:r>
          </w:p>
          <w:p>
            <w:pPr>
              <w:pStyle w:val="TableContents"/>
              <w:bidi w:val="0"/>
              <w:spacing w:before="0" w:after="0"/>
              <w:ind w:left="0" w:right="0" w:hanging="0"/>
              <w:jc w:val="left"/>
              <w:rPr>
                <w:caps w:val="false"/>
                <w:smallCaps w:val="false"/>
              </w:rPr>
            </w:pPr>
            <w:r>
              <w:rPr>
                <w:caps w:val="false"/>
                <w:smallCaps w:val="false"/>
              </w:rPr>
              <w:t> </w:t>
            </w:r>
          </w:p>
        </w:tc>
        <w:tc>
          <w:tcPr>
            <w:tcW w:w="167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sz w:val="16"/>
              </w:rPr>
            </w:pPr>
            <w:r>
              <w:rPr>
                <w:rFonts w:ascii="Arial" w:hAnsi="Arial"/>
                <w:sz w:val="16"/>
              </w:rPr>
              <w:t>29</w:t>
            </w:r>
          </w:p>
        </w:tc>
        <w:tc>
          <w:tcPr>
            <w:tcW w:w="261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Arial" w:hAnsi="Arial"/>
                <w:b w:val="false"/>
                <w:i w:val="false"/>
                <w:caps w:val="false"/>
                <w:smallCaps w:val="false"/>
                <w:sz w:val="16"/>
              </w:rPr>
            </w:pPr>
            <w:r>
              <w:rPr>
                <w:rFonts w:ascii="Arial" w:hAnsi="Arial"/>
                <w:b w:val="false"/>
                <w:i w:val="false"/>
                <w:caps w:val="false"/>
                <w:smallCaps w:val="false"/>
                <w:sz w:val="16"/>
              </w:rPr>
              <w:t>1,641</w:t>
            </w:r>
          </w:p>
          <w:p>
            <w:pPr>
              <w:pStyle w:val="TableContents"/>
              <w:bidi w:val="0"/>
              <w:spacing w:before="0" w:after="0"/>
              <w:ind w:left="0" w:right="0" w:hanging="0"/>
              <w:jc w:val="center"/>
              <w:rPr>
                <w:caps w:val="false"/>
                <w:smallCaps w:val="false"/>
              </w:rPr>
            </w:pPr>
            <w:r>
              <w:rPr>
                <w:caps w:val="false"/>
                <w:smallCaps w:val="false"/>
              </w:rPr>
              <w:t> </w:t>
            </w:r>
          </w:p>
        </w:tc>
        <w:tc>
          <w:tcPr>
            <w:tcW w:w="162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Arial" w:hAnsi="Arial"/>
                <w:b w:val="false"/>
                <w:i w:val="false"/>
                <w:caps w:val="false"/>
                <w:smallCaps w:val="false"/>
                <w:sz w:val="16"/>
              </w:rPr>
              <w:t>Credit risk: 190</w:t>
            </w:r>
          </w:p>
          <w:p>
            <w:pPr>
              <w:pStyle w:val="TableContents"/>
              <w:bidi w:val="0"/>
              <w:spacing w:before="0" w:after="0"/>
              <w:ind w:left="0" w:right="0" w:hanging="0"/>
              <w:jc w:val="left"/>
              <w:rPr>
                <w:caps w:val="false"/>
                <w:smallCaps w:val="false"/>
              </w:rPr>
            </w:pPr>
            <w:r>
              <w:rPr>
                <w:caps w:val="false"/>
                <w:smallCaps w:val="false"/>
              </w:rPr>
              <w:t xml:space="preserve">○ </w:t>
            </w:r>
            <w:r>
              <w:rPr>
                <w:rFonts w:ascii="Arial" w:hAnsi="Arial"/>
                <w:b w:val="false"/>
                <w:i w:val="false"/>
                <w:caps w:val="false"/>
                <w:smallCaps w:val="false"/>
                <w:sz w:val="16"/>
              </w:rPr>
              <w:t>Investment: 30</w:t>
            </w:r>
          </w:p>
          <w:p>
            <w:pPr>
              <w:pStyle w:val="TableContents"/>
              <w:bidi w:val="0"/>
              <w:spacing w:before="0" w:after="0"/>
              <w:ind w:left="0" w:right="0" w:hanging="0"/>
              <w:jc w:val="left"/>
              <w:rPr>
                <w:caps w:val="false"/>
                <w:smallCaps w:val="false"/>
              </w:rPr>
            </w:pPr>
            <w:r>
              <w:rPr>
                <w:caps w:val="false"/>
                <w:smallCaps w:val="false"/>
              </w:rPr>
              <w:t xml:space="preserve">○ </w:t>
            </w:r>
            <w:r>
              <w:rPr>
                <w:rFonts w:ascii="Arial" w:hAnsi="Arial"/>
                <w:b w:val="false"/>
                <w:i w:val="false"/>
                <w:caps w:val="false"/>
                <w:smallCaps w:val="false"/>
                <w:sz w:val="16"/>
              </w:rPr>
              <w:t>Innovation: 51</w:t>
            </w:r>
          </w:p>
        </w:tc>
        <w:tc>
          <w:tcPr>
            <w:tcW w:w="321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Arial" w:hAnsi="Arial"/>
                <w:b w:val="false"/>
                <w:i w:val="false"/>
                <w:caps w:val="false"/>
                <w:smallCaps w:val="false"/>
                <w:sz w:val="16"/>
              </w:rPr>
              <w:t>Pacífico Seguros: 45</w:t>
            </w:r>
          </w:p>
          <w:p>
            <w:pPr>
              <w:pStyle w:val="TableContents"/>
              <w:bidi w:val="0"/>
              <w:spacing w:before="0" w:after="0"/>
              <w:ind w:left="0" w:right="0" w:hanging="0"/>
              <w:jc w:val="left"/>
              <w:rPr>
                <w:caps w:val="false"/>
                <w:smallCaps w:val="false"/>
              </w:rPr>
            </w:pPr>
            <w:r>
              <w:rPr>
                <w:caps w:val="false"/>
                <w:smallCaps w:val="false"/>
              </w:rPr>
              <w:t xml:space="preserve">○ </w:t>
            </w:r>
            <w:r>
              <w:rPr>
                <w:rFonts w:ascii="Arial" w:hAnsi="Arial"/>
                <w:b w:val="false"/>
                <w:i w:val="false"/>
                <w:caps w:val="false"/>
                <w:smallCaps w:val="false"/>
                <w:sz w:val="16"/>
              </w:rPr>
              <w:t>Credicorp Capital: 158</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Arial" w:hAnsi="Arial"/>
                <w:b/>
                <w:sz w:val="16"/>
              </w:rPr>
            </w:pPr>
            <w:r>
              <w:rPr>
                <w:rFonts w:ascii="Arial" w:hAnsi="Arial"/>
                <w:b/>
                <w:sz w:val="16"/>
              </w:rPr>
              <w:t># people</w:t>
            </w:r>
          </w:p>
        </w:tc>
        <w:tc>
          <w:tcPr>
            <w:tcW w:w="1673" w:type="dxa"/>
            <w:tcBorders>
              <w:bottom w:val="single" w:sz="8" w:space="0" w:color="000000"/>
              <w:right w:val="single" w:sz="8" w:space="0" w:color="000000"/>
            </w:tcBorders>
            <w:tcMar>
              <w:top w:w="0" w:type="dxa"/>
              <w:left w:w="0" w:type="dxa"/>
            </w:tcMar>
            <w:vAlign w:val="center"/>
          </w:tcPr>
          <w:p>
            <w:pPr>
              <w:pStyle w:val="TableContents"/>
              <w:bidi w:val="0"/>
              <w:spacing w:lineRule="auto" w:line="240" w:before="0" w:after="0"/>
              <w:ind w:left="0" w:right="0" w:hanging="0"/>
              <w:jc w:val="center"/>
              <w:rPr>
                <w:rFonts w:ascii="Arial" w:hAnsi="Arial"/>
                <w:b w:val="false"/>
                <w:i w:val="false"/>
                <w:caps w:val="false"/>
                <w:smallCaps w:val="false"/>
                <w:sz w:val="16"/>
              </w:rPr>
            </w:pPr>
            <w:r>
              <w:rPr>
                <w:rFonts w:ascii="Arial" w:hAnsi="Arial"/>
                <w:b w:val="false"/>
                <w:i w:val="false"/>
                <w:caps w:val="false"/>
                <w:smallCaps w:val="false"/>
                <w:sz w:val="16"/>
              </w:rPr>
              <w:t>2 hours and 45 minutes65</w:t>
            </w:r>
          </w:p>
          <w:p>
            <w:pPr>
              <w:pStyle w:val="TableContents"/>
              <w:bidi w:val="0"/>
              <w:spacing w:before="0" w:after="0"/>
              <w:ind w:left="0" w:right="0" w:hanging="0"/>
              <w:jc w:val="center"/>
              <w:rPr>
                <w:caps w:val="false"/>
                <w:smallCaps w:val="false"/>
              </w:rPr>
            </w:pPr>
            <w:r>
              <w:rPr>
                <w:caps w:val="false"/>
                <w:smallCaps w:val="false"/>
              </w:rPr>
              <w:t> </w:t>
            </w:r>
          </w:p>
        </w:tc>
        <w:tc>
          <w:tcPr>
            <w:tcW w:w="261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Arial" w:hAnsi="Arial"/>
                <w:b w:val="false"/>
                <w:i w:val="false"/>
                <w:caps w:val="false"/>
                <w:smallCaps w:val="false"/>
                <w:sz w:val="16"/>
              </w:rPr>
            </w:pPr>
            <w:r>
              <w:rPr>
                <w:rFonts w:ascii="Arial" w:hAnsi="Arial"/>
                <w:b w:val="false"/>
                <w:i w:val="false"/>
                <w:caps w:val="false"/>
                <w:smallCaps w:val="false"/>
                <w:sz w:val="16"/>
              </w:rPr>
              <w:t>5 hours and 30 minutes</w:t>
            </w:r>
          </w:p>
          <w:p>
            <w:pPr>
              <w:pStyle w:val="TableContents"/>
              <w:bidi w:val="0"/>
              <w:spacing w:before="0" w:after="0"/>
              <w:ind w:left="0" w:right="0" w:hanging="0"/>
              <w:jc w:val="center"/>
              <w:rPr>
                <w:caps w:val="false"/>
                <w:smallCaps w:val="false"/>
              </w:rPr>
            </w:pPr>
            <w:r>
              <w:rPr>
                <w:caps w:val="false"/>
                <w:smallCaps w:val="false"/>
              </w:rPr>
              <w:t> </w:t>
            </w:r>
          </w:p>
        </w:tc>
        <w:tc>
          <w:tcPr>
            <w:tcW w:w="162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Arial" w:hAnsi="Arial"/>
                <w:b w:val="false"/>
                <w:i w:val="false"/>
                <w:caps w:val="false"/>
                <w:smallCaps w:val="false"/>
                <w:sz w:val="16"/>
              </w:rPr>
              <w:t>Credit risk: 13.5 hours</w:t>
            </w:r>
          </w:p>
          <w:p>
            <w:pPr>
              <w:pStyle w:val="TableContents"/>
              <w:bidi w:val="0"/>
              <w:spacing w:before="0" w:after="0"/>
              <w:ind w:left="0" w:right="0" w:hanging="0"/>
              <w:jc w:val="left"/>
              <w:rPr>
                <w:caps w:val="false"/>
                <w:smallCaps w:val="false"/>
              </w:rPr>
            </w:pPr>
            <w:r>
              <w:rPr>
                <w:caps w:val="false"/>
                <w:smallCaps w:val="false"/>
              </w:rPr>
              <w:t xml:space="preserve">○ </w:t>
            </w:r>
            <w:r>
              <w:rPr>
                <w:rFonts w:ascii="Arial" w:hAnsi="Arial"/>
                <w:b w:val="false"/>
                <w:i w:val="false"/>
                <w:caps w:val="false"/>
                <w:smallCaps w:val="false"/>
                <w:sz w:val="16"/>
              </w:rPr>
              <w:t>Investment: 3 hours</w:t>
            </w:r>
          </w:p>
          <w:p>
            <w:pPr>
              <w:pStyle w:val="TableContents"/>
              <w:bidi w:val="0"/>
              <w:spacing w:before="0" w:after="0"/>
              <w:ind w:left="0" w:right="0" w:hanging="0"/>
              <w:jc w:val="left"/>
              <w:rPr>
                <w:caps w:val="false"/>
                <w:smallCaps w:val="false"/>
              </w:rPr>
            </w:pPr>
            <w:r>
              <w:rPr>
                <w:caps w:val="false"/>
                <w:smallCaps w:val="false"/>
              </w:rPr>
              <w:t xml:space="preserve">○ </w:t>
            </w:r>
            <w:r>
              <w:rPr>
                <w:rFonts w:ascii="Arial" w:hAnsi="Arial"/>
                <w:b w:val="false"/>
                <w:i w:val="false"/>
                <w:caps w:val="false"/>
                <w:smallCaps w:val="false"/>
                <w:sz w:val="16"/>
              </w:rPr>
              <w:t>Innovation: 7 hours</w:t>
            </w:r>
          </w:p>
        </w:tc>
        <w:tc>
          <w:tcPr>
            <w:tcW w:w="321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Arial" w:hAnsi="Arial"/>
                <w:b w:val="false"/>
                <w:i w:val="false"/>
                <w:caps w:val="false"/>
                <w:smallCaps w:val="false"/>
                <w:sz w:val="16"/>
              </w:rPr>
              <w:t>Pacífico Seguros: 2 hours</w:t>
            </w:r>
          </w:p>
          <w:p>
            <w:pPr>
              <w:pStyle w:val="TableContents"/>
              <w:bidi w:val="0"/>
              <w:spacing w:before="0" w:after="0"/>
              <w:ind w:left="0" w:right="0" w:hanging="0"/>
              <w:jc w:val="left"/>
              <w:rPr>
                <w:caps w:val="false"/>
                <w:smallCaps w:val="false"/>
              </w:rPr>
            </w:pPr>
            <w:r>
              <w:rPr>
                <w:caps w:val="false"/>
                <w:smallCaps w:val="false"/>
              </w:rPr>
              <w:t xml:space="preserve">○ </w:t>
            </w:r>
            <w:r>
              <w:rPr>
                <w:rFonts w:ascii="Arial" w:hAnsi="Arial"/>
                <w:b w:val="false"/>
                <w:i w:val="false"/>
                <w:caps w:val="false"/>
                <w:smallCaps w:val="false"/>
                <w:sz w:val="16"/>
              </w:rPr>
              <w:t>Credicorp Capital: 4.5 hours</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rFonts w:ascii="Arial" w:hAnsi="Arial"/>
                <w:b/>
                <w:i w:val="false"/>
                <w:caps w:val="false"/>
                <w:smallCaps w:val="false"/>
                <w:sz w:val="16"/>
              </w:rPr>
            </w:pPr>
            <w:r>
              <w:rPr>
                <w:rFonts w:ascii="Arial" w:hAnsi="Arial"/>
                <w:b/>
                <w:i w:val="false"/>
                <w:caps w:val="false"/>
                <w:smallCaps w:val="false"/>
                <w:sz w:val="16"/>
              </w:rPr>
              <w:t xml:space="preserve">T2B Satisfaction </w:t>
            </w:r>
          </w:p>
          <w:p>
            <w:pPr>
              <w:pStyle w:val="TableContents"/>
              <w:bidi w:val="0"/>
              <w:spacing w:before="0" w:after="0"/>
              <w:ind w:left="0" w:right="0" w:hanging="0"/>
              <w:jc w:val="left"/>
              <w:rPr>
                <w:caps w:val="false"/>
                <w:smallCaps w:val="false"/>
              </w:rPr>
            </w:pPr>
            <w:r>
              <w:rPr>
                <w:caps w:val="false"/>
                <w:smallCaps w:val="false"/>
              </w:rPr>
              <w:t> </w:t>
            </w:r>
          </w:p>
        </w:tc>
        <w:tc>
          <w:tcPr>
            <w:tcW w:w="1673" w:type="dxa"/>
            <w:tcBorders>
              <w:bottom w:val="single" w:sz="8" w:space="0" w:color="000000"/>
              <w:right w:val="single" w:sz="8" w:space="0" w:color="000000"/>
            </w:tcBorders>
            <w:tcMar>
              <w:top w:w="0" w:type="dxa"/>
              <w:left w:w="0" w:type="dxa"/>
            </w:tcMar>
            <w:vAlign w:val="center"/>
          </w:tcPr>
          <w:p>
            <w:pPr>
              <w:pStyle w:val="TableContents"/>
              <w:bidi w:val="0"/>
              <w:spacing w:lineRule="auto" w:line="240" w:before="0" w:after="0"/>
              <w:ind w:left="0" w:right="0" w:hanging="0"/>
              <w:jc w:val="center"/>
              <w:rPr>
                <w:rFonts w:ascii="Arial" w:hAnsi="Arial"/>
                <w:b w:val="false"/>
                <w:i w:val="false"/>
                <w:caps w:val="false"/>
                <w:smallCaps w:val="false"/>
                <w:sz w:val="16"/>
              </w:rPr>
            </w:pPr>
            <w:r>
              <w:rPr>
                <w:rFonts w:ascii="Arial" w:hAnsi="Arial"/>
                <w:b w:val="false"/>
                <w:i w:val="false"/>
                <w:caps w:val="false"/>
                <w:smallCaps w:val="false"/>
                <w:sz w:val="16"/>
              </w:rPr>
              <w:t>100%66</w:t>
            </w:r>
          </w:p>
          <w:p>
            <w:pPr>
              <w:pStyle w:val="TableContents"/>
              <w:bidi w:val="0"/>
              <w:spacing w:before="0" w:after="0"/>
              <w:ind w:left="0" w:right="0" w:hanging="0"/>
              <w:jc w:val="center"/>
              <w:rPr>
                <w:caps w:val="false"/>
                <w:smallCaps w:val="false"/>
              </w:rPr>
            </w:pPr>
            <w:r>
              <w:rPr>
                <w:caps w:val="false"/>
                <w:smallCaps w:val="false"/>
              </w:rPr>
              <w:t> </w:t>
            </w:r>
          </w:p>
        </w:tc>
        <w:tc>
          <w:tcPr>
            <w:tcW w:w="261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Arial" w:hAnsi="Arial"/>
                <w:b w:val="false"/>
                <w:i w:val="false"/>
                <w:caps w:val="false"/>
                <w:smallCaps w:val="false"/>
                <w:sz w:val="16"/>
              </w:rPr>
            </w:pPr>
            <w:r>
              <w:rPr>
                <w:rFonts w:ascii="Arial" w:hAnsi="Arial"/>
                <w:b w:val="false"/>
                <w:i w:val="false"/>
                <w:caps w:val="false"/>
                <w:smallCaps w:val="false"/>
                <w:sz w:val="16"/>
              </w:rPr>
              <w:t>60%</w:t>
            </w:r>
          </w:p>
          <w:p>
            <w:pPr>
              <w:pStyle w:val="TableContents"/>
              <w:bidi w:val="0"/>
              <w:spacing w:before="0" w:after="0"/>
              <w:ind w:left="0" w:right="0" w:hanging="0"/>
              <w:jc w:val="center"/>
              <w:rPr>
                <w:caps w:val="false"/>
                <w:smallCaps w:val="false"/>
              </w:rPr>
            </w:pPr>
            <w:r>
              <w:rPr>
                <w:caps w:val="false"/>
                <w:smallCaps w:val="false"/>
              </w:rPr>
              <w:t> </w:t>
            </w:r>
          </w:p>
        </w:tc>
        <w:tc>
          <w:tcPr>
            <w:tcW w:w="162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Arial" w:hAnsi="Arial"/>
                <w:b w:val="false"/>
                <w:i w:val="false"/>
                <w:caps w:val="false"/>
                <w:smallCaps w:val="false"/>
                <w:sz w:val="16"/>
              </w:rPr>
              <w:t>Credit risk: 86%</w:t>
            </w:r>
          </w:p>
          <w:p>
            <w:pPr>
              <w:pStyle w:val="TableContents"/>
              <w:bidi w:val="0"/>
              <w:spacing w:before="0" w:after="0"/>
              <w:ind w:left="0" w:right="0" w:hanging="0"/>
              <w:jc w:val="left"/>
              <w:rPr>
                <w:caps w:val="false"/>
                <w:smallCaps w:val="false"/>
              </w:rPr>
            </w:pPr>
            <w:r>
              <w:rPr>
                <w:caps w:val="false"/>
                <w:smallCaps w:val="false"/>
              </w:rPr>
              <w:t xml:space="preserve">○ </w:t>
            </w:r>
            <w:r>
              <w:rPr>
                <w:rFonts w:ascii="Arial" w:hAnsi="Arial"/>
                <w:b w:val="false"/>
                <w:i w:val="false"/>
                <w:caps w:val="false"/>
                <w:smallCaps w:val="false"/>
                <w:sz w:val="16"/>
              </w:rPr>
              <w:t>Innovation: 94%</w:t>
            </w:r>
          </w:p>
          <w:p>
            <w:pPr>
              <w:pStyle w:val="TableContents"/>
              <w:bidi w:val="0"/>
              <w:spacing w:before="0" w:after="0"/>
              <w:ind w:left="0" w:right="0" w:hanging="0"/>
              <w:jc w:val="left"/>
              <w:rPr>
                <w:caps w:val="false"/>
                <w:smallCaps w:val="false"/>
              </w:rPr>
            </w:pPr>
            <w:r>
              <w:rPr>
                <w:caps w:val="false"/>
                <w:smallCaps w:val="false"/>
              </w:rPr>
              <w:t xml:space="preserve">○ </w:t>
            </w:r>
            <w:r>
              <w:rPr>
                <w:rFonts w:ascii="Arial" w:hAnsi="Arial"/>
                <w:b w:val="false"/>
                <w:i w:val="false"/>
                <w:caps w:val="false"/>
                <w:smallCaps w:val="false"/>
                <w:sz w:val="16"/>
              </w:rPr>
              <w:t>Investment: 67%</w:t>
            </w:r>
          </w:p>
        </w:tc>
        <w:tc>
          <w:tcPr>
            <w:tcW w:w="321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Arial" w:hAnsi="Arial"/>
                <w:b w:val="false"/>
                <w:i w:val="false"/>
                <w:caps w:val="false"/>
                <w:smallCaps w:val="false"/>
                <w:sz w:val="16"/>
              </w:rPr>
              <w:t>Pacífico Seguros: 93%</w:t>
            </w:r>
          </w:p>
          <w:p>
            <w:pPr>
              <w:pStyle w:val="TableContents"/>
              <w:bidi w:val="0"/>
              <w:spacing w:before="0" w:after="0"/>
              <w:ind w:left="0" w:right="0" w:hanging="0"/>
              <w:jc w:val="left"/>
              <w:rPr>
                <w:caps w:val="false"/>
                <w:smallCaps w:val="false"/>
              </w:rPr>
            </w:pPr>
            <w:r>
              <w:rPr>
                <w:caps w:val="false"/>
                <w:smallCaps w:val="false"/>
              </w:rPr>
              <w:t xml:space="preserve">○ </w:t>
            </w:r>
            <w:r>
              <w:rPr>
                <w:rFonts w:ascii="Arial" w:hAnsi="Arial"/>
                <w:b w:val="false"/>
                <w:i w:val="false"/>
                <w:caps w:val="false"/>
                <w:smallCaps w:val="false"/>
                <w:sz w:val="16"/>
              </w:rPr>
              <w:t>Credicorp Capital: 65% </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rFonts w:ascii="Arial" w:hAnsi="Arial"/>
                <w:b/>
                <w:i w:val="false"/>
                <w:caps w:val="false"/>
                <w:smallCaps w:val="false"/>
                <w:sz w:val="16"/>
              </w:rPr>
            </w:pPr>
            <w:r>
              <w:rPr>
                <w:rFonts w:ascii="Arial" w:hAnsi="Arial"/>
                <w:b/>
                <w:i w:val="false"/>
                <w:caps w:val="false"/>
                <w:smallCaps w:val="false"/>
                <w:sz w:val="16"/>
              </w:rPr>
              <w:t>T2B Applicability</w:t>
            </w:r>
          </w:p>
          <w:p>
            <w:pPr>
              <w:pStyle w:val="TableContents"/>
              <w:bidi w:val="0"/>
              <w:spacing w:before="0" w:after="0"/>
              <w:ind w:left="0" w:right="0" w:hanging="0"/>
              <w:jc w:val="left"/>
              <w:rPr>
                <w:caps w:val="false"/>
                <w:smallCaps w:val="false"/>
              </w:rPr>
            </w:pPr>
            <w:r>
              <w:rPr>
                <w:caps w:val="false"/>
                <w:smallCaps w:val="false"/>
              </w:rPr>
              <w:t> </w:t>
            </w:r>
          </w:p>
        </w:tc>
        <w:tc>
          <w:tcPr>
            <w:tcW w:w="167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Arial" w:hAnsi="Arial"/>
                <w:b w:val="false"/>
                <w:i w:val="false"/>
                <w:caps w:val="false"/>
                <w:smallCaps w:val="false"/>
                <w:sz w:val="16"/>
              </w:rPr>
            </w:pPr>
            <w:r>
              <w:rPr>
                <w:rFonts w:ascii="Arial" w:hAnsi="Arial"/>
                <w:b w:val="false"/>
                <w:i w:val="false"/>
                <w:caps w:val="false"/>
                <w:smallCaps w:val="false"/>
                <w:sz w:val="16"/>
              </w:rPr>
              <w:t>92%</w:t>
            </w:r>
          </w:p>
          <w:p>
            <w:pPr>
              <w:pStyle w:val="TableContents"/>
              <w:bidi w:val="0"/>
              <w:spacing w:before="0" w:after="0"/>
              <w:ind w:left="0" w:right="0" w:hanging="0"/>
              <w:jc w:val="center"/>
              <w:rPr>
                <w:caps w:val="false"/>
                <w:smallCaps w:val="false"/>
              </w:rPr>
            </w:pPr>
            <w:r>
              <w:rPr>
                <w:caps w:val="false"/>
                <w:smallCaps w:val="false"/>
              </w:rPr>
              <w:t> </w:t>
            </w:r>
          </w:p>
        </w:tc>
        <w:tc>
          <w:tcPr>
            <w:tcW w:w="261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Arial" w:hAnsi="Arial"/>
                <w:b w:val="false"/>
                <w:i w:val="false"/>
                <w:caps w:val="false"/>
                <w:smallCaps w:val="false"/>
                <w:sz w:val="16"/>
              </w:rPr>
            </w:pPr>
            <w:r>
              <w:rPr>
                <w:rFonts w:ascii="Arial" w:hAnsi="Arial"/>
                <w:b w:val="false"/>
                <w:i w:val="false"/>
                <w:caps w:val="false"/>
                <w:smallCaps w:val="false"/>
                <w:sz w:val="16"/>
              </w:rPr>
              <w:t>71%</w:t>
            </w:r>
          </w:p>
          <w:p>
            <w:pPr>
              <w:pStyle w:val="TableContents"/>
              <w:bidi w:val="0"/>
              <w:spacing w:before="0" w:after="0"/>
              <w:ind w:left="0" w:right="0" w:hanging="0"/>
              <w:jc w:val="center"/>
              <w:rPr>
                <w:caps w:val="false"/>
                <w:smallCaps w:val="false"/>
              </w:rPr>
            </w:pPr>
            <w:r>
              <w:rPr>
                <w:caps w:val="false"/>
                <w:smallCaps w:val="false"/>
              </w:rPr>
              <w:t> </w:t>
            </w:r>
          </w:p>
        </w:tc>
        <w:tc>
          <w:tcPr>
            <w:tcW w:w="162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Arial" w:hAnsi="Arial"/>
                <w:b w:val="false"/>
                <w:i w:val="false"/>
                <w:caps w:val="false"/>
                <w:smallCaps w:val="false"/>
                <w:sz w:val="16"/>
              </w:rPr>
              <w:t>Credit risk: 87%</w:t>
            </w:r>
          </w:p>
          <w:p>
            <w:pPr>
              <w:pStyle w:val="TableContents"/>
              <w:bidi w:val="0"/>
              <w:spacing w:before="0" w:after="0"/>
              <w:ind w:left="0" w:right="0" w:hanging="0"/>
              <w:jc w:val="left"/>
              <w:rPr>
                <w:caps w:val="false"/>
                <w:smallCaps w:val="false"/>
              </w:rPr>
            </w:pPr>
            <w:r>
              <w:rPr>
                <w:caps w:val="false"/>
                <w:smallCaps w:val="false"/>
              </w:rPr>
              <w:t xml:space="preserve">○ </w:t>
            </w:r>
            <w:r>
              <w:rPr>
                <w:rFonts w:ascii="Arial" w:hAnsi="Arial"/>
                <w:b w:val="false"/>
                <w:i w:val="false"/>
                <w:caps w:val="false"/>
                <w:smallCaps w:val="false"/>
                <w:sz w:val="16"/>
              </w:rPr>
              <w:t>Innovation: 100%</w:t>
            </w:r>
          </w:p>
          <w:p>
            <w:pPr>
              <w:pStyle w:val="TableContents"/>
              <w:bidi w:val="0"/>
              <w:spacing w:before="0" w:after="0"/>
              <w:ind w:left="0" w:right="0" w:hanging="0"/>
              <w:jc w:val="left"/>
              <w:rPr>
                <w:caps w:val="false"/>
                <w:smallCaps w:val="false"/>
              </w:rPr>
            </w:pPr>
            <w:r>
              <w:rPr>
                <w:caps w:val="false"/>
                <w:smallCaps w:val="false"/>
              </w:rPr>
              <w:t xml:space="preserve">○ </w:t>
            </w:r>
            <w:r>
              <w:rPr>
                <w:rFonts w:ascii="Arial" w:hAnsi="Arial"/>
                <w:b w:val="false"/>
                <w:i w:val="false"/>
                <w:caps w:val="false"/>
                <w:smallCaps w:val="false"/>
                <w:sz w:val="16"/>
              </w:rPr>
              <w:t>Investment: 100%</w:t>
            </w:r>
          </w:p>
        </w:tc>
        <w:tc>
          <w:tcPr>
            <w:tcW w:w="321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Arial" w:hAnsi="Arial"/>
                <w:b w:val="false"/>
                <w:i w:val="false"/>
                <w:caps w:val="false"/>
                <w:smallCaps w:val="false"/>
                <w:sz w:val="16"/>
              </w:rPr>
              <w:t>Pacífico Seguros: 97%</w:t>
            </w:r>
          </w:p>
          <w:p>
            <w:pPr>
              <w:pStyle w:val="TableContents"/>
              <w:bidi w:val="0"/>
              <w:spacing w:before="0" w:after="0"/>
              <w:ind w:left="0" w:right="0" w:hanging="0"/>
              <w:jc w:val="left"/>
              <w:rPr>
                <w:caps w:val="false"/>
                <w:smallCaps w:val="false"/>
              </w:rPr>
            </w:pPr>
            <w:r>
              <w:rPr>
                <w:caps w:val="false"/>
                <w:smallCaps w:val="false"/>
              </w:rPr>
              <w:t xml:space="preserve">○ </w:t>
            </w:r>
            <w:r>
              <w:rPr>
                <w:rFonts w:ascii="Arial" w:hAnsi="Arial"/>
                <w:b w:val="false"/>
                <w:i w:val="false"/>
                <w:caps w:val="false"/>
                <w:smallCaps w:val="false"/>
                <w:sz w:val="16"/>
              </w:rPr>
              <w:t>Credicorp Capital: 60%</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60" w:after="60"/>
        <w:jc w:val="left"/>
        <w:rPr>
          <w:caps w:val="false"/>
          <w:smallCaps w:val="false"/>
          <w:bdr w:val="single" w:sz="8" w:space="1" w:color="000000"/>
        </w:rPr>
      </w:pPr>
      <w:r>
        <w:rPr>
          <w:caps w:val="false"/>
          <w:smallCaps w:val="false"/>
          <w:bdr w:val="single" w:sz="8" w:space="1" w:color="000000"/>
        </w:rPr>
        <w:t> </w:t>
      </w:r>
    </w:p>
    <w:tbl>
      <w:tblPr>
        <w:tblW w:w="5230" w:type="dxa"/>
        <w:jc w:val="left"/>
        <w:tblInd w:w="0" w:type="dxa"/>
        <w:tblLayout w:type="fixed"/>
        <w:tblCellMar>
          <w:top w:w="0" w:type="dxa"/>
          <w:left w:w="0" w:type="dxa"/>
          <w:bottom w:w="0" w:type="dxa"/>
          <w:right w:w="0" w:type="dxa"/>
        </w:tblCellMar>
      </w:tblPr>
      <w:tblGrid>
        <w:gridCol w:w="215"/>
        <w:gridCol w:w="5015"/>
      </w:tblGrid>
      <w:tr>
        <w:trPr/>
        <w:tc>
          <w:tcPr>
            <w:tcW w:w="215" w:type="dxa"/>
            <w:tcBorders/>
            <w:vAlign w:val="center"/>
          </w:tcPr>
          <w:p>
            <w:pPr>
              <w:pStyle w:val="TableContents"/>
              <w:bidi w:val="0"/>
              <w:spacing w:lineRule="auto" w:line="240" w:before="0" w:after="283"/>
              <w:jc w:val="left"/>
              <w:rPr>
                <w:rFonts w:ascii="Arial" w:hAnsi="Arial"/>
                <w:b w:val="false"/>
                <w:i w:val="false"/>
                <w:caps w:val="false"/>
                <w:smallCaps w:val="false"/>
                <w:sz w:val="16"/>
              </w:rPr>
            </w:pPr>
            <w:r>
              <w:rPr>
                <w:rFonts w:ascii="Arial" w:hAnsi="Arial"/>
                <w:b w:val="false"/>
                <w:i w:val="false"/>
                <w:caps w:val="false"/>
                <w:smallCaps w:val="false"/>
                <w:sz w:val="16"/>
              </w:rPr>
              <w:t>64</w:t>
            </w:r>
          </w:p>
        </w:tc>
        <w:tc>
          <w:tcPr>
            <w:tcW w:w="5015" w:type="dxa"/>
            <w:tcBorders/>
            <w:vAlign w:val="center"/>
          </w:tcPr>
          <w:p>
            <w:pPr>
              <w:pStyle w:val="TableContents"/>
              <w:bidi w:val="0"/>
              <w:spacing w:before="0" w:after="283"/>
              <w:jc w:val="both"/>
              <w:rPr>
                <w:rFonts w:ascii="Arial" w:hAnsi="Arial"/>
                <w:b w:val="false"/>
                <w:i w:val="false"/>
                <w:caps w:val="false"/>
                <w:smallCaps w:val="false"/>
                <w:sz w:val="16"/>
              </w:rPr>
            </w:pPr>
            <w:r>
              <w:rPr>
                <w:rFonts w:ascii="Arial" w:hAnsi="Arial"/>
                <w:b w:val="false"/>
                <w:i w:val="false"/>
                <w:caps w:val="false"/>
                <w:smallCaps w:val="false"/>
                <w:sz w:val="16"/>
              </w:rPr>
              <w:t>Training provided to 5 board members (the Sustainability Committee)</w:t>
            </w:r>
          </w:p>
        </w:tc>
      </w:tr>
    </w:tbl>
    <w:tbl>
      <w:tblPr>
        <w:tblW w:w="6355" w:type="dxa"/>
        <w:jc w:val="left"/>
        <w:tblInd w:w="0" w:type="dxa"/>
        <w:tblLayout w:type="fixed"/>
        <w:tblCellMar>
          <w:top w:w="0" w:type="dxa"/>
          <w:left w:w="0" w:type="dxa"/>
          <w:bottom w:w="0" w:type="dxa"/>
          <w:right w:w="0" w:type="dxa"/>
        </w:tblCellMar>
      </w:tblPr>
      <w:tblGrid>
        <w:gridCol w:w="215"/>
        <w:gridCol w:w="6140"/>
      </w:tblGrid>
      <w:tr>
        <w:trPr/>
        <w:tc>
          <w:tcPr>
            <w:tcW w:w="215" w:type="dxa"/>
            <w:tcBorders/>
            <w:vAlign w:val="center"/>
          </w:tcPr>
          <w:p>
            <w:pPr>
              <w:pStyle w:val="TableContents"/>
              <w:bidi w:val="0"/>
              <w:spacing w:lineRule="auto" w:line="240" w:before="0" w:after="283"/>
              <w:jc w:val="left"/>
              <w:rPr>
                <w:rFonts w:ascii="Arial" w:hAnsi="Arial"/>
                <w:b w:val="false"/>
                <w:i w:val="false"/>
                <w:caps w:val="false"/>
                <w:smallCaps w:val="false"/>
                <w:sz w:val="16"/>
              </w:rPr>
            </w:pPr>
            <w:r>
              <w:rPr>
                <w:rFonts w:ascii="Arial" w:hAnsi="Arial"/>
                <w:b w:val="false"/>
                <w:i w:val="false"/>
                <w:caps w:val="false"/>
                <w:smallCaps w:val="false"/>
                <w:sz w:val="16"/>
              </w:rPr>
              <w:t>65</w:t>
            </w:r>
          </w:p>
        </w:tc>
        <w:tc>
          <w:tcPr>
            <w:tcW w:w="6140" w:type="dxa"/>
            <w:tcBorders/>
            <w:vAlign w:val="center"/>
          </w:tcPr>
          <w:p>
            <w:pPr>
              <w:pStyle w:val="TableContents"/>
              <w:bidi w:val="0"/>
              <w:spacing w:before="0" w:after="283"/>
              <w:jc w:val="both"/>
              <w:rPr>
                <w:rFonts w:ascii="Arial" w:hAnsi="Arial"/>
                <w:b w:val="false"/>
                <w:i w:val="false"/>
                <w:caps w:val="false"/>
                <w:smallCaps w:val="false"/>
                <w:sz w:val="16"/>
              </w:rPr>
            </w:pPr>
            <w:r>
              <w:rPr>
                <w:rFonts w:ascii="Arial" w:hAnsi="Arial"/>
                <w:b w:val="false"/>
                <w:i w:val="false"/>
                <w:caps w:val="false"/>
                <w:smallCaps w:val="false"/>
                <w:sz w:val="16"/>
              </w:rPr>
              <w:t>2 hours of training were provided to 5 board members (the Sustainability Committee)</w:t>
            </w:r>
          </w:p>
        </w:tc>
      </w:tr>
    </w:tbl>
    <w:tbl>
      <w:tblPr>
        <w:tblW w:w="3340" w:type="dxa"/>
        <w:jc w:val="left"/>
        <w:tblInd w:w="0" w:type="dxa"/>
        <w:tblLayout w:type="fixed"/>
        <w:tblCellMar>
          <w:top w:w="0" w:type="dxa"/>
          <w:left w:w="0" w:type="dxa"/>
          <w:bottom w:w="0" w:type="dxa"/>
          <w:right w:w="0" w:type="dxa"/>
        </w:tblCellMar>
      </w:tblPr>
      <w:tblGrid>
        <w:gridCol w:w="215"/>
        <w:gridCol w:w="3125"/>
      </w:tblGrid>
      <w:tr>
        <w:trPr/>
        <w:tc>
          <w:tcPr>
            <w:tcW w:w="215" w:type="dxa"/>
            <w:tcBorders/>
            <w:vAlign w:val="center"/>
          </w:tcPr>
          <w:p>
            <w:pPr>
              <w:pStyle w:val="TableContents"/>
              <w:bidi w:val="0"/>
              <w:spacing w:lineRule="auto" w:line="240" w:before="0" w:after="283"/>
              <w:jc w:val="left"/>
              <w:rPr>
                <w:rFonts w:ascii="Arial" w:hAnsi="Arial"/>
                <w:b w:val="false"/>
                <w:i w:val="false"/>
                <w:caps w:val="false"/>
                <w:smallCaps w:val="false"/>
                <w:sz w:val="16"/>
              </w:rPr>
            </w:pPr>
            <w:r>
              <w:rPr>
                <w:rFonts w:ascii="Arial" w:hAnsi="Arial"/>
                <w:b w:val="false"/>
                <w:i w:val="false"/>
                <w:caps w:val="false"/>
                <w:smallCaps w:val="false"/>
                <w:sz w:val="16"/>
              </w:rPr>
              <w:t>66</w:t>
            </w:r>
          </w:p>
        </w:tc>
        <w:tc>
          <w:tcPr>
            <w:tcW w:w="3125" w:type="dxa"/>
            <w:tcBorders/>
            <w:vAlign w:val="center"/>
          </w:tcPr>
          <w:p>
            <w:pPr>
              <w:pStyle w:val="TableContents"/>
              <w:bidi w:val="0"/>
              <w:spacing w:before="0" w:after="283"/>
              <w:jc w:val="both"/>
              <w:rPr>
                <w:rFonts w:ascii="Arial" w:hAnsi="Arial"/>
                <w:b w:val="false"/>
                <w:i w:val="false"/>
                <w:caps w:val="false"/>
                <w:smallCaps w:val="false"/>
                <w:sz w:val="16"/>
              </w:rPr>
            </w:pPr>
            <w:r>
              <w:rPr>
                <w:rFonts w:ascii="Arial" w:hAnsi="Arial"/>
                <w:b w:val="false"/>
                <w:i w:val="false"/>
                <w:caps w:val="false"/>
                <w:smallCaps w:val="false"/>
                <w:sz w:val="16"/>
              </w:rPr>
              <w:t>Covers results for training in social issues.</w:t>
            </w:r>
          </w:p>
        </w:tc>
      </w:tr>
    </w:tbl>
    <w:p>
      <w:pPr>
        <w:pStyle w:val="TextBody"/>
        <w:bidi w:val="0"/>
        <w:spacing w:before="0" w:after="0"/>
        <w:jc w:val="left"/>
        <w:rPr>
          <w:caps w:val="false"/>
          <w:smallCaps w:val="false"/>
        </w:rPr>
      </w:pPr>
      <w:r>
        <w:rPr>
          <w:caps w:val="false"/>
          <w:smallCaps w:val="false"/>
        </w:rPr>
        <w:t> </w:t>
      </w:r>
    </w:p>
    <w:p>
      <w:pPr>
        <w:pStyle w:val="TextBody"/>
        <w:bidi w:val="0"/>
        <w:spacing w:before="200" w:after="20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67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rFonts w:ascii="Arial" w:hAnsi="Arial"/>
          <w:b/>
          <w:i w:val="false"/>
          <w:caps w:val="false"/>
          <w:smallCaps w:val="false"/>
          <w:color w:val="FE5000"/>
          <w:sz w:val="20"/>
        </w:rPr>
      </w:pPr>
      <w:r>
        <w:rPr>
          <w:rFonts w:ascii="Arial" w:hAnsi="Arial"/>
          <w:b/>
          <w:i w:val="false"/>
          <w:caps w:val="false"/>
          <w:smallCaps w:val="false"/>
          <w:color w:val="FE5000"/>
          <w:sz w:val="20"/>
        </w:rPr>
        <w:t>1.7. PRIORITIZED MATERIAL TOPICS AND SDGs</w:t>
      </w:r>
    </w:p>
    <w:p>
      <w:pPr>
        <w:pStyle w:val="TextBody"/>
        <w:bidi w:val="0"/>
        <w:spacing w:before="60" w:after="6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Arial" w:hAnsi="Arial"/>
          <w:b/>
          <w:i w:val="false"/>
          <w:caps w:val="false"/>
          <w:smallCaps w:val="false"/>
          <w:color w:val="000000"/>
          <w:sz w:val="20"/>
        </w:rPr>
      </w:pPr>
      <w:r>
        <w:rPr>
          <w:rFonts w:ascii="Arial" w:hAnsi="Arial"/>
          <w:b/>
          <w:i w:val="false"/>
          <w:caps w:val="false"/>
          <w:smallCaps w:val="false"/>
          <w:color w:val="000000"/>
          <w:sz w:val="20"/>
        </w:rPr>
        <w:t>GRI 3-2</w:t>
      </w:r>
    </w:p>
    <w:p>
      <w:pPr>
        <w:pStyle w:val="TextBody"/>
        <w:bidi w:val="0"/>
        <w:spacing w:before="0" w:after="0"/>
        <w:ind w:left="0" w:right="244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1889"/>
        <w:gridCol w:w="5870"/>
        <w:gridCol w:w="2446"/>
      </w:tblGrid>
      <w:tr>
        <w:trPr/>
        <w:tc>
          <w:tcPr>
            <w:tcW w:w="10205" w:type="dxa"/>
            <w:gridSpan w:val="3"/>
            <w:tcBorders>
              <w:top w:val="single" w:sz="8" w:space="0" w:color="FFFFFF"/>
              <w:left w:val="single" w:sz="8" w:space="0" w:color="FFFFFF"/>
              <w:bottom w:val="single" w:sz="8" w:space="0" w:color="FFFFFF"/>
              <w:right w:val="single" w:sz="8" w:space="0" w:color="FFFFFF"/>
            </w:tcBorders>
            <w:shd w:fill="C2C2C2" w:val="clear"/>
            <w:vAlign w:val="center"/>
          </w:tcPr>
          <w:p>
            <w:pPr>
              <w:pStyle w:val="TableContents"/>
              <w:bidi w:val="0"/>
              <w:spacing w:before="0" w:after="283"/>
              <w:jc w:val="center"/>
              <w:rPr>
                <w:rFonts w:ascii="Arial" w:hAnsi="Arial"/>
                <w:b/>
                <w:sz w:val="16"/>
              </w:rPr>
            </w:pPr>
            <w:r>
              <w:rPr>
                <w:rFonts w:ascii="Arial" w:hAnsi="Arial"/>
                <w:b/>
                <w:sz w:val="16"/>
              </w:rPr>
              <w:t>Material topics definition</w:t>
            </w:r>
          </w:p>
        </w:tc>
      </w:tr>
      <w:tr>
        <w:trPr/>
        <w:tc>
          <w:tcPr>
            <w:tcW w:w="1889" w:type="dxa"/>
            <w:tcBorders>
              <w:left w:val="single" w:sz="8" w:space="0" w:color="FFFFFF"/>
              <w:bottom w:val="single" w:sz="8" w:space="0" w:color="FFFFFF"/>
              <w:right w:val="single" w:sz="8" w:space="0" w:color="FFFFFF"/>
            </w:tcBorders>
            <w:shd w:fill="C2C2C2" w:val="clear"/>
            <w:tcMar>
              <w:top w:w="0" w:type="dxa"/>
            </w:tcMar>
            <w:vAlign w:val="center"/>
          </w:tcPr>
          <w:p>
            <w:pPr>
              <w:pStyle w:val="TableContents"/>
              <w:bidi w:val="0"/>
              <w:spacing w:before="0" w:after="283"/>
              <w:jc w:val="center"/>
              <w:rPr>
                <w:rFonts w:ascii="Arial" w:hAnsi="Arial"/>
                <w:b/>
                <w:sz w:val="16"/>
              </w:rPr>
            </w:pPr>
            <w:r>
              <w:rPr>
                <w:rFonts w:ascii="Arial" w:hAnsi="Arial"/>
                <w:b/>
                <w:sz w:val="16"/>
              </w:rPr>
              <w:t>Relevant topic</w:t>
            </w:r>
          </w:p>
        </w:tc>
        <w:tc>
          <w:tcPr>
            <w:tcW w:w="5870" w:type="dxa"/>
            <w:tcBorders>
              <w:bottom w:val="single" w:sz="8" w:space="0" w:color="FFFFFF"/>
              <w:right w:val="single" w:sz="8" w:space="0" w:color="FFFFFF"/>
            </w:tcBorders>
            <w:shd w:fill="C2C2C2" w:val="clear"/>
            <w:tcMar>
              <w:top w:w="0" w:type="dxa"/>
              <w:left w:w="0" w:type="dxa"/>
            </w:tcMar>
            <w:vAlign w:val="center"/>
          </w:tcPr>
          <w:p>
            <w:pPr>
              <w:pStyle w:val="TableContents"/>
              <w:bidi w:val="0"/>
              <w:spacing w:before="0" w:after="283"/>
              <w:jc w:val="center"/>
              <w:rPr>
                <w:rFonts w:ascii="Arial" w:hAnsi="Arial"/>
                <w:b/>
                <w:sz w:val="16"/>
              </w:rPr>
            </w:pPr>
            <w:r>
              <w:rPr>
                <w:rFonts w:ascii="Arial" w:hAnsi="Arial"/>
                <w:b/>
                <w:sz w:val="16"/>
              </w:rPr>
              <w:t>Impact description</w:t>
            </w:r>
          </w:p>
        </w:tc>
        <w:tc>
          <w:tcPr>
            <w:tcW w:w="2446" w:type="dxa"/>
            <w:tcBorders>
              <w:bottom w:val="single" w:sz="8" w:space="0" w:color="FFFFFF"/>
              <w:right w:val="single" w:sz="8" w:space="0" w:color="FFFFFF"/>
            </w:tcBorders>
            <w:shd w:fill="C2C2C2" w:val="clear"/>
            <w:tcMar>
              <w:top w:w="0" w:type="dxa"/>
              <w:left w:w="0" w:type="dxa"/>
            </w:tcMar>
            <w:vAlign w:val="center"/>
          </w:tcPr>
          <w:p>
            <w:pPr>
              <w:pStyle w:val="TableContents"/>
              <w:bidi w:val="0"/>
              <w:spacing w:before="0" w:after="283"/>
              <w:jc w:val="center"/>
              <w:rPr>
                <w:rFonts w:ascii="Arial" w:hAnsi="Arial"/>
                <w:b/>
                <w:sz w:val="16"/>
              </w:rPr>
            </w:pPr>
            <w:r>
              <w:rPr>
                <w:rFonts w:ascii="Arial" w:hAnsi="Arial"/>
                <w:b/>
                <w:sz w:val="16"/>
              </w:rPr>
              <w:t>Indicators</w:t>
            </w:r>
          </w:p>
        </w:tc>
      </w:tr>
      <w:tr>
        <w:trPr/>
        <w:tc>
          <w:tcPr>
            <w:tcW w:w="1889" w:type="dxa"/>
            <w:tcBorders>
              <w:left w:val="single" w:sz="8" w:space="0" w:color="FFFFFF"/>
              <w:bottom w:val="single" w:sz="8" w:space="0" w:color="FFFFFF"/>
              <w:right w:val="single" w:sz="8" w:space="0" w:color="FFFFFF"/>
            </w:tcBorders>
            <w:shd w:fill="C2C2C2" w:val="clear"/>
            <w:tcMar>
              <w:top w:w="0" w:type="dxa"/>
            </w:tcMar>
            <w:vAlign w:val="center"/>
          </w:tcPr>
          <w:p>
            <w:pPr>
              <w:pStyle w:val="TableContents"/>
              <w:bidi w:val="0"/>
              <w:spacing w:before="0" w:after="283"/>
              <w:jc w:val="left"/>
              <w:rPr>
                <w:rFonts w:ascii="Arial" w:hAnsi="Arial"/>
                <w:b/>
                <w:sz w:val="16"/>
              </w:rPr>
            </w:pPr>
            <w:r>
              <w:rPr>
                <w:rFonts w:ascii="Arial" w:hAnsi="Arial"/>
                <w:b/>
                <w:sz w:val="16"/>
              </w:rPr>
              <w:t>Corporate Governance, Ethics, and Anti-corruption</w:t>
            </w:r>
          </w:p>
        </w:tc>
        <w:tc>
          <w:tcPr>
            <w:tcW w:w="5870" w:type="dxa"/>
            <w:tcBorders>
              <w:bottom w:val="single" w:sz="8" w:space="0" w:color="FFFFFF"/>
              <w:right w:val="single" w:sz="8" w:space="0" w:color="FFFFFF"/>
            </w:tcBorders>
            <w:shd w:fill="DBDBDB" w:val="clear"/>
            <w:tcMar>
              <w:top w:w="0" w:type="dxa"/>
              <w:left w:w="0" w:type="dxa"/>
            </w:tcMar>
            <w:vAlign w:val="center"/>
          </w:tcPr>
          <w:p>
            <w:pPr>
              <w:pStyle w:val="TableContents"/>
              <w:bidi w:val="0"/>
              <w:spacing w:before="0" w:after="283"/>
              <w:jc w:val="left"/>
              <w:rPr>
                <w:rFonts w:ascii="Arial" w:hAnsi="Arial"/>
                <w:sz w:val="16"/>
              </w:rPr>
            </w:pPr>
            <w:r>
              <w:rPr>
                <w:rFonts w:ascii="Arial" w:hAnsi="Arial"/>
                <w:sz w:val="16"/>
              </w:rPr>
              <w:t>Governance structure, policies, procedures, and mechanisms for strategic decision-making, such as accountability, stakeholder relationships, the culture of sustainability culture, those that frame ethical behavior inside and outside the organization, and the timely servicing and monitoring of fiscal and regulatory regulations to which we must align.</w:t>
            </w:r>
          </w:p>
        </w:tc>
        <w:tc>
          <w:tcPr>
            <w:tcW w:w="2446" w:type="dxa"/>
            <w:tcBorders>
              <w:bottom w:val="single" w:sz="8" w:space="0" w:color="FFFFFF"/>
              <w:right w:val="single" w:sz="8" w:space="0" w:color="FFFFFF"/>
            </w:tcBorders>
            <w:shd w:fill="DBDBDB" w:val="clear"/>
            <w:tcMar>
              <w:top w:w="0" w:type="dxa"/>
              <w:left w:w="0" w:type="dxa"/>
            </w:tcMar>
            <w:vAlign w:val="center"/>
          </w:tcPr>
          <w:p>
            <w:pPr>
              <w:pStyle w:val="TableContents"/>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Universal GRI standards (GRI 2-27 and GRI 2-9 to GRI 2-21)</w:t>
            </w:r>
          </w:p>
          <w:p>
            <w:pPr>
              <w:pStyle w:val="TableContents"/>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GRI 205-Anti-corruption</w:t>
            </w:r>
          </w:p>
          <w:p>
            <w:pPr>
              <w:pStyle w:val="TableContents"/>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GRI 206-Anti-competitive behavior</w:t>
            </w:r>
          </w:p>
          <w:p>
            <w:pPr>
              <w:pStyle w:val="TableContents"/>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SASB-Business Ethics</w:t>
            </w:r>
          </w:p>
        </w:tc>
      </w:tr>
      <w:tr>
        <w:trPr/>
        <w:tc>
          <w:tcPr>
            <w:tcW w:w="1889" w:type="dxa"/>
            <w:tcBorders>
              <w:top w:val="single" w:sz="8" w:space="0" w:color="FFFFFF"/>
              <w:left w:val="single" w:sz="8" w:space="0" w:color="FFFFFF"/>
              <w:right w:val="single" w:sz="8" w:space="0" w:color="FFFFFF"/>
            </w:tcBorders>
            <w:shd w:fill="C2C2C2" w:val="clear"/>
            <w:tcMar>
              <w:bottom w:w="0" w:type="dxa"/>
            </w:tcMar>
            <w:vAlign w:val="center"/>
          </w:tcPr>
          <w:p>
            <w:pPr>
              <w:pStyle w:val="TableContents"/>
              <w:bidi w:val="0"/>
              <w:spacing w:lineRule="auto" w:line="240" w:before="0" w:after="283"/>
              <w:jc w:val="left"/>
              <w:rPr>
                <w:rFonts w:ascii="Arial" w:hAnsi="Arial"/>
                <w:b/>
                <w:sz w:val="16"/>
              </w:rPr>
            </w:pPr>
            <w:r>
              <w:rPr>
                <w:rFonts w:ascii="Arial" w:hAnsi="Arial"/>
                <w:b/>
                <w:sz w:val="16"/>
              </w:rPr>
              <w:t>Cybersecurity, Privacy, and Ethical Data Management67</w:t>
            </w:r>
          </w:p>
        </w:tc>
        <w:tc>
          <w:tcPr>
            <w:tcW w:w="5870" w:type="dxa"/>
            <w:tcBorders>
              <w:top w:val="single" w:sz="8" w:space="0" w:color="FFFFFF"/>
              <w:right w:val="single" w:sz="8" w:space="0" w:color="FFFFFF"/>
            </w:tcBorders>
            <w:shd w:fill="DBDBDB" w:val="clear"/>
            <w:tcMar>
              <w:left w:w="0" w:type="dxa"/>
              <w:bottom w:w="0" w:type="dxa"/>
            </w:tcMar>
            <w:vAlign w:val="center"/>
          </w:tcPr>
          <w:p>
            <w:pPr>
              <w:pStyle w:val="TableContents"/>
              <w:bidi w:val="0"/>
              <w:spacing w:before="0" w:after="283"/>
              <w:jc w:val="left"/>
              <w:rPr>
                <w:rFonts w:ascii="Arial" w:hAnsi="Arial"/>
                <w:sz w:val="16"/>
              </w:rPr>
            </w:pPr>
            <w:r>
              <w:rPr>
                <w:rFonts w:ascii="Arial" w:hAnsi="Arial"/>
                <w:sz w:val="16"/>
              </w:rPr>
              <w:t>Privacy, security, and the ethical management of our clients’ data and actions to protect from digital attacks infrastructure(software, hardware, etc.) and the organization’s most important systems.</w:t>
            </w:r>
          </w:p>
        </w:tc>
        <w:tc>
          <w:tcPr>
            <w:tcW w:w="2446" w:type="dxa"/>
            <w:tcBorders>
              <w:top w:val="single" w:sz="8" w:space="0" w:color="FFFFFF"/>
              <w:right w:val="single" w:sz="8" w:space="0" w:color="FFFFFF"/>
            </w:tcBorders>
            <w:shd w:fill="DBDBDB" w:val="clear"/>
            <w:tcMar>
              <w:left w:w="0" w:type="dxa"/>
              <w:bottom w:w="0" w:type="dxa"/>
            </w:tcMar>
            <w:vAlign w:val="center"/>
          </w:tcPr>
          <w:p>
            <w:pPr>
              <w:pStyle w:val="TableContents"/>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SASB-Data Security</w:t>
            </w:r>
          </w:p>
          <w:p>
            <w:pPr>
              <w:pStyle w:val="TableContents"/>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GRI 418-Customer Privacy</w:t>
            </w:r>
          </w:p>
          <w:p>
            <w:pPr>
              <w:pStyle w:val="TableContents"/>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Own indicators</w:t>
            </w:r>
          </w:p>
        </w:tc>
      </w:tr>
      <w:tr>
        <w:trPr/>
        <w:tc>
          <w:tcPr>
            <w:tcW w:w="1889" w:type="dxa"/>
            <w:tcBorders>
              <w:top w:val="single" w:sz="8" w:space="0" w:color="FFFFFF"/>
              <w:left w:val="single" w:sz="8" w:space="0" w:color="FFFFFF"/>
              <w:right w:val="single" w:sz="8" w:space="0" w:color="FFFFFF"/>
            </w:tcBorders>
            <w:shd w:fill="C2C2C2" w:val="clear"/>
            <w:tcMar>
              <w:bottom w:w="0" w:type="dxa"/>
            </w:tcMar>
            <w:vAlign w:val="center"/>
          </w:tcPr>
          <w:p>
            <w:pPr>
              <w:pStyle w:val="TableContents"/>
              <w:bidi w:val="0"/>
              <w:spacing w:before="0" w:after="283"/>
              <w:jc w:val="left"/>
              <w:rPr>
                <w:rFonts w:ascii="Arial" w:hAnsi="Arial"/>
                <w:b/>
                <w:sz w:val="16"/>
              </w:rPr>
            </w:pPr>
            <w:r>
              <w:rPr>
                <w:rFonts w:ascii="Arial" w:hAnsi="Arial"/>
                <w:b/>
                <w:sz w:val="16"/>
              </w:rPr>
              <w:t>Financial and Economic Performance*</w:t>
            </w:r>
          </w:p>
        </w:tc>
        <w:tc>
          <w:tcPr>
            <w:tcW w:w="5870" w:type="dxa"/>
            <w:tcBorders>
              <w:top w:val="single" w:sz="8" w:space="0" w:color="FFFFFF"/>
              <w:right w:val="single" w:sz="8" w:space="0" w:color="FFFFFF"/>
            </w:tcBorders>
            <w:shd w:fill="DBDBDB" w:val="clear"/>
            <w:tcMar>
              <w:left w:w="0" w:type="dxa"/>
              <w:bottom w:w="0" w:type="dxa"/>
            </w:tcMar>
            <w:vAlign w:val="center"/>
          </w:tcPr>
          <w:p>
            <w:pPr>
              <w:pStyle w:val="TableContents"/>
              <w:bidi w:val="0"/>
              <w:spacing w:before="0" w:after="283"/>
              <w:jc w:val="left"/>
              <w:rPr>
                <w:rFonts w:ascii="Arial" w:hAnsi="Arial"/>
                <w:sz w:val="16"/>
              </w:rPr>
            </w:pPr>
            <w:r>
              <w:rPr>
                <w:rFonts w:ascii="Arial" w:hAnsi="Arial"/>
                <w:sz w:val="16"/>
              </w:rPr>
              <w:t>The financial health of the Group and the generation of economic value</w:t>
            </w:r>
          </w:p>
        </w:tc>
        <w:tc>
          <w:tcPr>
            <w:tcW w:w="2446" w:type="dxa"/>
            <w:tcBorders>
              <w:top w:val="single" w:sz="8" w:space="0" w:color="FFFFFF"/>
              <w:right w:val="single" w:sz="8" w:space="0" w:color="FFFFFF"/>
            </w:tcBorders>
            <w:shd w:fill="DBDBDB" w:val="clear"/>
            <w:tcMar>
              <w:left w:w="0" w:type="dxa"/>
              <w:bottom w:w="0" w:type="dxa"/>
            </w:tcMar>
            <w:vAlign w:val="center"/>
          </w:tcPr>
          <w:p>
            <w:pPr>
              <w:pStyle w:val="TableContents"/>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GRI 201-Economic performance</w:t>
            </w:r>
          </w:p>
          <w:p>
            <w:pPr>
              <w:pStyle w:val="TableContents"/>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SASB-Activity metrics</w:t>
            </w:r>
          </w:p>
        </w:tc>
      </w:tr>
      <w:tr>
        <w:trPr/>
        <w:tc>
          <w:tcPr>
            <w:tcW w:w="1889" w:type="dxa"/>
            <w:tcBorders>
              <w:top w:val="single" w:sz="8" w:space="0" w:color="FFFFFF"/>
              <w:left w:val="single" w:sz="8" w:space="0" w:color="FFFFFF"/>
              <w:right w:val="single" w:sz="8" w:space="0" w:color="FFFFFF"/>
            </w:tcBorders>
            <w:shd w:fill="C2C2C2" w:val="clear"/>
            <w:tcMar>
              <w:bottom w:w="0" w:type="dxa"/>
            </w:tcMar>
            <w:vAlign w:val="center"/>
          </w:tcPr>
          <w:p>
            <w:pPr>
              <w:pStyle w:val="TableContents"/>
              <w:bidi w:val="0"/>
              <w:spacing w:before="0" w:after="283"/>
              <w:jc w:val="left"/>
              <w:rPr>
                <w:rFonts w:ascii="Arial" w:hAnsi="Arial"/>
                <w:b/>
                <w:sz w:val="16"/>
              </w:rPr>
            </w:pPr>
            <w:r>
              <w:rPr>
                <w:rFonts w:ascii="Arial" w:hAnsi="Arial"/>
                <w:b/>
                <w:sz w:val="16"/>
              </w:rPr>
              <w:t>Comprehensive Risk Management</w:t>
            </w:r>
          </w:p>
        </w:tc>
        <w:tc>
          <w:tcPr>
            <w:tcW w:w="5870" w:type="dxa"/>
            <w:tcBorders>
              <w:top w:val="single" w:sz="8" w:space="0" w:color="FFFFFF"/>
              <w:right w:val="single" w:sz="8" w:space="0" w:color="FFFFFF"/>
            </w:tcBorders>
            <w:shd w:fill="DBDBDB" w:val="clear"/>
            <w:tcMar>
              <w:left w:w="0" w:type="dxa"/>
              <w:bottom w:w="0" w:type="dxa"/>
            </w:tcMar>
            <w:vAlign w:val="center"/>
          </w:tcPr>
          <w:p>
            <w:pPr>
              <w:pStyle w:val="TableContents"/>
              <w:bidi w:val="0"/>
              <w:spacing w:before="0" w:after="283"/>
              <w:jc w:val="left"/>
              <w:rPr>
                <w:rFonts w:ascii="Arial" w:hAnsi="Arial"/>
                <w:sz w:val="16"/>
              </w:rPr>
            </w:pPr>
            <w:r>
              <w:rPr>
                <w:rFonts w:ascii="Arial" w:hAnsi="Arial"/>
                <w:sz w:val="16"/>
              </w:rPr>
              <w:t>The identification, control, and monitoring in all Group operations of risks, opportunities, and economic, environmental, and social impacts</w:t>
            </w:r>
          </w:p>
        </w:tc>
        <w:tc>
          <w:tcPr>
            <w:tcW w:w="2446" w:type="dxa"/>
            <w:tcBorders>
              <w:top w:val="single" w:sz="8" w:space="0" w:color="FFFFFF"/>
              <w:right w:val="single" w:sz="8" w:space="0" w:color="FFFFFF"/>
            </w:tcBorders>
            <w:shd w:fill="DBDBDB" w:val="clear"/>
            <w:tcMar>
              <w:left w:w="0" w:type="dxa"/>
              <w:bottom w:w="0" w:type="dxa"/>
            </w:tcMar>
            <w:vAlign w:val="center"/>
          </w:tcPr>
          <w:p>
            <w:pPr>
              <w:pStyle w:val="TableContents"/>
              <w:bidi w:val="0"/>
              <w:spacing w:before="0" w:after="283"/>
              <w:jc w:val="left"/>
              <w:rPr>
                <w:rFonts w:ascii="Arial" w:hAnsi="Arial"/>
                <w:sz w:val="16"/>
              </w:rPr>
            </w:pPr>
            <w:r>
              <w:rPr>
                <w:rFonts w:ascii="Arial" w:hAnsi="Arial"/>
                <w:sz w:val="16"/>
              </w:rPr>
              <w:t>SASB-Systemic Risk Management</w:t>
            </w:r>
          </w:p>
        </w:tc>
      </w:tr>
      <w:tr>
        <w:trPr/>
        <w:tc>
          <w:tcPr>
            <w:tcW w:w="1889" w:type="dxa"/>
            <w:tcBorders>
              <w:top w:val="single" w:sz="8" w:space="0" w:color="FFFFFF"/>
              <w:left w:val="single" w:sz="8" w:space="0" w:color="FFFFFF"/>
              <w:right w:val="single" w:sz="8" w:space="0" w:color="FFFFFF"/>
            </w:tcBorders>
            <w:shd w:fill="C2C2C2" w:val="clear"/>
            <w:tcMar>
              <w:bottom w:w="0" w:type="dxa"/>
            </w:tcMar>
            <w:vAlign w:val="center"/>
          </w:tcPr>
          <w:p>
            <w:pPr>
              <w:pStyle w:val="TableContents"/>
              <w:bidi w:val="0"/>
              <w:spacing w:before="0" w:after="283"/>
              <w:jc w:val="left"/>
              <w:rPr>
                <w:rFonts w:ascii="Arial" w:hAnsi="Arial"/>
                <w:b/>
                <w:sz w:val="16"/>
              </w:rPr>
            </w:pPr>
            <w:r>
              <w:rPr>
                <w:rFonts w:ascii="Arial" w:hAnsi="Arial"/>
                <w:b/>
                <w:sz w:val="16"/>
              </w:rPr>
              <w:t xml:space="preserve">Financial Inclusion and Education </w:t>
            </w:r>
          </w:p>
        </w:tc>
        <w:tc>
          <w:tcPr>
            <w:tcW w:w="5870" w:type="dxa"/>
            <w:tcBorders>
              <w:top w:val="single" w:sz="8" w:space="0" w:color="FFFFFF"/>
              <w:right w:val="single" w:sz="8" w:space="0" w:color="FFFFFF"/>
            </w:tcBorders>
            <w:shd w:fill="DBDBDB" w:val="clear"/>
            <w:tcMar>
              <w:left w:w="0" w:type="dxa"/>
              <w:bottom w:w="0" w:type="dxa"/>
            </w:tcMar>
            <w:vAlign w:val="center"/>
          </w:tcPr>
          <w:p>
            <w:pPr>
              <w:pStyle w:val="TableContents"/>
              <w:bidi w:val="0"/>
              <w:spacing w:before="0" w:after="283"/>
              <w:jc w:val="left"/>
              <w:rPr>
                <w:rFonts w:ascii="Arial" w:hAnsi="Arial"/>
                <w:sz w:val="16"/>
              </w:rPr>
            </w:pPr>
            <w:r>
              <w:rPr>
                <w:rFonts w:ascii="Arial" w:hAnsi="Arial"/>
                <w:sz w:val="16"/>
              </w:rPr>
              <w:t>Mechanisms to educate clients and citizens about financial services, financial management; the promotion of clients and citizens digital skills and to lower entry barriers that our community might find when accessing the financial system: achieving greater use of the financial system through different initiatives, products, and services.</w:t>
            </w:r>
          </w:p>
        </w:tc>
        <w:tc>
          <w:tcPr>
            <w:tcW w:w="2446" w:type="dxa"/>
            <w:tcBorders>
              <w:top w:val="single" w:sz="8" w:space="0" w:color="FFFFFF"/>
              <w:right w:val="single" w:sz="8" w:space="0" w:color="FFFFFF"/>
            </w:tcBorders>
            <w:shd w:fill="DBDBDB" w:val="clear"/>
            <w:tcMar>
              <w:left w:w="0" w:type="dxa"/>
              <w:bottom w:w="0" w:type="dxa"/>
            </w:tcMar>
            <w:vAlign w:val="center"/>
          </w:tcPr>
          <w:p>
            <w:pPr>
              <w:pStyle w:val="TableContents"/>
              <w:bidi w:val="0"/>
              <w:spacing w:before="0" w:after="283"/>
              <w:jc w:val="left"/>
              <w:rPr>
                <w:rFonts w:ascii="Arial" w:hAnsi="Arial"/>
                <w:sz w:val="16"/>
              </w:rPr>
            </w:pPr>
            <w:r>
              <w:rPr>
                <w:rFonts w:ascii="Arial" w:hAnsi="Arial"/>
                <w:sz w:val="16"/>
              </w:rPr>
              <w:t>SASB-Generation of financial inclusion and capacity  GRI 203 Indirect Economic Impacts</w:t>
            </w:r>
          </w:p>
        </w:tc>
      </w:tr>
      <w:tr>
        <w:trPr/>
        <w:tc>
          <w:tcPr>
            <w:tcW w:w="1889" w:type="dxa"/>
            <w:tcBorders>
              <w:top w:val="single" w:sz="8" w:space="0" w:color="FFFFFF"/>
              <w:left w:val="single" w:sz="8" w:space="0" w:color="FFFFFF"/>
              <w:right w:val="single" w:sz="8" w:space="0" w:color="FFFFFF"/>
            </w:tcBorders>
            <w:shd w:fill="C2C2C2" w:val="clear"/>
            <w:tcMar>
              <w:bottom w:w="0" w:type="dxa"/>
            </w:tcMar>
            <w:vAlign w:val="center"/>
          </w:tcPr>
          <w:p>
            <w:pPr>
              <w:pStyle w:val="TableContents"/>
              <w:bidi w:val="0"/>
              <w:spacing w:before="0" w:after="283"/>
              <w:jc w:val="left"/>
              <w:rPr>
                <w:rFonts w:ascii="Arial" w:hAnsi="Arial"/>
                <w:b/>
                <w:sz w:val="16"/>
              </w:rPr>
            </w:pPr>
            <w:r>
              <w:rPr>
                <w:rFonts w:ascii="Arial" w:hAnsi="Arial"/>
                <w:b/>
                <w:sz w:val="16"/>
              </w:rPr>
              <w:t>Innovation and the Digital Transformation</w:t>
            </w:r>
          </w:p>
        </w:tc>
        <w:tc>
          <w:tcPr>
            <w:tcW w:w="5870" w:type="dxa"/>
            <w:tcBorders>
              <w:top w:val="single" w:sz="8" w:space="0" w:color="FFFFFF"/>
              <w:right w:val="single" w:sz="8" w:space="0" w:color="FFFFFF"/>
            </w:tcBorders>
            <w:shd w:fill="DBDBDB" w:val="clear"/>
            <w:tcMar>
              <w:left w:w="0" w:type="dxa"/>
              <w:bottom w:w="0" w:type="dxa"/>
            </w:tcMar>
            <w:vAlign w:val="center"/>
          </w:tcPr>
          <w:p>
            <w:pPr>
              <w:pStyle w:val="TableContents"/>
              <w:bidi w:val="0"/>
              <w:spacing w:before="0" w:after="283"/>
              <w:jc w:val="left"/>
              <w:rPr>
                <w:rFonts w:ascii="Arial" w:hAnsi="Arial"/>
                <w:sz w:val="16"/>
              </w:rPr>
            </w:pPr>
            <w:r>
              <w:rPr>
                <w:rFonts w:ascii="Arial" w:hAnsi="Arial"/>
                <w:sz w:val="16"/>
              </w:rPr>
              <w:t>Transformation of the business model through digitalization processes and use of technological tools to streamline internal processes and provide a better client experience.</w:t>
            </w:r>
          </w:p>
        </w:tc>
        <w:tc>
          <w:tcPr>
            <w:tcW w:w="2446" w:type="dxa"/>
            <w:tcBorders>
              <w:top w:val="single" w:sz="8" w:space="0" w:color="FFFFFF"/>
              <w:right w:val="single" w:sz="8" w:space="0" w:color="FFFFFF"/>
            </w:tcBorders>
            <w:shd w:fill="DBDBDB" w:val="clear"/>
            <w:tcMar>
              <w:left w:w="0" w:type="dxa"/>
              <w:bottom w:w="0" w:type="dxa"/>
            </w:tcMar>
            <w:vAlign w:val="center"/>
          </w:tcPr>
          <w:p>
            <w:pPr>
              <w:pStyle w:val="TableContents"/>
              <w:bidi w:val="0"/>
              <w:spacing w:before="0" w:after="283"/>
              <w:jc w:val="left"/>
              <w:rPr>
                <w:rFonts w:ascii="Arial" w:hAnsi="Arial"/>
                <w:sz w:val="16"/>
              </w:rPr>
            </w:pPr>
            <w:r>
              <w:rPr>
                <w:rFonts w:ascii="Arial" w:hAnsi="Arial"/>
                <w:sz w:val="16"/>
              </w:rPr>
              <w:t>Own indicators</w:t>
            </w:r>
          </w:p>
        </w:tc>
      </w:tr>
      <w:tr>
        <w:trPr/>
        <w:tc>
          <w:tcPr>
            <w:tcW w:w="1889" w:type="dxa"/>
            <w:tcBorders>
              <w:top w:val="single" w:sz="8" w:space="0" w:color="FFFFFF"/>
              <w:left w:val="single" w:sz="8" w:space="0" w:color="FFFFFF"/>
              <w:right w:val="single" w:sz="8" w:space="0" w:color="FFFFFF"/>
            </w:tcBorders>
            <w:shd w:fill="C2C2C2" w:val="clear"/>
            <w:tcMar>
              <w:bottom w:w="0" w:type="dxa"/>
            </w:tcMar>
            <w:vAlign w:val="center"/>
          </w:tcPr>
          <w:p>
            <w:pPr>
              <w:pStyle w:val="TableContents"/>
              <w:bidi w:val="0"/>
              <w:spacing w:before="0" w:after="283"/>
              <w:jc w:val="left"/>
              <w:rPr>
                <w:rFonts w:ascii="Arial" w:hAnsi="Arial"/>
                <w:b/>
                <w:sz w:val="16"/>
              </w:rPr>
            </w:pPr>
            <w:r>
              <w:rPr>
                <w:rFonts w:ascii="Arial" w:hAnsi="Arial"/>
                <w:b/>
                <w:sz w:val="16"/>
              </w:rPr>
              <w:t>Commitment to Society</w:t>
            </w:r>
          </w:p>
        </w:tc>
        <w:tc>
          <w:tcPr>
            <w:tcW w:w="5870" w:type="dxa"/>
            <w:tcBorders>
              <w:top w:val="single" w:sz="8" w:space="0" w:color="FFFFFF"/>
              <w:right w:val="single" w:sz="8" w:space="0" w:color="FFFFFF"/>
            </w:tcBorders>
            <w:shd w:fill="DBDBDB" w:val="clear"/>
            <w:tcMar>
              <w:left w:w="0" w:type="dxa"/>
              <w:bottom w:w="0" w:type="dxa"/>
            </w:tcMar>
            <w:vAlign w:val="center"/>
          </w:tcPr>
          <w:p>
            <w:pPr>
              <w:pStyle w:val="TableContents"/>
              <w:bidi w:val="0"/>
              <w:spacing w:before="0" w:after="283"/>
              <w:jc w:val="left"/>
              <w:rPr>
                <w:rFonts w:ascii="Arial" w:hAnsi="Arial"/>
                <w:sz w:val="16"/>
              </w:rPr>
            </w:pPr>
            <w:r>
              <w:rPr>
                <w:rFonts w:ascii="Arial" w:hAnsi="Arial"/>
                <w:sz w:val="16"/>
              </w:rPr>
              <w:t>Development of initiatives or programs for society, contributing to social progress</w:t>
            </w:r>
          </w:p>
        </w:tc>
        <w:tc>
          <w:tcPr>
            <w:tcW w:w="2446" w:type="dxa"/>
            <w:tcBorders>
              <w:top w:val="single" w:sz="8" w:space="0" w:color="FFFFFF"/>
              <w:right w:val="single" w:sz="8" w:space="0" w:color="FFFFFF"/>
            </w:tcBorders>
            <w:shd w:fill="DBDBDB" w:val="clear"/>
            <w:tcMar>
              <w:left w:w="0" w:type="dxa"/>
              <w:bottom w:w="0" w:type="dxa"/>
            </w:tcMar>
            <w:vAlign w:val="center"/>
          </w:tcPr>
          <w:p>
            <w:pPr>
              <w:pStyle w:val="TableContents"/>
              <w:bidi w:val="0"/>
              <w:spacing w:before="0" w:after="283"/>
              <w:jc w:val="left"/>
              <w:rPr>
                <w:rFonts w:ascii="Arial" w:hAnsi="Arial"/>
                <w:sz w:val="16"/>
              </w:rPr>
            </w:pPr>
            <w:r>
              <w:rPr>
                <w:rFonts w:ascii="Arial" w:hAnsi="Arial"/>
                <w:sz w:val="16"/>
              </w:rPr>
              <w:t>GRI 413-Local Communities</w:t>
            </w:r>
          </w:p>
        </w:tc>
      </w:tr>
      <w:tr>
        <w:trPr/>
        <w:tc>
          <w:tcPr>
            <w:tcW w:w="1889" w:type="dxa"/>
            <w:tcBorders>
              <w:top w:val="single" w:sz="8" w:space="0" w:color="FFFFFF"/>
              <w:left w:val="single" w:sz="8" w:space="0" w:color="FFFFFF"/>
              <w:right w:val="single" w:sz="8" w:space="0" w:color="FFFFFF"/>
            </w:tcBorders>
            <w:shd w:fill="C2C2C2" w:val="clear"/>
            <w:tcMar>
              <w:bottom w:w="0" w:type="dxa"/>
            </w:tcMar>
            <w:vAlign w:val="center"/>
          </w:tcPr>
          <w:p>
            <w:pPr>
              <w:pStyle w:val="TableContents"/>
              <w:bidi w:val="0"/>
              <w:spacing w:before="0" w:after="283"/>
              <w:jc w:val="left"/>
              <w:rPr>
                <w:rFonts w:ascii="Arial" w:hAnsi="Arial"/>
                <w:b/>
                <w:sz w:val="16"/>
              </w:rPr>
            </w:pPr>
            <w:r>
              <w:rPr>
                <w:rFonts w:ascii="Arial" w:hAnsi="Arial"/>
                <w:b/>
                <w:sz w:val="16"/>
              </w:rPr>
              <w:t>Employment and Talent Management</w:t>
            </w:r>
          </w:p>
        </w:tc>
        <w:tc>
          <w:tcPr>
            <w:tcW w:w="5870" w:type="dxa"/>
            <w:tcBorders>
              <w:top w:val="single" w:sz="8" w:space="0" w:color="FFFFFF"/>
              <w:right w:val="single" w:sz="8" w:space="0" w:color="FFFFFF"/>
            </w:tcBorders>
            <w:shd w:fill="DBDBDB" w:val="clear"/>
            <w:tcMar>
              <w:left w:w="0" w:type="dxa"/>
              <w:bottom w:w="0" w:type="dxa"/>
            </w:tcMar>
            <w:vAlign w:val="center"/>
          </w:tcPr>
          <w:p>
            <w:pPr>
              <w:pStyle w:val="TableContents"/>
              <w:bidi w:val="0"/>
              <w:spacing w:before="0" w:after="283"/>
              <w:jc w:val="left"/>
              <w:rPr>
                <w:rFonts w:ascii="Arial" w:hAnsi="Arial"/>
                <w:sz w:val="16"/>
              </w:rPr>
            </w:pPr>
            <w:r>
              <w:rPr>
                <w:rFonts w:ascii="Arial" w:hAnsi="Arial"/>
                <w:sz w:val="16"/>
              </w:rPr>
              <w:t>Labor management processes aligned to the Group’s purpose that ensure the professional development of employees</w:t>
            </w:r>
          </w:p>
        </w:tc>
        <w:tc>
          <w:tcPr>
            <w:tcW w:w="2446" w:type="dxa"/>
            <w:tcBorders>
              <w:top w:val="single" w:sz="8" w:space="0" w:color="FFFFFF"/>
              <w:right w:val="single" w:sz="8" w:space="0" w:color="FFFFFF"/>
            </w:tcBorders>
            <w:shd w:fill="DBDBDB" w:val="clear"/>
            <w:tcMar>
              <w:left w:w="0" w:type="dxa"/>
              <w:bottom w:w="0" w:type="dxa"/>
            </w:tcMar>
            <w:vAlign w:val="center"/>
          </w:tcPr>
          <w:p>
            <w:pPr>
              <w:pStyle w:val="TableContents"/>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GRI 401-Employment</w:t>
            </w:r>
          </w:p>
          <w:p>
            <w:pPr>
              <w:pStyle w:val="TableContents"/>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GRI 404-Training and Education</w:t>
            </w:r>
          </w:p>
        </w:tc>
      </w:tr>
      <w:tr>
        <w:trPr/>
        <w:tc>
          <w:tcPr>
            <w:tcW w:w="1889" w:type="dxa"/>
            <w:tcBorders>
              <w:top w:val="single" w:sz="8" w:space="0" w:color="FFFFFF"/>
              <w:left w:val="single" w:sz="8" w:space="0" w:color="FFFFFF"/>
              <w:right w:val="single" w:sz="8" w:space="0" w:color="FFFFFF"/>
            </w:tcBorders>
            <w:shd w:fill="C2C2C2" w:val="clear"/>
            <w:tcMar>
              <w:bottom w:w="0" w:type="dxa"/>
            </w:tcMar>
            <w:vAlign w:val="center"/>
          </w:tcPr>
          <w:p>
            <w:pPr>
              <w:pStyle w:val="TableContents"/>
              <w:bidi w:val="0"/>
              <w:spacing w:before="0" w:after="283"/>
              <w:jc w:val="left"/>
              <w:rPr>
                <w:rFonts w:ascii="Arial" w:hAnsi="Arial"/>
                <w:b/>
                <w:sz w:val="16"/>
              </w:rPr>
            </w:pPr>
            <w:r>
              <w:rPr>
                <w:rFonts w:ascii="Arial" w:hAnsi="Arial"/>
                <w:b/>
                <w:sz w:val="16"/>
              </w:rPr>
              <w:t>Responsible and Sustainable Finance and Investment</w:t>
            </w:r>
          </w:p>
        </w:tc>
        <w:tc>
          <w:tcPr>
            <w:tcW w:w="5870" w:type="dxa"/>
            <w:tcBorders>
              <w:top w:val="single" w:sz="8" w:space="0" w:color="FFFFFF"/>
              <w:right w:val="single" w:sz="8" w:space="0" w:color="FFFFFF"/>
            </w:tcBorders>
            <w:shd w:fill="DBDBDB" w:val="clear"/>
            <w:tcMar>
              <w:left w:w="0" w:type="dxa"/>
              <w:bottom w:w="0" w:type="dxa"/>
            </w:tcMar>
            <w:vAlign w:val="center"/>
          </w:tcPr>
          <w:p>
            <w:pPr>
              <w:pStyle w:val="TableContents"/>
              <w:bidi w:val="0"/>
              <w:spacing w:before="0" w:after="283"/>
              <w:jc w:val="left"/>
              <w:rPr>
                <w:rFonts w:ascii="Arial" w:hAnsi="Arial"/>
                <w:sz w:val="16"/>
              </w:rPr>
            </w:pPr>
            <w:r>
              <w:rPr>
                <w:rFonts w:ascii="Arial" w:hAnsi="Arial"/>
                <w:sz w:val="16"/>
              </w:rPr>
              <w:t>Development and supply of responsible financial products and services suited to clients, including those with added social and environmental value, and that facilitate the transition to more environmentally sustainable business models and activities</w:t>
            </w:r>
          </w:p>
        </w:tc>
        <w:tc>
          <w:tcPr>
            <w:tcW w:w="2446" w:type="dxa"/>
            <w:tcBorders>
              <w:top w:val="single" w:sz="8" w:space="0" w:color="FFFFFF"/>
              <w:right w:val="single" w:sz="8" w:space="0" w:color="FFFFFF"/>
            </w:tcBorders>
            <w:shd w:fill="DBDBDB" w:val="clear"/>
            <w:tcMar>
              <w:left w:w="0" w:type="dxa"/>
              <w:bottom w:w="0" w:type="dxa"/>
            </w:tcMar>
            <w:vAlign w:val="center"/>
          </w:tcPr>
          <w:p>
            <w:pPr>
              <w:pStyle w:val="TableContents"/>
              <w:bidi w:val="0"/>
              <w:spacing w:before="0" w:after="283"/>
              <w:jc w:val="left"/>
              <w:rPr>
                <w:rFonts w:ascii="Arial" w:hAnsi="Arial"/>
                <w:sz w:val="16"/>
              </w:rPr>
            </w:pPr>
            <w:r>
              <w:rPr>
                <w:rFonts w:ascii="Arial" w:hAnsi="Arial"/>
                <w:sz w:val="16"/>
              </w:rPr>
              <w:t>SASB-Incorporation of Environmental, Social and Governance Factors in Credit Analysis</w:t>
            </w:r>
          </w:p>
        </w:tc>
      </w:tr>
      <w:tr>
        <w:trPr/>
        <w:tc>
          <w:tcPr>
            <w:tcW w:w="1889" w:type="dxa"/>
            <w:tcBorders>
              <w:top w:val="single" w:sz="8" w:space="0" w:color="FFFFFF"/>
              <w:left w:val="single" w:sz="8" w:space="0" w:color="FFFFFF"/>
              <w:right w:val="single" w:sz="8" w:space="0" w:color="FFFFFF"/>
            </w:tcBorders>
            <w:shd w:fill="C2C2C2" w:val="clear"/>
            <w:tcMar>
              <w:bottom w:w="0" w:type="dxa"/>
            </w:tcMar>
            <w:vAlign w:val="center"/>
          </w:tcPr>
          <w:p>
            <w:pPr>
              <w:pStyle w:val="TableContents"/>
              <w:bidi w:val="0"/>
              <w:spacing w:before="0" w:after="283"/>
              <w:jc w:val="left"/>
              <w:rPr>
                <w:rFonts w:ascii="Arial" w:hAnsi="Arial"/>
                <w:b/>
                <w:sz w:val="16"/>
              </w:rPr>
            </w:pPr>
            <w:r>
              <w:rPr>
                <w:rFonts w:ascii="Arial" w:hAnsi="Arial"/>
                <w:b/>
                <w:sz w:val="16"/>
              </w:rPr>
              <w:t>Inclusion of Diversity and Equal Opportunities</w:t>
            </w:r>
          </w:p>
        </w:tc>
        <w:tc>
          <w:tcPr>
            <w:tcW w:w="5870" w:type="dxa"/>
            <w:tcBorders>
              <w:top w:val="single" w:sz="8" w:space="0" w:color="FFFFFF"/>
              <w:right w:val="single" w:sz="8" w:space="0" w:color="FFFFFF"/>
            </w:tcBorders>
            <w:shd w:fill="DBDBDB" w:val="clear"/>
            <w:tcMar>
              <w:left w:w="0" w:type="dxa"/>
              <w:bottom w:w="0" w:type="dxa"/>
            </w:tcMar>
            <w:vAlign w:val="center"/>
          </w:tcPr>
          <w:p>
            <w:pPr>
              <w:pStyle w:val="TableContents"/>
              <w:bidi w:val="0"/>
              <w:spacing w:before="0" w:after="283"/>
              <w:jc w:val="left"/>
              <w:rPr>
                <w:rFonts w:ascii="Arial" w:hAnsi="Arial"/>
                <w:sz w:val="16"/>
              </w:rPr>
            </w:pPr>
            <w:r>
              <w:rPr>
                <w:rFonts w:ascii="Arial" w:hAnsi="Arial"/>
                <w:sz w:val="16"/>
              </w:rPr>
              <w:t>Equal opportunities for the personal growth and fulfillment of all employees, regardless of gender, race, sexual orientation, and socioeconomic status</w:t>
            </w:r>
          </w:p>
        </w:tc>
        <w:tc>
          <w:tcPr>
            <w:tcW w:w="2446" w:type="dxa"/>
            <w:tcBorders>
              <w:top w:val="single" w:sz="8" w:space="0" w:color="FFFFFF"/>
              <w:right w:val="single" w:sz="8" w:space="0" w:color="FFFFFF"/>
            </w:tcBorders>
            <w:shd w:fill="DBDBDB" w:val="clear"/>
            <w:tcMar>
              <w:left w:w="0" w:type="dxa"/>
              <w:bottom w:w="0" w:type="dxa"/>
            </w:tcMar>
            <w:vAlign w:val="center"/>
          </w:tcPr>
          <w:p>
            <w:pPr>
              <w:pStyle w:val="TableContents"/>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GRI 405-Diversity and Equal Opportunities</w:t>
            </w:r>
          </w:p>
          <w:p>
            <w:pPr>
              <w:pStyle w:val="TableContents"/>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GRI 406-Non-discrimination</w:t>
            </w:r>
          </w:p>
        </w:tc>
      </w:tr>
      <w:tr>
        <w:trPr/>
        <w:tc>
          <w:tcPr>
            <w:tcW w:w="1889" w:type="dxa"/>
            <w:tcBorders>
              <w:top w:val="single" w:sz="8" w:space="0" w:color="FFFFFF"/>
              <w:left w:val="single" w:sz="8" w:space="0" w:color="FFFFFF"/>
              <w:bottom w:val="single" w:sz="8" w:space="0" w:color="FFFFFF"/>
              <w:right w:val="single" w:sz="8" w:space="0" w:color="FFFFFF"/>
            </w:tcBorders>
            <w:shd w:fill="C2C2C2" w:val="clear"/>
            <w:vAlign w:val="center"/>
          </w:tcPr>
          <w:p>
            <w:pPr>
              <w:pStyle w:val="TableContents"/>
              <w:bidi w:val="0"/>
              <w:spacing w:before="0" w:after="283"/>
              <w:jc w:val="left"/>
              <w:rPr>
                <w:rFonts w:ascii="Arial" w:hAnsi="Arial"/>
                <w:b/>
                <w:sz w:val="16"/>
              </w:rPr>
            </w:pPr>
            <w:r>
              <w:rPr>
                <w:rFonts w:ascii="Arial" w:hAnsi="Arial"/>
                <w:b/>
                <w:sz w:val="16"/>
              </w:rPr>
              <w:t>Human Rights</w:t>
            </w:r>
          </w:p>
        </w:tc>
        <w:tc>
          <w:tcPr>
            <w:tcW w:w="5870" w:type="dxa"/>
            <w:tcBorders>
              <w:top w:val="single" w:sz="8" w:space="0" w:color="FFFFFF"/>
              <w:bottom w:val="single" w:sz="8" w:space="0" w:color="FFFFFF"/>
              <w:right w:val="single" w:sz="8" w:space="0" w:color="FFFFFF"/>
            </w:tcBorders>
            <w:shd w:fill="DBDBDB" w:val="clear"/>
            <w:tcMar>
              <w:left w:w="0" w:type="dxa"/>
            </w:tcMar>
            <w:vAlign w:val="center"/>
          </w:tcPr>
          <w:p>
            <w:pPr>
              <w:pStyle w:val="TableContents"/>
              <w:bidi w:val="0"/>
              <w:spacing w:before="0" w:after="283"/>
              <w:jc w:val="left"/>
              <w:rPr>
                <w:rFonts w:ascii="Arial" w:hAnsi="Arial"/>
                <w:sz w:val="16"/>
              </w:rPr>
            </w:pPr>
            <w:r>
              <w:rPr>
                <w:rFonts w:ascii="Arial" w:hAnsi="Arial"/>
                <w:sz w:val="16"/>
              </w:rPr>
              <w:t>The Human Rights Management System, through the Human Rights Policy and the procedures that protect them for company employees, suppliers, communities, and society in general</w:t>
            </w:r>
          </w:p>
        </w:tc>
        <w:tc>
          <w:tcPr>
            <w:tcW w:w="2446" w:type="dxa"/>
            <w:tcBorders>
              <w:top w:val="single" w:sz="8" w:space="0" w:color="FFFFFF"/>
              <w:bottom w:val="single" w:sz="8" w:space="0" w:color="FFFFFF"/>
              <w:right w:val="single" w:sz="8" w:space="0" w:color="FFFFFF"/>
            </w:tcBorders>
            <w:shd w:fill="DBDBDB" w:val="clear"/>
            <w:tcMar>
              <w:left w:w="0" w:type="dxa"/>
            </w:tcMar>
            <w:vAlign w:val="center"/>
          </w:tcPr>
          <w:p>
            <w:pPr>
              <w:pStyle w:val="TableContents"/>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Universal Standards (GRI 2-22 a GR 2-24)</w:t>
            </w:r>
          </w:p>
          <w:p>
            <w:pPr>
              <w:pStyle w:val="TableContents"/>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GRI 407-Freedom of Association and Collective Bargaining</w:t>
            </w:r>
          </w:p>
          <w:p>
            <w:pPr>
              <w:pStyle w:val="TableContents"/>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GRI 408-Child Labor</w:t>
            </w:r>
          </w:p>
          <w:p>
            <w:pPr>
              <w:pStyle w:val="TableContents"/>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GRI 409-Forced or Compulsory labor</w:t>
            </w:r>
          </w:p>
        </w:tc>
      </w:tr>
      <w:tr>
        <w:trPr/>
        <w:tc>
          <w:tcPr>
            <w:tcW w:w="1889" w:type="dxa"/>
            <w:tcBorders>
              <w:left w:val="single" w:sz="8" w:space="0" w:color="FFFFFF"/>
              <w:bottom w:val="single" w:sz="8" w:space="0" w:color="FFFFFF"/>
              <w:right w:val="single" w:sz="8" w:space="0" w:color="FFFFFF"/>
            </w:tcBorders>
            <w:shd w:fill="C2C2C2" w:val="clear"/>
            <w:tcMar>
              <w:top w:w="0" w:type="dxa"/>
            </w:tcMar>
            <w:vAlign w:val="center"/>
          </w:tcPr>
          <w:p>
            <w:pPr>
              <w:pStyle w:val="TableContents"/>
              <w:bidi w:val="0"/>
              <w:spacing w:before="0" w:after="283"/>
              <w:jc w:val="left"/>
              <w:rPr>
                <w:rFonts w:ascii="Arial" w:hAnsi="Arial"/>
                <w:b/>
                <w:sz w:val="16"/>
              </w:rPr>
            </w:pPr>
            <w:r>
              <w:rPr>
                <w:rFonts w:ascii="Arial" w:hAnsi="Arial"/>
                <w:b/>
                <w:sz w:val="16"/>
              </w:rPr>
              <w:t>Simplicity, Transparency, and Client Experience</w:t>
            </w:r>
          </w:p>
        </w:tc>
        <w:tc>
          <w:tcPr>
            <w:tcW w:w="5870" w:type="dxa"/>
            <w:tcBorders>
              <w:bottom w:val="single" w:sz="8" w:space="0" w:color="FFFFFF"/>
              <w:right w:val="single" w:sz="8" w:space="0" w:color="FFFFFF"/>
            </w:tcBorders>
            <w:shd w:fill="DBDBDB" w:val="clear"/>
            <w:tcMar>
              <w:top w:w="0" w:type="dxa"/>
              <w:left w:w="0" w:type="dxa"/>
            </w:tcMar>
            <w:vAlign w:val="center"/>
          </w:tcPr>
          <w:p>
            <w:pPr>
              <w:pStyle w:val="TableContents"/>
              <w:bidi w:val="0"/>
              <w:spacing w:before="0" w:after="283"/>
              <w:jc w:val="left"/>
              <w:rPr>
                <w:rFonts w:ascii="Arial" w:hAnsi="Arial"/>
                <w:sz w:val="16"/>
              </w:rPr>
            </w:pPr>
            <w:r>
              <w:rPr>
                <w:rFonts w:ascii="Arial" w:hAnsi="Arial"/>
                <w:sz w:val="16"/>
              </w:rPr>
              <w:t>Simple and transparent explanations of products and services conditions, their prices and commissions, increasing client trust and satisfaction</w:t>
            </w:r>
          </w:p>
        </w:tc>
        <w:tc>
          <w:tcPr>
            <w:tcW w:w="2446" w:type="dxa"/>
            <w:tcBorders>
              <w:bottom w:val="single" w:sz="8" w:space="0" w:color="FFFFFF"/>
              <w:right w:val="single" w:sz="8" w:space="0" w:color="FFFFFF"/>
            </w:tcBorders>
            <w:shd w:fill="DBDBDB" w:val="clear"/>
            <w:tcMar>
              <w:top w:w="0" w:type="dxa"/>
              <w:left w:w="0" w:type="dxa"/>
            </w:tcMar>
            <w:vAlign w:val="center"/>
          </w:tcPr>
          <w:p>
            <w:pPr>
              <w:pStyle w:val="TableContents"/>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GRI 417-Marketing and labeling</w:t>
            </w:r>
          </w:p>
          <w:p>
            <w:pPr>
              <w:pStyle w:val="TableContents"/>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Own indicators</w:t>
            </w:r>
          </w:p>
        </w:tc>
      </w:tr>
    </w:tbl>
    <w:p>
      <w:pPr>
        <w:pStyle w:val="TextBody"/>
        <w:bidi w:val="0"/>
        <w:spacing w:before="0" w:after="0"/>
        <w:ind w:left="0" w:right="2440" w:hanging="0"/>
        <w:jc w:val="left"/>
        <w:rPr>
          <w:caps w:val="false"/>
          <w:smallCaps w:val="false"/>
        </w:rPr>
      </w:pPr>
      <w:r>
        <w:rPr>
          <w:caps w:val="false"/>
          <w:smallCaps w:val="false"/>
        </w:rPr>
        <w:t> </w:t>
      </w:r>
    </w:p>
    <w:p>
      <w:pPr>
        <w:pStyle w:val="TextBody"/>
        <w:bidi w:val="0"/>
        <w:spacing w:lineRule="auto" w:line="240"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67 The information corresponding to this material topic is found in the Annual Report, and a table with relevant data is also attached in the annex.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68</w:t>
      </w:r>
    </w:p>
    <w:p>
      <w:pPr>
        <w:pStyle w:val="HorizontalLine"/>
        <w:pBdr>
          <w:bottom w:val="single" w:sz="12" w:space="0" w:color="808080"/>
        </w:pBdr>
        <w:bidi w:val="0"/>
        <w:spacing w:before="200" w:after="200"/>
        <w:jc w:val="left"/>
        <w:rPr/>
      </w:pPr>
      <w:r>
        <w:rPr/>
      </w:r>
    </w:p>
    <w:p>
      <w:pPr>
        <w:pStyle w:val="TextBody"/>
        <w:bidi w:val="0"/>
        <w:spacing w:before="0" w:after="0"/>
        <w:ind w:left="20" w:right="0" w:hanging="0"/>
        <w:jc w:val="left"/>
        <w:rPr>
          <w:rFonts w:ascii="Arial" w:hAnsi="Arial"/>
          <w:b/>
          <w:i w:val="false"/>
          <w:caps w:val="false"/>
          <w:smallCaps w:val="false"/>
          <w:color w:val="FE5000"/>
          <w:sz w:val="30"/>
        </w:rPr>
      </w:pPr>
      <w:r>
        <w:rPr>
          <w:rFonts w:ascii="Arial" w:hAnsi="Arial"/>
          <w:b/>
          <w:i w:val="false"/>
          <w:caps w:val="false"/>
          <w:smallCaps w:val="false"/>
          <w:color w:val="FE5000"/>
          <w:sz w:val="30"/>
        </w:rPr>
        <w:t>2. ANNEX SOCIAL CHAPTER</w:t>
      </w:r>
    </w:p>
    <w:p>
      <w:pPr>
        <w:pStyle w:val="TextBody"/>
        <w:bidi w:val="0"/>
        <w:spacing w:before="0" w:after="0"/>
        <w:ind w:left="20" w:right="0" w:hanging="0"/>
        <w:jc w:val="left"/>
        <w:rPr>
          <w:caps w:val="false"/>
          <w:smallCaps w:val="false"/>
          <w:color w:val="FE5000"/>
        </w:rPr>
      </w:pPr>
      <w:r>
        <w:rPr>
          <w:caps w:val="false"/>
          <w:smallCaps w:val="false"/>
          <w:color w:val="FE5000"/>
        </w:rPr>
        <w:t> </w:t>
      </w:r>
    </w:p>
    <w:p>
      <w:pPr>
        <w:pStyle w:val="TextBody"/>
        <w:bidi w:val="0"/>
        <w:spacing w:before="0" w:after="0"/>
        <w:ind w:left="20" w:right="0" w:hanging="0"/>
        <w:jc w:val="left"/>
        <w:rPr>
          <w:rFonts w:ascii="Arial" w:hAnsi="Arial"/>
          <w:b/>
          <w:i w:val="false"/>
          <w:caps w:val="false"/>
          <w:smallCaps w:val="false"/>
          <w:color w:val="FE5000"/>
          <w:sz w:val="30"/>
        </w:rPr>
      </w:pPr>
      <w:r>
        <w:rPr>
          <w:rFonts w:ascii="Arial" w:hAnsi="Arial"/>
          <w:b/>
          <w:i w:val="false"/>
          <w:caps w:val="false"/>
          <w:smallCaps w:val="false"/>
          <w:color w:val="FE5000"/>
          <w:sz w:val="30"/>
        </w:rPr>
        <w:t>2.1. SOCIAL IMPACT OF OUR BUSINESS</w:t>
      </w:r>
    </w:p>
    <w:p>
      <w:pPr>
        <w:pStyle w:val="TextBody"/>
        <w:bidi w:val="0"/>
        <w:spacing w:before="0" w:after="0"/>
        <w:ind w:left="20" w:right="0" w:hanging="0"/>
        <w:jc w:val="left"/>
        <w:rPr>
          <w:caps w:val="false"/>
          <w:smallCaps w:val="false"/>
          <w:color w:val="FE5000"/>
        </w:rPr>
      </w:pPr>
      <w:r>
        <w:rPr>
          <w:caps w:val="false"/>
          <w:smallCaps w:val="false"/>
          <w:color w:val="FE5000"/>
        </w:rPr>
        <w:t> </w:t>
      </w:r>
    </w:p>
    <w:p>
      <w:pPr>
        <w:pStyle w:val="TextBody"/>
        <w:bidi w:val="0"/>
        <w:spacing w:before="0" w:after="0"/>
        <w:ind w:left="2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2.1.1. Comprehensive financial inclusion</w:t>
      </w:r>
    </w:p>
    <w:p>
      <w:pPr>
        <w:pStyle w:val="TextBody"/>
        <w:bidi w:val="0"/>
        <w:spacing w:before="60" w:after="6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20" w:right="0" w:hanging="0"/>
        <w:jc w:val="left"/>
        <w:rPr>
          <w:rFonts w:ascii="Arial" w:hAnsi="Arial"/>
          <w:b/>
          <w:i w:val="false"/>
          <w:caps w:val="false"/>
          <w:smallCaps w:val="false"/>
          <w:sz w:val="20"/>
        </w:rPr>
      </w:pPr>
      <w:r>
        <w:rPr>
          <w:rFonts w:ascii="Arial" w:hAnsi="Arial"/>
          <w:b/>
          <w:i w:val="false"/>
          <w:caps w:val="false"/>
          <w:smallCaps w:val="false"/>
          <w:sz w:val="20"/>
        </w:rPr>
        <w:t>MATERIAL TOPIC FINANCIAL EDUCATION AND INCLUSION</w:t>
      </w:r>
    </w:p>
    <w:p>
      <w:pPr>
        <w:pStyle w:val="TextBody"/>
        <w:bidi w:val="0"/>
        <w:spacing w:before="0" w:after="0"/>
        <w:ind w:left="20" w:right="0" w:hanging="0"/>
        <w:jc w:val="left"/>
        <w:rPr>
          <w:rFonts w:ascii="Arial" w:hAnsi="Arial"/>
          <w:b w:val="false"/>
          <w:i w:val="false"/>
          <w:caps w:val="false"/>
          <w:smallCaps w:val="false"/>
          <w:sz w:val="20"/>
        </w:rPr>
      </w:pPr>
      <w:r>
        <w:rPr>
          <w:rFonts w:ascii="Arial" w:hAnsi="Arial"/>
          <w:b/>
          <w:i w:val="false"/>
          <w:caps w:val="false"/>
          <w:smallCaps w:val="false"/>
          <w:sz w:val="20"/>
        </w:rPr>
        <w:t xml:space="preserve">SASB FN-CB-240a.3 </w:t>
      </w:r>
      <w:r>
        <w:rPr>
          <w:rFonts w:ascii="Arial" w:hAnsi="Arial"/>
          <w:b w:val="false"/>
          <w:i w:val="false"/>
          <w:caps w:val="false"/>
          <w:smallCaps w:val="false"/>
          <w:sz w:val="20"/>
        </w:rPr>
        <w:t>Number of no-cost retail checking accounts provided to previously unbanked or underbanked clients</w:t>
      </w:r>
    </w:p>
    <w:p>
      <w:pPr>
        <w:pStyle w:val="TextBody"/>
        <w:bidi w:val="0"/>
        <w:spacing w:before="0" w:after="0"/>
        <w:ind w:left="20" w:right="0" w:hanging="0"/>
        <w:jc w:val="left"/>
        <w:rPr>
          <w:caps w:val="false"/>
          <w:smallCaps w:val="false"/>
        </w:rPr>
      </w:pPr>
      <w:r>
        <w:rPr>
          <w:caps w:val="false"/>
          <w:smallCaps w:val="false"/>
        </w:rPr>
        <w:t> </w:t>
      </w:r>
    </w:p>
    <w:tbl>
      <w:tblPr>
        <w:tblW w:w="10205" w:type="dxa"/>
        <w:jc w:val="left"/>
        <w:tblInd w:w="-10" w:type="dxa"/>
        <w:tblLayout w:type="fixed"/>
        <w:tblCellMar>
          <w:top w:w="28" w:type="dxa"/>
          <w:left w:w="60" w:type="dxa"/>
          <w:bottom w:w="28" w:type="dxa"/>
          <w:right w:w="0" w:type="dxa"/>
        </w:tblCellMar>
      </w:tblPr>
      <w:tblGrid>
        <w:gridCol w:w="8351"/>
        <w:gridCol w:w="1098"/>
        <w:gridCol w:w="756"/>
      </w:tblGrid>
      <w:tr>
        <w:trPr/>
        <w:tc>
          <w:tcPr>
            <w:tcW w:w="8351" w:type="dxa"/>
            <w:tcBorders>
              <w:top w:val="single" w:sz="8" w:space="0" w:color="000000"/>
              <w:left w:val="single" w:sz="8" w:space="0" w:color="000000"/>
              <w:bottom w:val="single" w:sz="8" w:space="0" w:color="000000"/>
            </w:tcBorders>
            <w:shd w:fill="000000"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ACCOUNTING PARAMETER</w:t>
            </w:r>
          </w:p>
        </w:tc>
        <w:tc>
          <w:tcPr>
            <w:tcW w:w="1098" w:type="dxa"/>
            <w:tcBorders>
              <w:top w:val="single" w:sz="8" w:space="0" w:color="000000"/>
              <w:bottom w:val="single" w:sz="8" w:space="0" w:color="000000"/>
            </w:tcBorders>
            <w:shd w:fill="000000" w:val="clear"/>
            <w:tcMar>
              <w:left w:w="0" w:type="dxa"/>
            </w:tcM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SASB CODE</w:t>
            </w:r>
          </w:p>
        </w:tc>
        <w:tc>
          <w:tcPr>
            <w:tcW w:w="756" w:type="dxa"/>
            <w:tcBorders>
              <w:top w:val="single" w:sz="8" w:space="0" w:color="000000"/>
              <w:bottom w:val="single" w:sz="8" w:space="0" w:color="000000"/>
              <w:right w:val="single" w:sz="8" w:space="0" w:color="000000"/>
            </w:tcBorders>
            <w:shd w:fill="000000" w:val="clear"/>
            <w:tcMar>
              <w:left w:w="0" w:type="dxa"/>
              <w:right w:w="6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2023</w:t>
            </w:r>
          </w:p>
        </w:tc>
      </w:tr>
      <w:tr>
        <w:trPr/>
        <w:tc>
          <w:tcPr>
            <w:tcW w:w="8351" w:type="dxa"/>
            <w:tcBorders>
              <w:left w:val="single" w:sz="8" w:space="0" w:color="000000"/>
              <w:bottom w:val="single" w:sz="8" w:space="0" w:color="000000"/>
            </w:tcBorders>
            <w:tcMar>
              <w:top w:w="0" w:type="dxa"/>
              <w:bottom w:w="100" w:type="dxa"/>
            </w:tcMar>
            <w:vAlign w:val="center"/>
          </w:tcPr>
          <w:p>
            <w:pPr>
              <w:pStyle w:val="TableContents"/>
              <w:bidi w:val="0"/>
              <w:spacing w:before="0" w:after="283"/>
              <w:jc w:val="left"/>
              <w:rPr>
                <w:rFonts w:ascii="Arial" w:hAnsi="Arial"/>
                <w:b/>
                <w:i w:val="false"/>
                <w:caps w:val="false"/>
                <w:smallCaps w:val="false"/>
                <w:color w:val="404040"/>
                <w:sz w:val="16"/>
              </w:rPr>
            </w:pPr>
            <w:r>
              <w:rPr>
                <w:rFonts w:ascii="Arial" w:hAnsi="Arial"/>
                <w:b/>
                <w:i w:val="false"/>
                <w:caps w:val="false"/>
                <w:smallCaps w:val="false"/>
                <w:color w:val="404040"/>
                <w:sz w:val="16"/>
              </w:rPr>
              <w:t>Number of no-cost retail checking accounts provided to previously unbanked or underbanked customers</w:t>
            </w:r>
          </w:p>
        </w:tc>
        <w:tc>
          <w:tcPr>
            <w:tcW w:w="1098" w:type="dxa"/>
            <w:tcBorders>
              <w:bottom w:val="single" w:sz="8" w:space="0" w:color="000000"/>
            </w:tcBorders>
            <w:tcMar>
              <w:top w:w="0" w:type="dxa"/>
              <w:left w:w="0" w:type="dxa"/>
              <w:bottom w:w="100" w:type="dxa"/>
            </w:tcMar>
            <w:vAlign w:val="center"/>
          </w:tcPr>
          <w:p>
            <w:pPr>
              <w:pStyle w:val="TableContents"/>
              <w:bidi w:val="0"/>
              <w:spacing w:before="0" w:after="283"/>
              <w:jc w:val="left"/>
              <w:rPr>
                <w:rFonts w:ascii="Arial" w:hAnsi="Arial"/>
                <w:b/>
                <w:i w:val="false"/>
                <w:caps w:val="false"/>
                <w:smallCaps w:val="false"/>
                <w:color w:val="404040"/>
                <w:sz w:val="16"/>
              </w:rPr>
            </w:pPr>
            <w:r>
              <w:rPr>
                <w:rFonts w:ascii="Arial" w:hAnsi="Arial"/>
                <w:b/>
                <w:i w:val="false"/>
                <w:caps w:val="false"/>
                <w:smallCaps w:val="false"/>
                <w:color w:val="404040"/>
                <w:sz w:val="16"/>
              </w:rPr>
              <w:t>FN-CB-240a.3</w:t>
            </w:r>
          </w:p>
        </w:tc>
        <w:tc>
          <w:tcPr>
            <w:tcW w:w="756" w:type="dxa"/>
            <w:tcBorders>
              <w:bottom w:val="single" w:sz="8" w:space="0" w:color="000000"/>
              <w:right w:val="single" w:sz="8" w:space="0" w:color="000000"/>
            </w:tcBorders>
            <w:tcMar>
              <w:top w:w="0" w:type="dxa"/>
              <w:left w:w="0" w:type="dxa"/>
              <w:bottom w:w="100" w:type="dxa"/>
              <w:right w:w="60"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5,767,184</w:t>
            </w:r>
          </w:p>
        </w:tc>
      </w:tr>
      <w:tr>
        <w:trPr/>
        <w:tc>
          <w:tcPr>
            <w:tcW w:w="8351"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Arial" w:hAnsi="Arial"/>
                <w:b/>
                <w:i w:val="false"/>
                <w:caps w:val="false"/>
                <w:smallCaps w:val="false"/>
                <w:color w:val="404040"/>
                <w:sz w:val="16"/>
              </w:rPr>
            </w:pPr>
            <w:r>
              <w:rPr>
                <w:rFonts w:ascii="Arial" w:hAnsi="Arial"/>
                <w:b/>
                <w:i w:val="false"/>
                <w:caps w:val="false"/>
                <w:smallCaps w:val="false"/>
                <w:color w:val="404040"/>
                <w:sz w:val="16"/>
              </w:rPr>
              <w:t>Total (includes BCP Perú, Mibanco Perú, and Mibanco Colombia)</w:t>
            </w:r>
          </w:p>
        </w:tc>
        <w:tc>
          <w:tcPr>
            <w:tcW w:w="1098" w:type="dxa"/>
            <w:tcBorders>
              <w:bottom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756"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283"/>
              <w:jc w:val="center"/>
              <w:rPr>
                <w:rFonts w:ascii="Arial" w:hAnsi="Arial"/>
                <w:b/>
                <w:i w:val="false"/>
                <w:caps w:val="false"/>
                <w:smallCaps w:val="false"/>
                <w:color w:val="404040"/>
                <w:sz w:val="16"/>
              </w:rPr>
            </w:pPr>
            <w:r>
              <w:rPr>
                <w:rFonts w:ascii="Arial" w:hAnsi="Arial"/>
                <w:b/>
                <w:i w:val="false"/>
                <w:caps w:val="false"/>
                <w:smallCaps w:val="false"/>
                <w:color w:val="404040"/>
                <w:sz w:val="16"/>
              </w:rPr>
              <w:t>5,767,184</w:t>
            </w:r>
          </w:p>
        </w:tc>
      </w:tr>
    </w:tbl>
    <w:p>
      <w:pPr>
        <w:pStyle w:val="TextBody"/>
        <w:bidi w:val="0"/>
        <w:spacing w:before="0" w:after="0"/>
        <w:ind w:left="20" w:right="0" w:hanging="0"/>
        <w:jc w:val="left"/>
        <w:rPr>
          <w:caps w:val="false"/>
          <w:smallCaps w:val="false"/>
          <w:color w:val="FE5000"/>
        </w:rPr>
      </w:pPr>
      <w:r>
        <w:rPr>
          <w:caps w:val="false"/>
          <w:smallCaps w:val="false"/>
          <w:color w:val="FE5000"/>
        </w:rPr>
        <w:t> </w:t>
      </w:r>
    </w:p>
    <w:p>
      <w:pPr>
        <w:pStyle w:val="TextBody"/>
        <w:bidi w:val="0"/>
        <w:spacing w:before="0" w:after="0"/>
        <w:ind w:left="2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2.1.2. Helping small businesses grow</w:t>
      </w:r>
    </w:p>
    <w:p>
      <w:pPr>
        <w:pStyle w:val="TextBody"/>
        <w:bidi w:val="0"/>
        <w:spacing w:before="60" w:after="6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20" w:right="0" w:hanging="0"/>
        <w:jc w:val="left"/>
        <w:rPr>
          <w:rFonts w:ascii="Arial" w:hAnsi="Arial"/>
          <w:b/>
          <w:i w:val="false"/>
          <w:caps w:val="false"/>
          <w:smallCaps w:val="false"/>
          <w:sz w:val="20"/>
        </w:rPr>
      </w:pPr>
      <w:r>
        <w:rPr>
          <w:rFonts w:ascii="Arial" w:hAnsi="Arial"/>
          <w:b/>
          <w:i w:val="false"/>
          <w:caps w:val="false"/>
          <w:smallCaps w:val="false"/>
          <w:sz w:val="20"/>
        </w:rPr>
        <w:t>MATERIAL TOPIC FINANCIAL EDUCATION AND INCLUSION</w:t>
      </w:r>
    </w:p>
    <w:p>
      <w:pPr>
        <w:pStyle w:val="TextBody"/>
        <w:bidi w:val="0"/>
        <w:spacing w:before="0" w:after="0"/>
        <w:ind w:left="20" w:right="0" w:hanging="0"/>
        <w:jc w:val="left"/>
        <w:rPr>
          <w:rFonts w:ascii="Arial" w:hAnsi="Arial"/>
          <w:b w:val="false"/>
          <w:i w:val="false"/>
          <w:caps w:val="false"/>
          <w:smallCaps w:val="false"/>
          <w:sz w:val="20"/>
        </w:rPr>
      </w:pPr>
      <w:r>
        <w:rPr>
          <w:rFonts w:ascii="Arial" w:hAnsi="Arial"/>
          <w:b/>
          <w:i w:val="false"/>
          <w:caps w:val="false"/>
          <w:smallCaps w:val="false"/>
          <w:sz w:val="20"/>
        </w:rPr>
        <w:t xml:space="preserve">SASB </w:t>
      </w:r>
      <w:r>
        <w:rPr>
          <w:rFonts w:ascii="Arial" w:hAnsi="Arial"/>
          <w:b w:val="false"/>
          <w:i w:val="false"/>
          <w:caps w:val="false"/>
          <w:smallCaps w:val="false"/>
          <w:sz w:val="20"/>
        </w:rPr>
        <w:t>FN-CB-240A.1, SASB FN-CB-240A.2 </w:t>
      </w:r>
    </w:p>
    <w:tbl>
      <w:tblPr>
        <w:tblW w:w="10205" w:type="dxa"/>
        <w:jc w:val="left"/>
        <w:tblInd w:w="0" w:type="dxa"/>
        <w:tblLayout w:type="fixed"/>
        <w:tblCellMar>
          <w:top w:w="0" w:type="dxa"/>
          <w:left w:w="0" w:type="dxa"/>
          <w:bottom w:w="0" w:type="dxa"/>
          <w:right w:w="0" w:type="dxa"/>
        </w:tblCellMar>
      </w:tblPr>
      <w:tblGrid>
        <w:gridCol w:w="7657"/>
        <w:gridCol w:w="865"/>
        <w:gridCol w:w="875"/>
        <w:gridCol w:w="808"/>
      </w:tblGrid>
      <w:tr>
        <w:trPr/>
        <w:tc>
          <w:tcPr>
            <w:tcW w:w="7657" w:type="dxa"/>
            <w:vMerge w:val="restart"/>
            <w:tcBorders/>
            <w:shd w:fill="000000"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ACCOUNTING PARAMETER</w:t>
            </w:r>
          </w:p>
        </w:tc>
        <w:tc>
          <w:tcPr>
            <w:tcW w:w="865" w:type="dxa"/>
            <w:vMerge w:val="restart"/>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SASB CODE</w:t>
            </w:r>
          </w:p>
        </w:tc>
        <w:tc>
          <w:tcPr>
            <w:tcW w:w="1683" w:type="dxa"/>
            <w:gridSpan w:val="2"/>
            <w:tcBorders>
              <w:bottom w:val="single" w:sz="8" w:space="0" w:color="000000"/>
            </w:tcBorders>
            <w:shd w:fill="00000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2023</w:t>
            </w:r>
          </w:p>
        </w:tc>
      </w:tr>
      <w:tr>
        <w:trPr/>
        <w:tc>
          <w:tcPr>
            <w:tcW w:w="7657" w:type="dxa"/>
            <w:vMerge w:val="continue"/>
            <w:tcBorders/>
            <w:shd w:fill="000000" w:val="clear"/>
            <w:vAlign w:val="center"/>
          </w:tcPr>
          <w:p>
            <w:pPr>
              <w:pStyle w:val="Normal"/>
              <w:bidi w:val="0"/>
              <w:jc w:val="left"/>
              <w:rPr/>
            </w:pPr>
            <w:r>
              <w:rPr/>
            </w:r>
          </w:p>
        </w:tc>
        <w:tc>
          <w:tcPr>
            <w:tcW w:w="865" w:type="dxa"/>
            <w:vMerge w:val="continue"/>
            <w:tcBorders/>
            <w:shd w:fill="000000" w:val="clear"/>
            <w:vAlign w:val="center"/>
          </w:tcPr>
          <w:p>
            <w:pPr>
              <w:pStyle w:val="Normal"/>
              <w:bidi w:val="0"/>
              <w:jc w:val="left"/>
              <w:rPr/>
            </w:pPr>
            <w:r>
              <w:rPr/>
            </w:r>
          </w:p>
        </w:tc>
        <w:tc>
          <w:tcPr>
            <w:tcW w:w="875"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Number</w:t>
            </w:r>
          </w:p>
        </w:tc>
        <w:tc>
          <w:tcPr>
            <w:tcW w:w="808"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S/ millions</w:t>
            </w:r>
          </w:p>
        </w:tc>
      </w:tr>
      <w:tr>
        <w:trPr/>
        <w:tc>
          <w:tcPr>
            <w:tcW w:w="7657" w:type="dxa"/>
            <w:tcBorders>
              <w:bottom w:val="single" w:sz="8" w:space="0" w:color="BFBFBF"/>
            </w:tcBorders>
            <w:tcMar>
              <w:bottom w:w="28" w:type="dxa"/>
            </w:tcMar>
            <w:vAlign w:val="center"/>
          </w:tcPr>
          <w:p>
            <w:pPr>
              <w:pStyle w:val="TableContents"/>
              <w:bidi w:val="0"/>
              <w:spacing w:before="0" w:after="283"/>
              <w:jc w:val="left"/>
              <w:rPr>
                <w:rFonts w:ascii="Arial" w:hAnsi="Arial"/>
                <w:b/>
                <w:i w:val="false"/>
                <w:caps w:val="false"/>
                <w:smallCaps w:val="false"/>
                <w:color w:val="404040"/>
                <w:sz w:val="16"/>
              </w:rPr>
            </w:pPr>
            <w:r>
              <w:rPr>
                <w:rFonts w:ascii="Arial" w:hAnsi="Arial"/>
                <w:b/>
                <w:i w:val="false"/>
                <w:caps w:val="false"/>
                <w:smallCaps w:val="false"/>
                <w:color w:val="404040"/>
                <w:sz w:val="16"/>
              </w:rPr>
              <w:t>Number and amount of loans outstanding that qualify for programs designed to promote small business and community development</w:t>
            </w:r>
          </w:p>
        </w:tc>
        <w:tc>
          <w:tcPr>
            <w:tcW w:w="865" w:type="dxa"/>
            <w:tcBorders>
              <w:bottom w:val="single" w:sz="8" w:space="0" w:color="BFBFBF"/>
            </w:tcBorders>
            <w:tcMar>
              <w:bottom w:w="28" w:type="dxa"/>
            </w:tcMar>
            <w:vAlign w:val="center"/>
          </w:tcPr>
          <w:p>
            <w:pPr>
              <w:pStyle w:val="TableContents"/>
              <w:bidi w:val="0"/>
              <w:spacing w:before="0" w:after="283"/>
              <w:jc w:val="left"/>
              <w:rPr>
                <w:rFonts w:ascii="Arial" w:hAnsi="Arial"/>
                <w:b/>
                <w:i w:val="false"/>
                <w:caps w:val="false"/>
                <w:smallCaps w:val="false"/>
                <w:color w:val="404040"/>
                <w:sz w:val="16"/>
              </w:rPr>
            </w:pPr>
            <w:r>
              <w:rPr>
                <w:rFonts w:ascii="Arial" w:hAnsi="Arial"/>
                <w:b/>
                <w:i w:val="false"/>
                <w:caps w:val="false"/>
                <w:smallCaps w:val="false"/>
                <w:color w:val="404040"/>
                <w:sz w:val="16"/>
              </w:rPr>
              <w:t>FN_CB-240a.1</w:t>
            </w:r>
          </w:p>
        </w:tc>
        <w:tc>
          <w:tcPr>
            <w:tcW w:w="87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1,237,582</w:t>
            </w:r>
          </w:p>
        </w:tc>
        <w:tc>
          <w:tcPr>
            <w:tcW w:w="808"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22,581.60</w:t>
            </w:r>
          </w:p>
        </w:tc>
      </w:tr>
      <w:tr>
        <w:trPr/>
        <w:tc>
          <w:tcPr>
            <w:tcW w:w="7657" w:type="dxa"/>
            <w:tcBorders>
              <w:bottom w:val="single" w:sz="8" w:space="0" w:color="BFBFBF"/>
            </w:tcBorders>
            <w:tcMar>
              <w:bottom w:w="28" w:type="dxa"/>
            </w:tcMar>
            <w:vAlign w:val="center"/>
          </w:tcPr>
          <w:p>
            <w:pPr>
              <w:pStyle w:val="TableContents"/>
              <w:bidi w:val="0"/>
              <w:spacing w:before="0" w:after="283"/>
              <w:jc w:val="left"/>
              <w:rPr>
                <w:rFonts w:ascii="Arial" w:hAnsi="Arial"/>
                <w:b/>
                <w:i w:val="false"/>
                <w:caps w:val="false"/>
                <w:smallCaps w:val="false"/>
                <w:color w:val="404040"/>
                <w:sz w:val="16"/>
              </w:rPr>
            </w:pPr>
            <w:r>
              <w:rPr>
                <w:rFonts w:ascii="Arial" w:hAnsi="Arial"/>
                <w:b/>
                <w:i w:val="false"/>
                <w:caps w:val="false"/>
                <w:smallCaps w:val="false"/>
                <w:color w:val="404040"/>
                <w:sz w:val="16"/>
              </w:rPr>
              <w:t>Number and amount of past due and nonaccrual loans or loans subject to forbearance that qualify for programs designed to promote small business and community development</w:t>
            </w:r>
          </w:p>
        </w:tc>
        <w:tc>
          <w:tcPr>
            <w:tcW w:w="865" w:type="dxa"/>
            <w:tcBorders>
              <w:bottom w:val="single" w:sz="8" w:space="0" w:color="BFBFBF"/>
            </w:tcBorders>
            <w:tcMar>
              <w:bottom w:w="28" w:type="dxa"/>
            </w:tcMar>
            <w:vAlign w:val="center"/>
          </w:tcPr>
          <w:p>
            <w:pPr>
              <w:pStyle w:val="TableContents"/>
              <w:bidi w:val="0"/>
              <w:spacing w:before="0" w:after="283"/>
              <w:jc w:val="left"/>
              <w:rPr>
                <w:rFonts w:ascii="Arial" w:hAnsi="Arial"/>
                <w:b/>
                <w:i w:val="false"/>
                <w:caps w:val="false"/>
                <w:smallCaps w:val="false"/>
                <w:color w:val="404040"/>
                <w:sz w:val="16"/>
              </w:rPr>
            </w:pPr>
            <w:r>
              <w:rPr>
                <w:rFonts w:ascii="Arial" w:hAnsi="Arial"/>
                <w:b/>
                <w:i w:val="false"/>
                <w:caps w:val="false"/>
                <w:smallCaps w:val="false"/>
                <w:color w:val="404040"/>
                <w:sz w:val="16"/>
              </w:rPr>
              <w:t>FN-CB-240a.2</w:t>
            </w:r>
          </w:p>
        </w:tc>
        <w:tc>
          <w:tcPr>
            <w:tcW w:w="87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147,907</w:t>
            </w:r>
          </w:p>
        </w:tc>
        <w:tc>
          <w:tcPr>
            <w:tcW w:w="808"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1,645.80</w:t>
            </w:r>
          </w:p>
        </w:tc>
      </w:tr>
      <w:tr>
        <w:trPr/>
        <w:tc>
          <w:tcPr>
            <w:tcW w:w="7657" w:type="dxa"/>
            <w:tcBorders>
              <w:bottom w:val="single" w:sz="8" w:space="0" w:color="BFBFBF"/>
            </w:tcBorders>
            <w:tcMar>
              <w:bottom w:w="28" w:type="dxa"/>
            </w:tcMar>
            <w:vAlign w:val="center"/>
          </w:tcPr>
          <w:p>
            <w:pPr>
              <w:pStyle w:val="TableContents"/>
              <w:bidi w:val="0"/>
              <w:spacing w:before="0" w:after="283"/>
              <w:jc w:val="left"/>
              <w:rPr>
                <w:rFonts w:ascii="Arial" w:hAnsi="Arial"/>
                <w:b/>
                <w:i w:val="false"/>
                <w:caps w:val="false"/>
                <w:smallCaps w:val="false"/>
                <w:color w:val="404040"/>
                <w:sz w:val="16"/>
              </w:rPr>
            </w:pPr>
            <w:r>
              <w:rPr>
                <w:rFonts w:ascii="Arial" w:hAnsi="Arial"/>
                <w:b/>
                <w:i w:val="false"/>
                <w:caps w:val="false"/>
                <w:smallCaps w:val="false"/>
                <w:color w:val="404040"/>
                <w:sz w:val="16"/>
              </w:rPr>
              <w:t>Total (includes BCP Perú, BCP Bolivia, Mibanco Perú, and Mibanco Colombia)</w:t>
            </w:r>
          </w:p>
        </w:tc>
        <w:tc>
          <w:tcPr>
            <w:tcW w:w="865" w:type="dxa"/>
            <w:tcBorders>
              <w:bottom w:val="single" w:sz="8" w:space="0" w:color="BFBFBF"/>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bottom w:val="single" w:sz="8" w:space="0" w:color="BFBFBF"/>
            </w:tcBorders>
            <w:tcMar>
              <w:bottom w:w="28" w:type="dxa"/>
            </w:tcMar>
            <w:vAlign w:val="center"/>
          </w:tcPr>
          <w:p>
            <w:pPr>
              <w:pStyle w:val="TableContents"/>
              <w:bidi w:val="0"/>
              <w:spacing w:before="0" w:after="283"/>
              <w:jc w:val="center"/>
              <w:rPr>
                <w:rFonts w:ascii="Arial" w:hAnsi="Arial"/>
                <w:b/>
                <w:i w:val="false"/>
                <w:caps w:val="false"/>
                <w:smallCaps w:val="false"/>
                <w:color w:val="404040"/>
                <w:sz w:val="16"/>
              </w:rPr>
            </w:pPr>
            <w:r>
              <w:rPr>
                <w:rFonts w:ascii="Arial" w:hAnsi="Arial"/>
                <w:b/>
                <w:i w:val="false"/>
                <w:caps w:val="false"/>
                <w:smallCaps w:val="false"/>
                <w:color w:val="404040"/>
                <w:sz w:val="16"/>
              </w:rPr>
              <w:t>1,385,489.0</w:t>
            </w:r>
          </w:p>
        </w:tc>
        <w:tc>
          <w:tcPr>
            <w:tcW w:w="808" w:type="dxa"/>
            <w:tcBorders>
              <w:bottom w:val="single" w:sz="8" w:space="0" w:color="BFBFBF"/>
            </w:tcBorders>
            <w:tcMar>
              <w:bottom w:w="28" w:type="dxa"/>
            </w:tcMar>
            <w:vAlign w:val="center"/>
          </w:tcPr>
          <w:p>
            <w:pPr>
              <w:pStyle w:val="TableContents"/>
              <w:bidi w:val="0"/>
              <w:spacing w:before="0" w:after="283"/>
              <w:jc w:val="center"/>
              <w:rPr>
                <w:rFonts w:ascii="Arial" w:hAnsi="Arial"/>
                <w:b/>
                <w:i w:val="false"/>
                <w:caps w:val="false"/>
                <w:smallCaps w:val="false"/>
                <w:color w:val="404040"/>
                <w:sz w:val="16"/>
              </w:rPr>
            </w:pPr>
            <w:r>
              <w:rPr>
                <w:rFonts w:ascii="Arial" w:hAnsi="Arial"/>
                <w:b/>
                <w:i w:val="false"/>
                <w:caps w:val="false"/>
                <w:smallCaps w:val="false"/>
                <w:color w:val="404040"/>
                <w:sz w:val="16"/>
              </w:rPr>
              <w:t>24,227.4</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200" w:after="20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69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2.1.4. Simplicity, transparency, and client experience</w:t>
      </w:r>
    </w:p>
    <w:p>
      <w:pPr>
        <w:pStyle w:val="TextBody"/>
        <w:bidi w:val="0"/>
        <w:spacing w:before="60" w:after="6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MATERIAL TOPIC SIMPLICITY, TRANSPARENCY, AND THE CLIENT</w:t>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EXPERIENCE</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i w:val="false"/>
          <w:caps w:val="false"/>
          <w:smallCaps w:val="false"/>
          <w:sz w:val="20"/>
        </w:rPr>
        <w:t xml:space="preserve">GRI </w:t>
      </w:r>
      <w:r>
        <w:rPr>
          <w:rFonts w:ascii="Arial" w:hAnsi="Arial"/>
          <w:b w:val="false"/>
          <w:i w:val="false"/>
          <w:caps w:val="false"/>
          <w:smallCaps w:val="false"/>
          <w:sz w:val="20"/>
        </w:rPr>
        <w:t>417- 2, 417- 3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val="false"/>
          <w:i w:val="false"/>
          <w:caps w:val="false"/>
          <w:smallCaps w:val="false"/>
          <w:sz w:val="20"/>
        </w:rPr>
        <w:t>We are committed to complying with the regulations that apply in the different jurisdiction where we operate regarding communicating our product information. We also follow ASBANC’s self-regulation guidelines and use its manuals to guide our communications.</w:t>
      </w:r>
    </w:p>
    <w:p>
      <w:pPr>
        <w:pStyle w:val="TextBody"/>
        <w:bidi w:val="0"/>
        <w:spacing w:before="0" w:after="0"/>
        <w:ind w:left="0" w:right="0" w:hanging="0"/>
        <w:jc w:val="left"/>
        <w:rPr>
          <w:caps w:val="false"/>
          <w:smallCaps w:val="false"/>
        </w:rPr>
      </w:pPr>
      <w:r>
        <w:rPr>
          <w:caps w:val="false"/>
          <w:smallCaps w:val="false"/>
        </w:rPr>
        <w:t> </w:t>
      </w:r>
    </w:p>
    <w:tbl>
      <w:tblPr>
        <w:tblW w:w="8490" w:type="dxa"/>
        <w:jc w:val="left"/>
        <w:tblInd w:w="0" w:type="dxa"/>
        <w:tblLayout w:type="fixed"/>
        <w:tblCellMar>
          <w:top w:w="0" w:type="dxa"/>
          <w:left w:w="0" w:type="dxa"/>
          <w:bottom w:w="0" w:type="dxa"/>
          <w:right w:w="0" w:type="dxa"/>
        </w:tblCellMar>
      </w:tblPr>
      <w:tblGrid>
        <w:gridCol w:w="7715"/>
        <w:gridCol w:w="380"/>
        <w:gridCol w:w="395"/>
      </w:tblGrid>
      <w:tr>
        <w:trPr/>
        <w:tc>
          <w:tcPr>
            <w:tcW w:w="7715" w:type="dxa"/>
            <w:tcBorders/>
            <w:shd w:fill="000000"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GRI 417-2 Incidence of non-compliance concerning product and service information and labeling</w:t>
            </w:r>
          </w:p>
        </w:tc>
        <w:tc>
          <w:tcPr>
            <w:tcW w:w="380"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2023</w:t>
            </w:r>
          </w:p>
        </w:tc>
        <w:tc>
          <w:tcPr>
            <w:tcW w:w="395"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2022</w:t>
            </w:r>
          </w:p>
        </w:tc>
      </w:tr>
      <w:tr>
        <w:trPr/>
        <w:tc>
          <w:tcPr>
            <w:tcW w:w="7715" w:type="dxa"/>
            <w:tcBorders>
              <w:bottom w:val="single" w:sz="8" w:space="0" w:color="BFBFBF"/>
            </w:tcBorders>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That resulted in fines and penalties</w:t>
            </w:r>
          </w:p>
        </w:tc>
        <w:tc>
          <w:tcPr>
            <w:tcW w:w="380"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w:t>
            </w:r>
          </w:p>
        </w:tc>
        <w:tc>
          <w:tcPr>
            <w:tcW w:w="39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w:t>
            </w:r>
          </w:p>
        </w:tc>
      </w:tr>
      <w:tr>
        <w:trPr/>
        <w:tc>
          <w:tcPr>
            <w:tcW w:w="7715" w:type="dxa"/>
            <w:tcBorders>
              <w:bottom w:val="single" w:sz="8" w:space="0" w:color="BFBFBF"/>
            </w:tcBorders>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That resulted in warnings</w:t>
            </w:r>
          </w:p>
        </w:tc>
        <w:tc>
          <w:tcPr>
            <w:tcW w:w="380"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w:t>
            </w:r>
          </w:p>
        </w:tc>
        <w:tc>
          <w:tcPr>
            <w:tcW w:w="39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12</w:t>
            </w:r>
          </w:p>
        </w:tc>
      </w:tr>
      <w:tr>
        <w:trPr/>
        <w:tc>
          <w:tcPr>
            <w:tcW w:w="7715" w:type="dxa"/>
            <w:tcBorders>
              <w:bottom w:val="single" w:sz="8" w:space="0" w:color="BFBFBF"/>
            </w:tcBorders>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Of voluntary codes</w:t>
            </w:r>
          </w:p>
        </w:tc>
        <w:tc>
          <w:tcPr>
            <w:tcW w:w="380"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w:t>
            </w:r>
          </w:p>
        </w:tc>
        <w:tc>
          <w:tcPr>
            <w:tcW w:w="39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w:t>
            </w:r>
          </w:p>
        </w:tc>
      </w:tr>
      <w:tr>
        <w:trPr/>
        <w:tc>
          <w:tcPr>
            <w:tcW w:w="7715" w:type="dxa"/>
            <w:tcBorders>
              <w:bottom w:val="single" w:sz="8" w:space="0" w:color="BFBFBF"/>
            </w:tcBorders>
            <w:tcMar>
              <w:bottom w:w="28" w:type="dxa"/>
            </w:tcMar>
            <w:vAlign w:val="center"/>
          </w:tcPr>
          <w:p>
            <w:pPr>
              <w:pStyle w:val="TableContents"/>
              <w:bidi w:val="0"/>
              <w:spacing w:before="0" w:after="283"/>
              <w:jc w:val="left"/>
              <w:rPr>
                <w:rFonts w:ascii="Arial" w:hAnsi="Arial"/>
                <w:b/>
                <w:i w:val="false"/>
                <w:caps w:val="false"/>
                <w:smallCaps w:val="false"/>
                <w:color w:val="404040"/>
                <w:sz w:val="16"/>
              </w:rPr>
            </w:pPr>
            <w:r>
              <w:rPr>
                <w:rFonts w:ascii="Arial" w:hAnsi="Arial"/>
                <w:b/>
                <w:i w:val="false"/>
                <w:caps w:val="false"/>
                <w:smallCaps w:val="false"/>
                <w:color w:val="404040"/>
                <w:sz w:val="16"/>
              </w:rPr>
              <w:t>Total cases</w:t>
            </w:r>
          </w:p>
        </w:tc>
        <w:tc>
          <w:tcPr>
            <w:tcW w:w="380" w:type="dxa"/>
            <w:tcBorders>
              <w:bottom w:val="single" w:sz="8" w:space="0" w:color="BFBFBF"/>
            </w:tcBorders>
            <w:tcMar>
              <w:bottom w:w="28" w:type="dxa"/>
            </w:tcMar>
            <w:vAlign w:val="center"/>
          </w:tcPr>
          <w:p>
            <w:pPr>
              <w:pStyle w:val="TableContents"/>
              <w:bidi w:val="0"/>
              <w:spacing w:before="0" w:after="283"/>
              <w:jc w:val="center"/>
              <w:rPr>
                <w:rFonts w:ascii="Arial" w:hAnsi="Arial"/>
                <w:b/>
                <w:i w:val="false"/>
                <w:caps w:val="false"/>
                <w:smallCaps w:val="false"/>
                <w:color w:val="404040"/>
                <w:sz w:val="16"/>
              </w:rPr>
            </w:pPr>
            <w:r>
              <w:rPr>
                <w:rFonts w:ascii="Arial" w:hAnsi="Arial"/>
                <w:b/>
                <w:i w:val="false"/>
                <w:caps w:val="false"/>
                <w:smallCaps w:val="false"/>
                <w:color w:val="404040"/>
                <w:sz w:val="16"/>
              </w:rPr>
              <w:t>2</w:t>
            </w:r>
          </w:p>
        </w:tc>
        <w:tc>
          <w:tcPr>
            <w:tcW w:w="395" w:type="dxa"/>
            <w:tcBorders>
              <w:bottom w:val="single" w:sz="8" w:space="0" w:color="BFBFBF"/>
            </w:tcBorders>
            <w:tcMar>
              <w:bottom w:w="28" w:type="dxa"/>
            </w:tcMar>
            <w:vAlign w:val="center"/>
          </w:tcPr>
          <w:p>
            <w:pPr>
              <w:pStyle w:val="TableContents"/>
              <w:bidi w:val="0"/>
              <w:spacing w:before="0" w:after="283"/>
              <w:jc w:val="center"/>
              <w:rPr>
                <w:rFonts w:ascii="Arial" w:hAnsi="Arial"/>
                <w:b/>
                <w:i w:val="false"/>
                <w:caps w:val="false"/>
                <w:smallCaps w:val="false"/>
                <w:color w:val="404040"/>
                <w:sz w:val="16"/>
              </w:rPr>
            </w:pPr>
            <w:r>
              <w:rPr>
                <w:rFonts w:ascii="Arial" w:hAnsi="Arial"/>
                <w:b/>
                <w:i w:val="false"/>
                <w:caps w:val="false"/>
                <w:smallCaps w:val="false"/>
                <w:color w:val="404040"/>
                <w:sz w:val="16"/>
              </w:rPr>
              <w:t>12</w:t>
            </w:r>
          </w:p>
        </w:tc>
      </w:tr>
      <w:tr>
        <w:trPr/>
        <w:tc>
          <w:tcPr>
            <w:tcW w:w="8490" w:type="dxa"/>
            <w:gridSpan w:val="3"/>
            <w:tcBorders/>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Includes BCP Perú, BCP Bolivia, Mibanco Perú, Mibanco Colombia, Pacífico Seguros,</w:t>
            </w:r>
          </w:p>
        </w:tc>
      </w:tr>
      <w:tr>
        <w:trPr/>
        <w:tc>
          <w:tcPr>
            <w:tcW w:w="8490" w:type="dxa"/>
            <w:gridSpan w:val="3"/>
            <w:tcBorders/>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Prima AFP, and Credicorp Capital</w:t>
            </w:r>
          </w:p>
        </w:tc>
      </w:tr>
      <w:tr>
        <w:trPr/>
        <w:tc>
          <w:tcPr>
            <w:tcW w:w="771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95" w:type="dxa"/>
            <w:gridSpan w:val="2"/>
            <w:tcBorders/>
            <w:shd w:fill="000000"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GRI 417-3 Incidence of non-compliance concerning marketing and communications</w:t>
            </w:r>
          </w:p>
        </w:tc>
        <w:tc>
          <w:tcPr>
            <w:tcW w:w="395"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2023</w:t>
            </w:r>
          </w:p>
        </w:tc>
      </w:tr>
      <w:tr>
        <w:trPr/>
        <w:tc>
          <w:tcPr>
            <w:tcW w:w="7715" w:type="dxa"/>
            <w:tcBorders>
              <w:bottom w:val="single" w:sz="8" w:space="0" w:color="BFBFBF"/>
            </w:tcBorders>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That resulted in fines and penalties</w:t>
            </w:r>
          </w:p>
        </w:tc>
        <w:tc>
          <w:tcPr>
            <w:tcW w:w="380" w:type="dxa"/>
            <w:tcBorders>
              <w:bottom w:val="single" w:sz="8" w:space="0" w:color="BFBFBF"/>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w:t>
            </w:r>
          </w:p>
        </w:tc>
      </w:tr>
      <w:tr>
        <w:trPr/>
        <w:tc>
          <w:tcPr>
            <w:tcW w:w="7715" w:type="dxa"/>
            <w:tcBorders>
              <w:bottom w:val="single" w:sz="8" w:space="0" w:color="BFBFBF"/>
            </w:tcBorders>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That resulted in warnings</w:t>
            </w:r>
          </w:p>
        </w:tc>
        <w:tc>
          <w:tcPr>
            <w:tcW w:w="380" w:type="dxa"/>
            <w:tcBorders>
              <w:bottom w:val="single" w:sz="8" w:space="0" w:color="BFBFBF"/>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3</w:t>
            </w:r>
          </w:p>
        </w:tc>
      </w:tr>
      <w:tr>
        <w:trPr/>
        <w:tc>
          <w:tcPr>
            <w:tcW w:w="7715" w:type="dxa"/>
            <w:tcBorders>
              <w:bottom w:val="single" w:sz="8" w:space="0" w:color="BFBFBF"/>
            </w:tcBorders>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Of voluntary codes</w:t>
            </w:r>
          </w:p>
        </w:tc>
        <w:tc>
          <w:tcPr>
            <w:tcW w:w="380" w:type="dxa"/>
            <w:tcBorders>
              <w:bottom w:val="single" w:sz="8" w:space="0" w:color="BFBFBF"/>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4</w:t>
            </w:r>
          </w:p>
        </w:tc>
      </w:tr>
      <w:tr>
        <w:trPr/>
        <w:tc>
          <w:tcPr>
            <w:tcW w:w="7715" w:type="dxa"/>
            <w:tcBorders>
              <w:bottom w:val="single" w:sz="8" w:space="0" w:color="BFBFBF"/>
            </w:tcBorders>
            <w:tcMar>
              <w:bottom w:w="28" w:type="dxa"/>
            </w:tcMar>
            <w:vAlign w:val="center"/>
          </w:tcPr>
          <w:p>
            <w:pPr>
              <w:pStyle w:val="TableContents"/>
              <w:bidi w:val="0"/>
              <w:spacing w:before="0" w:after="283"/>
              <w:jc w:val="left"/>
              <w:rPr>
                <w:rFonts w:ascii="Arial" w:hAnsi="Arial"/>
                <w:b/>
                <w:i w:val="false"/>
                <w:caps w:val="false"/>
                <w:smallCaps w:val="false"/>
                <w:color w:val="404040"/>
                <w:sz w:val="16"/>
              </w:rPr>
            </w:pPr>
            <w:r>
              <w:rPr>
                <w:rFonts w:ascii="Arial" w:hAnsi="Arial"/>
                <w:b/>
                <w:i w:val="false"/>
                <w:caps w:val="false"/>
                <w:smallCaps w:val="false"/>
                <w:color w:val="404040"/>
                <w:sz w:val="16"/>
              </w:rPr>
              <w:t>Total cases</w:t>
            </w:r>
          </w:p>
        </w:tc>
        <w:tc>
          <w:tcPr>
            <w:tcW w:w="380" w:type="dxa"/>
            <w:tcBorders>
              <w:bottom w:val="single" w:sz="8" w:space="0" w:color="BFBFBF"/>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single" w:sz="8" w:space="0" w:color="BFBFBF"/>
            </w:tcBorders>
            <w:tcMar>
              <w:bottom w:w="28" w:type="dxa"/>
            </w:tcMar>
            <w:vAlign w:val="center"/>
          </w:tcPr>
          <w:p>
            <w:pPr>
              <w:pStyle w:val="TableContents"/>
              <w:bidi w:val="0"/>
              <w:spacing w:before="0" w:after="283"/>
              <w:jc w:val="center"/>
              <w:rPr>
                <w:rFonts w:ascii="Arial" w:hAnsi="Arial"/>
                <w:b/>
                <w:i w:val="false"/>
                <w:caps w:val="false"/>
                <w:smallCaps w:val="false"/>
                <w:color w:val="404040"/>
                <w:sz w:val="16"/>
              </w:rPr>
            </w:pPr>
            <w:r>
              <w:rPr>
                <w:rFonts w:ascii="Arial" w:hAnsi="Arial"/>
                <w:b/>
                <w:i w:val="false"/>
                <w:caps w:val="false"/>
                <w:smallCaps w:val="false"/>
                <w:color w:val="404040"/>
                <w:sz w:val="16"/>
              </w:rPr>
              <w:t>8</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200" w:after="20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70</w:t>
      </w:r>
    </w:p>
    <w:p>
      <w:pPr>
        <w:pStyle w:val="HorizontalLine"/>
        <w:pBdr>
          <w:bottom w:val="single" w:sz="12" w:space="0" w:color="808080"/>
        </w:pBdr>
        <w:bidi w:val="0"/>
        <w:spacing w:before="200" w:after="200"/>
        <w:jc w:val="left"/>
        <w:rPr/>
      </w:pPr>
      <w:r>
        <w:rPr/>
      </w:r>
    </w:p>
    <w:p>
      <w:pPr>
        <w:pStyle w:val="TextBody"/>
        <w:bidi w:val="0"/>
        <w:spacing w:lineRule="auto" w:line="240" w:before="0" w:after="0"/>
        <w:ind w:left="2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2.2. SOCIAL IMPACT OF OUR OPERATIONS: EMPLOYEE MANAGEMENT68</w:t>
      </w:r>
    </w:p>
    <w:p>
      <w:pPr>
        <w:pStyle w:val="TextBody"/>
        <w:bidi w:val="0"/>
        <w:spacing w:before="0" w:after="0"/>
        <w:ind w:left="20" w:right="0" w:hanging="0"/>
        <w:jc w:val="left"/>
        <w:rPr>
          <w:caps w:val="false"/>
          <w:smallCaps w:val="false"/>
          <w:color w:val="FE5000"/>
        </w:rPr>
      </w:pPr>
      <w:r>
        <w:rPr>
          <w:caps w:val="false"/>
          <w:smallCaps w:val="false"/>
          <w:color w:val="FE5000"/>
        </w:rPr>
        <w:t> </w:t>
      </w:r>
    </w:p>
    <w:p>
      <w:pPr>
        <w:pStyle w:val="TextBody"/>
        <w:bidi w:val="0"/>
        <w:spacing w:before="0" w:after="0"/>
        <w:ind w:left="20" w:right="0" w:hanging="0"/>
        <w:jc w:val="left"/>
        <w:rPr>
          <w:rFonts w:ascii="Arial" w:hAnsi="Arial"/>
          <w:b w:val="false"/>
          <w:i w:val="false"/>
          <w:caps w:val="false"/>
          <w:smallCaps w:val="false"/>
          <w:sz w:val="20"/>
        </w:rPr>
      </w:pPr>
      <w:r>
        <w:rPr>
          <w:rFonts w:ascii="Arial" w:hAnsi="Arial"/>
          <w:b w:val="false"/>
          <w:i w:val="false"/>
          <w:caps w:val="false"/>
          <w:smallCaps w:val="false"/>
          <w:sz w:val="20"/>
        </w:rPr>
        <w:t>GRI 2-7</w:t>
      </w:r>
    </w:p>
    <w:tbl>
      <w:tblPr>
        <w:tblW w:w="6575" w:type="dxa"/>
        <w:jc w:val="left"/>
        <w:tblInd w:w="0" w:type="dxa"/>
        <w:tblLayout w:type="fixed"/>
        <w:tblCellMar>
          <w:top w:w="0" w:type="dxa"/>
          <w:left w:w="0" w:type="dxa"/>
          <w:bottom w:w="0" w:type="dxa"/>
          <w:right w:w="0" w:type="dxa"/>
        </w:tblCellMar>
      </w:tblPr>
      <w:tblGrid>
        <w:gridCol w:w="3695"/>
        <w:gridCol w:w="515"/>
        <w:gridCol w:w="440"/>
        <w:gridCol w:w="515"/>
        <w:gridCol w:w="440"/>
        <w:gridCol w:w="515"/>
        <w:gridCol w:w="455"/>
      </w:tblGrid>
      <w:tr>
        <w:trPr/>
        <w:tc>
          <w:tcPr>
            <w:tcW w:w="3695" w:type="dxa"/>
            <w:vMerge w:val="restart"/>
            <w:tcBorders/>
            <w:shd w:fill="000000"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GRI 2-7 Employees by gender</w:t>
            </w:r>
          </w:p>
        </w:tc>
        <w:tc>
          <w:tcPr>
            <w:tcW w:w="515" w:type="dxa"/>
            <w:tcBorders/>
            <w:shd w:fill="000000" w:val="clear"/>
            <w:vAlign w:val="center"/>
          </w:tcPr>
          <w:p>
            <w:pPr>
              <w:pStyle w:val="TableContents"/>
              <w:bidi w:val="0"/>
              <w:spacing w:before="0" w:after="283"/>
              <w:jc w:val="right"/>
              <w:rPr>
                <w:rFonts w:ascii="Arial" w:hAnsi="Arial"/>
                <w:b/>
                <w:i w:val="false"/>
                <w:caps w:val="false"/>
                <w:smallCaps w:val="false"/>
                <w:color w:val="FFFFFF"/>
                <w:sz w:val="16"/>
              </w:rPr>
            </w:pPr>
            <w:r>
              <w:rPr>
                <w:rFonts w:ascii="Arial" w:hAnsi="Arial"/>
                <w:b/>
                <w:i w:val="false"/>
                <w:caps w:val="false"/>
                <w:smallCaps w:val="false"/>
                <w:color w:val="FFFFFF"/>
                <w:sz w:val="16"/>
              </w:rPr>
              <w:t>2023</w:t>
            </w:r>
          </w:p>
        </w:tc>
        <w:tc>
          <w:tcPr>
            <w:tcW w:w="440"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515" w:type="dxa"/>
            <w:tcBorders/>
            <w:shd w:fill="000000" w:val="clear"/>
            <w:vAlign w:val="center"/>
          </w:tcPr>
          <w:p>
            <w:pPr>
              <w:pStyle w:val="TableContents"/>
              <w:bidi w:val="0"/>
              <w:spacing w:before="0" w:after="283"/>
              <w:jc w:val="right"/>
              <w:rPr>
                <w:rFonts w:ascii="Arial" w:hAnsi="Arial"/>
                <w:b/>
                <w:i w:val="false"/>
                <w:caps w:val="false"/>
                <w:smallCaps w:val="false"/>
                <w:color w:val="FFFFFF"/>
                <w:sz w:val="16"/>
              </w:rPr>
            </w:pPr>
            <w:r>
              <w:rPr>
                <w:rFonts w:ascii="Arial" w:hAnsi="Arial"/>
                <w:b/>
                <w:i w:val="false"/>
                <w:caps w:val="false"/>
                <w:smallCaps w:val="false"/>
                <w:color w:val="FFFFFF"/>
                <w:sz w:val="16"/>
              </w:rPr>
              <w:t>2022</w:t>
            </w:r>
          </w:p>
        </w:tc>
        <w:tc>
          <w:tcPr>
            <w:tcW w:w="440"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515" w:type="dxa"/>
            <w:tcBorders/>
            <w:shd w:fill="000000" w:val="clear"/>
            <w:vAlign w:val="center"/>
          </w:tcPr>
          <w:p>
            <w:pPr>
              <w:pStyle w:val="TableContents"/>
              <w:bidi w:val="0"/>
              <w:spacing w:before="0" w:after="283"/>
              <w:jc w:val="right"/>
              <w:rPr>
                <w:rFonts w:ascii="Arial" w:hAnsi="Arial"/>
                <w:b/>
                <w:i w:val="false"/>
                <w:caps w:val="false"/>
                <w:smallCaps w:val="false"/>
                <w:color w:val="FFFFFF"/>
                <w:sz w:val="16"/>
              </w:rPr>
            </w:pPr>
            <w:r>
              <w:rPr>
                <w:rFonts w:ascii="Arial" w:hAnsi="Arial"/>
                <w:b/>
                <w:i w:val="false"/>
                <w:caps w:val="false"/>
                <w:smallCaps w:val="false"/>
                <w:color w:val="FFFFFF"/>
                <w:sz w:val="16"/>
              </w:rPr>
              <w:t>2021</w:t>
            </w:r>
          </w:p>
        </w:tc>
        <w:tc>
          <w:tcPr>
            <w:tcW w:w="4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r>
      <w:tr>
        <w:trPr/>
        <w:tc>
          <w:tcPr>
            <w:tcW w:w="3695" w:type="dxa"/>
            <w:vMerge w:val="continue"/>
            <w:tcBorders/>
            <w:shd w:fill="000000" w:val="clear"/>
            <w:vAlign w:val="center"/>
          </w:tcPr>
          <w:p>
            <w:pPr>
              <w:pStyle w:val="Normal"/>
              <w:bidi w:val="0"/>
              <w:jc w:val="left"/>
              <w:rPr/>
            </w:pPr>
            <w:r>
              <w:rPr/>
            </w:r>
          </w:p>
        </w:tc>
        <w:tc>
          <w:tcPr>
            <w:tcW w:w="515" w:type="dxa"/>
            <w:tcBorders/>
            <w:shd w:fill="000000" w:val="clear"/>
            <w:vAlign w:val="center"/>
          </w:tcPr>
          <w:p>
            <w:pPr>
              <w:pStyle w:val="TableContents"/>
              <w:bidi w:val="0"/>
              <w:spacing w:before="0" w:after="283"/>
              <w:jc w:val="right"/>
              <w:rPr>
                <w:rFonts w:ascii="Arial" w:hAnsi="Arial"/>
                <w:b/>
                <w:i w:val="false"/>
                <w:caps w:val="false"/>
                <w:smallCaps w:val="false"/>
                <w:color w:val="FFFFFF"/>
                <w:sz w:val="16"/>
              </w:rPr>
            </w:pPr>
            <w:r>
              <w:rPr>
                <w:rFonts w:ascii="Arial" w:hAnsi="Arial"/>
                <w:b/>
                <w:i w:val="false"/>
                <w:caps w:val="false"/>
                <w:smallCaps w:val="false"/>
                <w:color w:val="FFFFFF"/>
                <w:sz w:val="16"/>
              </w:rPr>
              <w:t>Q</w:t>
            </w:r>
          </w:p>
        </w:tc>
        <w:tc>
          <w:tcPr>
            <w:tcW w:w="440"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w:t>
            </w:r>
          </w:p>
        </w:tc>
        <w:tc>
          <w:tcPr>
            <w:tcW w:w="515" w:type="dxa"/>
            <w:tcBorders/>
            <w:shd w:fill="000000" w:val="clear"/>
            <w:vAlign w:val="center"/>
          </w:tcPr>
          <w:p>
            <w:pPr>
              <w:pStyle w:val="TableContents"/>
              <w:bidi w:val="0"/>
              <w:spacing w:before="0" w:after="283"/>
              <w:jc w:val="right"/>
              <w:rPr>
                <w:rFonts w:ascii="Arial" w:hAnsi="Arial"/>
                <w:b/>
                <w:i w:val="false"/>
                <w:caps w:val="false"/>
                <w:smallCaps w:val="false"/>
                <w:color w:val="FFFFFF"/>
                <w:sz w:val="16"/>
              </w:rPr>
            </w:pPr>
            <w:r>
              <w:rPr>
                <w:rFonts w:ascii="Arial" w:hAnsi="Arial"/>
                <w:b/>
                <w:i w:val="false"/>
                <w:caps w:val="false"/>
                <w:smallCaps w:val="false"/>
                <w:color w:val="FFFFFF"/>
                <w:sz w:val="16"/>
              </w:rPr>
              <w:t>Q</w:t>
            </w:r>
          </w:p>
        </w:tc>
        <w:tc>
          <w:tcPr>
            <w:tcW w:w="440"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w:t>
            </w:r>
          </w:p>
        </w:tc>
        <w:tc>
          <w:tcPr>
            <w:tcW w:w="515" w:type="dxa"/>
            <w:tcBorders/>
            <w:shd w:fill="000000" w:val="clear"/>
            <w:vAlign w:val="center"/>
          </w:tcPr>
          <w:p>
            <w:pPr>
              <w:pStyle w:val="TableContents"/>
              <w:bidi w:val="0"/>
              <w:spacing w:before="0" w:after="283"/>
              <w:jc w:val="right"/>
              <w:rPr>
                <w:rFonts w:ascii="Arial" w:hAnsi="Arial"/>
                <w:b/>
                <w:i w:val="false"/>
                <w:caps w:val="false"/>
                <w:smallCaps w:val="false"/>
                <w:color w:val="FFFFFF"/>
                <w:sz w:val="16"/>
              </w:rPr>
            </w:pPr>
            <w:r>
              <w:rPr>
                <w:rFonts w:ascii="Arial" w:hAnsi="Arial"/>
                <w:b/>
                <w:i w:val="false"/>
                <w:caps w:val="false"/>
                <w:smallCaps w:val="false"/>
                <w:color w:val="FFFFFF"/>
                <w:sz w:val="16"/>
              </w:rPr>
              <w:t>Q</w:t>
            </w:r>
          </w:p>
        </w:tc>
        <w:tc>
          <w:tcPr>
            <w:tcW w:w="455"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w:t>
            </w:r>
          </w:p>
        </w:tc>
      </w:tr>
      <w:tr>
        <w:trPr/>
        <w:tc>
          <w:tcPr>
            <w:tcW w:w="3695" w:type="dxa"/>
            <w:tcBorders>
              <w:bottom w:val="single" w:sz="8" w:space="0" w:color="BFBFBF"/>
            </w:tcBorders>
            <w:shd w:fill="A6A6A6" w:val="clear"/>
            <w:tcMar>
              <w:bottom w:w="28" w:type="dxa"/>
            </w:tcM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Total number of employees</w:t>
            </w:r>
          </w:p>
        </w:tc>
        <w:tc>
          <w:tcPr>
            <w:tcW w:w="515" w:type="dxa"/>
            <w:tcBorders>
              <w:bottom w:val="single" w:sz="8" w:space="0" w:color="BFBFBF"/>
            </w:tcBorders>
            <w:shd w:fill="A6A6A6"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37,076</w:t>
            </w:r>
          </w:p>
        </w:tc>
        <w:tc>
          <w:tcPr>
            <w:tcW w:w="440" w:type="dxa"/>
            <w:tcBorders>
              <w:bottom w:val="single" w:sz="8" w:space="0" w:color="BFBFBF"/>
            </w:tcBorders>
            <w:shd w:fill="A6A6A6"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c>
          <w:tcPr>
            <w:tcW w:w="515" w:type="dxa"/>
            <w:tcBorders>
              <w:bottom w:val="single" w:sz="8" w:space="0" w:color="BFBFBF"/>
            </w:tcBorders>
            <w:shd w:fill="A6A6A6"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36,968</w:t>
            </w:r>
          </w:p>
        </w:tc>
        <w:tc>
          <w:tcPr>
            <w:tcW w:w="440" w:type="dxa"/>
            <w:tcBorders>
              <w:bottom w:val="single" w:sz="8" w:space="0" w:color="BFBFBF"/>
            </w:tcBorders>
            <w:shd w:fill="A6A6A6"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c>
          <w:tcPr>
            <w:tcW w:w="515" w:type="dxa"/>
            <w:tcBorders>
              <w:bottom w:val="single" w:sz="8" w:space="0" w:color="BFBFBF"/>
            </w:tcBorders>
            <w:shd w:fill="A6A6A6"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36,396</w:t>
            </w:r>
          </w:p>
        </w:tc>
        <w:tc>
          <w:tcPr>
            <w:tcW w:w="455" w:type="dxa"/>
            <w:tcBorders>
              <w:bottom w:val="single" w:sz="8" w:space="0" w:color="BFBFBF"/>
            </w:tcBorders>
            <w:shd w:fill="A6A6A6"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r>
      <w:tr>
        <w:trPr/>
        <w:tc>
          <w:tcPr>
            <w:tcW w:w="3695" w:type="dxa"/>
            <w:tcBorders>
              <w:bottom w:val="single" w:sz="8" w:space="0" w:color="BFBFBF"/>
            </w:tcBorders>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Female</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20,108</w:t>
            </w:r>
          </w:p>
        </w:tc>
        <w:tc>
          <w:tcPr>
            <w:tcW w:w="440"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54%</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20,240</w:t>
            </w:r>
          </w:p>
        </w:tc>
        <w:tc>
          <w:tcPr>
            <w:tcW w:w="440"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55%</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20,234</w:t>
            </w:r>
          </w:p>
        </w:tc>
        <w:tc>
          <w:tcPr>
            <w:tcW w:w="45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56%</w:t>
            </w:r>
          </w:p>
        </w:tc>
      </w:tr>
      <w:tr>
        <w:trPr/>
        <w:tc>
          <w:tcPr>
            <w:tcW w:w="3695" w:type="dxa"/>
            <w:tcBorders>
              <w:bottom w:val="single" w:sz="8" w:space="0" w:color="BFBFBF"/>
            </w:tcBorders>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Male</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16,968</w:t>
            </w:r>
          </w:p>
        </w:tc>
        <w:tc>
          <w:tcPr>
            <w:tcW w:w="440"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46%</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16,728</w:t>
            </w:r>
          </w:p>
        </w:tc>
        <w:tc>
          <w:tcPr>
            <w:tcW w:w="440"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45%</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16,162</w:t>
            </w:r>
          </w:p>
        </w:tc>
        <w:tc>
          <w:tcPr>
            <w:tcW w:w="45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44%</w:t>
            </w:r>
          </w:p>
        </w:tc>
      </w:tr>
      <w:tr>
        <w:trPr/>
        <w:tc>
          <w:tcPr>
            <w:tcW w:w="3695" w:type="dxa"/>
            <w:tcBorders/>
            <w:shd w:fill="A6A6A6"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Number of permanent employees</w:t>
            </w:r>
          </w:p>
        </w:tc>
        <w:tc>
          <w:tcPr>
            <w:tcW w:w="515" w:type="dxa"/>
            <w:tcBorders/>
            <w:shd w:fill="A6A6A6"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36,693</w:t>
            </w:r>
          </w:p>
        </w:tc>
        <w:tc>
          <w:tcPr>
            <w:tcW w:w="440" w:type="dxa"/>
            <w:tcBorders/>
            <w:shd w:fill="A6A6A6"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c>
          <w:tcPr>
            <w:tcW w:w="515" w:type="dxa"/>
            <w:tcBorders/>
            <w:shd w:fill="A6A6A6"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36,545</w:t>
            </w:r>
          </w:p>
        </w:tc>
        <w:tc>
          <w:tcPr>
            <w:tcW w:w="440" w:type="dxa"/>
            <w:tcBorders/>
            <w:shd w:fill="A6A6A6"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c>
          <w:tcPr>
            <w:tcW w:w="515" w:type="dxa"/>
            <w:tcBorders/>
            <w:shd w:fill="A6A6A6"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34,483</w:t>
            </w:r>
          </w:p>
        </w:tc>
        <w:tc>
          <w:tcPr>
            <w:tcW w:w="455" w:type="dxa"/>
            <w:tcBorders/>
            <w:shd w:fill="A6A6A6"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r>
      <w:tr>
        <w:trPr/>
        <w:tc>
          <w:tcPr>
            <w:tcW w:w="3695" w:type="dxa"/>
            <w:tcBorders>
              <w:bottom w:val="single" w:sz="8" w:space="0" w:color="BFBFBF"/>
            </w:tcBorders>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Female</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19,955</w:t>
            </w:r>
          </w:p>
        </w:tc>
        <w:tc>
          <w:tcPr>
            <w:tcW w:w="440"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54%</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20,006</w:t>
            </w:r>
          </w:p>
        </w:tc>
        <w:tc>
          <w:tcPr>
            <w:tcW w:w="440"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55%</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19,081</w:t>
            </w:r>
          </w:p>
        </w:tc>
        <w:tc>
          <w:tcPr>
            <w:tcW w:w="45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55%</w:t>
            </w:r>
          </w:p>
        </w:tc>
      </w:tr>
      <w:tr>
        <w:trPr/>
        <w:tc>
          <w:tcPr>
            <w:tcW w:w="3695" w:type="dxa"/>
            <w:tcBorders>
              <w:bottom w:val="single" w:sz="8" w:space="0" w:color="BFBFBF"/>
            </w:tcBorders>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Male</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16,738</w:t>
            </w:r>
          </w:p>
        </w:tc>
        <w:tc>
          <w:tcPr>
            <w:tcW w:w="440"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46%</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16,539</w:t>
            </w:r>
          </w:p>
        </w:tc>
        <w:tc>
          <w:tcPr>
            <w:tcW w:w="440"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45%</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15,402</w:t>
            </w:r>
          </w:p>
        </w:tc>
        <w:tc>
          <w:tcPr>
            <w:tcW w:w="45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45%</w:t>
            </w:r>
          </w:p>
        </w:tc>
      </w:tr>
      <w:tr>
        <w:trPr/>
        <w:tc>
          <w:tcPr>
            <w:tcW w:w="3695" w:type="dxa"/>
            <w:tcBorders>
              <w:bottom w:val="single" w:sz="8" w:space="0" w:color="BFBFBF"/>
            </w:tcBorders>
            <w:shd w:fill="A6A6A6" w:val="clear"/>
            <w:tcMar>
              <w:bottom w:w="28" w:type="dxa"/>
            </w:tcM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Number of temporary employees</w:t>
            </w:r>
          </w:p>
        </w:tc>
        <w:tc>
          <w:tcPr>
            <w:tcW w:w="515" w:type="dxa"/>
            <w:tcBorders>
              <w:bottom w:val="single" w:sz="8" w:space="0" w:color="BFBFBF"/>
            </w:tcBorders>
            <w:shd w:fill="A6A6A6"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383</w:t>
            </w:r>
          </w:p>
        </w:tc>
        <w:tc>
          <w:tcPr>
            <w:tcW w:w="440" w:type="dxa"/>
            <w:tcBorders>
              <w:bottom w:val="single" w:sz="8" w:space="0" w:color="BFBFBF"/>
            </w:tcBorders>
            <w:shd w:fill="A6A6A6"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c>
          <w:tcPr>
            <w:tcW w:w="515" w:type="dxa"/>
            <w:tcBorders>
              <w:bottom w:val="single" w:sz="8" w:space="0" w:color="BFBFBF"/>
            </w:tcBorders>
            <w:shd w:fill="A6A6A6"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423</w:t>
            </w:r>
          </w:p>
        </w:tc>
        <w:tc>
          <w:tcPr>
            <w:tcW w:w="440" w:type="dxa"/>
            <w:tcBorders>
              <w:bottom w:val="single" w:sz="8" w:space="0" w:color="BFBFBF"/>
            </w:tcBorders>
            <w:shd w:fill="A6A6A6"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c>
          <w:tcPr>
            <w:tcW w:w="515" w:type="dxa"/>
            <w:tcBorders>
              <w:bottom w:val="single" w:sz="8" w:space="0" w:color="BFBFBF"/>
            </w:tcBorders>
            <w:shd w:fill="A6A6A6"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1,913</w:t>
            </w:r>
          </w:p>
        </w:tc>
        <w:tc>
          <w:tcPr>
            <w:tcW w:w="455" w:type="dxa"/>
            <w:tcBorders>
              <w:bottom w:val="single" w:sz="8" w:space="0" w:color="BFBFBF"/>
            </w:tcBorders>
            <w:shd w:fill="A6A6A6"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r>
      <w:tr>
        <w:trPr/>
        <w:tc>
          <w:tcPr>
            <w:tcW w:w="3695" w:type="dxa"/>
            <w:tcBorders>
              <w:bottom w:val="single" w:sz="8" w:space="0" w:color="BFBFBF"/>
            </w:tcBorders>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Female</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153</w:t>
            </w:r>
          </w:p>
        </w:tc>
        <w:tc>
          <w:tcPr>
            <w:tcW w:w="440"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40%</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234</w:t>
            </w:r>
          </w:p>
        </w:tc>
        <w:tc>
          <w:tcPr>
            <w:tcW w:w="440"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55%</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1,153</w:t>
            </w:r>
          </w:p>
        </w:tc>
        <w:tc>
          <w:tcPr>
            <w:tcW w:w="45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60%</w:t>
            </w:r>
          </w:p>
        </w:tc>
      </w:tr>
      <w:tr>
        <w:trPr/>
        <w:tc>
          <w:tcPr>
            <w:tcW w:w="3695" w:type="dxa"/>
            <w:tcBorders>
              <w:bottom w:val="single" w:sz="8" w:space="0" w:color="BFBFBF"/>
            </w:tcBorders>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Male</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230</w:t>
            </w:r>
          </w:p>
        </w:tc>
        <w:tc>
          <w:tcPr>
            <w:tcW w:w="440"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60%</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189</w:t>
            </w:r>
          </w:p>
        </w:tc>
        <w:tc>
          <w:tcPr>
            <w:tcW w:w="440"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45%</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760</w:t>
            </w:r>
          </w:p>
        </w:tc>
        <w:tc>
          <w:tcPr>
            <w:tcW w:w="45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40%</w:t>
            </w:r>
          </w:p>
        </w:tc>
      </w:tr>
      <w:tr>
        <w:trPr/>
        <w:tc>
          <w:tcPr>
            <w:tcW w:w="3695" w:type="dxa"/>
            <w:tcBorders>
              <w:bottom w:val="single" w:sz="8" w:space="0" w:color="BFBFBF"/>
            </w:tcBorders>
            <w:shd w:fill="A6A6A6" w:val="clear"/>
            <w:tcMar>
              <w:bottom w:w="28" w:type="dxa"/>
            </w:tcM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Number of full time employees</w:t>
            </w:r>
          </w:p>
        </w:tc>
        <w:tc>
          <w:tcPr>
            <w:tcW w:w="515" w:type="dxa"/>
            <w:tcBorders>
              <w:bottom w:val="single" w:sz="8" w:space="0" w:color="BFBFBF"/>
            </w:tcBorders>
            <w:shd w:fill="A6A6A6"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36,099</w:t>
            </w:r>
          </w:p>
        </w:tc>
        <w:tc>
          <w:tcPr>
            <w:tcW w:w="440" w:type="dxa"/>
            <w:tcBorders>
              <w:bottom w:val="single" w:sz="8" w:space="0" w:color="BFBFBF"/>
            </w:tcBorders>
            <w:shd w:fill="A6A6A6"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c>
          <w:tcPr>
            <w:tcW w:w="515" w:type="dxa"/>
            <w:tcBorders>
              <w:bottom w:val="single" w:sz="8" w:space="0" w:color="BFBFBF"/>
            </w:tcBorders>
            <w:shd w:fill="A6A6A6"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34,225</w:t>
            </w:r>
          </w:p>
        </w:tc>
        <w:tc>
          <w:tcPr>
            <w:tcW w:w="440" w:type="dxa"/>
            <w:tcBorders>
              <w:bottom w:val="single" w:sz="8" w:space="0" w:color="BFBFBF"/>
            </w:tcBorders>
            <w:shd w:fill="A6A6A6"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c>
          <w:tcPr>
            <w:tcW w:w="515" w:type="dxa"/>
            <w:tcBorders>
              <w:bottom w:val="single" w:sz="8" w:space="0" w:color="BFBFBF"/>
            </w:tcBorders>
            <w:shd w:fill="A6A6A6"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33,024</w:t>
            </w:r>
          </w:p>
        </w:tc>
        <w:tc>
          <w:tcPr>
            <w:tcW w:w="455" w:type="dxa"/>
            <w:tcBorders>
              <w:bottom w:val="single" w:sz="8" w:space="0" w:color="BFBFBF"/>
            </w:tcBorders>
            <w:shd w:fill="A6A6A6"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r>
      <w:tr>
        <w:trPr/>
        <w:tc>
          <w:tcPr>
            <w:tcW w:w="3695" w:type="dxa"/>
            <w:tcBorders>
              <w:bottom w:val="single" w:sz="8" w:space="0" w:color="BFBFBF"/>
            </w:tcBorders>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Female</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19,419</w:t>
            </w:r>
          </w:p>
        </w:tc>
        <w:tc>
          <w:tcPr>
            <w:tcW w:w="440"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54%</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18,232</w:t>
            </w:r>
          </w:p>
        </w:tc>
        <w:tc>
          <w:tcPr>
            <w:tcW w:w="440"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53%</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17,804</w:t>
            </w:r>
          </w:p>
        </w:tc>
        <w:tc>
          <w:tcPr>
            <w:tcW w:w="45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54%</w:t>
            </w:r>
          </w:p>
        </w:tc>
      </w:tr>
      <w:tr>
        <w:trPr/>
        <w:tc>
          <w:tcPr>
            <w:tcW w:w="3695" w:type="dxa"/>
            <w:tcBorders>
              <w:bottom w:val="single" w:sz="8" w:space="0" w:color="BFBFBF"/>
            </w:tcBorders>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Male</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16,680</w:t>
            </w:r>
          </w:p>
        </w:tc>
        <w:tc>
          <w:tcPr>
            <w:tcW w:w="440"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46%</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15,993</w:t>
            </w:r>
          </w:p>
        </w:tc>
        <w:tc>
          <w:tcPr>
            <w:tcW w:w="440"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47%</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15,220</w:t>
            </w:r>
          </w:p>
        </w:tc>
        <w:tc>
          <w:tcPr>
            <w:tcW w:w="45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46%</w:t>
            </w:r>
          </w:p>
        </w:tc>
      </w:tr>
      <w:tr>
        <w:trPr/>
        <w:tc>
          <w:tcPr>
            <w:tcW w:w="3695" w:type="dxa"/>
            <w:tcBorders>
              <w:bottom w:val="single" w:sz="8" w:space="0" w:color="BFBFBF"/>
            </w:tcBorders>
            <w:shd w:fill="A6A6A6" w:val="clear"/>
            <w:tcMar>
              <w:bottom w:w="28" w:type="dxa"/>
            </w:tcM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Number of part time employees</w:t>
            </w:r>
          </w:p>
        </w:tc>
        <w:tc>
          <w:tcPr>
            <w:tcW w:w="515" w:type="dxa"/>
            <w:tcBorders>
              <w:bottom w:val="single" w:sz="8" w:space="0" w:color="BFBFBF"/>
            </w:tcBorders>
            <w:shd w:fill="A6A6A6"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977</w:t>
            </w:r>
          </w:p>
        </w:tc>
        <w:tc>
          <w:tcPr>
            <w:tcW w:w="440" w:type="dxa"/>
            <w:tcBorders>
              <w:bottom w:val="single" w:sz="8" w:space="0" w:color="BFBFBF"/>
            </w:tcBorders>
            <w:shd w:fill="A6A6A6"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c>
          <w:tcPr>
            <w:tcW w:w="515" w:type="dxa"/>
            <w:tcBorders>
              <w:bottom w:val="single" w:sz="8" w:space="0" w:color="BFBFBF"/>
            </w:tcBorders>
            <w:shd w:fill="A6A6A6"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2,743</w:t>
            </w:r>
          </w:p>
        </w:tc>
        <w:tc>
          <w:tcPr>
            <w:tcW w:w="440" w:type="dxa"/>
            <w:tcBorders>
              <w:bottom w:val="single" w:sz="8" w:space="0" w:color="BFBFBF"/>
            </w:tcBorders>
            <w:shd w:fill="A6A6A6"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c>
          <w:tcPr>
            <w:tcW w:w="515" w:type="dxa"/>
            <w:tcBorders>
              <w:bottom w:val="single" w:sz="8" w:space="0" w:color="BFBFBF"/>
            </w:tcBorders>
            <w:shd w:fill="A6A6A6"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3,372</w:t>
            </w:r>
          </w:p>
        </w:tc>
        <w:tc>
          <w:tcPr>
            <w:tcW w:w="455" w:type="dxa"/>
            <w:tcBorders>
              <w:bottom w:val="single" w:sz="8" w:space="0" w:color="BFBFBF"/>
            </w:tcBorders>
            <w:shd w:fill="A6A6A6"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r>
      <w:tr>
        <w:trPr/>
        <w:tc>
          <w:tcPr>
            <w:tcW w:w="3695" w:type="dxa"/>
            <w:tcBorders>
              <w:bottom w:val="single" w:sz="8" w:space="0" w:color="BFBFBF"/>
            </w:tcBorders>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Female</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689</w:t>
            </w:r>
          </w:p>
        </w:tc>
        <w:tc>
          <w:tcPr>
            <w:tcW w:w="440"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71%</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2,008</w:t>
            </w:r>
          </w:p>
        </w:tc>
        <w:tc>
          <w:tcPr>
            <w:tcW w:w="440"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73%</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2,430</w:t>
            </w:r>
          </w:p>
        </w:tc>
        <w:tc>
          <w:tcPr>
            <w:tcW w:w="45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72%</w:t>
            </w:r>
          </w:p>
        </w:tc>
      </w:tr>
      <w:tr>
        <w:trPr/>
        <w:tc>
          <w:tcPr>
            <w:tcW w:w="3695" w:type="dxa"/>
            <w:tcBorders>
              <w:bottom w:val="single" w:sz="8" w:space="0" w:color="BFBFBF"/>
            </w:tcBorders>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Male</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288</w:t>
            </w:r>
          </w:p>
        </w:tc>
        <w:tc>
          <w:tcPr>
            <w:tcW w:w="440"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29%</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735</w:t>
            </w:r>
          </w:p>
        </w:tc>
        <w:tc>
          <w:tcPr>
            <w:tcW w:w="440"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27%</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942</w:t>
            </w:r>
          </w:p>
        </w:tc>
        <w:tc>
          <w:tcPr>
            <w:tcW w:w="45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28%</w:t>
            </w:r>
          </w:p>
        </w:tc>
      </w:tr>
      <w:tr>
        <w:trPr/>
        <w:tc>
          <w:tcPr>
            <w:tcW w:w="3695" w:type="dxa"/>
            <w:tcBorders>
              <w:bottom w:val="single" w:sz="8" w:space="0" w:color="BFBFBF"/>
            </w:tcBorders>
            <w:shd w:fill="A6A6A6" w:val="clear"/>
            <w:tcMar>
              <w:bottom w:w="28" w:type="dxa"/>
            </w:tcMar>
            <w:vAlign w:val="center"/>
          </w:tcPr>
          <w:p>
            <w:pPr>
              <w:pStyle w:val="TableContents"/>
              <w:bidi w:val="0"/>
              <w:spacing w:lineRule="auto" w:line="240"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Number of non-guaranteed hour employees69</w:t>
            </w:r>
          </w:p>
        </w:tc>
        <w:tc>
          <w:tcPr>
            <w:tcW w:w="515" w:type="dxa"/>
            <w:tcBorders>
              <w:bottom w:val="single" w:sz="8" w:space="0" w:color="BFBFBF"/>
            </w:tcBorders>
            <w:shd w:fill="A6A6A6"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w:t>
            </w:r>
          </w:p>
        </w:tc>
        <w:tc>
          <w:tcPr>
            <w:tcW w:w="440" w:type="dxa"/>
            <w:tcBorders>
              <w:bottom w:val="single" w:sz="8" w:space="0" w:color="BFBFBF"/>
            </w:tcBorders>
            <w:shd w:fill="A6A6A6"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0%</w:t>
            </w:r>
          </w:p>
        </w:tc>
        <w:tc>
          <w:tcPr>
            <w:tcW w:w="515" w:type="dxa"/>
            <w:tcBorders>
              <w:bottom w:val="single" w:sz="8" w:space="0" w:color="BFBFBF"/>
            </w:tcBorders>
            <w:shd w:fill="A6A6A6"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w:t>
            </w:r>
          </w:p>
        </w:tc>
        <w:tc>
          <w:tcPr>
            <w:tcW w:w="440" w:type="dxa"/>
            <w:tcBorders>
              <w:bottom w:val="single" w:sz="8" w:space="0" w:color="BFBFBF"/>
            </w:tcBorders>
            <w:shd w:fill="A6A6A6"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0%</w:t>
            </w:r>
          </w:p>
        </w:tc>
        <w:tc>
          <w:tcPr>
            <w:tcW w:w="515" w:type="dxa"/>
            <w:tcBorders>
              <w:bottom w:val="single" w:sz="8" w:space="0" w:color="BFBFBF"/>
            </w:tcBorders>
            <w:shd w:fill="A6A6A6"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w:t>
            </w:r>
          </w:p>
        </w:tc>
        <w:tc>
          <w:tcPr>
            <w:tcW w:w="455" w:type="dxa"/>
            <w:tcBorders>
              <w:bottom w:val="single" w:sz="8" w:space="0" w:color="BFBFBF"/>
            </w:tcBorders>
            <w:shd w:fill="A6A6A6"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0%</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60" w:after="6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lineRule="auto" w:line="240" w:before="0" w:after="283"/>
              <w:jc w:val="left"/>
              <w:rPr>
                <w:rFonts w:ascii="Arial" w:hAnsi="Arial"/>
                <w:b w:val="false"/>
                <w:i w:val="false"/>
                <w:caps w:val="false"/>
                <w:smallCaps w:val="false"/>
                <w:sz w:val="16"/>
              </w:rPr>
            </w:pPr>
            <w:r>
              <w:rPr>
                <w:rFonts w:ascii="Arial" w:hAnsi="Arial"/>
                <w:b w:val="false"/>
                <w:i w:val="false"/>
                <w:caps w:val="false"/>
                <w:smallCaps w:val="false"/>
                <w:sz w:val="16"/>
              </w:rPr>
              <w:t>68</w:t>
            </w:r>
          </w:p>
        </w:tc>
        <w:tc>
          <w:tcPr>
            <w:tcW w:w="9967" w:type="dxa"/>
            <w:tcBorders/>
            <w:vAlign w:val="center"/>
          </w:tcPr>
          <w:p>
            <w:pPr>
              <w:pStyle w:val="TableContents"/>
              <w:bidi w:val="0"/>
              <w:spacing w:before="0" w:after="283"/>
              <w:jc w:val="both"/>
              <w:rPr>
                <w:rFonts w:ascii="Arial" w:hAnsi="Arial"/>
                <w:b w:val="false"/>
                <w:i w:val="false"/>
                <w:caps w:val="false"/>
                <w:smallCaps w:val="false"/>
                <w:sz w:val="16"/>
              </w:rPr>
            </w:pPr>
            <w:r>
              <w:rPr>
                <w:rFonts w:ascii="Arial" w:hAnsi="Arial"/>
                <w:b w:val="false"/>
                <w:i w:val="false"/>
                <w:caps w:val="false"/>
                <w:smallCaps w:val="false"/>
                <w:sz w:val="16"/>
              </w:rPr>
              <w:t>The results reported in this section (GRI 2-7) include the following companies: BCP Perú, BCP Bolivia, Mibanco Perú, Mibanco Colombia, Prima AFP, Pacífico Seguros, Credicorp Capital, BCP Miami, BCP Panamá, and Grupo Crédito.</w:t>
            </w:r>
          </w:p>
        </w:tc>
      </w:tr>
    </w:tbl>
    <w:tbl>
      <w:tblPr>
        <w:tblW w:w="4383" w:type="dxa"/>
        <w:jc w:val="left"/>
        <w:tblInd w:w="0" w:type="dxa"/>
        <w:tblLayout w:type="fixed"/>
        <w:tblCellMar>
          <w:top w:w="0" w:type="dxa"/>
          <w:left w:w="0" w:type="dxa"/>
          <w:bottom w:w="0" w:type="dxa"/>
          <w:right w:w="0" w:type="dxa"/>
        </w:tblCellMar>
      </w:tblPr>
      <w:tblGrid>
        <w:gridCol w:w="38"/>
        <w:gridCol w:w="200"/>
        <w:gridCol w:w="41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lineRule="auto" w:line="240" w:before="0" w:after="283"/>
              <w:jc w:val="left"/>
              <w:rPr>
                <w:rFonts w:ascii="Arial" w:hAnsi="Arial"/>
                <w:b w:val="false"/>
                <w:i w:val="false"/>
                <w:caps w:val="false"/>
                <w:smallCaps w:val="false"/>
                <w:sz w:val="16"/>
              </w:rPr>
            </w:pPr>
            <w:r>
              <w:rPr>
                <w:rFonts w:ascii="Arial" w:hAnsi="Arial"/>
                <w:b w:val="false"/>
                <w:i w:val="false"/>
                <w:caps w:val="false"/>
                <w:smallCaps w:val="false"/>
                <w:sz w:val="16"/>
              </w:rPr>
              <w:t>69</w:t>
            </w:r>
          </w:p>
        </w:tc>
        <w:tc>
          <w:tcPr>
            <w:tcW w:w="4145" w:type="dxa"/>
            <w:tcBorders/>
            <w:vAlign w:val="center"/>
          </w:tcPr>
          <w:p>
            <w:pPr>
              <w:pStyle w:val="TableContents"/>
              <w:bidi w:val="0"/>
              <w:spacing w:before="0" w:after="283"/>
              <w:jc w:val="both"/>
              <w:rPr>
                <w:rFonts w:ascii="Arial" w:hAnsi="Arial"/>
                <w:b w:val="false"/>
                <w:i w:val="false"/>
                <w:caps w:val="false"/>
                <w:smallCaps w:val="false"/>
                <w:sz w:val="16"/>
              </w:rPr>
            </w:pPr>
            <w:r>
              <w:rPr>
                <w:rFonts w:ascii="Arial" w:hAnsi="Arial"/>
                <w:b w:val="false"/>
                <w:i w:val="false"/>
                <w:caps w:val="false"/>
                <w:smallCaps w:val="false"/>
                <w:sz w:val="16"/>
              </w:rPr>
              <w:t>No subsidiary has employees with these characteristics.</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200" w:after="20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71</w:t>
      </w:r>
    </w:p>
    <w:p>
      <w:pPr>
        <w:pStyle w:val="HorizontalLine"/>
        <w:pBdr>
          <w:bottom w:val="single" w:sz="12" w:space="0" w:color="808080"/>
        </w:pBdr>
        <w:bidi w:val="0"/>
        <w:spacing w:before="200" w:after="200"/>
        <w:jc w:val="left"/>
        <w:rPr/>
      </w:pPr>
      <w:r>
        <w:rPr/>
      </w:r>
    </w:p>
    <w:tbl>
      <w:tblPr>
        <w:tblW w:w="5450" w:type="dxa"/>
        <w:jc w:val="left"/>
        <w:tblInd w:w="0" w:type="dxa"/>
        <w:tblLayout w:type="fixed"/>
        <w:tblCellMar>
          <w:top w:w="0" w:type="dxa"/>
          <w:left w:w="0" w:type="dxa"/>
          <w:bottom w:w="40" w:type="dxa"/>
          <w:right w:w="0" w:type="dxa"/>
        </w:tblCellMar>
      </w:tblPr>
      <w:tblGrid>
        <w:gridCol w:w="2435"/>
        <w:gridCol w:w="515"/>
        <w:gridCol w:w="485"/>
        <w:gridCol w:w="515"/>
        <w:gridCol w:w="485"/>
        <w:gridCol w:w="515"/>
        <w:gridCol w:w="500"/>
      </w:tblGrid>
      <w:tr>
        <w:trPr/>
        <w:tc>
          <w:tcPr>
            <w:tcW w:w="2435" w:type="dxa"/>
            <w:vMerge w:val="restart"/>
            <w:tcBorders>
              <w:bottom w:val="single" w:sz="8" w:space="0" w:color="BFBFBF"/>
            </w:tcBorders>
            <w:shd w:fill="000000"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GRI 2-7 Employees by country</w:t>
            </w:r>
          </w:p>
        </w:tc>
        <w:tc>
          <w:tcPr>
            <w:tcW w:w="1000" w:type="dxa"/>
            <w:gridSpan w:val="2"/>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2023</w:t>
            </w:r>
          </w:p>
        </w:tc>
        <w:tc>
          <w:tcPr>
            <w:tcW w:w="1000" w:type="dxa"/>
            <w:gridSpan w:val="2"/>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2022</w:t>
            </w:r>
          </w:p>
        </w:tc>
        <w:tc>
          <w:tcPr>
            <w:tcW w:w="1015" w:type="dxa"/>
            <w:gridSpan w:val="2"/>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2021</w:t>
            </w:r>
          </w:p>
        </w:tc>
      </w:tr>
      <w:tr>
        <w:trPr/>
        <w:tc>
          <w:tcPr>
            <w:tcW w:w="2435" w:type="dxa"/>
            <w:vMerge w:val="continue"/>
            <w:tcBorders>
              <w:bottom w:val="single" w:sz="8" w:space="0" w:color="BFBFBF"/>
            </w:tcBorders>
            <w:shd w:fill="000000" w:val="clear"/>
            <w:vAlign w:val="center"/>
          </w:tcPr>
          <w:p>
            <w:pPr>
              <w:pStyle w:val="Normal"/>
              <w:bidi w:val="0"/>
              <w:jc w:val="left"/>
              <w:rPr/>
            </w:pPr>
            <w:r>
              <w:rPr/>
            </w:r>
          </w:p>
        </w:tc>
        <w:tc>
          <w:tcPr>
            <w:tcW w:w="515" w:type="dxa"/>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Q</w:t>
            </w:r>
          </w:p>
        </w:tc>
        <w:tc>
          <w:tcPr>
            <w:tcW w:w="485" w:type="dxa"/>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w:t>
            </w:r>
          </w:p>
        </w:tc>
        <w:tc>
          <w:tcPr>
            <w:tcW w:w="515" w:type="dxa"/>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Q</w:t>
            </w:r>
          </w:p>
        </w:tc>
        <w:tc>
          <w:tcPr>
            <w:tcW w:w="485" w:type="dxa"/>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w:t>
            </w:r>
          </w:p>
        </w:tc>
        <w:tc>
          <w:tcPr>
            <w:tcW w:w="515" w:type="dxa"/>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Q</w:t>
            </w:r>
          </w:p>
        </w:tc>
        <w:tc>
          <w:tcPr>
            <w:tcW w:w="500" w:type="dxa"/>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w:t>
            </w:r>
          </w:p>
        </w:tc>
      </w:tr>
      <w:tr>
        <w:trPr/>
        <w:tc>
          <w:tcPr>
            <w:tcW w:w="2435" w:type="dxa"/>
            <w:tcBorders>
              <w:bottom w:val="single" w:sz="8" w:space="0" w:color="BFBFBF"/>
            </w:tcBorders>
            <w:shd w:fill="808080"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Total number of employees</w:t>
            </w:r>
          </w:p>
        </w:tc>
        <w:tc>
          <w:tcPr>
            <w:tcW w:w="515" w:type="dxa"/>
            <w:tcBorders>
              <w:bottom w:val="single" w:sz="8" w:space="0" w:color="BFBFBF"/>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37,076</w:t>
            </w:r>
          </w:p>
        </w:tc>
        <w:tc>
          <w:tcPr>
            <w:tcW w:w="485" w:type="dxa"/>
            <w:tcBorders>
              <w:bottom w:val="single" w:sz="8" w:space="0" w:color="BFBFBF"/>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c>
          <w:tcPr>
            <w:tcW w:w="515" w:type="dxa"/>
            <w:tcBorders>
              <w:bottom w:val="single" w:sz="8" w:space="0" w:color="BFBFBF"/>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36,968</w:t>
            </w:r>
          </w:p>
        </w:tc>
        <w:tc>
          <w:tcPr>
            <w:tcW w:w="485" w:type="dxa"/>
            <w:tcBorders>
              <w:bottom w:val="single" w:sz="8" w:space="0" w:color="BFBFBF"/>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c>
          <w:tcPr>
            <w:tcW w:w="515" w:type="dxa"/>
            <w:tcBorders>
              <w:bottom w:val="single" w:sz="8" w:space="0" w:color="BFBFBF"/>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36,396</w:t>
            </w:r>
          </w:p>
        </w:tc>
        <w:tc>
          <w:tcPr>
            <w:tcW w:w="500" w:type="dxa"/>
            <w:tcBorders>
              <w:bottom w:val="single" w:sz="8" w:space="0" w:color="BFBFBF"/>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r>
      <w:tr>
        <w:trPr/>
        <w:tc>
          <w:tcPr>
            <w:tcW w:w="2435"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Peru</w:t>
            </w:r>
          </w:p>
        </w:tc>
        <w:tc>
          <w:tcPr>
            <w:tcW w:w="515"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31,520</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85.0%</w:t>
            </w:r>
          </w:p>
        </w:tc>
        <w:tc>
          <w:tcPr>
            <w:tcW w:w="51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31,094</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84.1%</w:t>
            </w:r>
          </w:p>
        </w:tc>
        <w:tc>
          <w:tcPr>
            <w:tcW w:w="51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31,018</w:t>
            </w:r>
          </w:p>
        </w:tc>
        <w:tc>
          <w:tcPr>
            <w:tcW w:w="50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85.2%</w:t>
            </w:r>
          </w:p>
        </w:tc>
      </w:tr>
      <w:tr>
        <w:trPr/>
        <w:tc>
          <w:tcPr>
            <w:tcW w:w="2435"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Bolivia</w:t>
            </w:r>
          </w:p>
        </w:tc>
        <w:tc>
          <w:tcPr>
            <w:tcW w:w="515"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1,803</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4.9%</w:t>
            </w:r>
          </w:p>
        </w:tc>
        <w:tc>
          <w:tcPr>
            <w:tcW w:w="51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1,763</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4.8%</w:t>
            </w:r>
          </w:p>
        </w:tc>
        <w:tc>
          <w:tcPr>
            <w:tcW w:w="51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1,633</w:t>
            </w:r>
          </w:p>
        </w:tc>
        <w:tc>
          <w:tcPr>
            <w:tcW w:w="50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4.5%</w:t>
            </w:r>
          </w:p>
        </w:tc>
      </w:tr>
      <w:tr>
        <w:trPr/>
        <w:tc>
          <w:tcPr>
            <w:tcW w:w="2435"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USA</w:t>
            </w:r>
          </w:p>
        </w:tc>
        <w:tc>
          <w:tcPr>
            <w:tcW w:w="515"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84</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0.2%</w:t>
            </w:r>
          </w:p>
        </w:tc>
        <w:tc>
          <w:tcPr>
            <w:tcW w:w="51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74</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0.2%</w:t>
            </w:r>
          </w:p>
        </w:tc>
        <w:tc>
          <w:tcPr>
            <w:tcW w:w="51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74</w:t>
            </w:r>
          </w:p>
        </w:tc>
        <w:tc>
          <w:tcPr>
            <w:tcW w:w="50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0.2%</w:t>
            </w:r>
          </w:p>
        </w:tc>
      </w:tr>
      <w:tr>
        <w:trPr/>
        <w:tc>
          <w:tcPr>
            <w:tcW w:w="2435"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Colombia</w:t>
            </w:r>
          </w:p>
        </w:tc>
        <w:tc>
          <w:tcPr>
            <w:tcW w:w="515"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3,325</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9.0%</w:t>
            </w:r>
          </w:p>
        </w:tc>
        <w:tc>
          <w:tcPr>
            <w:tcW w:w="51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3,660</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9.9%</w:t>
            </w:r>
          </w:p>
        </w:tc>
        <w:tc>
          <w:tcPr>
            <w:tcW w:w="51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3,274</w:t>
            </w:r>
          </w:p>
        </w:tc>
        <w:tc>
          <w:tcPr>
            <w:tcW w:w="50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9.0%</w:t>
            </w:r>
          </w:p>
        </w:tc>
      </w:tr>
      <w:tr>
        <w:trPr/>
        <w:tc>
          <w:tcPr>
            <w:tcW w:w="2435"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Panama</w:t>
            </w:r>
          </w:p>
        </w:tc>
        <w:tc>
          <w:tcPr>
            <w:tcW w:w="515"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152</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0.4%</w:t>
            </w:r>
          </w:p>
        </w:tc>
        <w:tc>
          <w:tcPr>
            <w:tcW w:w="51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159</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0.4%</w:t>
            </w:r>
          </w:p>
        </w:tc>
        <w:tc>
          <w:tcPr>
            <w:tcW w:w="51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168</w:t>
            </w:r>
          </w:p>
        </w:tc>
        <w:tc>
          <w:tcPr>
            <w:tcW w:w="50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0.5%</w:t>
            </w:r>
          </w:p>
        </w:tc>
      </w:tr>
      <w:tr>
        <w:trPr/>
        <w:tc>
          <w:tcPr>
            <w:tcW w:w="2435"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Chile</w:t>
            </w:r>
          </w:p>
        </w:tc>
        <w:tc>
          <w:tcPr>
            <w:tcW w:w="515"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191</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0.5%</w:t>
            </w:r>
          </w:p>
        </w:tc>
        <w:tc>
          <w:tcPr>
            <w:tcW w:w="51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218</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0.6%</w:t>
            </w:r>
          </w:p>
        </w:tc>
        <w:tc>
          <w:tcPr>
            <w:tcW w:w="51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229</w:t>
            </w:r>
          </w:p>
        </w:tc>
        <w:tc>
          <w:tcPr>
            <w:tcW w:w="50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0.6%</w:t>
            </w:r>
          </w:p>
        </w:tc>
      </w:tr>
      <w:tr>
        <w:trPr/>
        <w:tc>
          <w:tcPr>
            <w:tcW w:w="2435"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Mexico</w:t>
            </w:r>
          </w:p>
        </w:tc>
        <w:tc>
          <w:tcPr>
            <w:tcW w:w="515"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0.0%</w:t>
            </w:r>
          </w:p>
        </w:tc>
        <w:tc>
          <w:tcPr>
            <w:tcW w:w="515" w:type="dxa"/>
            <w:tcBorders>
              <w:bottom w:val="single" w:sz="8" w:space="0" w:color="BFBFBF"/>
            </w:tcBorders>
            <w:shd w:fill="000000"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BFBFBF"/>
            </w:tcBorders>
            <w:shd w:fill="000000"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BFBFBF"/>
            </w:tcBorders>
            <w:shd w:fill="000000"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BFBFBF"/>
            </w:tcBorders>
            <w:shd w:fill="000000"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color w:val="FE5000"/>
        </w:rPr>
      </w:pPr>
      <w:r>
        <w:rPr>
          <w:caps w:val="false"/>
          <w:smallCaps w:val="false"/>
          <w:color w:val="FE5000"/>
        </w:rPr>
        <w:t> </w:t>
      </w:r>
    </w:p>
    <w:tbl>
      <w:tblPr>
        <w:tblW w:w="7220" w:type="dxa"/>
        <w:jc w:val="left"/>
        <w:tblInd w:w="0" w:type="dxa"/>
        <w:tblLayout w:type="fixed"/>
        <w:tblCellMar>
          <w:top w:w="0" w:type="dxa"/>
          <w:left w:w="0" w:type="dxa"/>
          <w:bottom w:w="40" w:type="dxa"/>
          <w:right w:w="0" w:type="dxa"/>
        </w:tblCellMar>
      </w:tblPr>
      <w:tblGrid>
        <w:gridCol w:w="4205"/>
        <w:gridCol w:w="515"/>
        <w:gridCol w:w="485"/>
        <w:gridCol w:w="515"/>
        <w:gridCol w:w="485"/>
        <w:gridCol w:w="515"/>
        <w:gridCol w:w="500"/>
      </w:tblGrid>
      <w:tr>
        <w:trPr/>
        <w:tc>
          <w:tcPr>
            <w:tcW w:w="4205" w:type="dxa"/>
            <w:vMerge w:val="restart"/>
            <w:tcBorders>
              <w:bottom w:val="single" w:sz="8" w:space="0" w:color="BFBFBF"/>
            </w:tcBorders>
            <w:shd w:fill="000000"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GRI 2-7 Number of permanent employees by country</w:t>
            </w:r>
          </w:p>
        </w:tc>
        <w:tc>
          <w:tcPr>
            <w:tcW w:w="1000" w:type="dxa"/>
            <w:gridSpan w:val="2"/>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2023</w:t>
            </w:r>
          </w:p>
        </w:tc>
        <w:tc>
          <w:tcPr>
            <w:tcW w:w="1000" w:type="dxa"/>
            <w:gridSpan w:val="2"/>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2022</w:t>
            </w:r>
          </w:p>
        </w:tc>
        <w:tc>
          <w:tcPr>
            <w:tcW w:w="1015" w:type="dxa"/>
            <w:gridSpan w:val="2"/>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2021</w:t>
            </w:r>
          </w:p>
        </w:tc>
      </w:tr>
      <w:tr>
        <w:trPr/>
        <w:tc>
          <w:tcPr>
            <w:tcW w:w="4205" w:type="dxa"/>
            <w:vMerge w:val="continue"/>
            <w:tcBorders>
              <w:bottom w:val="single" w:sz="8" w:space="0" w:color="BFBFBF"/>
            </w:tcBorders>
            <w:shd w:fill="000000" w:val="clear"/>
            <w:vAlign w:val="center"/>
          </w:tcPr>
          <w:p>
            <w:pPr>
              <w:pStyle w:val="Normal"/>
              <w:bidi w:val="0"/>
              <w:jc w:val="left"/>
              <w:rPr/>
            </w:pPr>
            <w:r>
              <w:rPr/>
            </w:r>
          </w:p>
        </w:tc>
        <w:tc>
          <w:tcPr>
            <w:tcW w:w="515" w:type="dxa"/>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Q</w:t>
            </w:r>
          </w:p>
        </w:tc>
        <w:tc>
          <w:tcPr>
            <w:tcW w:w="485" w:type="dxa"/>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w:t>
            </w:r>
          </w:p>
        </w:tc>
        <w:tc>
          <w:tcPr>
            <w:tcW w:w="515" w:type="dxa"/>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Q</w:t>
            </w:r>
          </w:p>
        </w:tc>
        <w:tc>
          <w:tcPr>
            <w:tcW w:w="485" w:type="dxa"/>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w:t>
            </w:r>
          </w:p>
        </w:tc>
        <w:tc>
          <w:tcPr>
            <w:tcW w:w="515" w:type="dxa"/>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Q</w:t>
            </w:r>
          </w:p>
        </w:tc>
        <w:tc>
          <w:tcPr>
            <w:tcW w:w="500" w:type="dxa"/>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w:t>
            </w:r>
          </w:p>
        </w:tc>
      </w:tr>
      <w:tr>
        <w:trPr/>
        <w:tc>
          <w:tcPr>
            <w:tcW w:w="4205" w:type="dxa"/>
            <w:tcBorders>
              <w:bottom w:val="single" w:sz="8" w:space="0" w:color="BFBFBF"/>
            </w:tcBorders>
            <w:shd w:fill="808080"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Total number of employees</w:t>
            </w:r>
          </w:p>
        </w:tc>
        <w:tc>
          <w:tcPr>
            <w:tcW w:w="515" w:type="dxa"/>
            <w:tcBorders>
              <w:bottom w:val="single" w:sz="8" w:space="0" w:color="BFBFBF"/>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36,693</w:t>
            </w:r>
          </w:p>
        </w:tc>
        <w:tc>
          <w:tcPr>
            <w:tcW w:w="485" w:type="dxa"/>
            <w:tcBorders>
              <w:bottom w:val="single" w:sz="8" w:space="0" w:color="BFBFBF"/>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c>
          <w:tcPr>
            <w:tcW w:w="515" w:type="dxa"/>
            <w:tcBorders>
              <w:bottom w:val="single" w:sz="8" w:space="0" w:color="BFBFBF"/>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36,545</w:t>
            </w:r>
          </w:p>
        </w:tc>
        <w:tc>
          <w:tcPr>
            <w:tcW w:w="485" w:type="dxa"/>
            <w:tcBorders>
              <w:bottom w:val="single" w:sz="8" w:space="0" w:color="BFBFBF"/>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c>
          <w:tcPr>
            <w:tcW w:w="515" w:type="dxa"/>
            <w:tcBorders>
              <w:bottom w:val="single" w:sz="8" w:space="0" w:color="BFBFBF"/>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34,483</w:t>
            </w:r>
          </w:p>
        </w:tc>
        <w:tc>
          <w:tcPr>
            <w:tcW w:w="500" w:type="dxa"/>
            <w:tcBorders>
              <w:bottom w:val="single" w:sz="8" w:space="0" w:color="BFBFBF"/>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r>
      <w:tr>
        <w:trPr/>
        <w:tc>
          <w:tcPr>
            <w:tcW w:w="4205"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Peru</w:t>
            </w:r>
          </w:p>
        </w:tc>
        <w:tc>
          <w:tcPr>
            <w:tcW w:w="515"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31,232</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85.1%</w:t>
            </w:r>
          </w:p>
        </w:tc>
        <w:tc>
          <w:tcPr>
            <w:tcW w:w="51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30,820</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84.3%</w:t>
            </w:r>
          </w:p>
        </w:tc>
        <w:tc>
          <w:tcPr>
            <w:tcW w:w="51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29,778</w:t>
            </w:r>
          </w:p>
        </w:tc>
        <w:tc>
          <w:tcPr>
            <w:tcW w:w="50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86.4%</w:t>
            </w:r>
          </w:p>
        </w:tc>
      </w:tr>
      <w:tr>
        <w:trPr/>
        <w:tc>
          <w:tcPr>
            <w:tcW w:w="4205"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Bolivia</w:t>
            </w:r>
          </w:p>
        </w:tc>
        <w:tc>
          <w:tcPr>
            <w:tcW w:w="515"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1,800</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4.9%</w:t>
            </w:r>
          </w:p>
        </w:tc>
        <w:tc>
          <w:tcPr>
            <w:tcW w:w="51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1,756</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4.8%</w:t>
            </w:r>
          </w:p>
        </w:tc>
        <w:tc>
          <w:tcPr>
            <w:tcW w:w="51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1,622</w:t>
            </w:r>
          </w:p>
        </w:tc>
        <w:tc>
          <w:tcPr>
            <w:tcW w:w="50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4.7%</w:t>
            </w:r>
          </w:p>
        </w:tc>
      </w:tr>
      <w:tr>
        <w:trPr/>
        <w:tc>
          <w:tcPr>
            <w:tcW w:w="4205"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USA</w:t>
            </w:r>
          </w:p>
        </w:tc>
        <w:tc>
          <w:tcPr>
            <w:tcW w:w="515"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83</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0.2%</w:t>
            </w:r>
          </w:p>
        </w:tc>
        <w:tc>
          <w:tcPr>
            <w:tcW w:w="51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72</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0.2%</w:t>
            </w:r>
          </w:p>
        </w:tc>
        <w:tc>
          <w:tcPr>
            <w:tcW w:w="51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70</w:t>
            </w:r>
          </w:p>
        </w:tc>
        <w:tc>
          <w:tcPr>
            <w:tcW w:w="50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0.2%</w:t>
            </w:r>
          </w:p>
        </w:tc>
      </w:tr>
      <w:tr>
        <w:trPr/>
        <w:tc>
          <w:tcPr>
            <w:tcW w:w="4205"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Colombia</w:t>
            </w:r>
          </w:p>
        </w:tc>
        <w:tc>
          <w:tcPr>
            <w:tcW w:w="515"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3,247</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8.8%</w:t>
            </w:r>
          </w:p>
        </w:tc>
        <w:tc>
          <w:tcPr>
            <w:tcW w:w="51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3,533</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9.7%</w:t>
            </w:r>
          </w:p>
        </w:tc>
        <w:tc>
          <w:tcPr>
            <w:tcW w:w="51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2,650</w:t>
            </w:r>
          </w:p>
        </w:tc>
        <w:tc>
          <w:tcPr>
            <w:tcW w:w="50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7.7%</w:t>
            </w:r>
          </w:p>
        </w:tc>
      </w:tr>
      <w:tr>
        <w:trPr/>
        <w:tc>
          <w:tcPr>
            <w:tcW w:w="4205"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Panama</w:t>
            </w:r>
          </w:p>
        </w:tc>
        <w:tc>
          <w:tcPr>
            <w:tcW w:w="515"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143</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0.4%</w:t>
            </w:r>
          </w:p>
        </w:tc>
        <w:tc>
          <w:tcPr>
            <w:tcW w:w="51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147</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0.4%</w:t>
            </w:r>
          </w:p>
        </w:tc>
        <w:tc>
          <w:tcPr>
            <w:tcW w:w="51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135</w:t>
            </w:r>
          </w:p>
        </w:tc>
        <w:tc>
          <w:tcPr>
            <w:tcW w:w="50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0.4%</w:t>
            </w:r>
          </w:p>
        </w:tc>
      </w:tr>
      <w:tr>
        <w:trPr/>
        <w:tc>
          <w:tcPr>
            <w:tcW w:w="4205"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Chile</w:t>
            </w:r>
          </w:p>
        </w:tc>
        <w:tc>
          <w:tcPr>
            <w:tcW w:w="515"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187</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0.5%</w:t>
            </w:r>
          </w:p>
        </w:tc>
        <w:tc>
          <w:tcPr>
            <w:tcW w:w="51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217</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0.6%</w:t>
            </w:r>
          </w:p>
        </w:tc>
        <w:tc>
          <w:tcPr>
            <w:tcW w:w="51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228</w:t>
            </w:r>
          </w:p>
        </w:tc>
        <w:tc>
          <w:tcPr>
            <w:tcW w:w="50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0.7%</w:t>
            </w:r>
          </w:p>
        </w:tc>
      </w:tr>
      <w:tr>
        <w:trPr/>
        <w:tc>
          <w:tcPr>
            <w:tcW w:w="4205"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Mexico</w:t>
            </w:r>
          </w:p>
        </w:tc>
        <w:tc>
          <w:tcPr>
            <w:tcW w:w="515"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0.0%</w:t>
            </w:r>
          </w:p>
        </w:tc>
        <w:tc>
          <w:tcPr>
            <w:tcW w:w="515" w:type="dxa"/>
            <w:tcBorders>
              <w:bottom w:val="single" w:sz="8" w:space="0" w:color="BFBFBF"/>
            </w:tcBorders>
            <w:shd w:fill="000000"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BFBFBF"/>
            </w:tcBorders>
            <w:shd w:fill="000000"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BFBFBF"/>
            </w:tcBorders>
            <w:shd w:fill="000000"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BFBFBF"/>
            </w:tcBorders>
            <w:shd w:fill="000000"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color w:val="FE5000"/>
        </w:rPr>
      </w:pPr>
      <w:r>
        <w:rPr>
          <w:caps w:val="false"/>
          <w:smallCaps w:val="false"/>
          <w:color w:val="FE5000"/>
        </w:rPr>
        <w:t> </w:t>
      </w:r>
    </w:p>
    <w:tbl>
      <w:tblPr>
        <w:tblW w:w="6635" w:type="dxa"/>
        <w:jc w:val="left"/>
        <w:tblInd w:w="0" w:type="dxa"/>
        <w:tblLayout w:type="fixed"/>
        <w:tblCellMar>
          <w:top w:w="0" w:type="dxa"/>
          <w:left w:w="0" w:type="dxa"/>
          <w:bottom w:w="40" w:type="dxa"/>
          <w:right w:w="0" w:type="dxa"/>
        </w:tblCellMar>
      </w:tblPr>
      <w:tblGrid>
        <w:gridCol w:w="4160"/>
        <w:gridCol w:w="290"/>
        <w:gridCol w:w="485"/>
        <w:gridCol w:w="290"/>
        <w:gridCol w:w="485"/>
        <w:gridCol w:w="425"/>
        <w:gridCol w:w="500"/>
      </w:tblGrid>
      <w:tr>
        <w:trPr/>
        <w:tc>
          <w:tcPr>
            <w:tcW w:w="4160" w:type="dxa"/>
            <w:vMerge w:val="restart"/>
            <w:tcBorders>
              <w:bottom w:val="single" w:sz="8" w:space="0" w:color="BFBFBF"/>
            </w:tcBorders>
            <w:shd w:fill="000000"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GRI 2-7 Number of temporary employees by country</w:t>
            </w:r>
          </w:p>
        </w:tc>
        <w:tc>
          <w:tcPr>
            <w:tcW w:w="775" w:type="dxa"/>
            <w:gridSpan w:val="2"/>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2023</w:t>
            </w:r>
          </w:p>
        </w:tc>
        <w:tc>
          <w:tcPr>
            <w:tcW w:w="775" w:type="dxa"/>
            <w:gridSpan w:val="2"/>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2022</w:t>
            </w:r>
          </w:p>
        </w:tc>
        <w:tc>
          <w:tcPr>
            <w:tcW w:w="925" w:type="dxa"/>
            <w:gridSpan w:val="2"/>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2021</w:t>
            </w:r>
          </w:p>
        </w:tc>
      </w:tr>
      <w:tr>
        <w:trPr/>
        <w:tc>
          <w:tcPr>
            <w:tcW w:w="4160" w:type="dxa"/>
            <w:vMerge w:val="continue"/>
            <w:tcBorders>
              <w:bottom w:val="single" w:sz="8" w:space="0" w:color="BFBFBF"/>
            </w:tcBorders>
            <w:shd w:fill="000000" w:val="clear"/>
            <w:vAlign w:val="center"/>
          </w:tcPr>
          <w:p>
            <w:pPr>
              <w:pStyle w:val="Normal"/>
              <w:bidi w:val="0"/>
              <w:jc w:val="left"/>
              <w:rPr/>
            </w:pPr>
            <w:r>
              <w:rPr/>
            </w:r>
          </w:p>
        </w:tc>
        <w:tc>
          <w:tcPr>
            <w:tcW w:w="290" w:type="dxa"/>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Q</w:t>
            </w:r>
          </w:p>
        </w:tc>
        <w:tc>
          <w:tcPr>
            <w:tcW w:w="485" w:type="dxa"/>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w:t>
            </w:r>
          </w:p>
        </w:tc>
        <w:tc>
          <w:tcPr>
            <w:tcW w:w="290" w:type="dxa"/>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Q</w:t>
            </w:r>
          </w:p>
        </w:tc>
        <w:tc>
          <w:tcPr>
            <w:tcW w:w="485" w:type="dxa"/>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w:t>
            </w:r>
          </w:p>
        </w:tc>
        <w:tc>
          <w:tcPr>
            <w:tcW w:w="425" w:type="dxa"/>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Q</w:t>
            </w:r>
          </w:p>
        </w:tc>
        <w:tc>
          <w:tcPr>
            <w:tcW w:w="500" w:type="dxa"/>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w:t>
            </w:r>
          </w:p>
        </w:tc>
      </w:tr>
      <w:tr>
        <w:trPr/>
        <w:tc>
          <w:tcPr>
            <w:tcW w:w="4160" w:type="dxa"/>
            <w:tcBorders>
              <w:bottom w:val="single" w:sz="8" w:space="0" w:color="BFBFBF"/>
            </w:tcBorders>
            <w:shd w:fill="808080"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Total number of employees</w:t>
            </w:r>
          </w:p>
        </w:tc>
        <w:tc>
          <w:tcPr>
            <w:tcW w:w="290" w:type="dxa"/>
            <w:tcBorders>
              <w:bottom w:val="single" w:sz="8" w:space="0" w:color="BFBFBF"/>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383</w:t>
            </w:r>
          </w:p>
        </w:tc>
        <w:tc>
          <w:tcPr>
            <w:tcW w:w="485" w:type="dxa"/>
            <w:tcBorders>
              <w:bottom w:val="single" w:sz="8" w:space="0" w:color="BFBFBF"/>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c>
          <w:tcPr>
            <w:tcW w:w="290" w:type="dxa"/>
            <w:tcBorders>
              <w:bottom w:val="single" w:sz="8" w:space="0" w:color="BFBFBF"/>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423</w:t>
            </w:r>
          </w:p>
        </w:tc>
        <w:tc>
          <w:tcPr>
            <w:tcW w:w="485" w:type="dxa"/>
            <w:tcBorders>
              <w:bottom w:val="single" w:sz="8" w:space="0" w:color="BFBFBF"/>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c>
          <w:tcPr>
            <w:tcW w:w="425" w:type="dxa"/>
            <w:tcBorders>
              <w:bottom w:val="single" w:sz="8" w:space="0" w:color="BFBFBF"/>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1,913</w:t>
            </w:r>
          </w:p>
        </w:tc>
        <w:tc>
          <w:tcPr>
            <w:tcW w:w="500" w:type="dxa"/>
            <w:tcBorders>
              <w:bottom w:val="single" w:sz="8" w:space="0" w:color="BFBFBF"/>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r>
      <w:tr>
        <w:trPr/>
        <w:tc>
          <w:tcPr>
            <w:tcW w:w="4160"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Peru</w:t>
            </w:r>
          </w:p>
        </w:tc>
        <w:tc>
          <w:tcPr>
            <w:tcW w:w="29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288</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75.2%</w:t>
            </w:r>
          </w:p>
        </w:tc>
        <w:tc>
          <w:tcPr>
            <w:tcW w:w="29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274</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64.8%</w:t>
            </w:r>
          </w:p>
        </w:tc>
        <w:tc>
          <w:tcPr>
            <w:tcW w:w="42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1,240</w:t>
            </w:r>
          </w:p>
        </w:tc>
        <w:tc>
          <w:tcPr>
            <w:tcW w:w="50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64.8%</w:t>
            </w:r>
          </w:p>
        </w:tc>
      </w:tr>
      <w:tr>
        <w:trPr/>
        <w:tc>
          <w:tcPr>
            <w:tcW w:w="4160"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Bolivia</w:t>
            </w:r>
          </w:p>
        </w:tc>
        <w:tc>
          <w:tcPr>
            <w:tcW w:w="29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3</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0.8%</w:t>
            </w:r>
          </w:p>
        </w:tc>
        <w:tc>
          <w:tcPr>
            <w:tcW w:w="29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7</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1.7%</w:t>
            </w:r>
          </w:p>
        </w:tc>
        <w:tc>
          <w:tcPr>
            <w:tcW w:w="42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11</w:t>
            </w:r>
          </w:p>
        </w:tc>
        <w:tc>
          <w:tcPr>
            <w:tcW w:w="50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0.6%</w:t>
            </w:r>
          </w:p>
        </w:tc>
      </w:tr>
      <w:tr>
        <w:trPr/>
        <w:tc>
          <w:tcPr>
            <w:tcW w:w="4160"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USA</w:t>
            </w:r>
          </w:p>
        </w:tc>
        <w:tc>
          <w:tcPr>
            <w:tcW w:w="29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0.3%</w:t>
            </w:r>
          </w:p>
        </w:tc>
        <w:tc>
          <w:tcPr>
            <w:tcW w:w="29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2</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0.5%</w:t>
            </w:r>
          </w:p>
        </w:tc>
        <w:tc>
          <w:tcPr>
            <w:tcW w:w="42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4</w:t>
            </w:r>
          </w:p>
        </w:tc>
        <w:tc>
          <w:tcPr>
            <w:tcW w:w="50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0.2%</w:t>
            </w:r>
          </w:p>
        </w:tc>
      </w:tr>
      <w:tr>
        <w:trPr/>
        <w:tc>
          <w:tcPr>
            <w:tcW w:w="4160"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Colombia</w:t>
            </w:r>
          </w:p>
        </w:tc>
        <w:tc>
          <w:tcPr>
            <w:tcW w:w="29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78</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20.4%</w:t>
            </w:r>
          </w:p>
        </w:tc>
        <w:tc>
          <w:tcPr>
            <w:tcW w:w="29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127</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30.0%</w:t>
            </w:r>
          </w:p>
        </w:tc>
        <w:tc>
          <w:tcPr>
            <w:tcW w:w="42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624</w:t>
            </w:r>
          </w:p>
        </w:tc>
        <w:tc>
          <w:tcPr>
            <w:tcW w:w="50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32.6%</w:t>
            </w:r>
          </w:p>
        </w:tc>
      </w:tr>
      <w:tr>
        <w:trPr/>
        <w:tc>
          <w:tcPr>
            <w:tcW w:w="4160"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Panama</w:t>
            </w:r>
          </w:p>
        </w:tc>
        <w:tc>
          <w:tcPr>
            <w:tcW w:w="29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9</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2.3%</w:t>
            </w:r>
          </w:p>
        </w:tc>
        <w:tc>
          <w:tcPr>
            <w:tcW w:w="29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12</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2.8%</w:t>
            </w:r>
          </w:p>
        </w:tc>
        <w:tc>
          <w:tcPr>
            <w:tcW w:w="42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33</w:t>
            </w:r>
          </w:p>
        </w:tc>
        <w:tc>
          <w:tcPr>
            <w:tcW w:w="50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1.7%</w:t>
            </w:r>
          </w:p>
        </w:tc>
      </w:tr>
      <w:tr>
        <w:trPr/>
        <w:tc>
          <w:tcPr>
            <w:tcW w:w="4160"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Chile</w:t>
            </w:r>
          </w:p>
        </w:tc>
        <w:tc>
          <w:tcPr>
            <w:tcW w:w="29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4</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1.0%</w:t>
            </w:r>
          </w:p>
        </w:tc>
        <w:tc>
          <w:tcPr>
            <w:tcW w:w="29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0.2%</w:t>
            </w:r>
          </w:p>
        </w:tc>
        <w:tc>
          <w:tcPr>
            <w:tcW w:w="42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w:t>
            </w:r>
          </w:p>
        </w:tc>
        <w:tc>
          <w:tcPr>
            <w:tcW w:w="50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0.1%</w:t>
            </w:r>
          </w:p>
        </w:tc>
      </w:tr>
      <w:tr>
        <w:trPr/>
        <w:tc>
          <w:tcPr>
            <w:tcW w:w="4160"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Mexico</w:t>
            </w:r>
          </w:p>
        </w:tc>
        <w:tc>
          <w:tcPr>
            <w:tcW w:w="29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0.0%</w:t>
            </w:r>
          </w:p>
        </w:tc>
        <w:tc>
          <w:tcPr>
            <w:tcW w:w="290" w:type="dxa"/>
            <w:tcBorders>
              <w:bottom w:val="single" w:sz="8" w:space="0" w:color="BFBFBF"/>
            </w:tcBorders>
            <w:shd w:fill="000000"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BFBFBF"/>
            </w:tcBorders>
            <w:shd w:fill="000000"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BFBFBF"/>
            </w:tcBorders>
            <w:shd w:fill="000000"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BFBFBF"/>
            </w:tcBorders>
            <w:shd w:fill="000000" w:val="cle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72</w:t>
      </w:r>
    </w:p>
    <w:p>
      <w:pPr>
        <w:pStyle w:val="HorizontalLine"/>
        <w:pBdr>
          <w:bottom w:val="single" w:sz="12" w:space="0" w:color="808080"/>
        </w:pBdr>
        <w:bidi w:val="0"/>
        <w:spacing w:before="200" w:after="200"/>
        <w:jc w:val="right"/>
        <w:rPr/>
      </w:pPr>
      <w:r>
        <w:rPr/>
      </w:r>
    </w:p>
    <w:tbl>
      <w:tblPr>
        <w:tblW w:w="6185" w:type="dxa"/>
        <w:jc w:val="left"/>
        <w:tblInd w:w="0" w:type="dxa"/>
        <w:tblLayout w:type="fixed"/>
        <w:tblCellMar>
          <w:top w:w="0" w:type="dxa"/>
          <w:left w:w="0" w:type="dxa"/>
          <w:bottom w:w="40" w:type="dxa"/>
          <w:right w:w="0" w:type="dxa"/>
        </w:tblCellMar>
      </w:tblPr>
      <w:tblGrid>
        <w:gridCol w:w="3170"/>
        <w:gridCol w:w="515"/>
        <w:gridCol w:w="485"/>
        <w:gridCol w:w="515"/>
        <w:gridCol w:w="485"/>
        <w:gridCol w:w="515"/>
        <w:gridCol w:w="500"/>
      </w:tblGrid>
      <w:tr>
        <w:trPr/>
        <w:tc>
          <w:tcPr>
            <w:tcW w:w="3170" w:type="dxa"/>
            <w:vMerge w:val="restart"/>
            <w:tcBorders>
              <w:bottom w:val="single" w:sz="8" w:space="0" w:color="BFBFBF"/>
            </w:tcBorders>
            <w:shd w:fill="000000"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GRI 2-7 Full-time employees by country</w:t>
            </w:r>
          </w:p>
        </w:tc>
        <w:tc>
          <w:tcPr>
            <w:tcW w:w="1000" w:type="dxa"/>
            <w:gridSpan w:val="2"/>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2023</w:t>
            </w:r>
          </w:p>
        </w:tc>
        <w:tc>
          <w:tcPr>
            <w:tcW w:w="1000" w:type="dxa"/>
            <w:gridSpan w:val="2"/>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2022</w:t>
            </w:r>
          </w:p>
        </w:tc>
        <w:tc>
          <w:tcPr>
            <w:tcW w:w="1015" w:type="dxa"/>
            <w:gridSpan w:val="2"/>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2021</w:t>
            </w:r>
          </w:p>
        </w:tc>
      </w:tr>
      <w:tr>
        <w:trPr/>
        <w:tc>
          <w:tcPr>
            <w:tcW w:w="3170" w:type="dxa"/>
            <w:vMerge w:val="continue"/>
            <w:tcBorders>
              <w:bottom w:val="single" w:sz="8" w:space="0" w:color="BFBFBF"/>
            </w:tcBorders>
            <w:shd w:fill="000000" w:val="clear"/>
            <w:vAlign w:val="center"/>
          </w:tcPr>
          <w:p>
            <w:pPr>
              <w:pStyle w:val="Normal"/>
              <w:bidi w:val="0"/>
              <w:jc w:val="left"/>
              <w:rPr/>
            </w:pPr>
            <w:r>
              <w:rPr/>
            </w:r>
          </w:p>
        </w:tc>
        <w:tc>
          <w:tcPr>
            <w:tcW w:w="515" w:type="dxa"/>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Q</w:t>
            </w:r>
          </w:p>
        </w:tc>
        <w:tc>
          <w:tcPr>
            <w:tcW w:w="485" w:type="dxa"/>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w:t>
            </w:r>
          </w:p>
        </w:tc>
        <w:tc>
          <w:tcPr>
            <w:tcW w:w="515" w:type="dxa"/>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Q</w:t>
            </w:r>
          </w:p>
        </w:tc>
        <w:tc>
          <w:tcPr>
            <w:tcW w:w="485" w:type="dxa"/>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w:t>
            </w:r>
          </w:p>
        </w:tc>
        <w:tc>
          <w:tcPr>
            <w:tcW w:w="515" w:type="dxa"/>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Q</w:t>
            </w:r>
          </w:p>
        </w:tc>
        <w:tc>
          <w:tcPr>
            <w:tcW w:w="500" w:type="dxa"/>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w:t>
            </w:r>
          </w:p>
        </w:tc>
      </w:tr>
      <w:tr>
        <w:trPr/>
        <w:tc>
          <w:tcPr>
            <w:tcW w:w="3170" w:type="dxa"/>
            <w:tcBorders>
              <w:bottom w:val="single" w:sz="8" w:space="0" w:color="BFBFBF"/>
            </w:tcBorders>
            <w:shd w:fill="808080"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Total number of employees</w:t>
            </w:r>
          </w:p>
        </w:tc>
        <w:tc>
          <w:tcPr>
            <w:tcW w:w="515" w:type="dxa"/>
            <w:tcBorders>
              <w:bottom w:val="single" w:sz="8" w:space="0" w:color="BFBFBF"/>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36,099</w:t>
            </w:r>
          </w:p>
        </w:tc>
        <w:tc>
          <w:tcPr>
            <w:tcW w:w="485" w:type="dxa"/>
            <w:tcBorders>
              <w:bottom w:val="single" w:sz="8" w:space="0" w:color="BFBFBF"/>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c>
          <w:tcPr>
            <w:tcW w:w="515" w:type="dxa"/>
            <w:tcBorders>
              <w:bottom w:val="single" w:sz="8" w:space="0" w:color="BFBFBF"/>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34,225</w:t>
            </w:r>
          </w:p>
        </w:tc>
        <w:tc>
          <w:tcPr>
            <w:tcW w:w="485" w:type="dxa"/>
            <w:tcBorders>
              <w:bottom w:val="single" w:sz="8" w:space="0" w:color="BFBFBF"/>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c>
          <w:tcPr>
            <w:tcW w:w="515" w:type="dxa"/>
            <w:tcBorders>
              <w:bottom w:val="single" w:sz="8" w:space="0" w:color="BFBFBF"/>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33,024</w:t>
            </w:r>
          </w:p>
        </w:tc>
        <w:tc>
          <w:tcPr>
            <w:tcW w:w="500" w:type="dxa"/>
            <w:tcBorders>
              <w:bottom w:val="single" w:sz="8" w:space="0" w:color="BFBFBF"/>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r>
      <w:tr>
        <w:trPr/>
        <w:tc>
          <w:tcPr>
            <w:tcW w:w="3170"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Peru</w:t>
            </w:r>
          </w:p>
        </w:tc>
        <w:tc>
          <w:tcPr>
            <w:tcW w:w="515"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30,543</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84.6%</w:t>
            </w:r>
          </w:p>
        </w:tc>
        <w:tc>
          <w:tcPr>
            <w:tcW w:w="51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28,351</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82.8%</w:t>
            </w:r>
          </w:p>
        </w:tc>
        <w:tc>
          <w:tcPr>
            <w:tcW w:w="51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27,646</w:t>
            </w:r>
          </w:p>
        </w:tc>
        <w:tc>
          <w:tcPr>
            <w:tcW w:w="50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83.7%</w:t>
            </w:r>
          </w:p>
        </w:tc>
      </w:tr>
      <w:tr>
        <w:trPr/>
        <w:tc>
          <w:tcPr>
            <w:tcW w:w="3170"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Bolivia</w:t>
            </w:r>
          </w:p>
        </w:tc>
        <w:tc>
          <w:tcPr>
            <w:tcW w:w="515"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1,803</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5.0%</w:t>
            </w:r>
          </w:p>
        </w:tc>
        <w:tc>
          <w:tcPr>
            <w:tcW w:w="51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1,763</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5.2%</w:t>
            </w:r>
          </w:p>
        </w:tc>
        <w:tc>
          <w:tcPr>
            <w:tcW w:w="51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1,633</w:t>
            </w:r>
          </w:p>
        </w:tc>
        <w:tc>
          <w:tcPr>
            <w:tcW w:w="50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4.9%</w:t>
            </w:r>
          </w:p>
        </w:tc>
      </w:tr>
      <w:tr>
        <w:trPr/>
        <w:tc>
          <w:tcPr>
            <w:tcW w:w="3170"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USA</w:t>
            </w:r>
          </w:p>
        </w:tc>
        <w:tc>
          <w:tcPr>
            <w:tcW w:w="515"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84</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0.2%</w:t>
            </w:r>
          </w:p>
        </w:tc>
        <w:tc>
          <w:tcPr>
            <w:tcW w:w="51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74</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0.2%</w:t>
            </w:r>
          </w:p>
        </w:tc>
        <w:tc>
          <w:tcPr>
            <w:tcW w:w="51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74</w:t>
            </w:r>
          </w:p>
        </w:tc>
        <w:tc>
          <w:tcPr>
            <w:tcW w:w="50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0.2%</w:t>
            </w:r>
          </w:p>
        </w:tc>
      </w:tr>
      <w:tr>
        <w:trPr/>
        <w:tc>
          <w:tcPr>
            <w:tcW w:w="3170"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Colombia</w:t>
            </w:r>
          </w:p>
        </w:tc>
        <w:tc>
          <w:tcPr>
            <w:tcW w:w="515"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3.325</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9.2%</w:t>
            </w:r>
          </w:p>
        </w:tc>
        <w:tc>
          <w:tcPr>
            <w:tcW w:w="51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3,660</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10.7%</w:t>
            </w:r>
          </w:p>
        </w:tc>
        <w:tc>
          <w:tcPr>
            <w:tcW w:w="51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3,274</w:t>
            </w:r>
          </w:p>
        </w:tc>
        <w:tc>
          <w:tcPr>
            <w:tcW w:w="50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9.9%</w:t>
            </w:r>
          </w:p>
        </w:tc>
      </w:tr>
      <w:tr>
        <w:trPr/>
        <w:tc>
          <w:tcPr>
            <w:tcW w:w="3170"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Panama</w:t>
            </w:r>
          </w:p>
        </w:tc>
        <w:tc>
          <w:tcPr>
            <w:tcW w:w="515"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152</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0.4%</w:t>
            </w:r>
          </w:p>
        </w:tc>
        <w:tc>
          <w:tcPr>
            <w:tcW w:w="51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159</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0.5%</w:t>
            </w:r>
          </w:p>
        </w:tc>
        <w:tc>
          <w:tcPr>
            <w:tcW w:w="51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168</w:t>
            </w:r>
          </w:p>
        </w:tc>
        <w:tc>
          <w:tcPr>
            <w:tcW w:w="50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0.5%</w:t>
            </w:r>
          </w:p>
        </w:tc>
      </w:tr>
      <w:tr>
        <w:trPr/>
        <w:tc>
          <w:tcPr>
            <w:tcW w:w="3170"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Chile</w:t>
            </w:r>
          </w:p>
        </w:tc>
        <w:tc>
          <w:tcPr>
            <w:tcW w:w="515"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191</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0.5%</w:t>
            </w:r>
          </w:p>
        </w:tc>
        <w:tc>
          <w:tcPr>
            <w:tcW w:w="51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218</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0.6%</w:t>
            </w:r>
          </w:p>
        </w:tc>
        <w:tc>
          <w:tcPr>
            <w:tcW w:w="51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229</w:t>
            </w:r>
          </w:p>
        </w:tc>
        <w:tc>
          <w:tcPr>
            <w:tcW w:w="50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0.7%</w:t>
            </w:r>
          </w:p>
        </w:tc>
      </w:tr>
      <w:tr>
        <w:trPr/>
        <w:tc>
          <w:tcPr>
            <w:tcW w:w="3170"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Mexico</w:t>
            </w:r>
          </w:p>
        </w:tc>
        <w:tc>
          <w:tcPr>
            <w:tcW w:w="515"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w:t>
            </w:r>
          </w:p>
        </w:tc>
        <w:tc>
          <w:tcPr>
            <w:tcW w:w="48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0.0%</w:t>
            </w:r>
          </w:p>
        </w:tc>
        <w:tc>
          <w:tcPr>
            <w:tcW w:w="515" w:type="dxa"/>
            <w:tcBorders>
              <w:bottom w:val="single" w:sz="8" w:space="0" w:color="BFBFBF"/>
            </w:tcBorders>
            <w:shd w:fill="000000"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BFBFBF"/>
            </w:tcBorders>
            <w:shd w:fill="000000"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BFBFBF"/>
            </w:tcBorders>
            <w:shd w:fill="000000"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BFBFBF"/>
            </w:tcBorders>
            <w:shd w:fill="000000"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color w:val="FE5000"/>
        </w:rPr>
      </w:pPr>
      <w:r>
        <w:rPr>
          <w:caps w:val="false"/>
          <w:smallCaps w:val="false"/>
          <w:color w:val="FE5000"/>
        </w:rPr>
        <w:t> </w:t>
      </w:r>
    </w:p>
    <w:tbl>
      <w:tblPr>
        <w:tblW w:w="6065" w:type="dxa"/>
        <w:jc w:val="left"/>
        <w:tblInd w:w="0" w:type="dxa"/>
        <w:tblLayout w:type="fixed"/>
        <w:tblCellMar>
          <w:top w:w="0" w:type="dxa"/>
          <w:left w:w="0" w:type="dxa"/>
          <w:bottom w:w="40" w:type="dxa"/>
          <w:right w:w="0" w:type="dxa"/>
        </w:tblCellMar>
      </w:tblPr>
      <w:tblGrid>
        <w:gridCol w:w="3185"/>
        <w:gridCol w:w="290"/>
        <w:gridCol w:w="575"/>
        <w:gridCol w:w="425"/>
        <w:gridCol w:w="575"/>
        <w:gridCol w:w="425"/>
        <w:gridCol w:w="590"/>
      </w:tblGrid>
      <w:tr>
        <w:trPr/>
        <w:tc>
          <w:tcPr>
            <w:tcW w:w="3185" w:type="dxa"/>
            <w:vMerge w:val="restart"/>
            <w:tcBorders>
              <w:bottom w:val="single" w:sz="8" w:space="0" w:color="BFBFBF"/>
            </w:tcBorders>
            <w:shd w:fill="000000"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GRI 2-7 Part-time employees by country</w:t>
            </w:r>
          </w:p>
        </w:tc>
        <w:tc>
          <w:tcPr>
            <w:tcW w:w="865" w:type="dxa"/>
            <w:gridSpan w:val="2"/>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2023</w:t>
            </w:r>
          </w:p>
        </w:tc>
        <w:tc>
          <w:tcPr>
            <w:tcW w:w="1000" w:type="dxa"/>
            <w:gridSpan w:val="2"/>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2022</w:t>
            </w:r>
          </w:p>
        </w:tc>
        <w:tc>
          <w:tcPr>
            <w:tcW w:w="1015" w:type="dxa"/>
            <w:gridSpan w:val="2"/>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2021</w:t>
            </w:r>
          </w:p>
        </w:tc>
      </w:tr>
      <w:tr>
        <w:trPr/>
        <w:tc>
          <w:tcPr>
            <w:tcW w:w="3185" w:type="dxa"/>
            <w:vMerge w:val="continue"/>
            <w:tcBorders>
              <w:bottom w:val="single" w:sz="8" w:space="0" w:color="BFBFBF"/>
            </w:tcBorders>
            <w:shd w:fill="000000" w:val="clear"/>
            <w:vAlign w:val="center"/>
          </w:tcPr>
          <w:p>
            <w:pPr>
              <w:pStyle w:val="Normal"/>
              <w:bidi w:val="0"/>
              <w:jc w:val="left"/>
              <w:rPr/>
            </w:pPr>
            <w:r>
              <w:rPr/>
            </w:r>
          </w:p>
        </w:tc>
        <w:tc>
          <w:tcPr>
            <w:tcW w:w="290" w:type="dxa"/>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Q</w:t>
            </w:r>
          </w:p>
        </w:tc>
        <w:tc>
          <w:tcPr>
            <w:tcW w:w="575" w:type="dxa"/>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w:t>
            </w:r>
          </w:p>
        </w:tc>
        <w:tc>
          <w:tcPr>
            <w:tcW w:w="425" w:type="dxa"/>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Q</w:t>
            </w:r>
          </w:p>
        </w:tc>
        <w:tc>
          <w:tcPr>
            <w:tcW w:w="575" w:type="dxa"/>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w:t>
            </w:r>
          </w:p>
        </w:tc>
        <w:tc>
          <w:tcPr>
            <w:tcW w:w="425" w:type="dxa"/>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Q</w:t>
            </w:r>
          </w:p>
        </w:tc>
        <w:tc>
          <w:tcPr>
            <w:tcW w:w="590" w:type="dxa"/>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w:t>
            </w:r>
          </w:p>
        </w:tc>
      </w:tr>
      <w:tr>
        <w:trPr/>
        <w:tc>
          <w:tcPr>
            <w:tcW w:w="3185" w:type="dxa"/>
            <w:tcBorders>
              <w:bottom w:val="single" w:sz="8" w:space="0" w:color="BFBFBF"/>
            </w:tcBorders>
            <w:shd w:fill="808080"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Total number of employees</w:t>
            </w:r>
          </w:p>
        </w:tc>
        <w:tc>
          <w:tcPr>
            <w:tcW w:w="290" w:type="dxa"/>
            <w:tcBorders>
              <w:bottom w:val="single" w:sz="8" w:space="0" w:color="BFBFBF"/>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977</w:t>
            </w:r>
          </w:p>
        </w:tc>
        <w:tc>
          <w:tcPr>
            <w:tcW w:w="575" w:type="dxa"/>
            <w:tcBorders>
              <w:bottom w:val="single" w:sz="8" w:space="0" w:color="BFBFBF"/>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c>
          <w:tcPr>
            <w:tcW w:w="425" w:type="dxa"/>
            <w:tcBorders>
              <w:bottom w:val="single" w:sz="8" w:space="0" w:color="BFBFBF"/>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2,743</w:t>
            </w:r>
          </w:p>
        </w:tc>
        <w:tc>
          <w:tcPr>
            <w:tcW w:w="575" w:type="dxa"/>
            <w:tcBorders>
              <w:bottom w:val="single" w:sz="8" w:space="0" w:color="BFBFBF"/>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c>
          <w:tcPr>
            <w:tcW w:w="425" w:type="dxa"/>
            <w:tcBorders>
              <w:bottom w:val="single" w:sz="8" w:space="0" w:color="BFBFBF"/>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3,372</w:t>
            </w:r>
          </w:p>
        </w:tc>
        <w:tc>
          <w:tcPr>
            <w:tcW w:w="590" w:type="dxa"/>
            <w:tcBorders>
              <w:bottom w:val="single" w:sz="8" w:space="0" w:color="BFBFBF"/>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r>
      <w:tr>
        <w:trPr/>
        <w:tc>
          <w:tcPr>
            <w:tcW w:w="3185"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Peru</w:t>
            </w:r>
          </w:p>
        </w:tc>
        <w:tc>
          <w:tcPr>
            <w:tcW w:w="29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977</w:t>
            </w:r>
          </w:p>
        </w:tc>
        <w:tc>
          <w:tcPr>
            <w:tcW w:w="57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100.0%</w:t>
            </w:r>
          </w:p>
        </w:tc>
        <w:tc>
          <w:tcPr>
            <w:tcW w:w="42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2,743</w:t>
            </w:r>
          </w:p>
        </w:tc>
        <w:tc>
          <w:tcPr>
            <w:tcW w:w="57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100.0%</w:t>
            </w:r>
          </w:p>
        </w:tc>
        <w:tc>
          <w:tcPr>
            <w:tcW w:w="42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3,372</w:t>
            </w:r>
          </w:p>
        </w:tc>
        <w:tc>
          <w:tcPr>
            <w:tcW w:w="59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100.0%</w:t>
            </w:r>
          </w:p>
        </w:tc>
      </w:tr>
      <w:tr>
        <w:trPr/>
        <w:tc>
          <w:tcPr>
            <w:tcW w:w="3185"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Bolivia</w:t>
            </w:r>
          </w:p>
        </w:tc>
        <w:tc>
          <w:tcPr>
            <w:tcW w:w="29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w:t>
            </w:r>
          </w:p>
        </w:tc>
        <w:tc>
          <w:tcPr>
            <w:tcW w:w="57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0.0%</w:t>
            </w:r>
          </w:p>
        </w:tc>
        <w:tc>
          <w:tcPr>
            <w:tcW w:w="42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w:t>
            </w:r>
          </w:p>
        </w:tc>
        <w:tc>
          <w:tcPr>
            <w:tcW w:w="57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0.0%</w:t>
            </w:r>
          </w:p>
        </w:tc>
        <w:tc>
          <w:tcPr>
            <w:tcW w:w="42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w:t>
            </w:r>
          </w:p>
        </w:tc>
        <w:tc>
          <w:tcPr>
            <w:tcW w:w="59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0.0%</w:t>
            </w:r>
          </w:p>
        </w:tc>
      </w:tr>
      <w:tr>
        <w:trPr/>
        <w:tc>
          <w:tcPr>
            <w:tcW w:w="3185"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USA</w:t>
            </w:r>
          </w:p>
        </w:tc>
        <w:tc>
          <w:tcPr>
            <w:tcW w:w="29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w:t>
            </w:r>
          </w:p>
        </w:tc>
        <w:tc>
          <w:tcPr>
            <w:tcW w:w="57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0.0%</w:t>
            </w:r>
          </w:p>
        </w:tc>
        <w:tc>
          <w:tcPr>
            <w:tcW w:w="42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w:t>
            </w:r>
          </w:p>
        </w:tc>
        <w:tc>
          <w:tcPr>
            <w:tcW w:w="57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0.0%</w:t>
            </w:r>
          </w:p>
        </w:tc>
        <w:tc>
          <w:tcPr>
            <w:tcW w:w="42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w:t>
            </w:r>
          </w:p>
        </w:tc>
        <w:tc>
          <w:tcPr>
            <w:tcW w:w="59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0.0%</w:t>
            </w:r>
          </w:p>
        </w:tc>
      </w:tr>
      <w:tr>
        <w:trPr/>
        <w:tc>
          <w:tcPr>
            <w:tcW w:w="3185"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Colombia</w:t>
            </w:r>
          </w:p>
        </w:tc>
        <w:tc>
          <w:tcPr>
            <w:tcW w:w="29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w:t>
            </w:r>
          </w:p>
        </w:tc>
        <w:tc>
          <w:tcPr>
            <w:tcW w:w="57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0.0%</w:t>
            </w:r>
          </w:p>
        </w:tc>
        <w:tc>
          <w:tcPr>
            <w:tcW w:w="42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w:t>
            </w:r>
          </w:p>
        </w:tc>
        <w:tc>
          <w:tcPr>
            <w:tcW w:w="57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0.0%</w:t>
            </w:r>
          </w:p>
        </w:tc>
        <w:tc>
          <w:tcPr>
            <w:tcW w:w="42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w:t>
            </w:r>
          </w:p>
        </w:tc>
        <w:tc>
          <w:tcPr>
            <w:tcW w:w="59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0.0%</w:t>
            </w:r>
          </w:p>
        </w:tc>
      </w:tr>
      <w:tr>
        <w:trPr/>
        <w:tc>
          <w:tcPr>
            <w:tcW w:w="3185"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Panama</w:t>
            </w:r>
          </w:p>
        </w:tc>
        <w:tc>
          <w:tcPr>
            <w:tcW w:w="29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w:t>
            </w:r>
          </w:p>
        </w:tc>
        <w:tc>
          <w:tcPr>
            <w:tcW w:w="57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0.0%</w:t>
            </w:r>
          </w:p>
        </w:tc>
        <w:tc>
          <w:tcPr>
            <w:tcW w:w="42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w:t>
            </w:r>
          </w:p>
        </w:tc>
        <w:tc>
          <w:tcPr>
            <w:tcW w:w="57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0.0%</w:t>
            </w:r>
          </w:p>
        </w:tc>
        <w:tc>
          <w:tcPr>
            <w:tcW w:w="42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w:t>
            </w:r>
          </w:p>
        </w:tc>
        <w:tc>
          <w:tcPr>
            <w:tcW w:w="59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0.0%</w:t>
            </w:r>
          </w:p>
        </w:tc>
      </w:tr>
      <w:tr>
        <w:trPr/>
        <w:tc>
          <w:tcPr>
            <w:tcW w:w="3185"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Chile</w:t>
            </w:r>
          </w:p>
        </w:tc>
        <w:tc>
          <w:tcPr>
            <w:tcW w:w="29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w:t>
            </w:r>
          </w:p>
        </w:tc>
        <w:tc>
          <w:tcPr>
            <w:tcW w:w="57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0.0%</w:t>
            </w:r>
          </w:p>
        </w:tc>
        <w:tc>
          <w:tcPr>
            <w:tcW w:w="42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w:t>
            </w:r>
          </w:p>
        </w:tc>
        <w:tc>
          <w:tcPr>
            <w:tcW w:w="575" w:type="dxa"/>
            <w:tcBorders/>
            <w:shd w:fill="FFFFFF" w:val="clear"/>
            <w:tcMar>
              <w:bottom w:w="0"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0.0%</w:t>
            </w:r>
          </w:p>
        </w:tc>
        <w:tc>
          <w:tcPr>
            <w:tcW w:w="42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w:t>
            </w:r>
          </w:p>
        </w:tc>
        <w:tc>
          <w:tcPr>
            <w:tcW w:w="59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0.0%</w:t>
            </w:r>
          </w:p>
        </w:tc>
      </w:tr>
      <w:tr>
        <w:trPr/>
        <w:tc>
          <w:tcPr>
            <w:tcW w:w="3185"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Mexico</w:t>
            </w:r>
          </w:p>
        </w:tc>
        <w:tc>
          <w:tcPr>
            <w:tcW w:w="29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w:t>
            </w:r>
          </w:p>
        </w:tc>
        <w:tc>
          <w:tcPr>
            <w:tcW w:w="57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0.0%</w:t>
            </w:r>
          </w:p>
        </w:tc>
        <w:tc>
          <w:tcPr>
            <w:tcW w:w="425" w:type="dxa"/>
            <w:tcBorders>
              <w:bottom w:val="single" w:sz="8" w:space="0" w:color="BFBFBF"/>
            </w:tcBorders>
            <w:shd w:fill="000000"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BFBFBF"/>
            </w:tcBorders>
            <w:shd w:fill="000000"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BFBFBF"/>
            </w:tcBorders>
            <w:shd w:fill="000000"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BFBFBF"/>
            </w:tcBorders>
            <w:shd w:fill="000000"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jc w:val="left"/>
        <w:rPr>
          <w:caps w:val="false"/>
          <w:smallCaps w:val="false"/>
          <w:bdr w:val="single" w:sz="8" w:space="1" w:color="000000"/>
        </w:rPr>
      </w:pPr>
      <w:r>
        <w:rPr>
          <w:caps w:val="false"/>
          <w:smallCaps w:val="false"/>
          <w:bdr w:val="single" w:sz="8" w:space="1" w:color="000000"/>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73</w:t>
      </w:r>
    </w:p>
    <w:p>
      <w:pPr>
        <w:pStyle w:val="HorizontalLine"/>
        <w:pBdr>
          <w:bottom w:val="single" w:sz="12" w:space="0" w:color="808080"/>
        </w:pBdr>
        <w:bidi w:val="0"/>
        <w:spacing w:before="200" w:after="200"/>
        <w:jc w:val="right"/>
        <w:rPr/>
      </w:pPr>
      <w:r>
        <w:rPr/>
      </w:r>
    </w:p>
    <w:p>
      <w:pPr>
        <w:pStyle w:val="TextBody"/>
        <w:bidi w:val="0"/>
        <w:spacing w:lineRule="auto" w:line="240" w:before="0" w:after="0"/>
        <w:ind w:left="0" w:right="0" w:hanging="0"/>
        <w:jc w:val="both"/>
        <w:rPr>
          <w:rFonts w:ascii="Arial" w:hAnsi="Arial"/>
          <w:b/>
          <w:i w:val="false"/>
          <w:caps w:val="false"/>
          <w:smallCaps w:val="false"/>
          <w:color w:val="FE5000"/>
          <w:sz w:val="28"/>
        </w:rPr>
      </w:pPr>
      <w:r>
        <w:rPr>
          <w:rFonts w:ascii="Arial" w:hAnsi="Arial"/>
          <w:b/>
          <w:i w:val="false"/>
          <w:caps w:val="false"/>
          <w:smallCaps w:val="false"/>
          <w:color w:val="FE5000"/>
          <w:sz w:val="28"/>
        </w:rPr>
        <w:t>2.2.1. Culture and leadership70</w:t>
      </w:r>
    </w:p>
    <w:p>
      <w:pPr>
        <w:pStyle w:val="TextBody"/>
        <w:bidi w:val="0"/>
        <w:spacing w:before="60" w:after="6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caps w:val="false"/>
          <w:smallCaps w:val="false"/>
          <w:color w:val="FE5000"/>
        </w:rPr>
      </w:pPr>
      <w:r>
        <w:rPr>
          <w:caps w:val="false"/>
          <w:smallCaps w:val="false"/>
          <w:color w:val="FE5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i w:val="false"/>
          <w:caps w:val="false"/>
          <w:smallCaps w:val="false"/>
          <w:sz w:val="20"/>
        </w:rPr>
        <w:t>MATERIAL TOPIC EMPLOYMENT AND TALENT MANAGEMENT</w:t>
      </w:r>
      <w:r>
        <w:rPr>
          <w:rFonts w:ascii="Arial" w:hAnsi="Arial"/>
          <w:b w:val="false"/>
          <w:i w:val="false"/>
          <w:caps w:val="false"/>
          <w:smallCaps w:val="false"/>
          <w:sz w:val="2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i w:val="false"/>
          <w:caps w:val="false"/>
          <w:smallCaps w:val="false"/>
          <w:sz w:val="20"/>
        </w:rPr>
        <w:t xml:space="preserve">GRI 401-1 </w:t>
      </w:r>
      <w:r>
        <w:rPr>
          <w:rFonts w:ascii="Arial" w:hAnsi="Arial"/>
          <w:b w:val="false"/>
          <w:i w:val="false"/>
          <w:caps w:val="false"/>
          <w:smallCaps w:val="false"/>
          <w:sz w:val="20"/>
        </w:rPr>
        <w:t>New employee hires and employee turnover</w:t>
      </w:r>
    </w:p>
    <w:p>
      <w:pPr>
        <w:pStyle w:val="TextBody"/>
        <w:bidi w:val="0"/>
        <w:spacing w:before="0" w:after="0"/>
        <w:ind w:left="0" w:right="0" w:hanging="0"/>
        <w:jc w:val="both"/>
        <w:rPr>
          <w:caps w:val="false"/>
          <w:smallCaps w:val="false"/>
        </w:rPr>
      </w:pPr>
      <w:r>
        <w:rPr>
          <w:caps w:val="false"/>
          <w:smallCaps w:val="false"/>
        </w:rPr>
        <w:t> </w:t>
      </w:r>
    </w:p>
    <w:tbl>
      <w:tblPr>
        <w:tblW w:w="5735" w:type="dxa"/>
        <w:jc w:val="left"/>
        <w:tblInd w:w="0" w:type="dxa"/>
        <w:tblLayout w:type="fixed"/>
        <w:tblCellMar>
          <w:top w:w="0" w:type="dxa"/>
          <w:left w:w="0" w:type="dxa"/>
          <w:bottom w:w="0" w:type="dxa"/>
          <w:right w:w="0" w:type="dxa"/>
        </w:tblCellMar>
      </w:tblPr>
      <w:tblGrid>
        <w:gridCol w:w="4175"/>
        <w:gridCol w:w="515"/>
        <w:gridCol w:w="515"/>
        <w:gridCol w:w="530"/>
      </w:tblGrid>
      <w:tr>
        <w:trPr/>
        <w:tc>
          <w:tcPr>
            <w:tcW w:w="4175" w:type="dxa"/>
            <w:tcBorders/>
            <w:shd w:fill="000000" w:val="clear"/>
            <w:vAlign w:val="center"/>
          </w:tcPr>
          <w:p>
            <w:pPr>
              <w:pStyle w:val="TableContents"/>
              <w:bidi w:val="0"/>
              <w:spacing w:before="0" w:after="283"/>
              <w:jc w:val="left"/>
              <w:rPr>
                <w:rFonts w:ascii="Arial" w:hAnsi="Arial"/>
                <w:b/>
                <w:color w:val="FFFFFF"/>
                <w:sz w:val="16"/>
              </w:rPr>
            </w:pPr>
            <w:r>
              <w:rPr>
                <w:rFonts w:ascii="Arial" w:hAnsi="Arial"/>
                <w:b/>
                <w:color w:val="FFFFFF"/>
                <w:sz w:val="16"/>
              </w:rPr>
              <w:t>GRI 401-1 New employee hires by gender and age (*)</w:t>
            </w:r>
          </w:p>
        </w:tc>
        <w:tc>
          <w:tcPr>
            <w:tcW w:w="515" w:type="dxa"/>
            <w:tcBorders/>
            <w:shd w:fill="000000" w:val="clear"/>
            <w:vAlign w:val="center"/>
          </w:tcPr>
          <w:p>
            <w:pPr>
              <w:pStyle w:val="TableContents"/>
              <w:bidi w:val="0"/>
              <w:spacing w:before="0" w:after="283"/>
              <w:jc w:val="center"/>
              <w:rPr>
                <w:rFonts w:ascii="Arial" w:hAnsi="Arial"/>
                <w:b/>
                <w:color w:val="FFFFFF"/>
                <w:sz w:val="16"/>
              </w:rPr>
            </w:pPr>
            <w:r>
              <w:rPr>
                <w:rFonts w:ascii="Arial" w:hAnsi="Arial"/>
                <w:b/>
                <w:color w:val="FFFFFF"/>
                <w:sz w:val="16"/>
              </w:rPr>
              <w:t>2023</w:t>
            </w:r>
          </w:p>
        </w:tc>
        <w:tc>
          <w:tcPr>
            <w:tcW w:w="515" w:type="dxa"/>
            <w:tcBorders/>
            <w:shd w:fill="000000" w:val="clear"/>
            <w:vAlign w:val="center"/>
          </w:tcPr>
          <w:p>
            <w:pPr>
              <w:pStyle w:val="TableContents"/>
              <w:bidi w:val="0"/>
              <w:spacing w:before="0" w:after="283"/>
              <w:jc w:val="center"/>
              <w:rPr>
                <w:rFonts w:ascii="Arial" w:hAnsi="Arial"/>
                <w:b/>
                <w:color w:val="FFFFFF"/>
                <w:sz w:val="16"/>
              </w:rPr>
            </w:pPr>
            <w:r>
              <w:rPr>
                <w:rFonts w:ascii="Arial" w:hAnsi="Arial"/>
                <w:b/>
                <w:color w:val="FFFFFF"/>
                <w:sz w:val="16"/>
              </w:rPr>
              <w:t>2022</w:t>
            </w:r>
          </w:p>
        </w:tc>
        <w:tc>
          <w:tcPr>
            <w:tcW w:w="530" w:type="dxa"/>
            <w:tcBorders/>
            <w:shd w:fill="000000" w:val="clear"/>
            <w:vAlign w:val="center"/>
          </w:tcPr>
          <w:p>
            <w:pPr>
              <w:pStyle w:val="TableContents"/>
              <w:bidi w:val="0"/>
              <w:spacing w:before="0" w:after="283"/>
              <w:jc w:val="center"/>
              <w:rPr>
                <w:rFonts w:ascii="Arial" w:hAnsi="Arial"/>
                <w:b/>
                <w:color w:val="FFFFFF"/>
                <w:sz w:val="16"/>
              </w:rPr>
            </w:pPr>
            <w:r>
              <w:rPr>
                <w:rFonts w:ascii="Arial" w:hAnsi="Arial"/>
                <w:b/>
                <w:color w:val="FFFFFF"/>
                <w:sz w:val="16"/>
              </w:rPr>
              <w:t>2021</w:t>
            </w:r>
          </w:p>
        </w:tc>
      </w:tr>
      <w:tr>
        <w:trPr/>
        <w:tc>
          <w:tcPr>
            <w:tcW w:w="4175" w:type="dxa"/>
            <w:tcBorders>
              <w:bottom w:val="single" w:sz="8" w:space="0" w:color="BFBFBF"/>
            </w:tcBorders>
            <w:shd w:fill="FFFFFF" w:val="clear"/>
            <w:tcMar>
              <w:bottom w:w="40" w:type="dxa"/>
            </w:tcMar>
            <w:vAlign w:val="center"/>
          </w:tcPr>
          <w:p>
            <w:pPr>
              <w:pStyle w:val="TableContents"/>
              <w:bidi w:val="0"/>
              <w:spacing w:before="0" w:after="283"/>
              <w:jc w:val="left"/>
              <w:rPr>
                <w:rFonts w:ascii="Arial" w:hAnsi="Arial"/>
                <w:color w:val="404040"/>
                <w:sz w:val="16"/>
              </w:rPr>
            </w:pPr>
            <w:r>
              <w:rPr>
                <w:rFonts w:ascii="Arial" w:hAnsi="Arial"/>
                <w:color w:val="404040"/>
                <w:sz w:val="16"/>
              </w:rPr>
              <w:t>Female</w:t>
            </w:r>
          </w:p>
        </w:tc>
        <w:tc>
          <w:tcPr>
            <w:tcW w:w="515" w:type="dxa"/>
            <w:tcBorders>
              <w:bottom w:val="single" w:sz="8" w:space="0" w:color="BFBFBF"/>
            </w:tcBorders>
            <w:tcMar>
              <w:bottom w:w="40" w:type="dxa"/>
            </w:tcMar>
            <w:vAlign w:val="center"/>
          </w:tcPr>
          <w:p>
            <w:pPr>
              <w:pStyle w:val="TableContents"/>
              <w:bidi w:val="0"/>
              <w:spacing w:before="0" w:after="283"/>
              <w:jc w:val="center"/>
              <w:rPr>
                <w:rFonts w:ascii="Arial" w:hAnsi="Arial"/>
                <w:color w:val="404040"/>
                <w:sz w:val="16"/>
              </w:rPr>
            </w:pPr>
            <w:r>
              <w:rPr>
                <w:rFonts w:ascii="Arial" w:hAnsi="Arial"/>
                <w:color w:val="404040"/>
                <w:sz w:val="16"/>
              </w:rPr>
              <w:t>5,753</w:t>
            </w:r>
          </w:p>
        </w:tc>
        <w:tc>
          <w:tcPr>
            <w:tcW w:w="515" w:type="dxa"/>
            <w:tcBorders>
              <w:bottom w:val="single" w:sz="8" w:space="0" w:color="BFBFBF"/>
            </w:tcBorders>
            <w:shd w:fill="FFFFFF" w:val="clear"/>
            <w:tcMar>
              <w:bottom w:w="40" w:type="dxa"/>
            </w:tcMar>
            <w:vAlign w:val="center"/>
          </w:tcPr>
          <w:p>
            <w:pPr>
              <w:pStyle w:val="TableContents"/>
              <w:bidi w:val="0"/>
              <w:spacing w:before="0" w:after="283"/>
              <w:jc w:val="center"/>
              <w:rPr>
                <w:rFonts w:ascii="Arial" w:hAnsi="Arial"/>
                <w:color w:val="404040"/>
                <w:sz w:val="16"/>
              </w:rPr>
            </w:pPr>
            <w:r>
              <w:rPr>
                <w:rFonts w:ascii="Arial" w:hAnsi="Arial"/>
                <w:color w:val="404040"/>
                <w:sz w:val="16"/>
              </w:rPr>
              <w:t>4,834</w:t>
            </w:r>
          </w:p>
        </w:tc>
        <w:tc>
          <w:tcPr>
            <w:tcW w:w="530" w:type="dxa"/>
            <w:tcBorders>
              <w:bottom w:val="single" w:sz="8" w:space="0" w:color="BFBFBF"/>
            </w:tcBorders>
            <w:shd w:fill="FFFFFF" w:val="clear"/>
            <w:tcMar>
              <w:bottom w:w="40" w:type="dxa"/>
            </w:tcMar>
            <w:vAlign w:val="center"/>
          </w:tcPr>
          <w:p>
            <w:pPr>
              <w:pStyle w:val="TableContents"/>
              <w:bidi w:val="0"/>
              <w:spacing w:before="0" w:after="283"/>
              <w:jc w:val="center"/>
              <w:rPr>
                <w:rFonts w:ascii="Arial" w:hAnsi="Arial"/>
                <w:color w:val="404040"/>
                <w:sz w:val="16"/>
              </w:rPr>
            </w:pPr>
            <w:r>
              <w:rPr>
                <w:rFonts w:ascii="Arial" w:hAnsi="Arial"/>
                <w:color w:val="404040"/>
                <w:sz w:val="16"/>
              </w:rPr>
              <w:t>4,521</w:t>
            </w:r>
          </w:p>
        </w:tc>
      </w:tr>
      <w:tr>
        <w:trPr/>
        <w:tc>
          <w:tcPr>
            <w:tcW w:w="4175" w:type="dxa"/>
            <w:tcBorders>
              <w:bottom w:val="single" w:sz="8" w:space="0" w:color="BFBFBF"/>
            </w:tcBorders>
            <w:shd w:fill="FFFFFF" w:val="clear"/>
            <w:tcMar>
              <w:bottom w:w="40" w:type="dxa"/>
            </w:tcMar>
            <w:vAlign w:val="center"/>
          </w:tcPr>
          <w:p>
            <w:pPr>
              <w:pStyle w:val="TableContents"/>
              <w:bidi w:val="0"/>
              <w:spacing w:before="0" w:after="283"/>
              <w:jc w:val="left"/>
              <w:rPr>
                <w:rFonts w:ascii="Arial" w:hAnsi="Arial"/>
                <w:color w:val="404040"/>
                <w:sz w:val="16"/>
              </w:rPr>
            </w:pPr>
            <w:r>
              <w:rPr>
                <w:rFonts w:ascii="Arial" w:hAnsi="Arial"/>
                <w:color w:val="404040"/>
                <w:sz w:val="16"/>
              </w:rPr>
              <w:t>Male</w:t>
            </w:r>
          </w:p>
        </w:tc>
        <w:tc>
          <w:tcPr>
            <w:tcW w:w="515" w:type="dxa"/>
            <w:tcBorders>
              <w:bottom w:val="single" w:sz="8" w:space="0" w:color="BFBFBF"/>
            </w:tcBorders>
            <w:tcMar>
              <w:bottom w:w="40" w:type="dxa"/>
            </w:tcMar>
            <w:vAlign w:val="center"/>
          </w:tcPr>
          <w:p>
            <w:pPr>
              <w:pStyle w:val="TableContents"/>
              <w:bidi w:val="0"/>
              <w:spacing w:before="0" w:after="283"/>
              <w:jc w:val="center"/>
              <w:rPr>
                <w:rFonts w:ascii="Arial" w:hAnsi="Arial"/>
                <w:color w:val="404040"/>
                <w:sz w:val="16"/>
              </w:rPr>
            </w:pPr>
            <w:r>
              <w:rPr>
                <w:rFonts w:ascii="Arial" w:hAnsi="Arial"/>
                <w:color w:val="404040"/>
                <w:sz w:val="16"/>
              </w:rPr>
              <w:t>4,818</w:t>
            </w:r>
          </w:p>
        </w:tc>
        <w:tc>
          <w:tcPr>
            <w:tcW w:w="515" w:type="dxa"/>
            <w:tcBorders>
              <w:bottom w:val="single" w:sz="8" w:space="0" w:color="BFBFBF"/>
            </w:tcBorders>
            <w:shd w:fill="FFFFFF" w:val="clear"/>
            <w:tcMar>
              <w:bottom w:w="40" w:type="dxa"/>
            </w:tcMar>
            <w:vAlign w:val="center"/>
          </w:tcPr>
          <w:p>
            <w:pPr>
              <w:pStyle w:val="TableContents"/>
              <w:bidi w:val="0"/>
              <w:spacing w:before="0" w:after="283"/>
              <w:jc w:val="center"/>
              <w:rPr>
                <w:rFonts w:ascii="Arial" w:hAnsi="Arial"/>
                <w:color w:val="404040"/>
                <w:sz w:val="16"/>
              </w:rPr>
            </w:pPr>
            <w:r>
              <w:rPr>
                <w:rFonts w:ascii="Arial" w:hAnsi="Arial"/>
                <w:color w:val="404040"/>
                <w:sz w:val="16"/>
              </w:rPr>
              <w:t>4,025</w:t>
            </w:r>
          </w:p>
        </w:tc>
        <w:tc>
          <w:tcPr>
            <w:tcW w:w="530" w:type="dxa"/>
            <w:tcBorders>
              <w:bottom w:val="single" w:sz="8" w:space="0" w:color="BFBFBF"/>
            </w:tcBorders>
            <w:shd w:fill="FFFFFF" w:val="clear"/>
            <w:tcMar>
              <w:bottom w:w="40" w:type="dxa"/>
            </w:tcMar>
            <w:vAlign w:val="center"/>
          </w:tcPr>
          <w:p>
            <w:pPr>
              <w:pStyle w:val="TableContents"/>
              <w:bidi w:val="0"/>
              <w:spacing w:before="0" w:after="283"/>
              <w:jc w:val="center"/>
              <w:rPr>
                <w:rFonts w:ascii="Arial" w:hAnsi="Arial"/>
                <w:color w:val="404040"/>
                <w:sz w:val="16"/>
              </w:rPr>
            </w:pPr>
            <w:r>
              <w:rPr>
                <w:rFonts w:ascii="Arial" w:hAnsi="Arial"/>
                <w:color w:val="404040"/>
                <w:sz w:val="16"/>
              </w:rPr>
              <w:t>3,586</w:t>
            </w:r>
          </w:p>
        </w:tc>
      </w:tr>
      <w:tr>
        <w:trPr/>
        <w:tc>
          <w:tcPr>
            <w:tcW w:w="4175" w:type="dxa"/>
            <w:tcBorders>
              <w:bottom w:val="single" w:sz="8" w:space="0" w:color="BFBFBF"/>
            </w:tcBorders>
            <w:shd w:fill="808080" w:val="clear"/>
            <w:tcMar>
              <w:bottom w:w="40" w:type="dxa"/>
            </w:tcMar>
            <w:vAlign w:val="center"/>
          </w:tcPr>
          <w:p>
            <w:pPr>
              <w:pStyle w:val="TableContents"/>
              <w:bidi w:val="0"/>
              <w:spacing w:before="0" w:after="283"/>
              <w:jc w:val="left"/>
              <w:rPr>
                <w:rFonts w:ascii="Arial" w:hAnsi="Arial"/>
                <w:b/>
                <w:color w:val="FFFFFF"/>
                <w:sz w:val="16"/>
              </w:rPr>
            </w:pPr>
            <w:r>
              <w:rPr>
                <w:rFonts w:ascii="Arial" w:hAnsi="Arial"/>
                <w:b/>
                <w:color w:val="FFFFFF"/>
                <w:sz w:val="16"/>
              </w:rPr>
              <w:t>Total new hires</w:t>
            </w:r>
          </w:p>
        </w:tc>
        <w:tc>
          <w:tcPr>
            <w:tcW w:w="515" w:type="dxa"/>
            <w:tcBorders>
              <w:bottom w:val="single" w:sz="8" w:space="0" w:color="BFBFBF"/>
            </w:tcBorders>
            <w:shd w:fill="808080" w:val="clear"/>
            <w:tcMar>
              <w:bottom w:w="4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10,571</w:t>
            </w:r>
          </w:p>
        </w:tc>
        <w:tc>
          <w:tcPr>
            <w:tcW w:w="515" w:type="dxa"/>
            <w:tcBorders>
              <w:bottom w:val="single" w:sz="8" w:space="0" w:color="BFBFBF"/>
            </w:tcBorders>
            <w:shd w:fill="808080" w:val="clear"/>
            <w:tcMar>
              <w:bottom w:w="4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8,859</w:t>
            </w:r>
          </w:p>
        </w:tc>
        <w:tc>
          <w:tcPr>
            <w:tcW w:w="530" w:type="dxa"/>
            <w:tcBorders>
              <w:bottom w:val="single" w:sz="8" w:space="0" w:color="BFBFBF"/>
            </w:tcBorders>
            <w:shd w:fill="808080" w:val="clear"/>
            <w:tcMar>
              <w:bottom w:w="4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8,107</w:t>
            </w:r>
          </w:p>
        </w:tc>
      </w:tr>
      <w:tr>
        <w:trPr/>
        <w:tc>
          <w:tcPr>
            <w:tcW w:w="4175" w:type="dxa"/>
            <w:tcBorders>
              <w:bottom w:val="single" w:sz="8" w:space="0" w:color="BFBFBF"/>
            </w:tcBorders>
            <w:shd w:fill="FFFFFF" w:val="clear"/>
            <w:tcMar>
              <w:bottom w:w="40" w:type="dxa"/>
            </w:tcMar>
            <w:vAlign w:val="center"/>
          </w:tcPr>
          <w:p>
            <w:pPr>
              <w:pStyle w:val="TableContents"/>
              <w:bidi w:val="0"/>
              <w:spacing w:before="0" w:after="283"/>
              <w:jc w:val="left"/>
              <w:rPr>
                <w:rFonts w:ascii="Arial" w:hAnsi="Arial"/>
                <w:color w:val="404040"/>
                <w:sz w:val="16"/>
              </w:rPr>
            </w:pPr>
            <w:r>
              <w:rPr>
                <w:rFonts w:ascii="Arial" w:hAnsi="Arial"/>
                <w:color w:val="404040"/>
                <w:sz w:val="16"/>
              </w:rPr>
              <w:t>Under 30 years</w:t>
            </w:r>
          </w:p>
        </w:tc>
        <w:tc>
          <w:tcPr>
            <w:tcW w:w="515" w:type="dxa"/>
            <w:tcBorders>
              <w:bottom w:val="single" w:sz="8" w:space="0" w:color="BFBFBF"/>
            </w:tcBorders>
            <w:tcMar>
              <w:bottom w:w="40" w:type="dxa"/>
            </w:tcMar>
            <w:vAlign w:val="center"/>
          </w:tcPr>
          <w:p>
            <w:pPr>
              <w:pStyle w:val="TableContents"/>
              <w:bidi w:val="0"/>
              <w:spacing w:before="0" w:after="283"/>
              <w:jc w:val="center"/>
              <w:rPr>
                <w:rFonts w:ascii="Arial" w:hAnsi="Arial"/>
                <w:color w:val="404040"/>
                <w:sz w:val="16"/>
              </w:rPr>
            </w:pPr>
            <w:r>
              <w:rPr>
                <w:rFonts w:ascii="Arial" w:hAnsi="Arial"/>
                <w:color w:val="404040"/>
                <w:sz w:val="16"/>
              </w:rPr>
              <w:t>6,657</w:t>
            </w:r>
          </w:p>
        </w:tc>
        <w:tc>
          <w:tcPr>
            <w:tcW w:w="515" w:type="dxa"/>
            <w:tcBorders>
              <w:bottom w:val="single" w:sz="8" w:space="0" w:color="BFBFBF"/>
            </w:tcBorders>
            <w:shd w:fill="FFFFFF" w:val="clear"/>
            <w:tcMar>
              <w:bottom w:w="40" w:type="dxa"/>
            </w:tcMar>
            <w:vAlign w:val="center"/>
          </w:tcPr>
          <w:p>
            <w:pPr>
              <w:pStyle w:val="TableContents"/>
              <w:bidi w:val="0"/>
              <w:spacing w:before="0" w:after="283"/>
              <w:jc w:val="center"/>
              <w:rPr>
                <w:rFonts w:ascii="Arial" w:hAnsi="Arial"/>
                <w:color w:val="404040"/>
                <w:sz w:val="16"/>
              </w:rPr>
            </w:pPr>
            <w:r>
              <w:rPr>
                <w:rFonts w:ascii="Arial" w:hAnsi="Arial"/>
                <w:color w:val="404040"/>
                <w:sz w:val="16"/>
              </w:rPr>
              <w:t>5,898</w:t>
            </w:r>
          </w:p>
        </w:tc>
        <w:tc>
          <w:tcPr>
            <w:tcW w:w="530" w:type="dxa"/>
            <w:tcBorders>
              <w:bottom w:val="single" w:sz="8" w:space="0" w:color="BFBFBF"/>
            </w:tcBorders>
            <w:shd w:fill="FFFFFF" w:val="clear"/>
            <w:tcMar>
              <w:bottom w:w="40" w:type="dxa"/>
            </w:tcMar>
            <w:vAlign w:val="center"/>
          </w:tcPr>
          <w:p>
            <w:pPr>
              <w:pStyle w:val="TableContents"/>
              <w:bidi w:val="0"/>
              <w:spacing w:before="0" w:after="283"/>
              <w:jc w:val="center"/>
              <w:rPr>
                <w:rFonts w:ascii="Arial" w:hAnsi="Arial"/>
                <w:color w:val="404040"/>
                <w:sz w:val="16"/>
              </w:rPr>
            </w:pPr>
            <w:r>
              <w:rPr>
                <w:rFonts w:ascii="Arial" w:hAnsi="Arial"/>
                <w:color w:val="404040"/>
                <w:sz w:val="16"/>
              </w:rPr>
              <w:t>5,409</w:t>
            </w:r>
          </w:p>
        </w:tc>
      </w:tr>
      <w:tr>
        <w:trPr/>
        <w:tc>
          <w:tcPr>
            <w:tcW w:w="4175" w:type="dxa"/>
            <w:tcBorders>
              <w:bottom w:val="single" w:sz="8" w:space="0" w:color="BFBFBF"/>
            </w:tcBorders>
            <w:shd w:fill="FFFFFF" w:val="clear"/>
            <w:tcMar>
              <w:bottom w:w="40" w:type="dxa"/>
            </w:tcMar>
            <w:vAlign w:val="center"/>
          </w:tcPr>
          <w:p>
            <w:pPr>
              <w:pStyle w:val="TableContents"/>
              <w:bidi w:val="0"/>
              <w:spacing w:before="0" w:after="283"/>
              <w:jc w:val="left"/>
              <w:rPr>
                <w:rFonts w:ascii="Arial" w:hAnsi="Arial"/>
                <w:color w:val="404040"/>
                <w:sz w:val="16"/>
              </w:rPr>
            </w:pPr>
            <w:r>
              <w:rPr>
                <w:rFonts w:ascii="Arial" w:hAnsi="Arial"/>
                <w:color w:val="404040"/>
                <w:sz w:val="16"/>
              </w:rPr>
              <w:t>Between 30 and 50 years</w:t>
            </w:r>
          </w:p>
        </w:tc>
        <w:tc>
          <w:tcPr>
            <w:tcW w:w="515" w:type="dxa"/>
            <w:tcBorders>
              <w:bottom w:val="single" w:sz="8" w:space="0" w:color="BFBFBF"/>
            </w:tcBorders>
            <w:tcMar>
              <w:bottom w:w="40" w:type="dxa"/>
            </w:tcMar>
            <w:vAlign w:val="center"/>
          </w:tcPr>
          <w:p>
            <w:pPr>
              <w:pStyle w:val="TableContents"/>
              <w:bidi w:val="0"/>
              <w:spacing w:before="0" w:after="283"/>
              <w:jc w:val="center"/>
              <w:rPr>
                <w:rFonts w:ascii="Arial" w:hAnsi="Arial"/>
                <w:color w:val="404040"/>
                <w:sz w:val="16"/>
              </w:rPr>
            </w:pPr>
            <w:r>
              <w:rPr>
                <w:rFonts w:ascii="Arial" w:hAnsi="Arial"/>
                <w:color w:val="404040"/>
                <w:sz w:val="16"/>
              </w:rPr>
              <w:t>3,837</w:t>
            </w:r>
          </w:p>
        </w:tc>
        <w:tc>
          <w:tcPr>
            <w:tcW w:w="515" w:type="dxa"/>
            <w:tcBorders>
              <w:bottom w:val="single" w:sz="8" w:space="0" w:color="BFBFBF"/>
            </w:tcBorders>
            <w:shd w:fill="FFFFFF" w:val="clear"/>
            <w:tcMar>
              <w:bottom w:w="40" w:type="dxa"/>
            </w:tcMar>
            <w:vAlign w:val="center"/>
          </w:tcPr>
          <w:p>
            <w:pPr>
              <w:pStyle w:val="TableContents"/>
              <w:bidi w:val="0"/>
              <w:spacing w:before="0" w:after="283"/>
              <w:jc w:val="center"/>
              <w:rPr>
                <w:rFonts w:ascii="Arial" w:hAnsi="Arial"/>
                <w:color w:val="404040"/>
                <w:sz w:val="16"/>
              </w:rPr>
            </w:pPr>
            <w:r>
              <w:rPr>
                <w:rFonts w:ascii="Arial" w:hAnsi="Arial"/>
                <w:color w:val="404040"/>
                <w:sz w:val="16"/>
              </w:rPr>
              <w:t>2,910</w:t>
            </w:r>
          </w:p>
        </w:tc>
        <w:tc>
          <w:tcPr>
            <w:tcW w:w="530" w:type="dxa"/>
            <w:tcBorders>
              <w:bottom w:val="single" w:sz="8" w:space="0" w:color="BFBFBF"/>
            </w:tcBorders>
            <w:shd w:fill="FFFFFF" w:val="clear"/>
            <w:tcMar>
              <w:bottom w:w="40" w:type="dxa"/>
            </w:tcMar>
            <w:vAlign w:val="center"/>
          </w:tcPr>
          <w:p>
            <w:pPr>
              <w:pStyle w:val="TableContents"/>
              <w:bidi w:val="0"/>
              <w:spacing w:before="0" w:after="283"/>
              <w:jc w:val="center"/>
              <w:rPr>
                <w:rFonts w:ascii="Arial" w:hAnsi="Arial"/>
                <w:color w:val="404040"/>
                <w:sz w:val="16"/>
              </w:rPr>
            </w:pPr>
            <w:r>
              <w:rPr>
                <w:rFonts w:ascii="Arial" w:hAnsi="Arial"/>
                <w:color w:val="404040"/>
                <w:sz w:val="16"/>
              </w:rPr>
              <w:t>2,625</w:t>
            </w:r>
          </w:p>
        </w:tc>
      </w:tr>
      <w:tr>
        <w:trPr/>
        <w:tc>
          <w:tcPr>
            <w:tcW w:w="4175" w:type="dxa"/>
            <w:tcBorders>
              <w:bottom w:val="single" w:sz="8" w:space="0" w:color="BFBFBF"/>
            </w:tcBorders>
            <w:shd w:fill="FFFFFF" w:val="clear"/>
            <w:tcMar>
              <w:bottom w:w="40" w:type="dxa"/>
            </w:tcMar>
            <w:vAlign w:val="center"/>
          </w:tcPr>
          <w:p>
            <w:pPr>
              <w:pStyle w:val="TableContents"/>
              <w:bidi w:val="0"/>
              <w:spacing w:before="0" w:after="283"/>
              <w:jc w:val="left"/>
              <w:rPr>
                <w:rFonts w:ascii="Arial" w:hAnsi="Arial"/>
                <w:color w:val="404040"/>
                <w:sz w:val="16"/>
              </w:rPr>
            </w:pPr>
            <w:r>
              <w:rPr>
                <w:rFonts w:ascii="Arial" w:hAnsi="Arial"/>
                <w:color w:val="404040"/>
                <w:sz w:val="16"/>
              </w:rPr>
              <w:t>Over 50 years</w:t>
            </w:r>
          </w:p>
        </w:tc>
        <w:tc>
          <w:tcPr>
            <w:tcW w:w="515" w:type="dxa"/>
            <w:tcBorders>
              <w:bottom w:val="single" w:sz="8" w:space="0" w:color="BFBFBF"/>
            </w:tcBorders>
            <w:tcMar>
              <w:bottom w:w="40" w:type="dxa"/>
            </w:tcMar>
            <w:vAlign w:val="center"/>
          </w:tcPr>
          <w:p>
            <w:pPr>
              <w:pStyle w:val="TableContents"/>
              <w:bidi w:val="0"/>
              <w:spacing w:before="0" w:after="283"/>
              <w:jc w:val="center"/>
              <w:rPr>
                <w:rFonts w:ascii="Arial" w:hAnsi="Arial"/>
                <w:color w:val="404040"/>
                <w:sz w:val="16"/>
              </w:rPr>
            </w:pPr>
            <w:r>
              <w:rPr>
                <w:rFonts w:ascii="Arial" w:hAnsi="Arial"/>
                <w:color w:val="404040"/>
                <w:sz w:val="16"/>
              </w:rPr>
              <w:t>77</w:t>
            </w:r>
          </w:p>
        </w:tc>
        <w:tc>
          <w:tcPr>
            <w:tcW w:w="515" w:type="dxa"/>
            <w:tcBorders>
              <w:bottom w:val="single" w:sz="8" w:space="0" w:color="BFBFBF"/>
            </w:tcBorders>
            <w:shd w:fill="FFFFFF" w:val="clear"/>
            <w:tcMar>
              <w:bottom w:w="40" w:type="dxa"/>
            </w:tcMar>
            <w:vAlign w:val="center"/>
          </w:tcPr>
          <w:p>
            <w:pPr>
              <w:pStyle w:val="TableContents"/>
              <w:bidi w:val="0"/>
              <w:spacing w:before="0" w:after="283"/>
              <w:jc w:val="center"/>
              <w:rPr>
                <w:rFonts w:ascii="Arial" w:hAnsi="Arial"/>
                <w:color w:val="404040"/>
                <w:sz w:val="16"/>
              </w:rPr>
            </w:pPr>
            <w:r>
              <w:rPr>
                <w:rFonts w:ascii="Arial" w:hAnsi="Arial"/>
                <w:color w:val="404040"/>
                <w:sz w:val="16"/>
              </w:rPr>
              <w:t>51</w:t>
            </w:r>
          </w:p>
        </w:tc>
        <w:tc>
          <w:tcPr>
            <w:tcW w:w="530" w:type="dxa"/>
            <w:tcBorders>
              <w:bottom w:val="single" w:sz="8" w:space="0" w:color="BFBFBF"/>
            </w:tcBorders>
            <w:shd w:fill="FFFFFF" w:val="clear"/>
            <w:tcMar>
              <w:bottom w:w="40" w:type="dxa"/>
            </w:tcMar>
            <w:vAlign w:val="center"/>
          </w:tcPr>
          <w:p>
            <w:pPr>
              <w:pStyle w:val="TableContents"/>
              <w:bidi w:val="0"/>
              <w:spacing w:before="0" w:after="283"/>
              <w:jc w:val="center"/>
              <w:rPr>
                <w:rFonts w:ascii="Arial" w:hAnsi="Arial"/>
                <w:color w:val="404040"/>
                <w:sz w:val="16"/>
              </w:rPr>
            </w:pPr>
            <w:r>
              <w:rPr>
                <w:rFonts w:ascii="Arial" w:hAnsi="Arial"/>
                <w:color w:val="404040"/>
                <w:sz w:val="16"/>
              </w:rPr>
              <w:t>73</w:t>
            </w:r>
          </w:p>
        </w:tc>
      </w:tr>
      <w:tr>
        <w:trPr/>
        <w:tc>
          <w:tcPr>
            <w:tcW w:w="4175" w:type="dxa"/>
            <w:tcBorders>
              <w:bottom w:val="single" w:sz="8" w:space="0" w:color="BFBFBF"/>
            </w:tcBorders>
            <w:shd w:fill="808080" w:val="clear"/>
            <w:tcMar>
              <w:bottom w:w="40" w:type="dxa"/>
            </w:tcMar>
            <w:vAlign w:val="center"/>
          </w:tcPr>
          <w:p>
            <w:pPr>
              <w:pStyle w:val="TableContents"/>
              <w:bidi w:val="0"/>
              <w:spacing w:before="0" w:after="283"/>
              <w:jc w:val="left"/>
              <w:rPr>
                <w:rFonts w:ascii="Arial" w:hAnsi="Arial"/>
                <w:b/>
                <w:color w:val="FFFFFF"/>
                <w:sz w:val="16"/>
              </w:rPr>
            </w:pPr>
            <w:r>
              <w:rPr>
                <w:rFonts w:ascii="Arial" w:hAnsi="Arial"/>
                <w:b/>
                <w:color w:val="FFFFFF"/>
                <w:sz w:val="16"/>
              </w:rPr>
              <w:t>Total new hires</w:t>
            </w:r>
          </w:p>
        </w:tc>
        <w:tc>
          <w:tcPr>
            <w:tcW w:w="515" w:type="dxa"/>
            <w:tcBorders>
              <w:bottom w:val="single" w:sz="8" w:space="0" w:color="BFBFBF"/>
            </w:tcBorders>
            <w:shd w:fill="808080" w:val="clear"/>
            <w:tcMar>
              <w:bottom w:w="4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10,571</w:t>
            </w:r>
          </w:p>
        </w:tc>
        <w:tc>
          <w:tcPr>
            <w:tcW w:w="515" w:type="dxa"/>
            <w:tcBorders>
              <w:bottom w:val="single" w:sz="8" w:space="0" w:color="BFBFBF"/>
            </w:tcBorders>
            <w:shd w:fill="808080" w:val="clear"/>
            <w:tcMar>
              <w:bottom w:w="4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8,859</w:t>
            </w:r>
          </w:p>
        </w:tc>
        <w:tc>
          <w:tcPr>
            <w:tcW w:w="530" w:type="dxa"/>
            <w:tcBorders>
              <w:bottom w:val="single" w:sz="8" w:space="0" w:color="BFBFBF"/>
            </w:tcBorders>
            <w:shd w:fill="808080" w:val="clear"/>
            <w:tcMar>
              <w:bottom w:w="4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8,107</w:t>
            </w:r>
          </w:p>
        </w:tc>
      </w:tr>
      <w:tr>
        <w:trPr/>
        <w:tc>
          <w:tcPr>
            <w:tcW w:w="4175" w:type="dxa"/>
            <w:tcBorders>
              <w:bottom w:val="single" w:sz="8" w:space="0" w:color="BFBFBF"/>
            </w:tcBorders>
            <w:shd w:fill="808080" w:val="clear"/>
            <w:tcMar>
              <w:bottom w:w="40" w:type="dxa"/>
            </w:tcMar>
            <w:vAlign w:val="center"/>
          </w:tcPr>
          <w:p>
            <w:pPr>
              <w:pStyle w:val="TableContents"/>
              <w:bidi w:val="0"/>
              <w:spacing w:before="0" w:after="283"/>
              <w:jc w:val="left"/>
              <w:rPr>
                <w:rFonts w:ascii="Arial" w:hAnsi="Arial"/>
                <w:b/>
                <w:color w:val="FFFFFF"/>
                <w:sz w:val="16"/>
              </w:rPr>
            </w:pPr>
            <w:r>
              <w:rPr>
                <w:rFonts w:ascii="Arial" w:hAnsi="Arial"/>
                <w:b/>
                <w:color w:val="FFFFFF"/>
                <w:sz w:val="16"/>
              </w:rPr>
              <w:t>% of hiring</w:t>
            </w:r>
          </w:p>
        </w:tc>
        <w:tc>
          <w:tcPr>
            <w:tcW w:w="515" w:type="dxa"/>
            <w:tcBorders>
              <w:bottom w:val="single" w:sz="8" w:space="0" w:color="BFBFBF"/>
            </w:tcBorders>
            <w:shd w:fill="808080" w:val="clear"/>
            <w:tcMar>
              <w:bottom w:w="4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28.6%</w:t>
            </w:r>
          </w:p>
        </w:tc>
        <w:tc>
          <w:tcPr>
            <w:tcW w:w="515" w:type="dxa"/>
            <w:tcBorders>
              <w:bottom w:val="single" w:sz="8" w:space="0" w:color="BFBFBF"/>
            </w:tcBorders>
            <w:shd w:fill="808080" w:val="clear"/>
            <w:tcMar>
              <w:bottom w:w="4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24.5%</w:t>
            </w:r>
          </w:p>
        </w:tc>
        <w:tc>
          <w:tcPr>
            <w:tcW w:w="530" w:type="dxa"/>
            <w:tcBorders>
              <w:bottom w:val="single" w:sz="8" w:space="0" w:color="BFBFBF"/>
            </w:tcBorders>
            <w:shd w:fill="808080" w:val="clear"/>
            <w:tcMar>
              <w:bottom w:w="4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22.7%</w:t>
            </w:r>
          </w:p>
        </w:tc>
      </w:tr>
      <w:tr>
        <w:trPr/>
        <w:tc>
          <w:tcPr>
            <w:tcW w:w="4175" w:type="dxa"/>
            <w:tcBorders>
              <w:bottom w:val="single" w:sz="8" w:space="0" w:color="BFBFBF"/>
            </w:tcBorders>
            <w:shd w:fill="808080" w:val="clear"/>
            <w:tcMar>
              <w:bottom w:w="40" w:type="dxa"/>
            </w:tcMar>
            <w:vAlign w:val="center"/>
          </w:tcPr>
          <w:p>
            <w:pPr>
              <w:pStyle w:val="TableContents"/>
              <w:bidi w:val="0"/>
              <w:spacing w:before="0" w:after="283"/>
              <w:jc w:val="left"/>
              <w:rPr>
                <w:rFonts w:ascii="Arial" w:hAnsi="Arial"/>
                <w:b/>
                <w:color w:val="FFFFFF"/>
                <w:sz w:val="16"/>
              </w:rPr>
            </w:pPr>
            <w:r>
              <w:rPr>
                <w:rFonts w:ascii="Arial" w:hAnsi="Arial"/>
                <w:b/>
                <w:color w:val="FFFFFF"/>
                <w:sz w:val="16"/>
              </w:rPr>
              <w:t>Average number of employees</w:t>
            </w:r>
          </w:p>
        </w:tc>
        <w:tc>
          <w:tcPr>
            <w:tcW w:w="515" w:type="dxa"/>
            <w:tcBorders>
              <w:bottom w:val="single" w:sz="8" w:space="0" w:color="BFBFBF"/>
            </w:tcBorders>
            <w:shd w:fill="808080" w:val="clear"/>
            <w:tcMar>
              <w:bottom w:w="4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36,903</w:t>
            </w:r>
          </w:p>
        </w:tc>
        <w:tc>
          <w:tcPr>
            <w:tcW w:w="515" w:type="dxa"/>
            <w:tcBorders>
              <w:bottom w:val="single" w:sz="8" w:space="0" w:color="BFBFBF"/>
            </w:tcBorders>
            <w:shd w:fill="808080" w:val="clear"/>
            <w:tcMar>
              <w:bottom w:w="4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36,171</w:t>
            </w:r>
          </w:p>
        </w:tc>
        <w:tc>
          <w:tcPr>
            <w:tcW w:w="530" w:type="dxa"/>
            <w:tcBorders>
              <w:bottom w:val="single" w:sz="8" w:space="0" w:color="BFBFBF"/>
            </w:tcBorders>
            <w:shd w:fill="808080" w:val="clear"/>
            <w:tcMar>
              <w:bottom w:w="4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35,763</w:t>
            </w:r>
          </w:p>
        </w:tc>
      </w:tr>
      <w:tr>
        <w:trPr/>
        <w:tc>
          <w:tcPr>
            <w:tcW w:w="4690" w:type="dxa"/>
            <w:gridSpan w:val="2"/>
            <w:tcBorders/>
            <w:vAlign w:val="center"/>
          </w:tcPr>
          <w:p>
            <w:pPr>
              <w:pStyle w:val="TableContents"/>
              <w:bidi w:val="0"/>
              <w:spacing w:before="0" w:after="0"/>
              <w:ind w:left="0" w:right="0" w:hanging="0"/>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 Includes only external hiring</w:t>
            </w:r>
          </w:p>
        </w:tc>
        <w:tc>
          <w:tcPr>
            <w:tcW w:w="1045"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70" w:type="dxa"/>
        </w:tblCellMar>
      </w:tblPr>
      <w:tblGrid>
        <w:gridCol w:w="2117"/>
        <w:gridCol w:w="370"/>
        <w:gridCol w:w="370"/>
        <w:gridCol w:w="290"/>
        <w:gridCol w:w="370"/>
        <w:gridCol w:w="370"/>
        <w:gridCol w:w="370"/>
        <w:gridCol w:w="338"/>
        <w:gridCol w:w="338"/>
        <w:gridCol w:w="338"/>
        <w:gridCol w:w="338"/>
        <w:gridCol w:w="338"/>
        <w:gridCol w:w="338"/>
        <w:gridCol w:w="338"/>
        <w:gridCol w:w="338"/>
        <w:gridCol w:w="338"/>
        <w:gridCol w:w="338"/>
        <w:gridCol w:w="338"/>
        <w:gridCol w:w="338"/>
        <w:gridCol w:w="338"/>
        <w:gridCol w:w="338"/>
        <w:gridCol w:w="338"/>
        <w:gridCol w:w="294"/>
        <w:gridCol w:w="294"/>
        <w:gridCol w:w="290"/>
      </w:tblGrid>
      <w:tr>
        <w:trPr/>
        <w:tc>
          <w:tcPr>
            <w:tcW w:w="2117" w:type="dxa"/>
            <w:vMerge w:val="restart"/>
            <w:tcBorders>
              <w:right w:val="single" w:sz="8" w:space="0" w:color="E7E6E6"/>
            </w:tcBorders>
            <w:shd w:fill="000000" w:val="clear"/>
            <w:vAlign w:val="center"/>
          </w:tcPr>
          <w:p>
            <w:pPr>
              <w:pStyle w:val="TableContents"/>
              <w:bidi w:val="0"/>
              <w:spacing w:before="0" w:after="283"/>
              <w:jc w:val="left"/>
              <w:rPr>
                <w:rFonts w:ascii="Arial" w:hAnsi="Arial"/>
                <w:b/>
                <w:i w:val="false"/>
                <w:caps w:val="false"/>
                <w:smallCaps w:val="false"/>
                <w:color w:val="FFFFFF"/>
                <w:sz w:val="12"/>
              </w:rPr>
            </w:pPr>
            <w:r>
              <w:rPr>
                <w:rFonts w:ascii="Arial" w:hAnsi="Arial"/>
                <w:b/>
                <w:i w:val="false"/>
                <w:caps w:val="false"/>
                <w:smallCaps w:val="false"/>
                <w:color w:val="FFFFFF"/>
                <w:sz w:val="12"/>
              </w:rPr>
              <w:t>GRI 401-1 New employee hires by gender and age for each country</w:t>
            </w:r>
          </w:p>
        </w:tc>
        <w:tc>
          <w:tcPr>
            <w:tcW w:w="1030" w:type="dxa"/>
            <w:gridSpan w:val="3"/>
            <w:tcBorders>
              <w:right w:val="single" w:sz="8" w:space="0" w:color="E7E6E6"/>
            </w:tcBorders>
            <w:shd w:fill="000000" w:val="cle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TOTAL GENERAL</w:t>
            </w:r>
          </w:p>
        </w:tc>
        <w:tc>
          <w:tcPr>
            <w:tcW w:w="1110" w:type="dxa"/>
            <w:gridSpan w:val="3"/>
            <w:tcBorders>
              <w:right w:val="single" w:sz="8" w:space="0" w:color="E7E6E6"/>
            </w:tcBorders>
            <w:shd w:fill="000000" w:val="cle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Peru</w:t>
            </w:r>
          </w:p>
        </w:tc>
        <w:tc>
          <w:tcPr>
            <w:tcW w:w="1014" w:type="dxa"/>
            <w:gridSpan w:val="3"/>
            <w:tcBorders>
              <w:right w:val="single" w:sz="8" w:space="0" w:color="E7E6E6"/>
            </w:tcBorders>
            <w:shd w:fill="000000" w:val="cle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Bolivia</w:t>
            </w:r>
          </w:p>
        </w:tc>
        <w:tc>
          <w:tcPr>
            <w:tcW w:w="1014" w:type="dxa"/>
            <w:gridSpan w:val="3"/>
            <w:tcBorders>
              <w:right w:val="single" w:sz="8" w:space="0" w:color="E7E6E6"/>
            </w:tcBorders>
            <w:shd w:fill="000000" w:val="cle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United States</w:t>
            </w:r>
          </w:p>
        </w:tc>
        <w:tc>
          <w:tcPr>
            <w:tcW w:w="1014" w:type="dxa"/>
            <w:gridSpan w:val="3"/>
            <w:tcBorders>
              <w:right w:val="single" w:sz="8" w:space="0" w:color="E7E6E6"/>
            </w:tcBorders>
            <w:shd w:fill="000000" w:val="cle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Colombia</w:t>
            </w:r>
          </w:p>
        </w:tc>
        <w:tc>
          <w:tcPr>
            <w:tcW w:w="1014" w:type="dxa"/>
            <w:gridSpan w:val="3"/>
            <w:tcBorders>
              <w:right w:val="single" w:sz="8" w:space="0" w:color="E7E6E6"/>
            </w:tcBorders>
            <w:shd w:fill="000000" w:val="cle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Panama</w:t>
            </w:r>
          </w:p>
        </w:tc>
        <w:tc>
          <w:tcPr>
            <w:tcW w:w="1014" w:type="dxa"/>
            <w:gridSpan w:val="3"/>
            <w:tcBorders>
              <w:right w:val="single" w:sz="8" w:space="0" w:color="E7E6E6"/>
            </w:tcBorders>
            <w:shd w:fill="000000" w:val="cle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Chile</w:t>
            </w:r>
          </w:p>
        </w:tc>
        <w:tc>
          <w:tcPr>
            <w:tcW w:w="878" w:type="dxa"/>
            <w:gridSpan w:val="3"/>
            <w:tcBorders/>
            <w:shd w:fill="000000" w:val="clear"/>
            <w:tcMar>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Mexico</w:t>
            </w:r>
          </w:p>
        </w:tc>
      </w:tr>
      <w:tr>
        <w:trPr/>
        <w:tc>
          <w:tcPr>
            <w:tcW w:w="2117" w:type="dxa"/>
            <w:vMerge w:val="continue"/>
            <w:tcBorders>
              <w:right w:val="single" w:sz="8" w:space="0" w:color="E7E6E6"/>
            </w:tcBorders>
            <w:vAlign w:val="center"/>
          </w:tcPr>
          <w:p>
            <w:pPr>
              <w:pStyle w:val="Normal"/>
              <w:bidi w:val="0"/>
              <w:jc w:val="left"/>
              <w:rPr/>
            </w:pPr>
            <w:r>
              <w:rPr/>
            </w:r>
          </w:p>
        </w:tc>
        <w:tc>
          <w:tcPr>
            <w:tcW w:w="370" w:type="dxa"/>
            <w:tcBorders/>
            <w:shd w:fill="000000" w:val="clear"/>
            <w:tcMar>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2023</w:t>
            </w:r>
          </w:p>
        </w:tc>
        <w:tc>
          <w:tcPr>
            <w:tcW w:w="370" w:type="dxa"/>
            <w:tcBorders/>
            <w:shd w:fill="000000" w:val="clear"/>
            <w:tcMar>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2022</w:t>
            </w:r>
          </w:p>
        </w:tc>
        <w:tc>
          <w:tcPr>
            <w:tcW w:w="290" w:type="dxa"/>
            <w:tcBorders>
              <w:right w:val="single" w:sz="8" w:space="0" w:color="E7E6E6"/>
            </w:tcBorders>
            <w:shd w:fill="000000" w:val="cle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2021</w:t>
            </w:r>
          </w:p>
        </w:tc>
        <w:tc>
          <w:tcPr>
            <w:tcW w:w="370" w:type="dxa"/>
            <w:tcBorders/>
            <w:shd w:fill="000000" w:val="clear"/>
            <w:tcMar>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2023</w:t>
            </w:r>
          </w:p>
        </w:tc>
        <w:tc>
          <w:tcPr>
            <w:tcW w:w="370" w:type="dxa"/>
            <w:tcBorders/>
            <w:shd w:fill="000000" w:val="clear"/>
            <w:tcMar>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2022</w:t>
            </w:r>
          </w:p>
        </w:tc>
        <w:tc>
          <w:tcPr>
            <w:tcW w:w="370" w:type="dxa"/>
            <w:tcBorders>
              <w:right w:val="single" w:sz="8" w:space="0" w:color="E7E6E6"/>
            </w:tcBorders>
            <w:shd w:fill="000000" w:val="cle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2021</w:t>
            </w:r>
          </w:p>
        </w:tc>
        <w:tc>
          <w:tcPr>
            <w:tcW w:w="338" w:type="dxa"/>
            <w:tcBorders/>
            <w:shd w:fill="000000" w:val="clear"/>
            <w:tcMar>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2023</w:t>
            </w:r>
          </w:p>
        </w:tc>
        <w:tc>
          <w:tcPr>
            <w:tcW w:w="338" w:type="dxa"/>
            <w:tcBorders/>
            <w:shd w:fill="000000" w:val="clear"/>
            <w:tcMar>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2022</w:t>
            </w:r>
          </w:p>
        </w:tc>
        <w:tc>
          <w:tcPr>
            <w:tcW w:w="338" w:type="dxa"/>
            <w:tcBorders>
              <w:right w:val="single" w:sz="8" w:space="0" w:color="E7E6E6"/>
            </w:tcBorders>
            <w:shd w:fill="000000" w:val="cle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2021</w:t>
            </w:r>
          </w:p>
        </w:tc>
        <w:tc>
          <w:tcPr>
            <w:tcW w:w="338" w:type="dxa"/>
            <w:tcBorders/>
            <w:shd w:fill="000000" w:val="clear"/>
            <w:tcMar>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2023</w:t>
            </w:r>
          </w:p>
        </w:tc>
        <w:tc>
          <w:tcPr>
            <w:tcW w:w="338" w:type="dxa"/>
            <w:tcBorders/>
            <w:shd w:fill="000000" w:val="clear"/>
            <w:tcMar>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2022</w:t>
            </w:r>
          </w:p>
        </w:tc>
        <w:tc>
          <w:tcPr>
            <w:tcW w:w="338" w:type="dxa"/>
            <w:tcBorders>
              <w:right w:val="single" w:sz="8" w:space="0" w:color="E7E6E6"/>
            </w:tcBorders>
            <w:shd w:fill="000000" w:val="cle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2021</w:t>
            </w:r>
          </w:p>
        </w:tc>
        <w:tc>
          <w:tcPr>
            <w:tcW w:w="338" w:type="dxa"/>
            <w:tcBorders/>
            <w:shd w:fill="000000" w:val="clear"/>
            <w:tcMar>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2023</w:t>
            </w:r>
          </w:p>
        </w:tc>
        <w:tc>
          <w:tcPr>
            <w:tcW w:w="338" w:type="dxa"/>
            <w:tcBorders/>
            <w:shd w:fill="000000" w:val="clear"/>
            <w:tcMar>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2022</w:t>
            </w:r>
          </w:p>
        </w:tc>
        <w:tc>
          <w:tcPr>
            <w:tcW w:w="338" w:type="dxa"/>
            <w:tcBorders>
              <w:right w:val="single" w:sz="8" w:space="0" w:color="E7E6E6"/>
            </w:tcBorders>
            <w:shd w:fill="000000" w:val="cle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2021</w:t>
            </w:r>
          </w:p>
        </w:tc>
        <w:tc>
          <w:tcPr>
            <w:tcW w:w="338" w:type="dxa"/>
            <w:tcBorders/>
            <w:shd w:fill="000000" w:val="clear"/>
            <w:tcMar>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2023</w:t>
            </w:r>
          </w:p>
        </w:tc>
        <w:tc>
          <w:tcPr>
            <w:tcW w:w="338" w:type="dxa"/>
            <w:tcBorders/>
            <w:shd w:fill="000000" w:val="clear"/>
            <w:tcMar>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2022</w:t>
            </w:r>
          </w:p>
        </w:tc>
        <w:tc>
          <w:tcPr>
            <w:tcW w:w="338" w:type="dxa"/>
            <w:tcBorders>
              <w:right w:val="single" w:sz="8" w:space="0" w:color="E7E6E6"/>
            </w:tcBorders>
            <w:shd w:fill="000000" w:val="cle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2021</w:t>
            </w:r>
          </w:p>
        </w:tc>
        <w:tc>
          <w:tcPr>
            <w:tcW w:w="338" w:type="dxa"/>
            <w:tcBorders/>
            <w:shd w:fill="000000" w:val="clear"/>
            <w:tcMar>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2023</w:t>
            </w:r>
          </w:p>
        </w:tc>
        <w:tc>
          <w:tcPr>
            <w:tcW w:w="338" w:type="dxa"/>
            <w:tcBorders/>
            <w:shd w:fill="000000" w:val="clear"/>
            <w:tcMar>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2022</w:t>
            </w:r>
          </w:p>
        </w:tc>
        <w:tc>
          <w:tcPr>
            <w:tcW w:w="338" w:type="dxa"/>
            <w:tcBorders>
              <w:right w:val="single" w:sz="8" w:space="0" w:color="E7E6E6"/>
            </w:tcBorders>
            <w:shd w:fill="000000" w:val="cle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2021</w:t>
            </w:r>
          </w:p>
        </w:tc>
        <w:tc>
          <w:tcPr>
            <w:tcW w:w="294" w:type="dxa"/>
            <w:tcBorders/>
            <w:shd w:fill="000000" w:val="clear"/>
            <w:tcMar>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2023</w:t>
            </w:r>
          </w:p>
        </w:tc>
        <w:tc>
          <w:tcPr>
            <w:tcW w:w="294" w:type="dxa"/>
            <w:tcBorders/>
            <w:shd w:fill="000000" w:val="clear"/>
            <w:tcMar>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2022</w:t>
            </w:r>
          </w:p>
        </w:tc>
        <w:tc>
          <w:tcPr>
            <w:tcW w:w="290" w:type="dxa"/>
            <w:tcBorders/>
            <w:shd w:fill="000000" w:val="clear"/>
            <w:tcMar>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2021</w:t>
            </w:r>
          </w:p>
        </w:tc>
      </w:tr>
      <w:tr>
        <w:trPr/>
        <w:tc>
          <w:tcPr>
            <w:tcW w:w="2117"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2"/>
              </w:rPr>
            </w:pPr>
            <w:r>
              <w:rPr>
                <w:rFonts w:ascii="Arial" w:hAnsi="Arial"/>
                <w:b w:val="false"/>
                <w:i w:val="false"/>
                <w:caps w:val="false"/>
                <w:smallCaps w:val="false"/>
                <w:color w:val="404040"/>
                <w:sz w:val="12"/>
              </w:rPr>
              <w:t>Female</w:t>
            </w:r>
          </w:p>
        </w:tc>
        <w:tc>
          <w:tcPr>
            <w:tcW w:w="370"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5,715</w:t>
            </w:r>
          </w:p>
        </w:tc>
        <w:tc>
          <w:tcPr>
            <w:tcW w:w="370"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4,834</w:t>
            </w:r>
          </w:p>
        </w:tc>
        <w:tc>
          <w:tcPr>
            <w:tcW w:w="290"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2"/>
              </w:rPr>
            </w:pPr>
            <w:r>
              <w:rPr>
                <w:rFonts w:ascii="Arial" w:hAnsi="Arial"/>
                <w:b w:val="false"/>
                <w:i w:val="false"/>
                <w:caps w:val="false"/>
                <w:smallCaps w:val="false"/>
                <w:color w:val="404040"/>
                <w:sz w:val="12"/>
              </w:rPr>
              <w:t>4,521</w:t>
            </w:r>
          </w:p>
        </w:tc>
        <w:tc>
          <w:tcPr>
            <w:tcW w:w="370"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4,738</w:t>
            </w:r>
          </w:p>
        </w:tc>
        <w:tc>
          <w:tcPr>
            <w:tcW w:w="370"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4,229</w:t>
            </w:r>
          </w:p>
        </w:tc>
        <w:tc>
          <w:tcPr>
            <w:tcW w:w="370" w:type="dxa"/>
            <w:tcBorders>
              <w:bottom w:val="single" w:sz="8" w:space="0" w:color="BFBFBF"/>
              <w:right w:val="single" w:sz="8" w:space="0" w:color="E7E6E6"/>
            </w:tcBorders>
            <w:tcMar>
              <w:bottom w:w="28"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3,705</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407</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255</w:t>
            </w:r>
          </w:p>
        </w:tc>
        <w:tc>
          <w:tcPr>
            <w:tcW w:w="338" w:type="dxa"/>
            <w:tcBorders>
              <w:bottom w:val="single" w:sz="8" w:space="0" w:color="BFBFBF"/>
              <w:right w:val="single" w:sz="8" w:space="0" w:color="E7E6E6"/>
            </w:tcBorders>
            <w:tcMar>
              <w:bottom w:w="28"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139</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3</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2</w:t>
            </w:r>
          </w:p>
        </w:tc>
        <w:tc>
          <w:tcPr>
            <w:tcW w:w="338" w:type="dxa"/>
            <w:tcBorders>
              <w:bottom w:val="single" w:sz="8" w:space="0" w:color="BFBFBF"/>
              <w:right w:val="single" w:sz="8" w:space="0" w:color="E7E6E6"/>
            </w:tcBorders>
            <w:tcMar>
              <w:bottom w:w="28"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4</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548</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325</w:t>
            </w:r>
          </w:p>
        </w:tc>
        <w:tc>
          <w:tcPr>
            <w:tcW w:w="338" w:type="dxa"/>
            <w:tcBorders>
              <w:bottom w:val="single" w:sz="8" w:space="0" w:color="BFBFBF"/>
              <w:right w:val="single" w:sz="8" w:space="0" w:color="E7E6E6"/>
            </w:tcBorders>
            <w:tcMar>
              <w:bottom w:w="28"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653</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9</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11</w:t>
            </w:r>
          </w:p>
        </w:tc>
        <w:tc>
          <w:tcPr>
            <w:tcW w:w="338" w:type="dxa"/>
            <w:tcBorders>
              <w:bottom w:val="single" w:sz="8" w:space="0" w:color="BFBFBF"/>
              <w:right w:val="single" w:sz="8" w:space="0" w:color="E7E6E6"/>
            </w:tcBorders>
            <w:tcMar>
              <w:bottom w:w="28"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8</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10</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12</w:t>
            </w:r>
          </w:p>
        </w:tc>
        <w:tc>
          <w:tcPr>
            <w:tcW w:w="338" w:type="dxa"/>
            <w:tcBorders>
              <w:bottom w:val="single" w:sz="8" w:space="0" w:color="BFBFBF"/>
              <w:right w:val="single" w:sz="8" w:space="0" w:color="E7E6E6"/>
            </w:tcBorders>
            <w:tcMar>
              <w:bottom w:w="28"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12</w:t>
            </w:r>
          </w:p>
        </w:tc>
        <w:tc>
          <w:tcPr>
            <w:tcW w:w="294"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0</w:t>
            </w:r>
          </w:p>
        </w:tc>
        <w:tc>
          <w:tcPr>
            <w:tcW w:w="294"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w:t>
            </w:r>
          </w:p>
        </w:tc>
        <w:tc>
          <w:tcPr>
            <w:tcW w:w="290"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w:t>
            </w:r>
          </w:p>
        </w:tc>
      </w:tr>
      <w:tr>
        <w:trPr/>
        <w:tc>
          <w:tcPr>
            <w:tcW w:w="2117"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2"/>
              </w:rPr>
            </w:pPr>
            <w:r>
              <w:rPr>
                <w:rFonts w:ascii="Arial" w:hAnsi="Arial"/>
                <w:b w:val="false"/>
                <w:i w:val="false"/>
                <w:caps w:val="false"/>
                <w:smallCaps w:val="false"/>
                <w:color w:val="404040"/>
                <w:sz w:val="12"/>
              </w:rPr>
              <w:t>Male</w:t>
            </w:r>
          </w:p>
        </w:tc>
        <w:tc>
          <w:tcPr>
            <w:tcW w:w="370"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4,856</w:t>
            </w:r>
          </w:p>
        </w:tc>
        <w:tc>
          <w:tcPr>
            <w:tcW w:w="370"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4,025</w:t>
            </w:r>
          </w:p>
        </w:tc>
        <w:tc>
          <w:tcPr>
            <w:tcW w:w="290"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2"/>
              </w:rPr>
            </w:pPr>
            <w:r>
              <w:rPr>
                <w:rFonts w:ascii="Arial" w:hAnsi="Arial"/>
                <w:b w:val="false"/>
                <w:i w:val="false"/>
                <w:caps w:val="false"/>
                <w:smallCaps w:val="false"/>
                <w:color w:val="404040"/>
                <w:sz w:val="12"/>
              </w:rPr>
              <w:t>3,586</w:t>
            </w:r>
          </w:p>
        </w:tc>
        <w:tc>
          <w:tcPr>
            <w:tcW w:w="370"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3,958</w:t>
            </w:r>
          </w:p>
        </w:tc>
        <w:tc>
          <w:tcPr>
            <w:tcW w:w="370"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3,550</w:t>
            </w:r>
          </w:p>
        </w:tc>
        <w:tc>
          <w:tcPr>
            <w:tcW w:w="370" w:type="dxa"/>
            <w:tcBorders>
              <w:bottom w:val="single" w:sz="8" w:space="0" w:color="BFBFBF"/>
              <w:right w:val="single" w:sz="8" w:space="0" w:color="E7E6E6"/>
            </w:tcBorders>
            <w:tcMar>
              <w:bottom w:w="28"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2,834</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445</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221</w:t>
            </w:r>
          </w:p>
        </w:tc>
        <w:tc>
          <w:tcPr>
            <w:tcW w:w="338" w:type="dxa"/>
            <w:tcBorders>
              <w:bottom w:val="single" w:sz="8" w:space="0" w:color="BFBFBF"/>
              <w:right w:val="single" w:sz="8" w:space="0" w:color="E7E6E6"/>
            </w:tcBorders>
            <w:tcMar>
              <w:bottom w:w="28"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149</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3</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5</w:t>
            </w:r>
          </w:p>
        </w:tc>
        <w:tc>
          <w:tcPr>
            <w:tcW w:w="338" w:type="dxa"/>
            <w:tcBorders>
              <w:bottom w:val="single" w:sz="8" w:space="0" w:color="BFBFBF"/>
              <w:right w:val="single" w:sz="8" w:space="0" w:color="E7E6E6"/>
            </w:tcBorders>
            <w:tcMar>
              <w:bottom w:w="28"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4</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425</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209</w:t>
            </w:r>
          </w:p>
        </w:tc>
        <w:tc>
          <w:tcPr>
            <w:tcW w:w="338" w:type="dxa"/>
            <w:tcBorders>
              <w:bottom w:val="single" w:sz="8" w:space="0" w:color="BFBFBF"/>
              <w:right w:val="single" w:sz="8" w:space="0" w:color="E7E6E6"/>
            </w:tcBorders>
            <w:tcMar>
              <w:bottom w:w="28"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565</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7</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8</w:t>
            </w:r>
          </w:p>
        </w:tc>
        <w:tc>
          <w:tcPr>
            <w:tcW w:w="338" w:type="dxa"/>
            <w:tcBorders>
              <w:bottom w:val="single" w:sz="8" w:space="0" w:color="BFBFBF"/>
              <w:right w:val="single" w:sz="8" w:space="0" w:color="E7E6E6"/>
            </w:tcBorders>
            <w:tcMar>
              <w:bottom w:w="28"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6</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18</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32</w:t>
            </w:r>
          </w:p>
        </w:tc>
        <w:tc>
          <w:tcPr>
            <w:tcW w:w="338" w:type="dxa"/>
            <w:tcBorders>
              <w:bottom w:val="single" w:sz="8" w:space="0" w:color="BFBFBF"/>
              <w:right w:val="single" w:sz="8" w:space="0" w:color="E7E6E6"/>
            </w:tcBorders>
            <w:tcMar>
              <w:bottom w:w="28"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28</w:t>
            </w:r>
          </w:p>
        </w:tc>
        <w:tc>
          <w:tcPr>
            <w:tcW w:w="294"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0</w:t>
            </w:r>
          </w:p>
        </w:tc>
        <w:tc>
          <w:tcPr>
            <w:tcW w:w="294"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w:t>
            </w:r>
          </w:p>
        </w:tc>
        <w:tc>
          <w:tcPr>
            <w:tcW w:w="290"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w:t>
            </w:r>
          </w:p>
        </w:tc>
      </w:tr>
      <w:tr>
        <w:trPr/>
        <w:tc>
          <w:tcPr>
            <w:tcW w:w="2117"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left"/>
              <w:rPr>
                <w:rFonts w:ascii="Arial" w:hAnsi="Arial"/>
                <w:b/>
                <w:i w:val="false"/>
                <w:caps w:val="false"/>
                <w:smallCaps w:val="false"/>
                <w:color w:val="FFFFFF"/>
                <w:sz w:val="12"/>
              </w:rPr>
            </w:pPr>
            <w:r>
              <w:rPr>
                <w:rFonts w:ascii="Arial" w:hAnsi="Arial"/>
                <w:b/>
                <w:i w:val="false"/>
                <w:caps w:val="false"/>
                <w:smallCaps w:val="false"/>
                <w:color w:val="FFFFFF"/>
                <w:sz w:val="12"/>
              </w:rPr>
              <w:t>Total new hires</w:t>
            </w:r>
          </w:p>
        </w:tc>
        <w:tc>
          <w:tcPr>
            <w:tcW w:w="370"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10,571</w:t>
            </w:r>
          </w:p>
        </w:tc>
        <w:tc>
          <w:tcPr>
            <w:tcW w:w="370"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8,859</w:t>
            </w:r>
          </w:p>
        </w:tc>
        <w:tc>
          <w:tcPr>
            <w:tcW w:w="290"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8,107</w:t>
            </w:r>
          </w:p>
        </w:tc>
        <w:tc>
          <w:tcPr>
            <w:tcW w:w="370"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8,696</w:t>
            </w:r>
          </w:p>
        </w:tc>
        <w:tc>
          <w:tcPr>
            <w:tcW w:w="370"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7,779</w:t>
            </w:r>
          </w:p>
        </w:tc>
        <w:tc>
          <w:tcPr>
            <w:tcW w:w="370"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6,539</w:t>
            </w:r>
          </w:p>
        </w:tc>
        <w:tc>
          <w:tcPr>
            <w:tcW w:w="33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852</w:t>
            </w:r>
          </w:p>
        </w:tc>
        <w:tc>
          <w:tcPr>
            <w:tcW w:w="33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476</w:t>
            </w:r>
          </w:p>
        </w:tc>
        <w:tc>
          <w:tcPr>
            <w:tcW w:w="338"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288</w:t>
            </w:r>
          </w:p>
        </w:tc>
        <w:tc>
          <w:tcPr>
            <w:tcW w:w="33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6</w:t>
            </w:r>
          </w:p>
        </w:tc>
        <w:tc>
          <w:tcPr>
            <w:tcW w:w="33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7</w:t>
            </w:r>
          </w:p>
        </w:tc>
        <w:tc>
          <w:tcPr>
            <w:tcW w:w="338"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8</w:t>
            </w:r>
          </w:p>
        </w:tc>
        <w:tc>
          <w:tcPr>
            <w:tcW w:w="33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973</w:t>
            </w:r>
          </w:p>
        </w:tc>
        <w:tc>
          <w:tcPr>
            <w:tcW w:w="33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534</w:t>
            </w:r>
          </w:p>
        </w:tc>
        <w:tc>
          <w:tcPr>
            <w:tcW w:w="338"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1,218</w:t>
            </w:r>
          </w:p>
        </w:tc>
        <w:tc>
          <w:tcPr>
            <w:tcW w:w="33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16</w:t>
            </w:r>
          </w:p>
        </w:tc>
        <w:tc>
          <w:tcPr>
            <w:tcW w:w="33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19</w:t>
            </w:r>
          </w:p>
        </w:tc>
        <w:tc>
          <w:tcPr>
            <w:tcW w:w="338"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14</w:t>
            </w:r>
          </w:p>
        </w:tc>
        <w:tc>
          <w:tcPr>
            <w:tcW w:w="33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28</w:t>
            </w:r>
          </w:p>
        </w:tc>
        <w:tc>
          <w:tcPr>
            <w:tcW w:w="33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44</w:t>
            </w:r>
          </w:p>
        </w:tc>
        <w:tc>
          <w:tcPr>
            <w:tcW w:w="338"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40</w:t>
            </w:r>
          </w:p>
        </w:tc>
        <w:tc>
          <w:tcPr>
            <w:tcW w:w="294"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w:t>
            </w:r>
          </w:p>
        </w:tc>
        <w:tc>
          <w:tcPr>
            <w:tcW w:w="294"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w:t>
            </w:r>
          </w:p>
        </w:tc>
        <w:tc>
          <w:tcPr>
            <w:tcW w:w="290"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w:t>
            </w:r>
          </w:p>
        </w:tc>
      </w:tr>
      <w:tr>
        <w:trPr/>
        <w:tc>
          <w:tcPr>
            <w:tcW w:w="2117"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2"/>
              </w:rPr>
            </w:pPr>
            <w:r>
              <w:rPr>
                <w:rFonts w:ascii="Arial" w:hAnsi="Arial"/>
                <w:b w:val="false"/>
                <w:i w:val="false"/>
                <w:caps w:val="false"/>
                <w:smallCaps w:val="false"/>
                <w:color w:val="404040"/>
                <w:sz w:val="12"/>
              </w:rPr>
              <w:t>Under 30 years</w:t>
            </w:r>
          </w:p>
        </w:tc>
        <w:tc>
          <w:tcPr>
            <w:tcW w:w="370"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6,657</w:t>
            </w:r>
          </w:p>
        </w:tc>
        <w:tc>
          <w:tcPr>
            <w:tcW w:w="370"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5,898</w:t>
            </w:r>
          </w:p>
        </w:tc>
        <w:tc>
          <w:tcPr>
            <w:tcW w:w="290" w:type="dxa"/>
            <w:tcBorders>
              <w:bottom w:val="single" w:sz="8" w:space="0" w:color="BFBFBF"/>
              <w:right w:val="single" w:sz="8" w:space="0" w:color="E7E6E6"/>
            </w:tcBorders>
            <w:tcMar>
              <w:bottom w:w="28"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5,409</w:t>
            </w:r>
          </w:p>
        </w:tc>
        <w:tc>
          <w:tcPr>
            <w:tcW w:w="370"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5,603</w:t>
            </w:r>
          </w:p>
        </w:tc>
        <w:tc>
          <w:tcPr>
            <w:tcW w:w="370"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5,274</w:t>
            </w:r>
          </w:p>
        </w:tc>
        <w:tc>
          <w:tcPr>
            <w:tcW w:w="370" w:type="dxa"/>
            <w:tcBorders>
              <w:bottom w:val="single" w:sz="8" w:space="0" w:color="BFBFBF"/>
              <w:right w:val="single" w:sz="8" w:space="0" w:color="E7E6E6"/>
            </w:tcBorders>
            <w:tcMar>
              <w:bottom w:w="28"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4,613</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559</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305</w:t>
            </w:r>
          </w:p>
        </w:tc>
        <w:tc>
          <w:tcPr>
            <w:tcW w:w="338" w:type="dxa"/>
            <w:tcBorders>
              <w:bottom w:val="single" w:sz="8" w:space="0" w:color="BFBFBF"/>
              <w:right w:val="single" w:sz="8" w:space="0" w:color="E7E6E6"/>
            </w:tcBorders>
            <w:tcMar>
              <w:bottom w:w="28"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158</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0</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5</w:t>
            </w:r>
          </w:p>
        </w:tc>
        <w:tc>
          <w:tcPr>
            <w:tcW w:w="338" w:type="dxa"/>
            <w:tcBorders>
              <w:bottom w:val="single" w:sz="8" w:space="0" w:color="BFBFBF"/>
              <w:right w:val="single" w:sz="8" w:space="0" w:color="E7E6E6"/>
            </w:tcBorders>
            <w:tcMar>
              <w:bottom w:w="28"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3</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466</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272</w:t>
            </w:r>
          </w:p>
        </w:tc>
        <w:tc>
          <w:tcPr>
            <w:tcW w:w="338" w:type="dxa"/>
            <w:tcBorders>
              <w:bottom w:val="single" w:sz="8" w:space="0" w:color="BFBFBF"/>
              <w:right w:val="single" w:sz="8" w:space="0" w:color="E7E6E6"/>
            </w:tcBorders>
            <w:tcMar>
              <w:bottom w:w="28"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608</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13</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14</w:t>
            </w:r>
          </w:p>
        </w:tc>
        <w:tc>
          <w:tcPr>
            <w:tcW w:w="338" w:type="dxa"/>
            <w:tcBorders>
              <w:bottom w:val="single" w:sz="8" w:space="0" w:color="BFBFBF"/>
              <w:right w:val="single" w:sz="8" w:space="0" w:color="E7E6E6"/>
            </w:tcBorders>
            <w:tcMar>
              <w:bottom w:w="28"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10</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16</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28</w:t>
            </w:r>
          </w:p>
        </w:tc>
        <w:tc>
          <w:tcPr>
            <w:tcW w:w="338" w:type="dxa"/>
            <w:tcBorders>
              <w:bottom w:val="single" w:sz="8" w:space="0" w:color="BFBFBF"/>
              <w:right w:val="single" w:sz="8" w:space="0" w:color="E7E6E6"/>
            </w:tcBorders>
            <w:tcMar>
              <w:bottom w:w="28"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17</w:t>
            </w:r>
          </w:p>
        </w:tc>
        <w:tc>
          <w:tcPr>
            <w:tcW w:w="294"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0</w:t>
            </w:r>
          </w:p>
        </w:tc>
        <w:tc>
          <w:tcPr>
            <w:tcW w:w="294"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w:t>
            </w:r>
          </w:p>
        </w:tc>
        <w:tc>
          <w:tcPr>
            <w:tcW w:w="290"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w:t>
            </w:r>
          </w:p>
        </w:tc>
      </w:tr>
      <w:tr>
        <w:trPr/>
        <w:tc>
          <w:tcPr>
            <w:tcW w:w="2117"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2"/>
              </w:rPr>
            </w:pPr>
            <w:r>
              <w:rPr>
                <w:rFonts w:ascii="Arial" w:hAnsi="Arial"/>
                <w:b w:val="false"/>
                <w:i w:val="false"/>
                <w:caps w:val="false"/>
                <w:smallCaps w:val="false"/>
                <w:color w:val="404040"/>
                <w:sz w:val="12"/>
              </w:rPr>
              <w:t>Between 30 and 50 years</w:t>
            </w:r>
          </w:p>
        </w:tc>
        <w:tc>
          <w:tcPr>
            <w:tcW w:w="370"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3,837</w:t>
            </w:r>
          </w:p>
        </w:tc>
        <w:tc>
          <w:tcPr>
            <w:tcW w:w="370"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2,910</w:t>
            </w:r>
          </w:p>
        </w:tc>
        <w:tc>
          <w:tcPr>
            <w:tcW w:w="290" w:type="dxa"/>
            <w:tcBorders>
              <w:bottom w:val="single" w:sz="8" w:space="0" w:color="BFBFBF"/>
              <w:right w:val="single" w:sz="8" w:space="0" w:color="E7E6E6"/>
            </w:tcBorders>
            <w:tcMar>
              <w:bottom w:w="28"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2,625</w:t>
            </w:r>
          </w:p>
        </w:tc>
        <w:tc>
          <w:tcPr>
            <w:tcW w:w="370"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3,033</w:t>
            </w:r>
          </w:p>
        </w:tc>
        <w:tc>
          <w:tcPr>
            <w:tcW w:w="370"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2,462</w:t>
            </w:r>
          </w:p>
        </w:tc>
        <w:tc>
          <w:tcPr>
            <w:tcW w:w="370" w:type="dxa"/>
            <w:tcBorders>
              <w:bottom w:val="single" w:sz="8" w:space="0" w:color="BFBFBF"/>
              <w:right w:val="single" w:sz="8" w:space="0" w:color="E7E6E6"/>
            </w:tcBorders>
            <w:tcMar>
              <w:bottom w:w="28"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1,896</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284</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169</w:t>
            </w:r>
          </w:p>
        </w:tc>
        <w:tc>
          <w:tcPr>
            <w:tcW w:w="338" w:type="dxa"/>
            <w:tcBorders>
              <w:bottom w:val="single" w:sz="8" w:space="0" w:color="BFBFBF"/>
              <w:right w:val="single" w:sz="8" w:space="0" w:color="E7E6E6"/>
            </w:tcBorders>
            <w:tcMar>
              <w:bottom w:w="28"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94</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6</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2</w:t>
            </w:r>
          </w:p>
        </w:tc>
        <w:tc>
          <w:tcPr>
            <w:tcW w:w="338" w:type="dxa"/>
            <w:tcBorders>
              <w:bottom w:val="single" w:sz="8" w:space="0" w:color="BFBFBF"/>
              <w:right w:val="single" w:sz="8" w:space="0" w:color="E7E6E6"/>
            </w:tcBorders>
            <w:tcMar>
              <w:bottom w:w="28"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5</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499</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256</w:t>
            </w:r>
          </w:p>
        </w:tc>
        <w:tc>
          <w:tcPr>
            <w:tcW w:w="338" w:type="dxa"/>
            <w:tcBorders>
              <w:bottom w:val="single" w:sz="8" w:space="0" w:color="BFBFBF"/>
              <w:right w:val="single" w:sz="8" w:space="0" w:color="E7E6E6"/>
            </w:tcBorders>
            <w:tcMar>
              <w:bottom w:w="28"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603</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3</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5</w:t>
            </w:r>
          </w:p>
        </w:tc>
        <w:tc>
          <w:tcPr>
            <w:tcW w:w="338" w:type="dxa"/>
            <w:tcBorders>
              <w:bottom w:val="single" w:sz="8" w:space="0" w:color="BFBFBF"/>
              <w:right w:val="single" w:sz="8" w:space="0" w:color="E7E6E6"/>
            </w:tcBorders>
            <w:tcMar>
              <w:bottom w:w="28"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4</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12</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16</w:t>
            </w:r>
          </w:p>
        </w:tc>
        <w:tc>
          <w:tcPr>
            <w:tcW w:w="338" w:type="dxa"/>
            <w:tcBorders>
              <w:bottom w:val="single" w:sz="8" w:space="0" w:color="BFBFBF"/>
              <w:right w:val="single" w:sz="8" w:space="0" w:color="E7E6E6"/>
            </w:tcBorders>
            <w:tcMar>
              <w:bottom w:w="28"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23</w:t>
            </w:r>
          </w:p>
        </w:tc>
        <w:tc>
          <w:tcPr>
            <w:tcW w:w="294"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0</w:t>
            </w:r>
          </w:p>
        </w:tc>
        <w:tc>
          <w:tcPr>
            <w:tcW w:w="294"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w:t>
            </w:r>
          </w:p>
        </w:tc>
        <w:tc>
          <w:tcPr>
            <w:tcW w:w="290"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w:t>
            </w:r>
          </w:p>
        </w:tc>
      </w:tr>
      <w:tr>
        <w:trPr/>
        <w:tc>
          <w:tcPr>
            <w:tcW w:w="2117"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2"/>
              </w:rPr>
            </w:pPr>
            <w:r>
              <w:rPr>
                <w:rFonts w:ascii="Arial" w:hAnsi="Arial"/>
                <w:b w:val="false"/>
                <w:i w:val="false"/>
                <w:caps w:val="false"/>
                <w:smallCaps w:val="false"/>
                <w:color w:val="404040"/>
                <w:sz w:val="12"/>
              </w:rPr>
              <w:t>Over 50 years</w:t>
            </w:r>
          </w:p>
        </w:tc>
        <w:tc>
          <w:tcPr>
            <w:tcW w:w="370"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77</w:t>
            </w:r>
          </w:p>
        </w:tc>
        <w:tc>
          <w:tcPr>
            <w:tcW w:w="370"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51</w:t>
            </w:r>
          </w:p>
        </w:tc>
        <w:tc>
          <w:tcPr>
            <w:tcW w:w="290" w:type="dxa"/>
            <w:tcBorders>
              <w:bottom w:val="single" w:sz="8" w:space="0" w:color="BFBFBF"/>
              <w:right w:val="single" w:sz="8" w:space="0" w:color="E7E6E6"/>
            </w:tcBorders>
            <w:tcMar>
              <w:bottom w:w="28"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73</w:t>
            </w:r>
          </w:p>
        </w:tc>
        <w:tc>
          <w:tcPr>
            <w:tcW w:w="370"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60</w:t>
            </w:r>
          </w:p>
        </w:tc>
        <w:tc>
          <w:tcPr>
            <w:tcW w:w="370"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43</w:t>
            </w:r>
          </w:p>
        </w:tc>
        <w:tc>
          <w:tcPr>
            <w:tcW w:w="370" w:type="dxa"/>
            <w:tcBorders>
              <w:bottom w:val="single" w:sz="8" w:space="0" w:color="BFBFBF"/>
              <w:right w:val="single" w:sz="8" w:space="0" w:color="E7E6E6"/>
            </w:tcBorders>
            <w:tcMar>
              <w:bottom w:w="28"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30</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9</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2</w:t>
            </w:r>
          </w:p>
        </w:tc>
        <w:tc>
          <w:tcPr>
            <w:tcW w:w="338" w:type="dxa"/>
            <w:tcBorders>
              <w:bottom w:val="single" w:sz="8" w:space="0" w:color="BFBFBF"/>
              <w:right w:val="single" w:sz="8" w:space="0" w:color="E7E6E6"/>
            </w:tcBorders>
            <w:tcMar>
              <w:bottom w:w="28"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36</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0</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w:t>
            </w:r>
          </w:p>
        </w:tc>
        <w:tc>
          <w:tcPr>
            <w:tcW w:w="338" w:type="dxa"/>
            <w:tcBorders>
              <w:bottom w:val="single" w:sz="8" w:space="0" w:color="BFBFBF"/>
              <w:right w:val="single" w:sz="8" w:space="0" w:color="E7E6E6"/>
            </w:tcBorders>
            <w:tcMar>
              <w:bottom w:w="28"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8</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6</w:t>
            </w:r>
          </w:p>
        </w:tc>
        <w:tc>
          <w:tcPr>
            <w:tcW w:w="338" w:type="dxa"/>
            <w:tcBorders>
              <w:bottom w:val="single" w:sz="8" w:space="0" w:color="BFBFBF"/>
              <w:right w:val="single" w:sz="8" w:space="0" w:color="E7E6E6"/>
            </w:tcBorders>
            <w:tcMar>
              <w:bottom w:w="28"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7</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0</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w:t>
            </w:r>
          </w:p>
        </w:tc>
        <w:tc>
          <w:tcPr>
            <w:tcW w:w="338" w:type="dxa"/>
            <w:tcBorders>
              <w:bottom w:val="single" w:sz="8" w:space="0" w:color="BFBFBF"/>
              <w:right w:val="single" w:sz="8" w:space="0" w:color="E7E6E6"/>
            </w:tcBorders>
            <w:tcMar>
              <w:bottom w:w="28"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0</w:t>
            </w:r>
          </w:p>
        </w:tc>
        <w:tc>
          <w:tcPr>
            <w:tcW w:w="33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w:t>
            </w:r>
          </w:p>
        </w:tc>
        <w:tc>
          <w:tcPr>
            <w:tcW w:w="338" w:type="dxa"/>
            <w:tcBorders>
              <w:bottom w:val="single" w:sz="8" w:space="0" w:color="BFBFBF"/>
              <w:right w:val="single" w:sz="8" w:space="0" w:color="E7E6E6"/>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94"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0</w:t>
            </w:r>
          </w:p>
        </w:tc>
        <w:tc>
          <w:tcPr>
            <w:tcW w:w="294"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w:t>
            </w:r>
          </w:p>
        </w:tc>
        <w:tc>
          <w:tcPr>
            <w:tcW w:w="290"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2"/>
              </w:rPr>
            </w:pPr>
            <w:r>
              <w:rPr>
                <w:rFonts w:ascii="Arial" w:hAnsi="Arial"/>
                <w:b w:val="false"/>
                <w:i w:val="false"/>
                <w:caps w:val="false"/>
                <w:smallCaps w:val="false"/>
                <w:sz w:val="12"/>
              </w:rPr>
              <w:t>-</w:t>
            </w:r>
          </w:p>
        </w:tc>
      </w:tr>
      <w:tr>
        <w:trPr/>
        <w:tc>
          <w:tcPr>
            <w:tcW w:w="2117"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left"/>
              <w:rPr>
                <w:rFonts w:ascii="Arial" w:hAnsi="Arial"/>
                <w:b/>
                <w:i w:val="false"/>
                <w:caps w:val="false"/>
                <w:smallCaps w:val="false"/>
                <w:color w:val="FFFFFF"/>
                <w:sz w:val="12"/>
              </w:rPr>
            </w:pPr>
            <w:r>
              <w:rPr>
                <w:rFonts w:ascii="Arial" w:hAnsi="Arial"/>
                <w:b/>
                <w:i w:val="false"/>
                <w:caps w:val="false"/>
                <w:smallCaps w:val="false"/>
                <w:color w:val="FFFFFF"/>
                <w:sz w:val="12"/>
              </w:rPr>
              <w:t>Total new hires</w:t>
            </w:r>
          </w:p>
        </w:tc>
        <w:tc>
          <w:tcPr>
            <w:tcW w:w="370"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10,571</w:t>
            </w:r>
          </w:p>
        </w:tc>
        <w:tc>
          <w:tcPr>
            <w:tcW w:w="370"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8,859</w:t>
            </w:r>
          </w:p>
        </w:tc>
        <w:tc>
          <w:tcPr>
            <w:tcW w:w="290"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8,107</w:t>
            </w:r>
          </w:p>
        </w:tc>
        <w:tc>
          <w:tcPr>
            <w:tcW w:w="370"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8,696</w:t>
            </w:r>
          </w:p>
        </w:tc>
        <w:tc>
          <w:tcPr>
            <w:tcW w:w="370"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7,779</w:t>
            </w:r>
          </w:p>
        </w:tc>
        <w:tc>
          <w:tcPr>
            <w:tcW w:w="370"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6,539</w:t>
            </w:r>
          </w:p>
        </w:tc>
        <w:tc>
          <w:tcPr>
            <w:tcW w:w="33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852</w:t>
            </w:r>
          </w:p>
        </w:tc>
        <w:tc>
          <w:tcPr>
            <w:tcW w:w="33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476</w:t>
            </w:r>
          </w:p>
        </w:tc>
        <w:tc>
          <w:tcPr>
            <w:tcW w:w="338"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288</w:t>
            </w:r>
          </w:p>
        </w:tc>
        <w:tc>
          <w:tcPr>
            <w:tcW w:w="33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6</w:t>
            </w:r>
          </w:p>
        </w:tc>
        <w:tc>
          <w:tcPr>
            <w:tcW w:w="33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7</w:t>
            </w:r>
          </w:p>
        </w:tc>
        <w:tc>
          <w:tcPr>
            <w:tcW w:w="338"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8</w:t>
            </w:r>
          </w:p>
        </w:tc>
        <w:tc>
          <w:tcPr>
            <w:tcW w:w="33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973</w:t>
            </w:r>
          </w:p>
        </w:tc>
        <w:tc>
          <w:tcPr>
            <w:tcW w:w="33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534</w:t>
            </w:r>
          </w:p>
        </w:tc>
        <w:tc>
          <w:tcPr>
            <w:tcW w:w="338"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1,218</w:t>
            </w:r>
          </w:p>
        </w:tc>
        <w:tc>
          <w:tcPr>
            <w:tcW w:w="33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16</w:t>
            </w:r>
          </w:p>
        </w:tc>
        <w:tc>
          <w:tcPr>
            <w:tcW w:w="33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19</w:t>
            </w:r>
          </w:p>
        </w:tc>
        <w:tc>
          <w:tcPr>
            <w:tcW w:w="338"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14</w:t>
            </w:r>
          </w:p>
        </w:tc>
        <w:tc>
          <w:tcPr>
            <w:tcW w:w="33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28</w:t>
            </w:r>
          </w:p>
        </w:tc>
        <w:tc>
          <w:tcPr>
            <w:tcW w:w="33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44</w:t>
            </w:r>
          </w:p>
        </w:tc>
        <w:tc>
          <w:tcPr>
            <w:tcW w:w="338"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40</w:t>
            </w:r>
          </w:p>
        </w:tc>
        <w:tc>
          <w:tcPr>
            <w:tcW w:w="294"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w:t>
            </w:r>
          </w:p>
        </w:tc>
        <w:tc>
          <w:tcPr>
            <w:tcW w:w="294"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w:t>
            </w:r>
          </w:p>
        </w:tc>
        <w:tc>
          <w:tcPr>
            <w:tcW w:w="290"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w:t>
            </w:r>
          </w:p>
        </w:tc>
      </w:tr>
      <w:tr>
        <w:trPr/>
        <w:tc>
          <w:tcPr>
            <w:tcW w:w="2117"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left"/>
              <w:rPr>
                <w:rFonts w:ascii="Arial" w:hAnsi="Arial"/>
                <w:b/>
                <w:i w:val="false"/>
                <w:caps w:val="false"/>
                <w:smallCaps w:val="false"/>
                <w:color w:val="FFFFFF"/>
                <w:sz w:val="12"/>
              </w:rPr>
            </w:pPr>
            <w:r>
              <w:rPr>
                <w:rFonts w:ascii="Arial" w:hAnsi="Arial"/>
                <w:b/>
                <w:i w:val="false"/>
                <w:caps w:val="false"/>
                <w:smallCaps w:val="false"/>
                <w:color w:val="FFFFFF"/>
                <w:sz w:val="12"/>
              </w:rPr>
              <w:t>% de Contratación</w:t>
            </w:r>
          </w:p>
        </w:tc>
        <w:tc>
          <w:tcPr>
            <w:tcW w:w="370"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28.65%</w:t>
            </w:r>
          </w:p>
        </w:tc>
        <w:tc>
          <w:tcPr>
            <w:tcW w:w="370"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24.49%</w:t>
            </w:r>
          </w:p>
        </w:tc>
        <w:tc>
          <w:tcPr>
            <w:tcW w:w="290"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70"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27.33%</w:t>
            </w:r>
          </w:p>
        </w:tc>
        <w:tc>
          <w:tcPr>
            <w:tcW w:w="370"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25.37%</w:t>
            </w:r>
          </w:p>
        </w:tc>
        <w:tc>
          <w:tcPr>
            <w:tcW w:w="370"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21.24%</w:t>
            </w:r>
          </w:p>
        </w:tc>
        <w:tc>
          <w:tcPr>
            <w:tcW w:w="33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48.77%</w:t>
            </w:r>
          </w:p>
        </w:tc>
        <w:tc>
          <w:tcPr>
            <w:tcW w:w="33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28.18%</w:t>
            </w:r>
          </w:p>
        </w:tc>
        <w:tc>
          <w:tcPr>
            <w:tcW w:w="338"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17.36%</w:t>
            </w:r>
          </w:p>
        </w:tc>
        <w:tc>
          <w:tcPr>
            <w:tcW w:w="33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16.67%</w:t>
            </w:r>
          </w:p>
        </w:tc>
        <w:tc>
          <w:tcPr>
            <w:tcW w:w="33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20.59%</w:t>
            </w:r>
          </w:p>
        </w:tc>
        <w:tc>
          <w:tcPr>
            <w:tcW w:w="338"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28.57%</w:t>
            </w:r>
          </w:p>
        </w:tc>
        <w:tc>
          <w:tcPr>
            <w:tcW w:w="33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27.46%</w:t>
            </w:r>
          </w:p>
        </w:tc>
        <w:tc>
          <w:tcPr>
            <w:tcW w:w="33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15.60%</w:t>
            </w:r>
          </w:p>
        </w:tc>
        <w:tc>
          <w:tcPr>
            <w:tcW w:w="338"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42.12%</w:t>
            </w:r>
          </w:p>
        </w:tc>
        <w:tc>
          <w:tcPr>
            <w:tcW w:w="33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11.68%</w:t>
            </w:r>
          </w:p>
        </w:tc>
        <w:tc>
          <w:tcPr>
            <w:tcW w:w="33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13.48%</w:t>
            </w:r>
          </w:p>
        </w:tc>
        <w:tc>
          <w:tcPr>
            <w:tcW w:w="338"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10.00%</w:t>
            </w:r>
          </w:p>
        </w:tc>
        <w:tc>
          <w:tcPr>
            <w:tcW w:w="33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14.14%</w:t>
            </w:r>
          </w:p>
        </w:tc>
        <w:tc>
          <w:tcPr>
            <w:tcW w:w="33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20.28%</w:t>
            </w:r>
          </w:p>
        </w:tc>
        <w:tc>
          <w:tcPr>
            <w:tcW w:w="338"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15.94%</w:t>
            </w:r>
          </w:p>
        </w:tc>
        <w:tc>
          <w:tcPr>
            <w:tcW w:w="294"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0.00%</w:t>
            </w:r>
          </w:p>
        </w:tc>
        <w:tc>
          <w:tcPr>
            <w:tcW w:w="294"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0.00%</w:t>
            </w:r>
          </w:p>
        </w:tc>
        <w:tc>
          <w:tcPr>
            <w:tcW w:w="290"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w:t>
            </w:r>
          </w:p>
        </w:tc>
      </w:tr>
      <w:tr>
        <w:trPr/>
        <w:tc>
          <w:tcPr>
            <w:tcW w:w="2117"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left"/>
              <w:rPr>
                <w:rFonts w:ascii="Arial" w:hAnsi="Arial"/>
                <w:b/>
                <w:i w:val="false"/>
                <w:caps w:val="false"/>
                <w:smallCaps w:val="false"/>
                <w:color w:val="FFFFFF"/>
                <w:sz w:val="12"/>
              </w:rPr>
            </w:pPr>
            <w:r>
              <w:rPr>
                <w:rFonts w:ascii="Arial" w:hAnsi="Arial"/>
                <w:b/>
                <w:i w:val="false"/>
                <w:caps w:val="false"/>
                <w:smallCaps w:val="false"/>
                <w:color w:val="FFFFFF"/>
                <w:sz w:val="12"/>
              </w:rPr>
              <w:t>Average number of employees</w:t>
            </w:r>
          </w:p>
        </w:tc>
        <w:tc>
          <w:tcPr>
            <w:tcW w:w="370"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36,903</w:t>
            </w:r>
          </w:p>
        </w:tc>
        <w:tc>
          <w:tcPr>
            <w:tcW w:w="370"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36,171</w:t>
            </w:r>
          </w:p>
        </w:tc>
        <w:tc>
          <w:tcPr>
            <w:tcW w:w="290"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70"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31,823</w:t>
            </w:r>
          </w:p>
        </w:tc>
        <w:tc>
          <w:tcPr>
            <w:tcW w:w="370"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30,666</w:t>
            </w:r>
          </w:p>
        </w:tc>
        <w:tc>
          <w:tcPr>
            <w:tcW w:w="370"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30,793</w:t>
            </w:r>
          </w:p>
        </w:tc>
        <w:tc>
          <w:tcPr>
            <w:tcW w:w="33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1,747</w:t>
            </w:r>
          </w:p>
        </w:tc>
        <w:tc>
          <w:tcPr>
            <w:tcW w:w="33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1,689</w:t>
            </w:r>
          </w:p>
        </w:tc>
        <w:tc>
          <w:tcPr>
            <w:tcW w:w="338"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1,659</w:t>
            </w:r>
          </w:p>
        </w:tc>
        <w:tc>
          <w:tcPr>
            <w:tcW w:w="33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36</w:t>
            </w:r>
          </w:p>
        </w:tc>
        <w:tc>
          <w:tcPr>
            <w:tcW w:w="33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34</w:t>
            </w:r>
          </w:p>
        </w:tc>
        <w:tc>
          <w:tcPr>
            <w:tcW w:w="338"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28</w:t>
            </w:r>
          </w:p>
        </w:tc>
        <w:tc>
          <w:tcPr>
            <w:tcW w:w="33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3,543</w:t>
            </w:r>
          </w:p>
        </w:tc>
        <w:tc>
          <w:tcPr>
            <w:tcW w:w="33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3,424</w:t>
            </w:r>
          </w:p>
        </w:tc>
        <w:tc>
          <w:tcPr>
            <w:tcW w:w="338"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2,892</w:t>
            </w:r>
          </w:p>
        </w:tc>
        <w:tc>
          <w:tcPr>
            <w:tcW w:w="33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137</w:t>
            </w:r>
          </w:p>
        </w:tc>
        <w:tc>
          <w:tcPr>
            <w:tcW w:w="33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141</w:t>
            </w:r>
          </w:p>
        </w:tc>
        <w:tc>
          <w:tcPr>
            <w:tcW w:w="338"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140</w:t>
            </w:r>
          </w:p>
        </w:tc>
        <w:tc>
          <w:tcPr>
            <w:tcW w:w="33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198</w:t>
            </w:r>
          </w:p>
        </w:tc>
        <w:tc>
          <w:tcPr>
            <w:tcW w:w="33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217</w:t>
            </w:r>
          </w:p>
        </w:tc>
        <w:tc>
          <w:tcPr>
            <w:tcW w:w="338"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251</w:t>
            </w:r>
          </w:p>
        </w:tc>
        <w:tc>
          <w:tcPr>
            <w:tcW w:w="294"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1</w:t>
            </w:r>
          </w:p>
        </w:tc>
        <w:tc>
          <w:tcPr>
            <w:tcW w:w="294"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1</w:t>
            </w:r>
          </w:p>
        </w:tc>
        <w:tc>
          <w:tcPr>
            <w:tcW w:w="290"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2"/>
              </w:rPr>
            </w:pPr>
            <w:r>
              <w:rPr>
                <w:rFonts w:ascii="Arial" w:hAnsi="Arial"/>
                <w:b/>
                <w:i w:val="false"/>
                <w:caps w:val="false"/>
                <w:smallCaps w:val="false"/>
                <w:color w:val="FFFFFF"/>
                <w:sz w:val="12"/>
              </w:rPr>
              <w:t>-</w:t>
            </w:r>
          </w:p>
        </w:tc>
      </w:tr>
    </w:tbl>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60" w:after="60"/>
        <w:jc w:val="left"/>
        <w:rPr>
          <w:caps w:val="false"/>
          <w:smallCaps w:val="false"/>
          <w:bdr w:val="single" w:sz="8" w:space="1" w:color="000000"/>
        </w:rPr>
      </w:pPr>
      <w:r>
        <w:rPr>
          <w:caps w:val="false"/>
          <w:smallCaps w:val="false"/>
          <w:bdr w:val="single" w:sz="8" w:space="1" w:color="000000"/>
        </w:rPr>
        <w:t> </w:t>
      </w:r>
    </w:p>
    <w:p>
      <w:pPr>
        <w:pStyle w:val="TextBody"/>
        <w:bidi w:val="0"/>
        <w:spacing w:lineRule="auto" w:line="240"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70 The scope of the tables in this section includes the following companies: BCP Perú, BCP Bolivia, Mibanco Perú, Mibanco Colombia, Prima AFP, Pacífico Seguros, and Credicorp Capital.</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74</w:t>
      </w:r>
    </w:p>
    <w:p>
      <w:pPr>
        <w:pStyle w:val="HorizontalLine"/>
        <w:pBdr>
          <w:bottom w:val="single" w:sz="12" w:space="0" w:color="808080"/>
        </w:pBdr>
        <w:bidi w:val="0"/>
        <w:spacing w:before="200" w:after="200"/>
        <w:jc w:val="right"/>
        <w:rPr/>
      </w:pPr>
      <w:r>
        <w:rPr/>
      </w:r>
    </w:p>
    <w:tbl>
      <w:tblPr>
        <w:tblW w:w="4905" w:type="dxa"/>
        <w:jc w:val="left"/>
        <w:tblInd w:w="0" w:type="dxa"/>
        <w:tblLayout w:type="fixed"/>
        <w:tblCellMar>
          <w:top w:w="0" w:type="dxa"/>
          <w:left w:w="0" w:type="dxa"/>
          <w:bottom w:w="0" w:type="dxa"/>
          <w:right w:w="0" w:type="dxa"/>
        </w:tblCellMar>
      </w:tblPr>
      <w:tblGrid>
        <w:gridCol w:w="3860"/>
        <w:gridCol w:w="515"/>
        <w:gridCol w:w="530"/>
      </w:tblGrid>
      <w:tr>
        <w:trPr/>
        <w:tc>
          <w:tcPr>
            <w:tcW w:w="3860" w:type="dxa"/>
            <w:vMerge w:val="restart"/>
            <w:tcBorders/>
            <w:shd w:fill="000000"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GRI 401-1 Employee turnover by gender and age</w:t>
            </w:r>
          </w:p>
        </w:tc>
        <w:tc>
          <w:tcPr>
            <w:tcW w:w="1045" w:type="dxa"/>
            <w:gridSpan w:val="2"/>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TOTAL</w:t>
            </w:r>
          </w:p>
        </w:tc>
      </w:tr>
      <w:tr>
        <w:trPr/>
        <w:tc>
          <w:tcPr>
            <w:tcW w:w="3860" w:type="dxa"/>
            <w:vMerge w:val="continue"/>
            <w:tcBorders/>
            <w:shd w:fill="000000" w:val="clear"/>
            <w:vAlign w:val="center"/>
          </w:tcPr>
          <w:p>
            <w:pPr>
              <w:pStyle w:val="Normal"/>
              <w:bidi w:val="0"/>
              <w:jc w:val="left"/>
              <w:rPr/>
            </w:pPr>
            <w:r>
              <w:rPr/>
            </w:r>
          </w:p>
        </w:tc>
        <w:tc>
          <w:tcPr>
            <w:tcW w:w="515"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2023</w:t>
            </w:r>
          </w:p>
        </w:tc>
        <w:tc>
          <w:tcPr>
            <w:tcW w:w="530"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2022</w:t>
            </w:r>
          </w:p>
        </w:tc>
      </w:tr>
      <w:tr>
        <w:trPr/>
        <w:tc>
          <w:tcPr>
            <w:tcW w:w="3860"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Female</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5,339</w:t>
            </w:r>
          </w:p>
        </w:tc>
        <w:tc>
          <w:tcPr>
            <w:tcW w:w="53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5,247</w:t>
            </w:r>
          </w:p>
        </w:tc>
      </w:tr>
      <w:tr>
        <w:trPr/>
        <w:tc>
          <w:tcPr>
            <w:tcW w:w="3860"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Male</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4,191</w:t>
            </w:r>
          </w:p>
        </w:tc>
        <w:tc>
          <w:tcPr>
            <w:tcW w:w="53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4,031</w:t>
            </w:r>
          </w:p>
        </w:tc>
      </w:tr>
      <w:tr>
        <w:trPr/>
        <w:tc>
          <w:tcPr>
            <w:tcW w:w="3860" w:type="dxa"/>
            <w:tcBorders>
              <w:bottom w:val="single" w:sz="8" w:space="0" w:color="BFBFBF"/>
            </w:tcBorders>
            <w:shd w:fill="808080" w:val="clear"/>
            <w:tcMar>
              <w:bottom w:w="28" w:type="dxa"/>
            </w:tcM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Total</w:t>
            </w:r>
          </w:p>
        </w:tc>
        <w:tc>
          <w:tcPr>
            <w:tcW w:w="515"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9,530</w:t>
            </w:r>
          </w:p>
        </w:tc>
        <w:tc>
          <w:tcPr>
            <w:tcW w:w="530"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9,278</w:t>
            </w:r>
          </w:p>
        </w:tc>
      </w:tr>
      <w:tr>
        <w:trPr/>
        <w:tc>
          <w:tcPr>
            <w:tcW w:w="3860"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Under 30 years</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4,803</w:t>
            </w:r>
          </w:p>
        </w:tc>
        <w:tc>
          <w:tcPr>
            <w:tcW w:w="53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4,926</w:t>
            </w:r>
          </w:p>
        </w:tc>
      </w:tr>
      <w:tr>
        <w:trPr/>
        <w:tc>
          <w:tcPr>
            <w:tcW w:w="3860"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Between 30 and 50 years</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4,504</w:t>
            </w:r>
          </w:p>
        </w:tc>
        <w:tc>
          <w:tcPr>
            <w:tcW w:w="53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4,100</w:t>
            </w:r>
          </w:p>
        </w:tc>
      </w:tr>
      <w:tr>
        <w:trPr/>
        <w:tc>
          <w:tcPr>
            <w:tcW w:w="3860"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Over 50 years</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223</w:t>
            </w:r>
          </w:p>
        </w:tc>
        <w:tc>
          <w:tcPr>
            <w:tcW w:w="53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252</w:t>
            </w:r>
          </w:p>
        </w:tc>
      </w:tr>
      <w:tr>
        <w:trPr/>
        <w:tc>
          <w:tcPr>
            <w:tcW w:w="3860" w:type="dxa"/>
            <w:tcBorders>
              <w:bottom w:val="single" w:sz="8" w:space="0" w:color="BFBFBF"/>
            </w:tcBorders>
            <w:shd w:fill="808080" w:val="clear"/>
            <w:tcMar>
              <w:bottom w:w="28" w:type="dxa"/>
            </w:tcM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Total</w:t>
            </w:r>
          </w:p>
        </w:tc>
        <w:tc>
          <w:tcPr>
            <w:tcW w:w="515"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9,530</w:t>
            </w:r>
          </w:p>
        </w:tc>
        <w:tc>
          <w:tcPr>
            <w:tcW w:w="530"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9,278</w:t>
            </w:r>
          </w:p>
        </w:tc>
      </w:tr>
      <w:tr>
        <w:trPr/>
        <w:tc>
          <w:tcPr>
            <w:tcW w:w="3860" w:type="dxa"/>
            <w:tcBorders>
              <w:bottom w:val="single" w:sz="8" w:space="0" w:color="BFBFBF"/>
            </w:tcBorders>
            <w:shd w:fill="808080" w:val="clear"/>
            <w:tcMar>
              <w:bottom w:w="28" w:type="dxa"/>
            </w:tcM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Turnover rate</w:t>
            </w:r>
          </w:p>
        </w:tc>
        <w:tc>
          <w:tcPr>
            <w:tcW w:w="515"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25.8%</w:t>
            </w:r>
          </w:p>
        </w:tc>
        <w:tc>
          <w:tcPr>
            <w:tcW w:w="530"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25.7%</w:t>
            </w:r>
          </w:p>
        </w:tc>
      </w:tr>
      <w:tr>
        <w:trPr/>
        <w:tc>
          <w:tcPr>
            <w:tcW w:w="3860" w:type="dxa"/>
            <w:tcBorders>
              <w:bottom w:val="single" w:sz="8" w:space="0" w:color="BFBFBF"/>
            </w:tcBorders>
            <w:shd w:fill="808080" w:val="clear"/>
            <w:tcMar>
              <w:bottom w:w="28" w:type="dxa"/>
            </w:tcM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Average number of employees</w:t>
            </w:r>
          </w:p>
        </w:tc>
        <w:tc>
          <w:tcPr>
            <w:tcW w:w="515"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36,903</w:t>
            </w:r>
          </w:p>
        </w:tc>
        <w:tc>
          <w:tcPr>
            <w:tcW w:w="530"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36,171</w:t>
            </w:r>
          </w:p>
        </w:tc>
      </w:tr>
    </w:tbl>
    <w:p>
      <w:pPr>
        <w:pStyle w:val="TextBody"/>
        <w:bidi w:val="0"/>
        <w:spacing w:before="0" w:after="0"/>
        <w:ind w:left="0" w:right="0" w:hanging="0"/>
        <w:jc w:val="left"/>
        <w:rPr>
          <w:caps w:val="false"/>
          <w:smallCaps w:val="false"/>
          <w:color w:val="FE5000"/>
        </w:rPr>
      </w:pPr>
      <w:r>
        <w:rPr>
          <w:caps w:val="false"/>
          <w:smallCaps w:val="false"/>
          <w:color w:val="FE5000"/>
        </w:rPr>
        <w:t> </w:t>
      </w:r>
    </w:p>
    <w:tbl>
      <w:tblPr>
        <w:tblW w:w="10205" w:type="dxa"/>
        <w:jc w:val="left"/>
        <w:tblInd w:w="0" w:type="dxa"/>
        <w:tblLayout w:type="fixed"/>
        <w:tblCellMar>
          <w:top w:w="0" w:type="dxa"/>
          <w:left w:w="0" w:type="dxa"/>
          <w:bottom w:w="0" w:type="dxa"/>
          <w:right w:w="70" w:type="dxa"/>
        </w:tblCellMar>
      </w:tblPr>
      <w:tblGrid>
        <w:gridCol w:w="1194"/>
        <w:gridCol w:w="440"/>
        <w:gridCol w:w="440"/>
        <w:gridCol w:w="440"/>
        <w:gridCol w:w="440"/>
        <w:gridCol w:w="440"/>
        <w:gridCol w:w="440"/>
        <w:gridCol w:w="378"/>
        <w:gridCol w:w="378"/>
        <w:gridCol w:w="378"/>
        <w:gridCol w:w="346"/>
        <w:gridCol w:w="346"/>
        <w:gridCol w:w="346"/>
        <w:gridCol w:w="378"/>
        <w:gridCol w:w="378"/>
        <w:gridCol w:w="378"/>
        <w:gridCol w:w="346"/>
        <w:gridCol w:w="346"/>
        <w:gridCol w:w="346"/>
        <w:gridCol w:w="346"/>
        <w:gridCol w:w="346"/>
        <w:gridCol w:w="346"/>
        <w:gridCol w:w="324"/>
        <w:gridCol w:w="324"/>
        <w:gridCol w:w="341"/>
      </w:tblGrid>
      <w:tr>
        <w:trPr/>
        <w:tc>
          <w:tcPr>
            <w:tcW w:w="1194" w:type="dxa"/>
            <w:vMerge w:val="restart"/>
            <w:tcBorders>
              <w:right w:val="single" w:sz="8" w:space="0" w:color="E7E6E6"/>
            </w:tcBorders>
            <w:shd w:fill="000000" w:val="clear"/>
            <w:vAlign w:val="center"/>
          </w:tcPr>
          <w:p>
            <w:pPr>
              <w:pStyle w:val="TableContents"/>
              <w:bidi w:val="0"/>
              <w:spacing w:before="0" w:after="283"/>
              <w:jc w:val="left"/>
              <w:rPr>
                <w:rFonts w:ascii="Arial" w:hAnsi="Arial"/>
                <w:b/>
                <w:i w:val="false"/>
                <w:caps w:val="false"/>
                <w:smallCaps w:val="false"/>
                <w:color w:val="FFFFFF"/>
                <w:sz w:val="14"/>
              </w:rPr>
            </w:pPr>
            <w:r>
              <w:rPr>
                <w:rFonts w:ascii="Arial" w:hAnsi="Arial"/>
                <w:b/>
                <w:i w:val="false"/>
                <w:caps w:val="false"/>
                <w:smallCaps w:val="false"/>
                <w:color w:val="FFFFFF"/>
                <w:sz w:val="14"/>
              </w:rPr>
              <w:t>GRI 401-1 Turnover by country</w:t>
            </w:r>
          </w:p>
        </w:tc>
        <w:tc>
          <w:tcPr>
            <w:tcW w:w="1320" w:type="dxa"/>
            <w:gridSpan w:val="3"/>
            <w:tcBorders>
              <w:right w:val="single" w:sz="8" w:space="0" w:color="E7E6E6"/>
            </w:tcBorders>
            <w:shd w:fill="000000" w:val="cle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TOTAL</w:t>
            </w:r>
          </w:p>
        </w:tc>
        <w:tc>
          <w:tcPr>
            <w:tcW w:w="1320" w:type="dxa"/>
            <w:gridSpan w:val="3"/>
            <w:tcBorders>
              <w:right w:val="single" w:sz="8" w:space="0" w:color="E7E6E6"/>
            </w:tcBorders>
            <w:shd w:fill="000000" w:val="cle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Peru</w:t>
            </w:r>
          </w:p>
        </w:tc>
        <w:tc>
          <w:tcPr>
            <w:tcW w:w="1134" w:type="dxa"/>
            <w:gridSpan w:val="3"/>
            <w:tcBorders>
              <w:right w:val="single" w:sz="8" w:space="0" w:color="E7E6E6"/>
            </w:tcBorders>
            <w:shd w:fill="000000" w:val="cle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Bolivia</w:t>
            </w:r>
          </w:p>
        </w:tc>
        <w:tc>
          <w:tcPr>
            <w:tcW w:w="1038" w:type="dxa"/>
            <w:gridSpan w:val="3"/>
            <w:tcBorders>
              <w:right w:val="single" w:sz="8" w:space="0" w:color="E7E6E6"/>
            </w:tcBorders>
            <w:shd w:fill="000000" w:val="cle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United States</w:t>
            </w:r>
          </w:p>
        </w:tc>
        <w:tc>
          <w:tcPr>
            <w:tcW w:w="1134" w:type="dxa"/>
            <w:gridSpan w:val="3"/>
            <w:tcBorders>
              <w:right w:val="single" w:sz="8" w:space="0" w:color="E7E6E6"/>
            </w:tcBorders>
            <w:shd w:fill="000000" w:val="cle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Colombia</w:t>
            </w:r>
          </w:p>
        </w:tc>
        <w:tc>
          <w:tcPr>
            <w:tcW w:w="1038" w:type="dxa"/>
            <w:gridSpan w:val="3"/>
            <w:tcBorders>
              <w:right w:val="single" w:sz="8" w:space="0" w:color="E7E6E6"/>
            </w:tcBorders>
            <w:shd w:fill="000000" w:val="cle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Panama</w:t>
            </w:r>
          </w:p>
        </w:tc>
        <w:tc>
          <w:tcPr>
            <w:tcW w:w="1038" w:type="dxa"/>
            <w:gridSpan w:val="3"/>
            <w:tcBorders>
              <w:right w:val="single" w:sz="8" w:space="0" w:color="E7E6E6"/>
            </w:tcBorders>
            <w:shd w:fill="000000" w:val="cle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Chile</w:t>
            </w:r>
          </w:p>
        </w:tc>
        <w:tc>
          <w:tcPr>
            <w:tcW w:w="989" w:type="dxa"/>
            <w:gridSpan w:val="3"/>
            <w:tcBorders/>
            <w:shd w:fill="000000" w:val="clear"/>
            <w:tcMar>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Mexico</w:t>
            </w:r>
          </w:p>
        </w:tc>
      </w:tr>
      <w:tr>
        <w:trPr/>
        <w:tc>
          <w:tcPr>
            <w:tcW w:w="1194" w:type="dxa"/>
            <w:vMerge w:val="continue"/>
            <w:tcBorders>
              <w:right w:val="single" w:sz="8" w:space="0" w:color="E7E6E6"/>
            </w:tcBorders>
            <w:shd w:fill="000000" w:val="clear"/>
            <w:vAlign w:val="center"/>
          </w:tcPr>
          <w:p>
            <w:pPr>
              <w:pStyle w:val="Normal"/>
              <w:bidi w:val="0"/>
              <w:jc w:val="left"/>
              <w:rPr/>
            </w:pPr>
            <w:r>
              <w:rPr/>
            </w:r>
          </w:p>
        </w:tc>
        <w:tc>
          <w:tcPr>
            <w:tcW w:w="440" w:type="dxa"/>
            <w:tcBorders/>
            <w:shd w:fill="000000" w:val="clear"/>
            <w:tcMar>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2023</w:t>
            </w:r>
          </w:p>
        </w:tc>
        <w:tc>
          <w:tcPr>
            <w:tcW w:w="440" w:type="dxa"/>
            <w:tcBorders/>
            <w:shd w:fill="000000" w:val="clear"/>
            <w:tcMar>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2022</w:t>
            </w:r>
          </w:p>
        </w:tc>
        <w:tc>
          <w:tcPr>
            <w:tcW w:w="440" w:type="dxa"/>
            <w:tcBorders>
              <w:right w:val="single" w:sz="8" w:space="0" w:color="E7E6E6"/>
            </w:tcBorders>
            <w:shd w:fill="000000" w:val="cle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2021</w:t>
            </w:r>
          </w:p>
        </w:tc>
        <w:tc>
          <w:tcPr>
            <w:tcW w:w="440" w:type="dxa"/>
            <w:tcBorders/>
            <w:shd w:fill="000000" w:val="clear"/>
            <w:tcMar>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2023</w:t>
            </w:r>
          </w:p>
        </w:tc>
        <w:tc>
          <w:tcPr>
            <w:tcW w:w="440" w:type="dxa"/>
            <w:tcBorders/>
            <w:shd w:fill="000000" w:val="clear"/>
            <w:tcMar>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2022</w:t>
            </w:r>
          </w:p>
        </w:tc>
        <w:tc>
          <w:tcPr>
            <w:tcW w:w="440" w:type="dxa"/>
            <w:tcBorders>
              <w:right w:val="single" w:sz="8" w:space="0" w:color="E7E6E6"/>
            </w:tcBorders>
            <w:shd w:fill="000000" w:val="cle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2021</w:t>
            </w:r>
          </w:p>
        </w:tc>
        <w:tc>
          <w:tcPr>
            <w:tcW w:w="378" w:type="dxa"/>
            <w:tcBorders/>
            <w:shd w:fill="000000" w:val="clear"/>
            <w:tcMar>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2023</w:t>
            </w:r>
          </w:p>
        </w:tc>
        <w:tc>
          <w:tcPr>
            <w:tcW w:w="378" w:type="dxa"/>
            <w:tcBorders/>
            <w:shd w:fill="000000" w:val="clear"/>
            <w:tcMar>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2022</w:t>
            </w:r>
          </w:p>
        </w:tc>
        <w:tc>
          <w:tcPr>
            <w:tcW w:w="378" w:type="dxa"/>
            <w:tcBorders>
              <w:right w:val="single" w:sz="8" w:space="0" w:color="E7E6E6"/>
            </w:tcBorders>
            <w:shd w:fill="000000" w:val="cle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2021</w:t>
            </w:r>
          </w:p>
        </w:tc>
        <w:tc>
          <w:tcPr>
            <w:tcW w:w="346" w:type="dxa"/>
            <w:tcBorders/>
            <w:shd w:fill="000000" w:val="clear"/>
            <w:tcMar>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2023</w:t>
            </w:r>
          </w:p>
        </w:tc>
        <w:tc>
          <w:tcPr>
            <w:tcW w:w="346" w:type="dxa"/>
            <w:tcBorders/>
            <w:shd w:fill="000000" w:val="clear"/>
            <w:tcMar>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2022</w:t>
            </w:r>
          </w:p>
        </w:tc>
        <w:tc>
          <w:tcPr>
            <w:tcW w:w="346" w:type="dxa"/>
            <w:tcBorders>
              <w:right w:val="single" w:sz="8" w:space="0" w:color="E7E6E6"/>
            </w:tcBorders>
            <w:shd w:fill="000000" w:val="cle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2021</w:t>
            </w:r>
          </w:p>
        </w:tc>
        <w:tc>
          <w:tcPr>
            <w:tcW w:w="378" w:type="dxa"/>
            <w:tcBorders/>
            <w:shd w:fill="000000" w:val="clear"/>
            <w:tcMar>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2023</w:t>
            </w:r>
          </w:p>
        </w:tc>
        <w:tc>
          <w:tcPr>
            <w:tcW w:w="378" w:type="dxa"/>
            <w:tcBorders/>
            <w:shd w:fill="000000" w:val="clear"/>
            <w:tcMar>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2022</w:t>
            </w:r>
          </w:p>
        </w:tc>
        <w:tc>
          <w:tcPr>
            <w:tcW w:w="378" w:type="dxa"/>
            <w:tcBorders>
              <w:right w:val="single" w:sz="8" w:space="0" w:color="E7E6E6"/>
            </w:tcBorders>
            <w:shd w:fill="000000" w:val="cle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2021</w:t>
            </w:r>
          </w:p>
        </w:tc>
        <w:tc>
          <w:tcPr>
            <w:tcW w:w="346" w:type="dxa"/>
            <w:tcBorders/>
            <w:shd w:fill="000000" w:val="clear"/>
            <w:tcMar>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2023</w:t>
            </w:r>
          </w:p>
        </w:tc>
        <w:tc>
          <w:tcPr>
            <w:tcW w:w="346" w:type="dxa"/>
            <w:tcBorders/>
            <w:shd w:fill="000000" w:val="clear"/>
            <w:tcMar>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2022</w:t>
            </w:r>
          </w:p>
        </w:tc>
        <w:tc>
          <w:tcPr>
            <w:tcW w:w="346" w:type="dxa"/>
            <w:tcBorders>
              <w:right w:val="single" w:sz="8" w:space="0" w:color="E7E6E6"/>
            </w:tcBorders>
            <w:shd w:fill="000000" w:val="cle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2021</w:t>
            </w:r>
          </w:p>
        </w:tc>
        <w:tc>
          <w:tcPr>
            <w:tcW w:w="346" w:type="dxa"/>
            <w:tcBorders/>
            <w:shd w:fill="000000" w:val="clear"/>
            <w:tcMar>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2023</w:t>
            </w:r>
          </w:p>
        </w:tc>
        <w:tc>
          <w:tcPr>
            <w:tcW w:w="346" w:type="dxa"/>
            <w:tcBorders/>
            <w:shd w:fill="000000" w:val="clear"/>
            <w:tcMar>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2022</w:t>
            </w:r>
          </w:p>
        </w:tc>
        <w:tc>
          <w:tcPr>
            <w:tcW w:w="346" w:type="dxa"/>
            <w:tcBorders>
              <w:right w:val="single" w:sz="8" w:space="0" w:color="E7E6E6"/>
            </w:tcBorders>
            <w:shd w:fill="000000" w:val="cle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2021</w:t>
            </w:r>
          </w:p>
        </w:tc>
        <w:tc>
          <w:tcPr>
            <w:tcW w:w="324" w:type="dxa"/>
            <w:tcBorders/>
            <w:shd w:fill="000000" w:val="clear"/>
            <w:tcMar>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2023</w:t>
            </w:r>
          </w:p>
        </w:tc>
        <w:tc>
          <w:tcPr>
            <w:tcW w:w="324" w:type="dxa"/>
            <w:tcBorders/>
            <w:shd w:fill="000000" w:val="clear"/>
            <w:tcMar>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2022</w:t>
            </w:r>
          </w:p>
        </w:tc>
        <w:tc>
          <w:tcPr>
            <w:tcW w:w="341" w:type="dxa"/>
            <w:tcBorders/>
            <w:shd w:fill="000000" w:val="clear"/>
            <w:tcMar>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2021</w:t>
            </w:r>
          </w:p>
        </w:tc>
      </w:tr>
      <w:tr>
        <w:trPr/>
        <w:tc>
          <w:tcPr>
            <w:tcW w:w="1194"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4"/>
              </w:rPr>
            </w:pPr>
            <w:r>
              <w:rPr>
                <w:rFonts w:ascii="Arial" w:hAnsi="Arial"/>
                <w:b w:val="false"/>
                <w:i w:val="false"/>
                <w:caps w:val="false"/>
                <w:smallCaps w:val="false"/>
                <w:color w:val="404040"/>
                <w:sz w:val="14"/>
              </w:rPr>
              <w:t>Female</w:t>
            </w:r>
          </w:p>
        </w:tc>
        <w:tc>
          <w:tcPr>
            <w:tcW w:w="440"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color w:val="404040"/>
                <w:sz w:val="14"/>
              </w:rPr>
            </w:pPr>
            <w:r>
              <w:rPr>
                <w:rFonts w:ascii="Arial" w:hAnsi="Arial"/>
                <w:b w:val="false"/>
                <w:i w:val="false"/>
                <w:caps w:val="false"/>
                <w:smallCaps w:val="false"/>
                <w:color w:val="404040"/>
                <w:sz w:val="14"/>
              </w:rPr>
              <w:t>5,339</w:t>
            </w:r>
          </w:p>
        </w:tc>
        <w:tc>
          <w:tcPr>
            <w:tcW w:w="440" w:type="dxa"/>
            <w:tcBorders>
              <w:bottom w:val="single" w:sz="8" w:space="0" w:color="BFBFBF"/>
            </w:tcBorders>
            <w:shd w:fill="FFFFFF" w:val="clear"/>
            <w:tcMar>
              <w:bottom w:w="28" w:type="dxa"/>
              <w:right w:w="0" w:type="dxa"/>
            </w:tcMar>
            <w:vAlign w:val="center"/>
          </w:tcPr>
          <w:p>
            <w:pPr>
              <w:pStyle w:val="TableContents"/>
              <w:bidi w:val="0"/>
              <w:spacing w:before="0" w:after="283"/>
              <w:jc w:val="center"/>
              <w:rPr>
                <w:rFonts w:ascii="Arial" w:hAnsi="Arial"/>
                <w:b w:val="false"/>
                <w:i w:val="false"/>
                <w:caps w:val="false"/>
                <w:smallCaps w:val="false"/>
                <w:color w:val="404040"/>
                <w:sz w:val="14"/>
              </w:rPr>
            </w:pPr>
            <w:r>
              <w:rPr>
                <w:rFonts w:ascii="Arial" w:hAnsi="Arial"/>
                <w:b w:val="false"/>
                <w:i w:val="false"/>
                <w:caps w:val="false"/>
                <w:smallCaps w:val="false"/>
                <w:color w:val="404040"/>
                <w:sz w:val="14"/>
              </w:rPr>
              <w:t>5,247</w:t>
            </w:r>
          </w:p>
        </w:tc>
        <w:tc>
          <w:tcPr>
            <w:tcW w:w="440"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4"/>
              </w:rPr>
            </w:pPr>
            <w:r>
              <w:rPr>
                <w:rFonts w:ascii="Arial" w:hAnsi="Arial"/>
                <w:b w:val="false"/>
                <w:i w:val="false"/>
                <w:caps w:val="false"/>
                <w:smallCaps w:val="false"/>
                <w:color w:val="404040"/>
                <w:sz w:val="14"/>
              </w:rPr>
              <w:t>4,782</w:t>
            </w:r>
          </w:p>
        </w:tc>
        <w:tc>
          <w:tcPr>
            <w:tcW w:w="440"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color w:val="404040"/>
                <w:sz w:val="14"/>
              </w:rPr>
            </w:pPr>
            <w:r>
              <w:rPr>
                <w:rFonts w:ascii="Arial" w:hAnsi="Arial"/>
                <w:b w:val="false"/>
                <w:i w:val="false"/>
                <w:caps w:val="false"/>
                <w:smallCaps w:val="false"/>
                <w:color w:val="404040"/>
                <w:sz w:val="14"/>
              </w:rPr>
              <w:t>4,460</w:t>
            </w:r>
          </w:p>
        </w:tc>
        <w:tc>
          <w:tcPr>
            <w:tcW w:w="440" w:type="dxa"/>
            <w:tcBorders>
              <w:bottom w:val="single" w:sz="8" w:space="0" w:color="BFBFBF"/>
            </w:tcBorders>
            <w:shd w:fill="FFFFFF" w:val="clear"/>
            <w:tcMar>
              <w:bottom w:w="28" w:type="dxa"/>
              <w:right w:w="0" w:type="dxa"/>
            </w:tcMar>
            <w:vAlign w:val="center"/>
          </w:tcPr>
          <w:p>
            <w:pPr>
              <w:pStyle w:val="TableContents"/>
              <w:bidi w:val="0"/>
              <w:spacing w:before="0" w:after="283"/>
              <w:jc w:val="center"/>
              <w:rPr>
                <w:rFonts w:ascii="Arial" w:hAnsi="Arial"/>
                <w:b w:val="false"/>
                <w:i w:val="false"/>
                <w:caps w:val="false"/>
                <w:smallCaps w:val="false"/>
                <w:color w:val="404040"/>
                <w:sz w:val="14"/>
              </w:rPr>
            </w:pPr>
            <w:r>
              <w:rPr>
                <w:rFonts w:ascii="Arial" w:hAnsi="Arial"/>
                <w:b w:val="false"/>
                <w:i w:val="false"/>
                <w:caps w:val="false"/>
                <w:smallCaps w:val="false"/>
                <w:color w:val="404040"/>
                <w:sz w:val="14"/>
              </w:rPr>
              <w:t>4,556</w:t>
            </w:r>
          </w:p>
        </w:tc>
        <w:tc>
          <w:tcPr>
            <w:tcW w:w="440"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4"/>
              </w:rPr>
            </w:pPr>
            <w:r>
              <w:rPr>
                <w:rFonts w:ascii="Arial" w:hAnsi="Arial"/>
                <w:b w:val="false"/>
                <w:i w:val="false"/>
                <w:caps w:val="false"/>
                <w:smallCaps w:val="false"/>
                <w:color w:val="404040"/>
                <w:sz w:val="14"/>
              </w:rPr>
              <w:t>4,195</w:t>
            </w:r>
          </w:p>
        </w:tc>
        <w:tc>
          <w:tcPr>
            <w:tcW w:w="37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color w:val="404040"/>
                <w:sz w:val="14"/>
              </w:rPr>
            </w:pPr>
            <w:r>
              <w:rPr>
                <w:rFonts w:ascii="Arial" w:hAnsi="Arial"/>
                <w:b w:val="false"/>
                <w:i w:val="false"/>
                <w:caps w:val="false"/>
                <w:smallCaps w:val="false"/>
                <w:color w:val="404040"/>
                <w:sz w:val="14"/>
              </w:rPr>
              <w:t>193</w:t>
            </w:r>
          </w:p>
        </w:tc>
        <w:tc>
          <w:tcPr>
            <w:tcW w:w="378" w:type="dxa"/>
            <w:tcBorders>
              <w:bottom w:val="single" w:sz="8" w:space="0" w:color="BFBFBF"/>
            </w:tcBorders>
            <w:shd w:fill="FFFFFF" w:val="clear"/>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207</w:t>
            </w:r>
          </w:p>
        </w:tc>
        <w:tc>
          <w:tcPr>
            <w:tcW w:w="378"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161</w:t>
            </w:r>
          </w:p>
        </w:tc>
        <w:tc>
          <w:tcPr>
            <w:tcW w:w="346"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5</w:t>
            </w:r>
          </w:p>
        </w:tc>
        <w:tc>
          <w:tcPr>
            <w:tcW w:w="346" w:type="dxa"/>
            <w:tcBorders>
              <w:bottom w:val="single" w:sz="8" w:space="0" w:color="BFBFBF"/>
            </w:tcBorders>
            <w:shd w:fill="FFFFFF" w:val="clear"/>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3</w:t>
            </w:r>
          </w:p>
        </w:tc>
        <w:tc>
          <w:tcPr>
            <w:tcW w:w="346"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4</w:t>
            </w:r>
          </w:p>
        </w:tc>
        <w:tc>
          <w:tcPr>
            <w:tcW w:w="37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648</w:t>
            </w:r>
          </w:p>
        </w:tc>
        <w:tc>
          <w:tcPr>
            <w:tcW w:w="378" w:type="dxa"/>
            <w:tcBorders>
              <w:bottom w:val="single" w:sz="8" w:space="0" w:color="BFBFBF"/>
            </w:tcBorders>
            <w:shd w:fill="FFFFFF" w:val="clear"/>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451</w:t>
            </w:r>
          </w:p>
        </w:tc>
        <w:tc>
          <w:tcPr>
            <w:tcW w:w="378"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399</w:t>
            </w:r>
          </w:p>
        </w:tc>
        <w:tc>
          <w:tcPr>
            <w:tcW w:w="346"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10</w:t>
            </w:r>
          </w:p>
        </w:tc>
        <w:tc>
          <w:tcPr>
            <w:tcW w:w="346" w:type="dxa"/>
            <w:tcBorders>
              <w:bottom w:val="single" w:sz="8" w:space="0" w:color="BFBFBF"/>
            </w:tcBorders>
            <w:shd w:fill="FFFFFF" w:val="clear"/>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11</w:t>
            </w:r>
          </w:p>
        </w:tc>
        <w:tc>
          <w:tcPr>
            <w:tcW w:w="346"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5</w:t>
            </w:r>
          </w:p>
        </w:tc>
        <w:tc>
          <w:tcPr>
            <w:tcW w:w="346"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23</w:t>
            </w:r>
          </w:p>
        </w:tc>
        <w:tc>
          <w:tcPr>
            <w:tcW w:w="346" w:type="dxa"/>
            <w:tcBorders>
              <w:bottom w:val="single" w:sz="8" w:space="0" w:color="BFBFBF"/>
            </w:tcBorders>
            <w:shd w:fill="FFFFFF" w:val="clear"/>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19</w:t>
            </w:r>
          </w:p>
        </w:tc>
        <w:tc>
          <w:tcPr>
            <w:tcW w:w="346"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18</w:t>
            </w:r>
          </w:p>
        </w:tc>
        <w:tc>
          <w:tcPr>
            <w:tcW w:w="324"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0</w:t>
            </w:r>
          </w:p>
        </w:tc>
        <w:tc>
          <w:tcPr>
            <w:tcW w:w="324" w:type="dxa"/>
            <w:tcBorders>
              <w:bottom w:val="single" w:sz="8" w:space="0" w:color="BFBFBF"/>
            </w:tcBorders>
            <w:shd w:fill="FFFFFF" w:val="clear"/>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0</w:t>
            </w:r>
          </w:p>
        </w:tc>
        <w:tc>
          <w:tcPr>
            <w:tcW w:w="341" w:type="dxa"/>
            <w:tcBorders>
              <w:bottom w:val="single" w:sz="8" w:space="0" w:color="BFBFBF"/>
            </w:tcBorders>
            <w:shd w:fill="FFFFFF" w:val="clear"/>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0</w:t>
            </w:r>
          </w:p>
        </w:tc>
      </w:tr>
      <w:tr>
        <w:trPr/>
        <w:tc>
          <w:tcPr>
            <w:tcW w:w="1194"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4"/>
              </w:rPr>
            </w:pPr>
            <w:r>
              <w:rPr>
                <w:rFonts w:ascii="Arial" w:hAnsi="Arial"/>
                <w:b w:val="false"/>
                <w:i w:val="false"/>
                <w:caps w:val="false"/>
                <w:smallCaps w:val="false"/>
                <w:color w:val="404040"/>
                <w:sz w:val="14"/>
              </w:rPr>
              <w:t>Male</w:t>
            </w:r>
          </w:p>
        </w:tc>
        <w:tc>
          <w:tcPr>
            <w:tcW w:w="440"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color w:val="404040"/>
                <w:sz w:val="14"/>
              </w:rPr>
            </w:pPr>
            <w:r>
              <w:rPr>
                <w:rFonts w:ascii="Arial" w:hAnsi="Arial"/>
                <w:b w:val="false"/>
                <w:i w:val="false"/>
                <w:caps w:val="false"/>
                <w:smallCaps w:val="false"/>
                <w:color w:val="404040"/>
                <w:sz w:val="14"/>
              </w:rPr>
              <w:t>4,191</w:t>
            </w:r>
          </w:p>
        </w:tc>
        <w:tc>
          <w:tcPr>
            <w:tcW w:w="440" w:type="dxa"/>
            <w:tcBorders>
              <w:bottom w:val="single" w:sz="8" w:space="0" w:color="BFBFBF"/>
            </w:tcBorders>
            <w:shd w:fill="FFFFFF" w:val="clear"/>
            <w:tcMar>
              <w:bottom w:w="28" w:type="dxa"/>
              <w:right w:w="0" w:type="dxa"/>
            </w:tcMar>
            <w:vAlign w:val="center"/>
          </w:tcPr>
          <w:p>
            <w:pPr>
              <w:pStyle w:val="TableContents"/>
              <w:bidi w:val="0"/>
              <w:spacing w:before="0" w:after="283"/>
              <w:jc w:val="center"/>
              <w:rPr>
                <w:rFonts w:ascii="Arial" w:hAnsi="Arial"/>
                <w:b w:val="false"/>
                <w:i w:val="false"/>
                <w:caps w:val="false"/>
                <w:smallCaps w:val="false"/>
                <w:color w:val="404040"/>
                <w:sz w:val="14"/>
              </w:rPr>
            </w:pPr>
            <w:r>
              <w:rPr>
                <w:rFonts w:ascii="Arial" w:hAnsi="Arial"/>
                <w:b w:val="false"/>
                <w:i w:val="false"/>
                <w:caps w:val="false"/>
                <w:smallCaps w:val="false"/>
                <w:color w:val="404040"/>
                <w:sz w:val="14"/>
              </w:rPr>
              <w:t>4,031</w:t>
            </w:r>
          </w:p>
        </w:tc>
        <w:tc>
          <w:tcPr>
            <w:tcW w:w="440"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4"/>
              </w:rPr>
            </w:pPr>
            <w:r>
              <w:rPr>
                <w:rFonts w:ascii="Arial" w:hAnsi="Arial"/>
                <w:b w:val="false"/>
                <w:i w:val="false"/>
                <w:caps w:val="false"/>
                <w:smallCaps w:val="false"/>
                <w:color w:val="404040"/>
                <w:sz w:val="14"/>
              </w:rPr>
              <w:t>3,463</w:t>
            </w:r>
          </w:p>
        </w:tc>
        <w:tc>
          <w:tcPr>
            <w:tcW w:w="440"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color w:val="404040"/>
                <w:sz w:val="14"/>
              </w:rPr>
            </w:pPr>
            <w:r>
              <w:rPr>
                <w:rFonts w:ascii="Arial" w:hAnsi="Arial"/>
                <w:b w:val="false"/>
                <w:i w:val="false"/>
                <w:caps w:val="false"/>
                <w:smallCaps w:val="false"/>
                <w:color w:val="404040"/>
                <w:sz w:val="14"/>
              </w:rPr>
              <w:t>3,400</w:t>
            </w:r>
          </w:p>
        </w:tc>
        <w:tc>
          <w:tcPr>
            <w:tcW w:w="440" w:type="dxa"/>
            <w:tcBorders>
              <w:bottom w:val="single" w:sz="8" w:space="0" w:color="BFBFBF"/>
            </w:tcBorders>
            <w:shd w:fill="FFFFFF" w:val="clear"/>
            <w:tcMar>
              <w:bottom w:w="28" w:type="dxa"/>
              <w:right w:w="0" w:type="dxa"/>
            </w:tcMar>
            <w:vAlign w:val="center"/>
          </w:tcPr>
          <w:p>
            <w:pPr>
              <w:pStyle w:val="TableContents"/>
              <w:bidi w:val="0"/>
              <w:spacing w:before="0" w:after="283"/>
              <w:jc w:val="center"/>
              <w:rPr>
                <w:rFonts w:ascii="Arial" w:hAnsi="Arial"/>
                <w:b w:val="false"/>
                <w:i w:val="false"/>
                <w:caps w:val="false"/>
                <w:smallCaps w:val="false"/>
                <w:color w:val="404040"/>
                <w:sz w:val="14"/>
              </w:rPr>
            </w:pPr>
            <w:r>
              <w:rPr>
                <w:rFonts w:ascii="Arial" w:hAnsi="Arial"/>
                <w:b w:val="false"/>
                <w:i w:val="false"/>
                <w:caps w:val="false"/>
                <w:smallCaps w:val="false"/>
                <w:color w:val="404040"/>
                <w:sz w:val="14"/>
              </w:rPr>
              <w:t>3,314</w:t>
            </w:r>
          </w:p>
        </w:tc>
        <w:tc>
          <w:tcPr>
            <w:tcW w:w="440"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4"/>
              </w:rPr>
            </w:pPr>
            <w:r>
              <w:rPr>
                <w:rFonts w:ascii="Arial" w:hAnsi="Arial"/>
                <w:b w:val="false"/>
                <w:i w:val="false"/>
                <w:caps w:val="false"/>
                <w:smallCaps w:val="false"/>
                <w:color w:val="404040"/>
                <w:sz w:val="14"/>
              </w:rPr>
              <w:t>2,866</w:t>
            </w:r>
          </w:p>
        </w:tc>
        <w:tc>
          <w:tcPr>
            <w:tcW w:w="37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color w:val="404040"/>
                <w:sz w:val="14"/>
              </w:rPr>
            </w:pPr>
            <w:r>
              <w:rPr>
                <w:rFonts w:ascii="Arial" w:hAnsi="Arial"/>
                <w:b w:val="false"/>
                <w:i w:val="false"/>
                <w:caps w:val="false"/>
                <w:smallCaps w:val="false"/>
                <w:color w:val="404040"/>
                <w:sz w:val="14"/>
              </w:rPr>
              <w:t>199</w:t>
            </w:r>
          </w:p>
        </w:tc>
        <w:tc>
          <w:tcPr>
            <w:tcW w:w="378" w:type="dxa"/>
            <w:tcBorders>
              <w:bottom w:val="single" w:sz="8" w:space="0" w:color="BFBFBF"/>
            </w:tcBorders>
            <w:shd w:fill="FFFFFF" w:val="clear"/>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248</w:t>
            </w:r>
          </w:p>
        </w:tc>
        <w:tc>
          <w:tcPr>
            <w:tcW w:w="378"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157</w:t>
            </w:r>
          </w:p>
        </w:tc>
        <w:tc>
          <w:tcPr>
            <w:tcW w:w="346"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5</w:t>
            </w:r>
          </w:p>
        </w:tc>
        <w:tc>
          <w:tcPr>
            <w:tcW w:w="346" w:type="dxa"/>
            <w:tcBorders>
              <w:bottom w:val="single" w:sz="8" w:space="0" w:color="BFBFBF"/>
            </w:tcBorders>
            <w:shd w:fill="FFFFFF" w:val="clear"/>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6</w:t>
            </w:r>
          </w:p>
        </w:tc>
        <w:tc>
          <w:tcPr>
            <w:tcW w:w="346"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3</w:t>
            </w:r>
          </w:p>
        </w:tc>
        <w:tc>
          <w:tcPr>
            <w:tcW w:w="37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535</w:t>
            </w:r>
          </w:p>
        </w:tc>
        <w:tc>
          <w:tcPr>
            <w:tcW w:w="378" w:type="dxa"/>
            <w:tcBorders>
              <w:bottom w:val="single" w:sz="8" w:space="0" w:color="BFBFBF"/>
            </w:tcBorders>
            <w:shd w:fill="FFFFFF" w:val="clear"/>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412</w:t>
            </w:r>
          </w:p>
        </w:tc>
        <w:tc>
          <w:tcPr>
            <w:tcW w:w="378"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371</w:t>
            </w:r>
          </w:p>
        </w:tc>
        <w:tc>
          <w:tcPr>
            <w:tcW w:w="346"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10</w:t>
            </w:r>
          </w:p>
        </w:tc>
        <w:tc>
          <w:tcPr>
            <w:tcW w:w="346" w:type="dxa"/>
            <w:tcBorders>
              <w:bottom w:val="single" w:sz="8" w:space="0" w:color="BFBFBF"/>
            </w:tcBorders>
            <w:shd w:fill="FFFFFF" w:val="clear"/>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12</w:t>
            </w:r>
          </w:p>
        </w:tc>
        <w:tc>
          <w:tcPr>
            <w:tcW w:w="346"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15</w:t>
            </w:r>
          </w:p>
        </w:tc>
        <w:tc>
          <w:tcPr>
            <w:tcW w:w="346"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42</w:t>
            </w:r>
          </w:p>
        </w:tc>
        <w:tc>
          <w:tcPr>
            <w:tcW w:w="346" w:type="dxa"/>
            <w:tcBorders>
              <w:bottom w:val="single" w:sz="8" w:space="0" w:color="BFBFBF"/>
            </w:tcBorders>
            <w:shd w:fill="FFFFFF" w:val="clear"/>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39</w:t>
            </w:r>
          </w:p>
        </w:tc>
        <w:tc>
          <w:tcPr>
            <w:tcW w:w="346"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51</w:t>
            </w:r>
          </w:p>
        </w:tc>
        <w:tc>
          <w:tcPr>
            <w:tcW w:w="324"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0</w:t>
            </w:r>
          </w:p>
        </w:tc>
        <w:tc>
          <w:tcPr>
            <w:tcW w:w="324" w:type="dxa"/>
            <w:tcBorders>
              <w:bottom w:val="single" w:sz="8" w:space="0" w:color="BFBFBF"/>
            </w:tcBorders>
            <w:shd w:fill="FFFFFF" w:val="clear"/>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0</w:t>
            </w:r>
          </w:p>
        </w:tc>
        <w:tc>
          <w:tcPr>
            <w:tcW w:w="341" w:type="dxa"/>
            <w:tcBorders>
              <w:bottom w:val="single" w:sz="8" w:space="0" w:color="BFBFBF"/>
            </w:tcBorders>
            <w:shd w:fill="FFFFFF" w:val="clear"/>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0</w:t>
            </w:r>
          </w:p>
        </w:tc>
      </w:tr>
      <w:tr>
        <w:trPr/>
        <w:tc>
          <w:tcPr>
            <w:tcW w:w="1194"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left"/>
              <w:rPr>
                <w:rFonts w:ascii="Arial" w:hAnsi="Arial"/>
                <w:b/>
                <w:i w:val="false"/>
                <w:caps w:val="false"/>
                <w:smallCaps w:val="false"/>
                <w:color w:val="FFFFFF"/>
                <w:sz w:val="14"/>
              </w:rPr>
            </w:pPr>
            <w:r>
              <w:rPr>
                <w:rFonts w:ascii="Arial" w:hAnsi="Arial"/>
                <w:b/>
                <w:i w:val="false"/>
                <w:caps w:val="false"/>
                <w:smallCaps w:val="false"/>
                <w:color w:val="FFFFFF"/>
                <w:sz w:val="14"/>
              </w:rPr>
              <w:t>Total</w:t>
            </w:r>
          </w:p>
        </w:tc>
        <w:tc>
          <w:tcPr>
            <w:tcW w:w="440"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9,530</w:t>
            </w:r>
          </w:p>
        </w:tc>
        <w:tc>
          <w:tcPr>
            <w:tcW w:w="440"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9,278</w:t>
            </w:r>
          </w:p>
        </w:tc>
        <w:tc>
          <w:tcPr>
            <w:tcW w:w="440"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8,245</w:t>
            </w:r>
          </w:p>
        </w:tc>
        <w:tc>
          <w:tcPr>
            <w:tcW w:w="440"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7,860</w:t>
            </w:r>
          </w:p>
        </w:tc>
        <w:tc>
          <w:tcPr>
            <w:tcW w:w="440"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7,870</w:t>
            </w:r>
          </w:p>
        </w:tc>
        <w:tc>
          <w:tcPr>
            <w:tcW w:w="440"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7,061</w:t>
            </w:r>
          </w:p>
        </w:tc>
        <w:tc>
          <w:tcPr>
            <w:tcW w:w="37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392</w:t>
            </w:r>
          </w:p>
        </w:tc>
        <w:tc>
          <w:tcPr>
            <w:tcW w:w="37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455</w:t>
            </w:r>
          </w:p>
        </w:tc>
        <w:tc>
          <w:tcPr>
            <w:tcW w:w="378"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318</w:t>
            </w:r>
          </w:p>
        </w:tc>
        <w:tc>
          <w:tcPr>
            <w:tcW w:w="346"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10</w:t>
            </w:r>
          </w:p>
        </w:tc>
        <w:tc>
          <w:tcPr>
            <w:tcW w:w="346"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9</w:t>
            </w:r>
          </w:p>
        </w:tc>
        <w:tc>
          <w:tcPr>
            <w:tcW w:w="346"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7</w:t>
            </w:r>
          </w:p>
        </w:tc>
        <w:tc>
          <w:tcPr>
            <w:tcW w:w="37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1,183</w:t>
            </w:r>
          </w:p>
        </w:tc>
        <w:tc>
          <w:tcPr>
            <w:tcW w:w="37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863</w:t>
            </w:r>
          </w:p>
        </w:tc>
        <w:tc>
          <w:tcPr>
            <w:tcW w:w="378"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770</w:t>
            </w:r>
          </w:p>
        </w:tc>
        <w:tc>
          <w:tcPr>
            <w:tcW w:w="346"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20</w:t>
            </w:r>
          </w:p>
        </w:tc>
        <w:tc>
          <w:tcPr>
            <w:tcW w:w="346"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23</w:t>
            </w:r>
          </w:p>
        </w:tc>
        <w:tc>
          <w:tcPr>
            <w:tcW w:w="346"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20</w:t>
            </w:r>
          </w:p>
        </w:tc>
        <w:tc>
          <w:tcPr>
            <w:tcW w:w="346"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65</w:t>
            </w:r>
          </w:p>
        </w:tc>
        <w:tc>
          <w:tcPr>
            <w:tcW w:w="346"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58</w:t>
            </w:r>
          </w:p>
        </w:tc>
        <w:tc>
          <w:tcPr>
            <w:tcW w:w="346"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69</w:t>
            </w:r>
          </w:p>
        </w:tc>
        <w:tc>
          <w:tcPr>
            <w:tcW w:w="324"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0</w:t>
            </w:r>
          </w:p>
        </w:tc>
        <w:tc>
          <w:tcPr>
            <w:tcW w:w="324"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0</w:t>
            </w:r>
          </w:p>
        </w:tc>
        <w:tc>
          <w:tcPr>
            <w:tcW w:w="341"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0</w:t>
            </w:r>
          </w:p>
        </w:tc>
      </w:tr>
      <w:tr>
        <w:trPr/>
        <w:tc>
          <w:tcPr>
            <w:tcW w:w="1194"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4"/>
              </w:rPr>
            </w:pPr>
            <w:r>
              <w:rPr>
                <w:rFonts w:ascii="Arial" w:hAnsi="Arial"/>
                <w:b w:val="false"/>
                <w:i w:val="false"/>
                <w:caps w:val="false"/>
                <w:smallCaps w:val="false"/>
                <w:color w:val="404040"/>
                <w:sz w:val="14"/>
              </w:rPr>
              <w:t>Under 30 years</w:t>
            </w:r>
          </w:p>
        </w:tc>
        <w:tc>
          <w:tcPr>
            <w:tcW w:w="440"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color w:val="404040"/>
                <w:sz w:val="14"/>
              </w:rPr>
            </w:pPr>
            <w:r>
              <w:rPr>
                <w:rFonts w:ascii="Arial" w:hAnsi="Arial"/>
                <w:b w:val="false"/>
                <w:i w:val="false"/>
                <w:caps w:val="false"/>
                <w:smallCaps w:val="false"/>
                <w:color w:val="404040"/>
                <w:sz w:val="14"/>
              </w:rPr>
              <w:t>4,803</w:t>
            </w:r>
          </w:p>
        </w:tc>
        <w:tc>
          <w:tcPr>
            <w:tcW w:w="440" w:type="dxa"/>
            <w:tcBorders>
              <w:bottom w:val="single" w:sz="8" w:space="0" w:color="BFBFBF"/>
            </w:tcBorders>
            <w:shd w:fill="FFFFFF" w:val="clear"/>
            <w:tcMar>
              <w:bottom w:w="28" w:type="dxa"/>
              <w:right w:w="0" w:type="dxa"/>
            </w:tcMar>
            <w:vAlign w:val="center"/>
          </w:tcPr>
          <w:p>
            <w:pPr>
              <w:pStyle w:val="TableContents"/>
              <w:bidi w:val="0"/>
              <w:spacing w:before="0" w:after="283"/>
              <w:jc w:val="center"/>
              <w:rPr>
                <w:rFonts w:ascii="Arial" w:hAnsi="Arial"/>
                <w:b w:val="false"/>
                <w:i w:val="false"/>
                <w:caps w:val="false"/>
                <w:smallCaps w:val="false"/>
                <w:color w:val="404040"/>
                <w:sz w:val="14"/>
              </w:rPr>
            </w:pPr>
            <w:r>
              <w:rPr>
                <w:rFonts w:ascii="Arial" w:hAnsi="Arial"/>
                <w:b w:val="false"/>
                <w:i w:val="false"/>
                <w:caps w:val="false"/>
                <w:smallCaps w:val="false"/>
                <w:color w:val="404040"/>
                <w:sz w:val="14"/>
              </w:rPr>
              <w:t>5,898</w:t>
            </w:r>
          </w:p>
        </w:tc>
        <w:tc>
          <w:tcPr>
            <w:tcW w:w="440"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4"/>
              </w:rPr>
            </w:pPr>
            <w:r>
              <w:rPr>
                <w:rFonts w:ascii="Arial" w:hAnsi="Arial"/>
                <w:b w:val="false"/>
                <w:i w:val="false"/>
                <w:caps w:val="false"/>
                <w:smallCaps w:val="false"/>
                <w:color w:val="404040"/>
                <w:sz w:val="14"/>
              </w:rPr>
              <w:t>5,409</w:t>
            </w:r>
          </w:p>
        </w:tc>
        <w:tc>
          <w:tcPr>
            <w:tcW w:w="440"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color w:val="404040"/>
                <w:sz w:val="14"/>
              </w:rPr>
            </w:pPr>
            <w:r>
              <w:rPr>
                <w:rFonts w:ascii="Arial" w:hAnsi="Arial"/>
                <w:b w:val="false"/>
                <w:i w:val="false"/>
                <w:caps w:val="false"/>
                <w:smallCaps w:val="false"/>
                <w:color w:val="404040"/>
                <w:sz w:val="14"/>
              </w:rPr>
              <w:t>4,210</w:t>
            </w:r>
          </w:p>
        </w:tc>
        <w:tc>
          <w:tcPr>
            <w:tcW w:w="440" w:type="dxa"/>
            <w:tcBorders>
              <w:bottom w:val="single" w:sz="8" w:space="0" w:color="BFBFBF"/>
            </w:tcBorders>
            <w:shd w:fill="FFFFFF" w:val="clear"/>
            <w:tcMar>
              <w:bottom w:w="28" w:type="dxa"/>
              <w:right w:w="0" w:type="dxa"/>
            </w:tcMar>
            <w:vAlign w:val="center"/>
          </w:tcPr>
          <w:p>
            <w:pPr>
              <w:pStyle w:val="TableContents"/>
              <w:bidi w:val="0"/>
              <w:spacing w:before="0" w:after="283"/>
              <w:jc w:val="center"/>
              <w:rPr>
                <w:rFonts w:ascii="Arial" w:hAnsi="Arial"/>
                <w:b w:val="false"/>
                <w:i w:val="false"/>
                <w:caps w:val="false"/>
                <w:smallCaps w:val="false"/>
                <w:color w:val="404040"/>
                <w:sz w:val="14"/>
              </w:rPr>
            </w:pPr>
            <w:r>
              <w:rPr>
                <w:rFonts w:ascii="Arial" w:hAnsi="Arial"/>
                <w:b w:val="false"/>
                <w:i w:val="false"/>
                <w:caps w:val="false"/>
                <w:smallCaps w:val="false"/>
                <w:color w:val="404040"/>
                <w:sz w:val="14"/>
              </w:rPr>
              <w:t>5,274</w:t>
            </w:r>
          </w:p>
        </w:tc>
        <w:tc>
          <w:tcPr>
            <w:tcW w:w="440"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4"/>
              </w:rPr>
            </w:pPr>
            <w:r>
              <w:rPr>
                <w:rFonts w:ascii="Arial" w:hAnsi="Arial"/>
                <w:b w:val="false"/>
                <w:i w:val="false"/>
                <w:caps w:val="false"/>
                <w:smallCaps w:val="false"/>
                <w:color w:val="404040"/>
                <w:sz w:val="14"/>
              </w:rPr>
              <w:t>4,613</w:t>
            </w:r>
          </w:p>
        </w:tc>
        <w:tc>
          <w:tcPr>
            <w:tcW w:w="37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color w:val="404040"/>
                <w:sz w:val="14"/>
              </w:rPr>
            </w:pPr>
            <w:r>
              <w:rPr>
                <w:rFonts w:ascii="Arial" w:hAnsi="Arial"/>
                <w:b w:val="false"/>
                <w:i w:val="false"/>
                <w:caps w:val="false"/>
                <w:smallCaps w:val="false"/>
                <w:color w:val="404040"/>
                <w:sz w:val="14"/>
              </w:rPr>
              <w:t>199</w:t>
            </w:r>
          </w:p>
        </w:tc>
        <w:tc>
          <w:tcPr>
            <w:tcW w:w="378" w:type="dxa"/>
            <w:tcBorders>
              <w:bottom w:val="single" w:sz="8" w:space="0" w:color="BFBFBF"/>
            </w:tcBorders>
            <w:shd w:fill="FFFFFF" w:val="clear"/>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305</w:t>
            </w:r>
          </w:p>
        </w:tc>
        <w:tc>
          <w:tcPr>
            <w:tcW w:w="378"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158</w:t>
            </w:r>
          </w:p>
        </w:tc>
        <w:tc>
          <w:tcPr>
            <w:tcW w:w="346"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0</w:t>
            </w:r>
          </w:p>
        </w:tc>
        <w:tc>
          <w:tcPr>
            <w:tcW w:w="346" w:type="dxa"/>
            <w:tcBorders>
              <w:bottom w:val="single" w:sz="8" w:space="0" w:color="BFBFBF"/>
            </w:tcBorders>
            <w:shd w:fill="FFFFFF" w:val="clear"/>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5</w:t>
            </w:r>
          </w:p>
        </w:tc>
        <w:tc>
          <w:tcPr>
            <w:tcW w:w="346"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3</w:t>
            </w:r>
          </w:p>
        </w:tc>
        <w:tc>
          <w:tcPr>
            <w:tcW w:w="37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374</w:t>
            </w:r>
          </w:p>
        </w:tc>
        <w:tc>
          <w:tcPr>
            <w:tcW w:w="378" w:type="dxa"/>
            <w:tcBorders>
              <w:bottom w:val="single" w:sz="8" w:space="0" w:color="BFBFBF"/>
            </w:tcBorders>
            <w:shd w:fill="FFFFFF" w:val="clear"/>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272</w:t>
            </w:r>
          </w:p>
        </w:tc>
        <w:tc>
          <w:tcPr>
            <w:tcW w:w="378"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608</w:t>
            </w:r>
          </w:p>
        </w:tc>
        <w:tc>
          <w:tcPr>
            <w:tcW w:w="346"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6</w:t>
            </w:r>
          </w:p>
        </w:tc>
        <w:tc>
          <w:tcPr>
            <w:tcW w:w="346" w:type="dxa"/>
            <w:tcBorders>
              <w:bottom w:val="single" w:sz="8" w:space="0" w:color="BFBFBF"/>
            </w:tcBorders>
            <w:shd w:fill="FFFFFF" w:val="clear"/>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14</w:t>
            </w:r>
          </w:p>
        </w:tc>
        <w:tc>
          <w:tcPr>
            <w:tcW w:w="346"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10</w:t>
            </w:r>
          </w:p>
        </w:tc>
        <w:tc>
          <w:tcPr>
            <w:tcW w:w="346"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14</w:t>
            </w:r>
          </w:p>
        </w:tc>
        <w:tc>
          <w:tcPr>
            <w:tcW w:w="346" w:type="dxa"/>
            <w:tcBorders>
              <w:bottom w:val="single" w:sz="8" w:space="0" w:color="BFBFBF"/>
            </w:tcBorders>
            <w:shd w:fill="FFFFFF" w:val="clear"/>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28</w:t>
            </w:r>
          </w:p>
        </w:tc>
        <w:tc>
          <w:tcPr>
            <w:tcW w:w="346"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17</w:t>
            </w:r>
          </w:p>
        </w:tc>
        <w:tc>
          <w:tcPr>
            <w:tcW w:w="324"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0</w:t>
            </w:r>
          </w:p>
        </w:tc>
        <w:tc>
          <w:tcPr>
            <w:tcW w:w="324" w:type="dxa"/>
            <w:tcBorders>
              <w:bottom w:val="single" w:sz="8" w:space="0" w:color="BFBFBF"/>
            </w:tcBorders>
            <w:shd w:fill="FFFFFF" w:val="clear"/>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0</w:t>
            </w:r>
          </w:p>
        </w:tc>
        <w:tc>
          <w:tcPr>
            <w:tcW w:w="341" w:type="dxa"/>
            <w:tcBorders>
              <w:bottom w:val="single" w:sz="8" w:space="0" w:color="BFBFBF"/>
            </w:tcBorders>
            <w:shd w:fill="FFFFFF" w:val="clear"/>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0</w:t>
            </w:r>
          </w:p>
        </w:tc>
      </w:tr>
      <w:tr>
        <w:trPr/>
        <w:tc>
          <w:tcPr>
            <w:tcW w:w="1194"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4"/>
              </w:rPr>
            </w:pPr>
            <w:r>
              <w:rPr>
                <w:rFonts w:ascii="Arial" w:hAnsi="Arial"/>
                <w:b w:val="false"/>
                <w:i w:val="false"/>
                <w:caps w:val="false"/>
                <w:smallCaps w:val="false"/>
                <w:color w:val="404040"/>
                <w:sz w:val="14"/>
              </w:rPr>
              <w:t>Between 30 and 50 years</w:t>
            </w:r>
          </w:p>
        </w:tc>
        <w:tc>
          <w:tcPr>
            <w:tcW w:w="440"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color w:val="404040"/>
                <w:sz w:val="14"/>
              </w:rPr>
            </w:pPr>
            <w:r>
              <w:rPr>
                <w:rFonts w:ascii="Arial" w:hAnsi="Arial"/>
                <w:b w:val="false"/>
                <w:i w:val="false"/>
                <w:caps w:val="false"/>
                <w:smallCaps w:val="false"/>
                <w:color w:val="404040"/>
                <w:sz w:val="14"/>
              </w:rPr>
              <w:t>4,504</w:t>
            </w:r>
          </w:p>
        </w:tc>
        <w:tc>
          <w:tcPr>
            <w:tcW w:w="440" w:type="dxa"/>
            <w:tcBorders>
              <w:bottom w:val="single" w:sz="8" w:space="0" w:color="BFBFBF"/>
            </w:tcBorders>
            <w:shd w:fill="FFFFFF" w:val="clear"/>
            <w:tcMar>
              <w:bottom w:w="28" w:type="dxa"/>
              <w:right w:w="0" w:type="dxa"/>
            </w:tcMar>
            <w:vAlign w:val="center"/>
          </w:tcPr>
          <w:p>
            <w:pPr>
              <w:pStyle w:val="TableContents"/>
              <w:bidi w:val="0"/>
              <w:spacing w:before="0" w:after="283"/>
              <w:jc w:val="center"/>
              <w:rPr>
                <w:rFonts w:ascii="Arial" w:hAnsi="Arial"/>
                <w:b w:val="false"/>
                <w:i w:val="false"/>
                <w:caps w:val="false"/>
                <w:smallCaps w:val="false"/>
                <w:color w:val="404040"/>
                <w:sz w:val="14"/>
              </w:rPr>
            </w:pPr>
            <w:r>
              <w:rPr>
                <w:rFonts w:ascii="Arial" w:hAnsi="Arial"/>
                <w:b w:val="false"/>
                <w:i w:val="false"/>
                <w:caps w:val="false"/>
                <w:smallCaps w:val="false"/>
                <w:color w:val="404040"/>
                <w:sz w:val="14"/>
              </w:rPr>
              <w:t>2,910</w:t>
            </w:r>
          </w:p>
        </w:tc>
        <w:tc>
          <w:tcPr>
            <w:tcW w:w="440"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4"/>
              </w:rPr>
            </w:pPr>
            <w:r>
              <w:rPr>
                <w:rFonts w:ascii="Arial" w:hAnsi="Arial"/>
                <w:b w:val="false"/>
                <w:i w:val="false"/>
                <w:caps w:val="false"/>
                <w:smallCaps w:val="false"/>
                <w:color w:val="404040"/>
                <w:sz w:val="14"/>
              </w:rPr>
              <w:t>2,625</w:t>
            </w:r>
          </w:p>
        </w:tc>
        <w:tc>
          <w:tcPr>
            <w:tcW w:w="440"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color w:val="404040"/>
                <w:sz w:val="14"/>
              </w:rPr>
            </w:pPr>
            <w:r>
              <w:rPr>
                <w:rFonts w:ascii="Arial" w:hAnsi="Arial"/>
                <w:b w:val="false"/>
                <w:i w:val="false"/>
                <w:caps w:val="false"/>
                <w:smallCaps w:val="false"/>
                <w:color w:val="404040"/>
                <w:sz w:val="14"/>
              </w:rPr>
              <w:t>3,488</w:t>
            </w:r>
          </w:p>
        </w:tc>
        <w:tc>
          <w:tcPr>
            <w:tcW w:w="440" w:type="dxa"/>
            <w:tcBorders>
              <w:bottom w:val="single" w:sz="8" w:space="0" w:color="BFBFBF"/>
            </w:tcBorders>
            <w:shd w:fill="FFFFFF" w:val="clear"/>
            <w:tcMar>
              <w:bottom w:w="28" w:type="dxa"/>
              <w:right w:w="0" w:type="dxa"/>
            </w:tcMar>
            <w:vAlign w:val="center"/>
          </w:tcPr>
          <w:p>
            <w:pPr>
              <w:pStyle w:val="TableContents"/>
              <w:bidi w:val="0"/>
              <w:spacing w:before="0" w:after="283"/>
              <w:jc w:val="center"/>
              <w:rPr>
                <w:rFonts w:ascii="Arial" w:hAnsi="Arial"/>
                <w:b w:val="false"/>
                <w:i w:val="false"/>
                <w:caps w:val="false"/>
                <w:smallCaps w:val="false"/>
                <w:color w:val="404040"/>
                <w:sz w:val="14"/>
              </w:rPr>
            </w:pPr>
            <w:r>
              <w:rPr>
                <w:rFonts w:ascii="Arial" w:hAnsi="Arial"/>
                <w:b w:val="false"/>
                <w:i w:val="false"/>
                <w:caps w:val="false"/>
                <w:smallCaps w:val="false"/>
                <w:color w:val="404040"/>
                <w:sz w:val="14"/>
              </w:rPr>
              <w:t>2,462</w:t>
            </w:r>
          </w:p>
        </w:tc>
        <w:tc>
          <w:tcPr>
            <w:tcW w:w="440"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4"/>
              </w:rPr>
            </w:pPr>
            <w:r>
              <w:rPr>
                <w:rFonts w:ascii="Arial" w:hAnsi="Arial"/>
                <w:b w:val="false"/>
                <w:i w:val="false"/>
                <w:caps w:val="false"/>
                <w:smallCaps w:val="false"/>
                <w:color w:val="404040"/>
                <w:sz w:val="14"/>
              </w:rPr>
              <w:t>1,896</w:t>
            </w:r>
          </w:p>
        </w:tc>
        <w:tc>
          <w:tcPr>
            <w:tcW w:w="37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color w:val="404040"/>
                <w:sz w:val="14"/>
              </w:rPr>
            </w:pPr>
            <w:r>
              <w:rPr>
                <w:rFonts w:ascii="Arial" w:hAnsi="Arial"/>
                <w:b w:val="false"/>
                <w:i w:val="false"/>
                <w:caps w:val="false"/>
                <w:smallCaps w:val="false"/>
                <w:color w:val="404040"/>
                <w:sz w:val="14"/>
              </w:rPr>
              <w:t>185</w:t>
            </w:r>
          </w:p>
        </w:tc>
        <w:tc>
          <w:tcPr>
            <w:tcW w:w="378" w:type="dxa"/>
            <w:tcBorders>
              <w:bottom w:val="single" w:sz="8" w:space="0" w:color="BFBFBF"/>
            </w:tcBorders>
            <w:shd w:fill="FFFFFF" w:val="clear"/>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169</w:t>
            </w:r>
          </w:p>
        </w:tc>
        <w:tc>
          <w:tcPr>
            <w:tcW w:w="378"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94</w:t>
            </w:r>
          </w:p>
        </w:tc>
        <w:tc>
          <w:tcPr>
            <w:tcW w:w="346"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10</w:t>
            </w:r>
          </w:p>
        </w:tc>
        <w:tc>
          <w:tcPr>
            <w:tcW w:w="346" w:type="dxa"/>
            <w:tcBorders>
              <w:bottom w:val="single" w:sz="8" w:space="0" w:color="BFBFBF"/>
            </w:tcBorders>
            <w:shd w:fill="FFFFFF" w:val="clear"/>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2</w:t>
            </w:r>
          </w:p>
        </w:tc>
        <w:tc>
          <w:tcPr>
            <w:tcW w:w="346"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5</w:t>
            </w:r>
          </w:p>
        </w:tc>
        <w:tc>
          <w:tcPr>
            <w:tcW w:w="37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762</w:t>
            </w:r>
          </w:p>
        </w:tc>
        <w:tc>
          <w:tcPr>
            <w:tcW w:w="378" w:type="dxa"/>
            <w:tcBorders>
              <w:bottom w:val="single" w:sz="8" w:space="0" w:color="BFBFBF"/>
            </w:tcBorders>
            <w:shd w:fill="FFFFFF" w:val="clear"/>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256</w:t>
            </w:r>
          </w:p>
        </w:tc>
        <w:tc>
          <w:tcPr>
            <w:tcW w:w="378"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603</w:t>
            </w:r>
          </w:p>
        </w:tc>
        <w:tc>
          <w:tcPr>
            <w:tcW w:w="346"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14</w:t>
            </w:r>
          </w:p>
        </w:tc>
        <w:tc>
          <w:tcPr>
            <w:tcW w:w="346" w:type="dxa"/>
            <w:tcBorders>
              <w:bottom w:val="single" w:sz="8" w:space="0" w:color="BFBFBF"/>
            </w:tcBorders>
            <w:shd w:fill="FFFFFF" w:val="clear"/>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5</w:t>
            </w:r>
          </w:p>
        </w:tc>
        <w:tc>
          <w:tcPr>
            <w:tcW w:w="346"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4</w:t>
            </w:r>
          </w:p>
        </w:tc>
        <w:tc>
          <w:tcPr>
            <w:tcW w:w="346"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45</w:t>
            </w:r>
          </w:p>
        </w:tc>
        <w:tc>
          <w:tcPr>
            <w:tcW w:w="346" w:type="dxa"/>
            <w:tcBorders>
              <w:bottom w:val="single" w:sz="8" w:space="0" w:color="BFBFBF"/>
            </w:tcBorders>
            <w:shd w:fill="FFFFFF" w:val="clear"/>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16</w:t>
            </w:r>
          </w:p>
        </w:tc>
        <w:tc>
          <w:tcPr>
            <w:tcW w:w="346"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23</w:t>
            </w:r>
          </w:p>
        </w:tc>
        <w:tc>
          <w:tcPr>
            <w:tcW w:w="324"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0</w:t>
            </w:r>
          </w:p>
        </w:tc>
        <w:tc>
          <w:tcPr>
            <w:tcW w:w="324" w:type="dxa"/>
            <w:tcBorders>
              <w:bottom w:val="single" w:sz="8" w:space="0" w:color="BFBFBF"/>
            </w:tcBorders>
            <w:shd w:fill="FFFFFF" w:val="clear"/>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0</w:t>
            </w:r>
          </w:p>
        </w:tc>
        <w:tc>
          <w:tcPr>
            <w:tcW w:w="341" w:type="dxa"/>
            <w:tcBorders>
              <w:bottom w:val="single" w:sz="8" w:space="0" w:color="BFBFBF"/>
            </w:tcBorders>
            <w:shd w:fill="FFFFFF" w:val="clear"/>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0</w:t>
            </w:r>
          </w:p>
        </w:tc>
      </w:tr>
      <w:tr>
        <w:trPr/>
        <w:tc>
          <w:tcPr>
            <w:tcW w:w="1194"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4"/>
              </w:rPr>
            </w:pPr>
            <w:r>
              <w:rPr>
                <w:rFonts w:ascii="Arial" w:hAnsi="Arial"/>
                <w:b w:val="false"/>
                <w:i w:val="false"/>
                <w:caps w:val="false"/>
                <w:smallCaps w:val="false"/>
                <w:color w:val="404040"/>
                <w:sz w:val="14"/>
              </w:rPr>
              <w:t>Over 50 years</w:t>
            </w:r>
          </w:p>
        </w:tc>
        <w:tc>
          <w:tcPr>
            <w:tcW w:w="440"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color w:val="404040"/>
                <w:sz w:val="14"/>
              </w:rPr>
            </w:pPr>
            <w:r>
              <w:rPr>
                <w:rFonts w:ascii="Arial" w:hAnsi="Arial"/>
                <w:b w:val="false"/>
                <w:i w:val="false"/>
                <w:caps w:val="false"/>
                <w:smallCaps w:val="false"/>
                <w:color w:val="404040"/>
                <w:sz w:val="14"/>
              </w:rPr>
              <w:t>223</w:t>
            </w:r>
          </w:p>
        </w:tc>
        <w:tc>
          <w:tcPr>
            <w:tcW w:w="440" w:type="dxa"/>
            <w:tcBorders>
              <w:bottom w:val="single" w:sz="8" w:space="0" w:color="BFBFBF"/>
            </w:tcBorders>
            <w:shd w:fill="FFFFFF" w:val="clear"/>
            <w:tcMar>
              <w:bottom w:w="28" w:type="dxa"/>
              <w:right w:w="0" w:type="dxa"/>
            </w:tcMar>
            <w:vAlign w:val="center"/>
          </w:tcPr>
          <w:p>
            <w:pPr>
              <w:pStyle w:val="TableContents"/>
              <w:bidi w:val="0"/>
              <w:spacing w:before="0" w:after="283"/>
              <w:jc w:val="center"/>
              <w:rPr>
                <w:rFonts w:ascii="Arial" w:hAnsi="Arial"/>
                <w:b w:val="false"/>
                <w:i w:val="false"/>
                <w:caps w:val="false"/>
                <w:smallCaps w:val="false"/>
                <w:color w:val="404040"/>
                <w:sz w:val="14"/>
              </w:rPr>
            </w:pPr>
            <w:r>
              <w:rPr>
                <w:rFonts w:ascii="Arial" w:hAnsi="Arial"/>
                <w:b w:val="false"/>
                <w:i w:val="false"/>
                <w:caps w:val="false"/>
                <w:smallCaps w:val="false"/>
                <w:color w:val="404040"/>
                <w:sz w:val="14"/>
              </w:rPr>
              <w:t>51</w:t>
            </w:r>
          </w:p>
        </w:tc>
        <w:tc>
          <w:tcPr>
            <w:tcW w:w="440"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4"/>
              </w:rPr>
            </w:pPr>
            <w:r>
              <w:rPr>
                <w:rFonts w:ascii="Arial" w:hAnsi="Arial"/>
                <w:b w:val="false"/>
                <w:i w:val="false"/>
                <w:caps w:val="false"/>
                <w:smallCaps w:val="false"/>
                <w:color w:val="404040"/>
                <w:sz w:val="14"/>
              </w:rPr>
              <w:t>73</w:t>
            </w:r>
          </w:p>
        </w:tc>
        <w:tc>
          <w:tcPr>
            <w:tcW w:w="440"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color w:val="404040"/>
                <w:sz w:val="14"/>
              </w:rPr>
            </w:pPr>
            <w:r>
              <w:rPr>
                <w:rFonts w:ascii="Arial" w:hAnsi="Arial"/>
                <w:b w:val="false"/>
                <w:i w:val="false"/>
                <w:caps w:val="false"/>
                <w:smallCaps w:val="false"/>
                <w:color w:val="404040"/>
                <w:sz w:val="14"/>
              </w:rPr>
              <w:t>162</w:t>
            </w:r>
          </w:p>
        </w:tc>
        <w:tc>
          <w:tcPr>
            <w:tcW w:w="440" w:type="dxa"/>
            <w:tcBorders>
              <w:bottom w:val="single" w:sz="8" w:space="0" w:color="BFBFBF"/>
            </w:tcBorders>
            <w:shd w:fill="FFFFFF" w:val="clear"/>
            <w:tcMar>
              <w:bottom w:w="28" w:type="dxa"/>
              <w:right w:w="0" w:type="dxa"/>
            </w:tcMar>
            <w:vAlign w:val="center"/>
          </w:tcPr>
          <w:p>
            <w:pPr>
              <w:pStyle w:val="TableContents"/>
              <w:bidi w:val="0"/>
              <w:spacing w:before="0" w:after="283"/>
              <w:jc w:val="center"/>
              <w:rPr>
                <w:rFonts w:ascii="Arial" w:hAnsi="Arial"/>
                <w:b w:val="false"/>
                <w:i w:val="false"/>
                <w:caps w:val="false"/>
                <w:smallCaps w:val="false"/>
                <w:color w:val="404040"/>
                <w:sz w:val="14"/>
              </w:rPr>
            </w:pPr>
            <w:r>
              <w:rPr>
                <w:rFonts w:ascii="Arial" w:hAnsi="Arial"/>
                <w:b w:val="false"/>
                <w:i w:val="false"/>
                <w:caps w:val="false"/>
                <w:smallCaps w:val="false"/>
                <w:color w:val="404040"/>
                <w:sz w:val="14"/>
              </w:rPr>
              <w:t>43</w:t>
            </w:r>
          </w:p>
        </w:tc>
        <w:tc>
          <w:tcPr>
            <w:tcW w:w="440"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4"/>
              </w:rPr>
            </w:pPr>
            <w:r>
              <w:rPr>
                <w:rFonts w:ascii="Arial" w:hAnsi="Arial"/>
                <w:b w:val="false"/>
                <w:i w:val="false"/>
                <w:caps w:val="false"/>
                <w:smallCaps w:val="false"/>
                <w:color w:val="404040"/>
                <w:sz w:val="14"/>
              </w:rPr>
              <w:t>30</w:t>
            </w:r>
          </w:p>
        </w:tc>
        <w:tc>
          <w:tcPr>
            <w:tcW w:w="37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color w:val="404040"/>
                <w:sz w:val="14"/>
              </w:rPr>
            </w:pPr>
            <w:r>
              <w:rPr>
                <w:rFonts w:ascii="Arial" w:hAnsi="Arial"/>
                <w:b w:val="false"/>
                <w:i w:val="false"/>
                <w:caps w:val="false"/>
                <w:smallCaps w:val="false"/>
                <w:color w:val="404040"/>
                <w:sz w:val="14"/>
              </w:rPr>
              <w:t>8</w:t>
            </w:r>
          </w:p>
        </w:tc>
        <w:tc>
          <w:tcPr>
            <w:tcW w:w="378" w:type="dxa"/>
            <w:tcBorders>
              <w:bottom w:val="single" w:sz="8" w:space="0" w:color="BFBFBF"/>
            </w:tcBorders>
            <w:shd w:fill="FFFFFF" w:val="clear"/>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2</w:t>
            </w:r>
          </w:p>
        </w:tc>
        <w:tc>
          <w:tcPr>
            <w:tcW w:w="378"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36</w:t>
            </w:r>
          </w:p>
        </w:tc>
        <w:tc>
          <w:tcPr>
            <w:tcW w:w="346"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0</w:t>
            </w:r>
          </w:p>
        </w:tc>
        <w:tc>
          <w:tcPr>
            <w:tcW w:w="346" w:type="dxa"/>
            <w:tcBorders>
              <w:bottom w:val="single" w:sz="8" w:space="0" w:color="BFBFBF"/>
            </w:tcBorders>
            <w:shd w:fill="FFFFFF" w:val="clear"/>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0</w:t>
            </w:r>
          </w:p>
        </w:tc>
        <w:tc>
          <w:tcPr>
            <w:tcW w:w="346"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0</w:t>
            </w:r>
          </w:p>
        </w:tc>
        <w:tc>
          <w:tcPr>
            <w:tcW w:w="378"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47</w:t>
            </w:r>
          </w:p>
        </w:tc>
        <w:tc>
          <w:tcPr>
            <w:tcW w:w="378" w:type="dxa"/>
            <w:tcBorders>
              <w:bottom w:val="single" w:sz="8" w:space="0" w:color="BFBFBF"/>
            </w:tcBorders>
            <w:shd w:fill="FFFFFF" w:val="clear"/>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6</w:t>
            </w:r>
          </w:p>
        </w:tc>
        <w:tc>
          <w:tcPr>
            <w:tcW w:w="378"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7</w:t>
            </w:r>
          </w:p>
        </w:tc>
        <w:tc>
          <w:tcPr>
            <w:tcW w:w="346"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0</w:t>
            </w:r>
          </w:p>
        </w:tc>
        <w:tc>
          <w:tcPr>
            <w:tcW w:w="346" w:type="dxa"/>
            <w:tcBorders>
              <w:bottom w:val="single" w:sz="8" w:space="0" w:color="BFBFBF"/>
            </w:tcBorders>
            <w:shd w:fill="FFFFFF" w:val="clear"/>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0</w:t>
            </w:r>
          </w:p>
        </w:tc>
        <w:tc>
          <w:tcPr>
            <w:tcW w:w="346"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0</w:t>
            </w:r>
          </w:p>
        </w:tc>
        <w:tc>
          <w:tcPr>
            <w:tcW w:w="346"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6</w:t>
            </w:r>
          </w:p>
        </w:tc>
        <w:tc>
          <w:tcPr>
            <w:tcW w:w="346" w:type="dxa"/>
            <w:tcBorders>
              <w:bottom w:val="single" w:sz="8" w:space="0" w:color="BFBFBF"/>
            </w:tcBorders>
            <w:shd w:fill="FFFFFF" w:val="clear"/>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0</w:t>
            </w:r>
          </w:p>
        </w:tc>
        <w:tc>
          <w:tcPr>
            <w:tcW w:w="346" w:type="dxa"/>
            <w:tcBorders>
              <w:bottom w:val="single" w:sz="8" w:space="0" w:color="BFBFBF"/>
              <w:right w:val="single" w:sz="8" w:space="0" w:color="E7E6E6"/>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0</w:t>
            </w:r>
          </w:p>
        </w:tc>
        <w:tc>
          <w:tcPr>
            <w:tcW w:w="324" w:type="dxa"/>
            <w:tcBorders>
              <w:bottom w:val="single" w:sz="8" w:space="0" w:color="BFBFBF"/>
            </w:tcBorders>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0</w:t>
            </w:r>
          </w:p>
        </w:tc>
        <w:tc>
          <w:tcPr>
            <w:tcW w:w="324" w:type="dxa"/>
            <w:tcBorders>
              <w:bottom w:val="single" w:sz="8" w:space="0" w:color="BFBFBF"/>
            </w:tcBorders>
            <w:shd w:fill="FFFFFF" w:val="clear"/>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0</w:t>
            </w:r>
          </w:p>
        </w:tc>
        <w:tc>
          <w:tcPr>
            <w:tcW w:w="341" w:type="dxa"/>
            <w:tcBorders>
              <w:bottom w:val="single" w:sz="8" w:space="0" w:color="BFBFBF"/>
            </w:tcBorders>
            <w:shd w:fill="FFFFFF" w:val="clear"/>
            <w:tcMar>
              <w:bottom w:w="28" w:type="dxa"/>
              <w:right w:w="0" w:type="dxa"/>
            </w:tcMar>
            <w:vAlign w:val="center"/>
          </w:tcPr>
          <w:p>
            <w:pPr>
              <w:pStyle w:val="TableContents"/>
              <w:bidi w:val="0"/>
              <w:spacing w:before="0" w:after="283"/>
              <w:jc w:val="center"/>
              <w:rPr>
                <w:rFonts w:ascii="Arial" w:hAnsi="Arial"/>
                <w:b w:val="false"/>
                <w:i w:val="false"/>
                <w:caps w:val="false"/>
                <w:smallCaps w:val="false"/>
                <w:sz w:val="14"/>
              </w:rPr>
            </w:pPr>
            <w:r>
              <w:rPr>
                <w:rFonts w:ascii="Arial" w:hAnsi="Arial"/>
                <w:b w:val="false"/>
                <w:i w:val="false"/>
                <w:caps w:val="false"/>
                <w:smallCaps w:val="false"/>
                <w:sz w:val="14"/>
              </w:rPr>
              <w:t>0</w:t>
            </w:r>
          </w:p>
        </w:tc>
      </w:tr>
      <w:tr>
        <w:trPr/>
        <w:tc>
          <w:tcPr>
            <w:tcW w:w="1194"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left"/>
              <w:rPr>
                <w:rFonts w:ascii="Arial" w:hAnsi="Arial"/>
                <w:b/>
                <w:i w:val="false"/>
                <w:caps w:val="false"/>
                <w:smallCaps w:val="false"/>
                <w:color w:val="FFFFFF"/>
                <w:sz w:val="14"/>
              </w:rPr>
            </w:pPr>
            <w:r>
              <w:rPr>
                <w:rFonts w:ascii="Arial" w:hAnsi="Arial"/>
                <w:b/>
                <w:i w:val="false"/>
                <w:caps w:val="false"/>
                <w:smallCaps w:val="false"/>
                <w:color w:val="FFFFFF"/>
                <w:sz w:val="14"/>
              </w:rPr>
              <w:t>Total</w:t>
            </w:r>
          </w:p>
        </w:tc>
        <w:tc>
          <w:tcPr>
            <w:tcW w:w="440"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9,530</w:t>
            </w:r>
          </w:p>
        </w:tc>
        <w:tc>
          <w:tcPr>
            <w:tcW w:w="440"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8,859</w:t>
            </w:r>
          </w:p>
        </w:tc>
        <w:tc>
          <w:tcPr>
            <w:tcW w:w="440"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8,107</w:t>
            </w:r>
          </w:p>
        </w:tc>
        <w:tc>
          <w:tcPr>
            <w:tcW w:w="440"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7,860</w:t>
            </w:r>
          </w:p>
        </w:tc>
        <w:tc>
          <w:tcPr>
            <w:tcW w:w="440"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7,779</w:t>
            </w:r>
          </w:p>
        </w:tc>
        <w:tc>
          <w:tcPr>
            <w:tcW w:w="440"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6,539</w:t>
            </w:r>
          </w:p>
        </w:tc>
        <w:tc>
          <w:tcPr>
            <w:tcW w:w="37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392</w:t>
            </w:r>
          </w:p>
        </w:tc>
        <w:tc>
          <w:tcPr>
            <w:tcW w:w="37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476</w:t>
            </w:r>
          </w:p>
        </w:tc>
        <w:tc>
          <w:tcPr>
            <w:tcW w:w="378"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288</w:t>
            </w:r>
          </w:p>
        </w:tc>
        <w:tc>
          <w:tcPr>
            <w:tcW w:w="346"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10</w:t>
            </w:r>
          </w:p>
        </w:tc>
        <w:tc>
          <w:tcPr>
            <w:tcW w:w="346"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7</w:t>
            </w:r>
          </w:p>
        </w:tc>
        <w:tc>
          <w:tcPr>
            <w:tcW w:w="346"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8</w:t>
            </w:r>
          </w:p>
        </w:tc>
        <w:tc>
          <w:tcPr>
            <w:tcW w:w="37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1,183</w:t>
            </w:r>
          </w:p>
        </w:tc>
        <w:tc>
          <w:tcPr>
            <w:tcW w:w="37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534</w:t>
            </w:r>
          </w:p>
        </w:tc>
        <w:tc>
          <w:tcPr>
            <w:tcW w:w="378"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1,218</w:t>
            </w:r>
          </w:p>
        </w:tc>
        <w:tc>
          <w:tcPr>
            <w:tcW w:w="346"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20</w:t>
            </w:r>
          </w:p>
        </w:tc>
        <w:tc>
          <w:tcPr>
            <w:tcW w:w="346"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19</w:t>
            </w:r>
          </w:p>
        </w:tc>
        <w:tc>
          <w:tcPr>
            <w:tcW w:w="346"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14</w:t>
            </w:r>
          </w:p>
        </w:tc>
        <w:tc>
          <w:tcPr>
            <w:tcW w:w="346"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65</w:t>
            </w:r>
          </w:p>
        </w:tc>
        <w:tc>
          <w:tcPr>
            <w:tcW w:w="346"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44</w:t>
            </w:r>
          </w:p>
        </w:tc>
        <w:tc>
          <w:tcPr>
            <w:tcW w:w="346"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40</w:t>
            </w:r>
          </w:p>
        </w:tc>
        <w:tc>
          <w:tcPr>
            <w:tcW w:w="324"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0</w:t>
            </w:r>
          </w:p>
        </w:tc>
        <w:tc>
          <w:tcPr>
            <w:tcW w:w="324"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0</w:t>
            </w:r>
          </w:p>
        </w:tc>
        <w:tc>
          <w:tcPr>
            <w:tcW w:w="341"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0</w:t>
            </w:r>
          </w:p>
        </w:tc>
      </w:tr>
      <w:tr>
        <w:trPr/>
        <w:tc>
          <w:tcPr>
            <w:tcW w:w="1194"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left"/>
              <w:rPr>
                <w:rFonts w:ascii="Arial" w:hAnsi="Arial"/>
                <w:b/>
                <w:i w:val="false"/>
                <w:caps w:val="false"/>
                <w:smallCaps w:val="false"/>
                <w:color w:val="FFFFFF"/>
                <w:sz w:val="14"/>
              </w:rPr>
            </w:pPr>
            <w:r>
              <w:rPr>
                <w:rFonts w:ascii="Arial" w:hAnsi="Arial"/>
                <w:b/>
                <w:i w:val="false"/>
                <w:caps w:val="false"/>
                <w:smallCaps w:val="false"/>
                <w:color w:val="FFFFFF"/>
                <w:sz w:val="14"/>
              </w:rPr>
              <w:t>Turnover rate</w:t>
            </w:r>
          </w:p>
        </w:tc>
        <w:tc>
          <w:tcPr>
            <w:tcW w:w="440"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25.8%</w:t>
            </w:r>
          </w:p>
        </w:tc>
        <w:tc>
          <w:tcPr>
            <w:tcW w:w="440"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24.5%</w:t>
            </w:r>
          </w:p>
        </w:tc>
        <w:tc>
          <w:tcPr>
            <w:tcW w:w="440"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22.4%</w:t>
            </w:r>
          </w:p>
        </w:tc>
        <w:tc>
          <w:tcPr>
            <w:tcW w:w="440"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24.7%</w:t>
            </w:r>
          </w:p>
        </w:tc>
        <w:tc>
          <w:tcPr>
            <w:tcW w:w="440"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25.4%</w:t>
            </w:r>
          </w:p>
        </w:tc>
        <w:tc>
          <w:tcPr>
            <w:tcW w:w="440"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21.2%</w:t>
            </w:r>
          </w:p>
        </w:tc>
        <w:tc>
          <w:tcPr>
            <w:tcW w:w="37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22.4%</w:t>
            </w:r>
          </w:p>
        </w:tc>
        <w:tc>
          <w:tcPr>
            <w:tcW w:w="37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28.2%</w:t>
            </w:r>
          </w:p>
        </w:tc>
        <w:tc>
          <w:tcPr>
            <w:tcW w:w="378"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17.4%</w:t>
            </w:r>
          </w:p>
        </w:tc>
        <w:tc>
          <w:tcPr>
            <w:tcW w:w="346"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27.8%</w:t>
            </w:r>
          </w:p>
        </w:tc>
        <w:tc>
          <w:tcPr>
            <w:tcW w:w="346"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20.6%</w:t>
            </w:r>
          </w:p>
        </w:tc>
        <w:tc>
          <w:tcPr>
            <w:tcW w:w="346"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28.6%</w:t>
            </w:r>
          </w:p>
        </w:tc>
        <w:tc>
          <w:tcPr>
            <w:tcW w:w="37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33.4%</w:t>
            </w:r>
          </w:p>
        </w:tc>
        <w:tc>
          <w:tcPr>
            <w:tcW w:w="37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15.6%</w:t>
            </w:r>
          </w:p>
        </w:tc>
        <w:tc>
          <w:tcPr>
            <w:tcW w:w="378"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42.1%</w:t>
            </w:r>
          </w:p>
        </w:tc>
        <w:tc>
          <w:tcPr>
            <w:tcW w:w="346"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14.6%</w:t>
            </w:r>
          </w:p>
        </w:tc>
        <w:tc>
          <w:tcPr>
            <w:tcW w:w="346"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13.5%</w:t>
            </w:r>
          </w:p>
        </w:tc>
        <w:tc>
          <w:tcPr>
            <w:tcW w:w="346"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10.0%</w:t>
            </w:r>
          </w:p>
        </w:tc>
        <w:tc>
          <w:tcPr>
            <w:tcW w:w="346"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32.8%</w:t>
            </w:r>
          </w:p>
        </w:tc>
        <w:tc>
          <w:tcPr>
            <w:tcW w:w="346"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20.3%</w:t>
            </w:r>
          </w:p>
        </w:tc>
        <w:tc>
          <w:tcPr>
            <w:tcW w:w="346"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15.9%</w:t>
            </w:r>
          </w:p>
        </w:tc>
        <w:tc>
          <w:tcPr>
            <w:tcW w:w="324"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0.0%</w:t>
            </w:r>
          </w:p>
        </w:tc>
        <w:tc>
          <w:tcPr>
            <w:tcW w:w="324"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0.0%</w:t>
            </w:r>
          </w:p>
        </w:tc>
        <w:tc>
          <w:tcPr>
            <w:tcW w:w="341"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w:t>
            </w:r>
          </w:p>
        </w:tc>
      </w:tr>
      <w:tr>
        <w:trPr/>
        <w:tc>
          <w:tcPr>
            <w:tcW w:w="1194"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left"/>
              <w:rPr>
                <w:rFonts w:ascii="Arial" w:hAnsi="Arial"/>
                <w:b/>
                <w:i w:val="false"/>
                <w:caps w:val="false"/>
                <w:smallCaps w:val="false"/>
                <w:color w:val="FFFFFF"/>
                <w:sz w:val="14"/>
              </w:rPr>
            </w:pPr>
            <w:r>
              <w:rPr>
                <w:rFonts w:ascii="Arial" w:hAnsi="Arial"/>
                <w:b/>
                <w:i w:val="false"/>
                <w:caps w:val="false"/>
                <w:smallCaps w:val="false"/>
                <w:color w:val="FFFFFF"/>
                <w:sz w:val="14"/>
              </w:rPr>
              <w:t>Total average number of employees</w:t>
            </w:r>
          </w:p>
        </w:tc>
        <w:tc>
          <w:tcPr>
            <w:tcW w:w="440"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36,903</w:t>
            </w:r>
          </w:p>
        </w:tc>
        <w:tc>
          <w:tcPr>
            <w:tcW w:w="440"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36,171</w:t>
            </w:r>
          </w:p>
        </w:tc>
        <w:tc>
          <w:tcPr>
            <w:tcW w:w="440"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36,171</w:t>
            </w:r>
          </w:p>
        </w:tc>
        <w:tc>
          <w:tcPr>
            <w:tcW w:w="440"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31,823</w:t>
            </w:r>
          </w:p>
        </w:tc>
        <w:tc>
          <w:tcPr>
            <w:tcW w:w="440"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30,666</w:t>
            </w:r>
          </w:p>
        </w:tc>
        <w:tc>
          <w:tcPr>
            <w:tcW w:w="440"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30.793</w:t>
            </w:r>
          </w:p>
        </w:tc>
        <w:tc>
          <w:tcPr>
            <w:tcW w:w="37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1,747</w:t>
            </w:r>
          </w:p>
        </w:tc>
        <w:tc>
          <w:tcPr>
            <w:tcW w:w="37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1,689</w:t>
            </w:r>
          </w:p>
        </w:tc>
        <w:tc>
          <w:tcPr>
            <w:tcW w:w="378"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1,659</w:t>
            </w:r>
          </w:p>
        </w:tc>
        <w:tc>
          <w:tcPr>
            <w:tcW w:w="346"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36</w:t>
            </w:r>
          </w:p>
        </w:tc>
        <w:tc>
          <w:tcPr>
            <w:tcW w:w="346"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34</w:t>
            </w:r>
          </w:p>
        </w:tc>
        <w:tc>
          <w:tcPr>
            <w:tcW w:w="346"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28</w:t>
            </w:r>
          </w:p>
        </w:tc>
        <w:tc>
          <w:tcPr>
            <w:tcW w:w="37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3,543</w:t>
            </w:r>
          </w:p>
        </w:tc>
        <w:tc>
          <w:tcPr>
            <w:tcW w:w="378"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3,424</w:t>
            </w:r>
          </w:p>
        </w:tc>
        <w:tc>
          <w:tcPr>
            <w:tcW w:w="378"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2,892</w:t>
            </w:r>
          </w:p>
        </w:tc>
        <w:tc>
          <w:tcPr>
            <w:tcW w:w="346"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137</w:t>
            </w:r>
          </w:p>
        </w:tc>
        <w:tc>
          <w:tcPr>
            <w:tcW w:w="346"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141</w:t>
            </w:r>
          </w:p>
        </w:tc>
        <w:tc>
          <w:tcPr>
            <w:tcW w:w="346"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140</w:t>
            </w:r>
          </w:p>
        </w:tc>
        <w:tc>
          <w:tcPr>
            <w:tcW w:w="346"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198</w:t>
            </w:r>
          </w:p>
        </w:tc>
        <w:tc>
          <w:tcPr>
            <w:tcW w:w="346"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217</w:t>
            </w:r>
          </w:p>
        </w:tc>
        <w:tc>
          <w:tcPr>
            <w:tcW w:w="346" w:type="dxa"/>
            <w:tcBorders>
              <w:bottom w:val="single" w:sz="8" w:space="0" w:color="BFBFBF"/>
              <w:right w:val="single" w:sz="8" w:space="0" w:color="E7E6E6"/>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251</w:t>
            </w:r>
          </w:p>
        </w:tc>
        <w:tc>
          <w:tcPr>
            <w:tcW w:w="324"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1</w:t>
            </w:r>
          </w:p>
        </w:tc>
        <w:tc>
          <w:tcPr>
            <w:tcW w:w="324"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1</w:t>
            </w:r>
          </w:p>
        </w:tc>
        <w:tc>
          <w:tcPr>
            <w:tcW w:w="341" w:type="dxa"/>
            <w:tcBorders>
              <w:bottom w:val="single" w:sz="8" w:space="0" w:color="BFBFBF"/>
            </w:tcBorders>
            <w:shd w:fill="808080" w:val="clear"/>
            <w:tcMar>
              <w:bottom w:w="28" w:type="dxa"/>
              <w:right w:w="0" w:type="dxa"/>
            </w:tcMar>
            <w:vAlign w:val="center"/>
          </w:tcPr>
          <w:p>
            <w:pPr>
              <w:pStyle w:val="TableContents"/>
              <w:bidi w:val="0"/>
              <w:spacing w:before="0" w:after="283"/>
              <w:jc w:val="center"/>
              <w:rPr>
                <w:rFonts w:ascii="Arial" w:hAnsi="Arial"/>
                <w:b/>
                <w:i w:val="false"/>
                <w:caps w:val="false"/>
                <w:smallCaps w:val="false"/>
                <w:color w:val="FFFFFF"/>
                <w:sz w:val="14"/>
              </w:rPr>
            </w:pPr>
            <w:r>
              <w:rPr>
                <w:rFonts w:ascii="Arial" w:hAnsi="Arial"/>
                <w:b/>
                <w:i w:val="false"/>
                <w:caps w:val="false"/>
                <w:smallCaps w:val="false"/>
                <w:color w:val="FFFFFF"/>
                <w:sz w:val="14"/>
              </w:rPr>
              <w:t>0</w:t>
            </w:r>
          </w:p>
        </w:tc>
      </w:tr>
    </w:tbl>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75</w:t>
      </w:r>
    </w:p>
    <w:p>
      <w:pPr>
        <w:pStyle w:val="HorizontalLine"/>
        <w:pBdr>
          <w:bottom w:val="single" w:sz="12" w:space="0" w:color="808080"/>
        </w:pBdr>
        <w:bidi w:val="0"/>
        <w:spacing w:before="200" w:after="200"/>
        <w:jc w:val="right"/>
        <w:rPr/>
      </w:pPr>
      <w:r>
        <w:rPr/>
      </w:r>
    </w:p>
    <w:p>
      <w:pPr>
        <w:pStyle w:val="TextBody"/>
        <w:bidi w:val="0"/>
        <w:spacing w:lineRule="auto" w:line="240" w:before="0" w:after="0"/>
        <w:ind w:left="0" w:right="0" w:hanging="0"/>
        <w:jc w:val="both"/>
        <w:rPr>
          <w:rFonts w:ascii="Arial" w:hAnsi="Arial"/>
          <w:b/>
          <w:i w:val="false"/>
          <w:caps w:val="false"/>
          <w:smallCaps w:val="false"/>
          <w:color w:val="FE5000"/>
          <w:sz w:val="28"/>
        </w:rPr>
      </w:pPr>
      <w:r>
        <w:rPr>
          <w:rFonts w:ascii="Arial" w:hAnsi="Arial"/>
          <w:b/>
          <w:i w:val="false"/>
          <w:caps w:val="false"/>
          <w:smallCaps w:val="false"/>
          <w:color w:val="FE5000"/>
          <w:sz w:val="28"/>
        </w:rPr>
        <w:t>2.2.2. Gender equity and inclusion of diversity71</w:t>
      </w:r>
    </w:p>
    <w:p>
      <w:pPr>
        <w:pStyle w:val="TextBody"/>
        <w:bidi w:val="0"/>
        <w:spacing w:before="60" w:after="6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i w:val="false"/>
          <w:caps w:val="false"/>
          <w:smallCaps w:val="false"/>
          <w:sz w:val="20"/>
        </w:rPr>
        <w:t>MATERIAL TOPICS INCLUSION OF DIVERSITY AND EQUAL OPPORTUNITIES</w:t>
      </w:r>
      <w:r>
        <w:rPr>
          <w:rFonts w:ascii="Arial" w:hAnsi="Arial"/>
          <w:b w:val="false"/>
          <w:i w:val="false"/>
          <w:caps w:val="false"/>
          <w:smallCaps w:val="false"/>
          <w:sz w:val="2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i w:val="false"/>
          <w:caps w:val="false"/>
          <w:smallCaps w:val="false"/>
          <w:sz w:val="20"/>
        </w:rPr>
        <w:t xml:space="preserve">GRI </w:t>
      </w:r>
      <w:r>
        <w:rPr>
          <w:rFonts w:ascii="Arial" w:hAnsi="Arial"/>
          <w:b w:val="false"/>
          <w:i w:val="false"/>
          <w:caps w:val="false"/>
          <w:smallCaps w:val="false"/>
          <w:sz w:val="20"/>
        </w:rPr>
        <w:t>405-1</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23"/>
        <w:gridCol w:w="290"/>
        <w:gridCol w:w="397"/>
        <w:gridCol w:w="290"/>
        <w:gridCol w:w="397"/>
        <w:gridCol w:w="425"/>
        <w:gridCol w:w="397"/>
        <w:gridCol w:w="425"/>
        <w:gridCol w:w="397"/>
        <w:gridCol w:w="515"/>
        <w:gridCol w:w="397"/>
        <w:gridCol w:w="515"/>
        <w:gridCol w:w="397"/>
        <w:gridCol w:w="515"/>
        <w:gridCol w:w="397"/>
        <w:gridCol w:w="515"/>
        <w:gridCol w:w="413"/>
      </w:tblGrid>
      <w:tr>
        <w:trPr/>
        <w:tc>
          <w:tcPr>
            <w:tcW w:w="3523" w:type="dxa"/>
            <w:vMerge w:val="restart"/>
            <w:tcBorders/>
            <w:shd w:fill="000000"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GRI 405-1 Diversity of governance bodies and employees</w:t>
            </w:r>
          </w:p>
        </w:tc>
        <w:tc>
          <w:tcPr>
            <w:tcW w:w="1374" w:type="dxa"/>
            <w:gridSpan w:val="4"/>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Senior leaders</w:t>
            </w:r>
          </w:p>
        </w:tc>
        <w:tc>
          <w:tcPr>
            <w:tcW w:w="1644" w:type="dxa"/>
            <w:gridSpan w:val="4"/>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Middle managers</w:t>
            </w:r>
          </w:p>
        </w:tc>
        <w:tc>
          <w:tcPr>
            <w:tcW w:w="1824" w:type="dxa"/>
            <w:gridSpan w:val="4"/>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Non-managerial</w:t>
            </w:r>
          </w:p>
        </w:tc>
        <w:tc>
          <w:tcPr>
            <w:tcW w:w="1840" w:type="dxa"/>
            <w:gridSpan w:val="4"/>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TOTAL</w:t>
            </w:r>
          </w:p>
        </w:tc>
      </w:tr>
      <w:tr>
        <w:trPr/>
        <w:tc>
          <w:tcPr>
            <w:tcW w:w="3523" w:type="dxa"/>
            <w:vMerge w:val="continue"/>
            <w:tcBorders/>
            <w:shd w:fill="000000" w:val="clear"/>
            <w:vAlign w:val="center"/>
          </w:tcPr>
          <w:p>
            <w:pPr>
              <w:pStyle w:val="Normal"/>
              <w:bidi w:val="0"/>
              <w:jc w:val="left"/>
              <w:rPr/>
            </w:pPr>
            <w:r>
              <w:rPr/>
            </w:r>
          </w:p>
        </w:tc>
        <w:tc>
          <w:tcPr>
            <w:tcW w:w="687" w:type="dxa"/>
            <w:gridSpan w:val="2"/>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2023</w:t>
            </w:r>
          </w:p>
        </w:tc>
        <w:tc>
          <w:tcPr>
            <w:tcW w:w="687" w:type="dxa"/>
            <w:gridSpan w:val="2"/>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2022</w:t>
            </w:r>
          </w:p>
        </w:tc>
        <w:tc>
          <w:tcPr>
            <w:tcW w:w="822" w:type="dxa"/>
            <w:gridSpan w:val="2"/>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2023</w:t>
            </w:r>
          </w:p>
        </w:tc>
        <w:tc>
          <w:tcPr>
            <w:tcW w:w="822" w:type="dxa"/>
            <w:gridSpan w:val="2"/>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2022</w:t>
            </w:r>
          </w:p>
        </w:tc>
        <w:tc>
          <w:tcPr>
            <w:tcW w:w="912" w:type="dxa"/>
            <w:gridSpan w:val="2"/>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2023</w:t>
            </w:r>
          </w:p>
        </w:tc>
        <w:tc>
          <w:tcPr>
            <w:tcW w:w="912" w:type="dxa"/>
            <w:gridSpan w:val="2"/>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2022</w:t>
            </w:r>
          </w:p>
        </w:tc>
        <w:tc>
          <w:tcPr>
            <w:tcW w:w="912" w:type="dxa"/>
            <w:gridSpan w:val="2"/>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2023</w:t>
            </w:r>
          </w:p>
        </w:tc>
        <w:tc>
          <w:tcPr>
            <w:tcW w:w="928" w:type="dxa"/>
            <w:gridSpan w:val="2"/>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2022</w:t>
            </w:r>
          </w:p>
        </w:tc>
      </w:tr>
      <w:tr>
        <w:trPr/>
        <w:tc>
          <w:tcPr>
            <w:tcW w:w="3523" w:type="dxa"/>
            <w:vMerge w:val="continue"/>
            <w:tcBorders/>
            <w:vAlign w:val="center"/>
          </w:tcPr>
          <w:p>
            <w:pPr>
              <w:pStyle w:val="Normal"/>
              <w:bidi w:val="0"/>
              <w:jc w:val="left"/>
              <w:rPr/>
            </w:pPr>
            <w:r>
              <w:rPr/>
            </w:r>
          </w:p>
        </w:tc>
        <w:tc>
          <w:tcPr>
            <w:tcW w:w="290"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Q</w:t>
            </w:r>
          </w:p>
        </w:tc>
        <w:tc>
          <w:tcPr>
            <w:tcW w:w="397"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w:t>
            </w:r>
          </w:p>
        </w:tc>
        <w:tc>
          <w:tcPr>
            <w:tcW w:w="290"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Q</w:t>
            </w:r>
          </w:p>
        </w:tc>
        <w:tc>
          <w:tcPr>
            <w:tcW w:w="397"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w:t>
            </w:r>
          </w:p>
        </w:tc>
        <w:tc>
          <w:tcPr>
            <w:tcW w:w="425"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Q</w:t>
            </w:r>
          </w:p>
        </w:tc>
        <w:tc>
          <w:tcPr>
            <w:tcW w:w="397"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w:t>
            </w:r>
          </w:p>
        </w:tc>
        <w:tc>
          <w:tcPr>
            <w:tcW w:w="425"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Q</w:t>
            </w:r>
          </w:p>
        </w:tc>
        <w:tc>
          <w:tcPr>
            <w:tcW w:w="397"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w:t>
            </w:r>
          </w:p>
        </w:tc>
        <w:tc>
          <w:tcPr>
            <w:tcW w:w="515"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Q</w:t>
            </w:r>
          </w:p>
        </w:tc>
        <w:tc>
          <w:tcPr>
            <w:tcW w:w="397"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w:t>
            </w:r>
          </w:p>
        </w:tc>
        <w:tc>
          <w:tcPr>
            <w:tcW w:w="515"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Q</w:t>
            </w:r>
          </w:p>
        </w:tc>
        <w:tc>
          <w:tcPr>
            <w:tcW w:w="397"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w:t>
            </w:r>
          </w:p>
        </w:tc>
        <w:tc>
          <w:tcPr>
            <w:tcW w:w="515"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Q</w:t>
            </w:r>
          </w:p>
        </w:tc>
        <w:tc>
          <w:tcPr>
            <w:tcW w:w="397"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w:t>
            </w:r>
          </w:p>
        </w:tc>
        <w:tc>
          <w:tcPr>
            <w:tcW w:w="515"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Q</w:t>
            </w:r>
          </w:p>
        </w:tc>
        <w:tc>
          <w:tcPr>
            <w:tcW w:w="413"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w:t>
            </w:r>
          </w:p>
        </w:tc>
      </w:tr>
      <w:tr>
        <w:trPr/>
        <w:tc>
          <w:tcPr>
            <w:tcW w:w="3523" w:type="dxa"/>
            <w:tcBorders/>
            <w:shd w:fill="808080"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Employees by gender, by labor category</w:t>
            </w:r>
          </w:p>
        </w:tc>
        <w:tc>
          <w:tcPr>
            <w:tcW w:w="290" w:type="dxa"/>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255</w:t>
            </w:r>
          </w:p>
        </w:tc>
        <w:tc>
          <w:tcPr>
            <w:tcW w:w="397" w:type="dxa"/>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c>
          <w:tcPr>
            <w:tcW w:w="290" w:type="dxa"/>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242</w:t>
            </w:r>
          </w:p>
        </w:tc>
        <w:tc>
          <w:tcPr>
            <w:tcW w:w="397" w:type="dxa"/>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c>
          <w:tcPr>
            <w:tcW w:w="425" w:type="dxa"/>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1,298</w:t>
            </w:r>
          </w:p>
        </w:tc>
        <w:tc>
          <w:tcPr>
            <w:tcW w:w="397" w:type="dxa"/>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c>
          <w:tcPr>
            <w:tcW w:w="425" w:type="dxa"/>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1,149</w:t>
            </w:r>
          </w:p>
        </w:tc>
        <w:tc>
          <w:tcPr>
            <w:tcW w:w="397" w:type="dxa"/>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c>
          <w:tcPr>
            <w:tcW w:w="515" w:type="dxa"/>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35,333</w:t>
            </w:r>
          </w:p>
        </w:tc>
        <w:tc>
          <w:tcPr>
            <w:tcW w:w="397" w:type="dxa"/>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c>
          <w:tcPr>
            <w:tcW w:w="515" w:type="dxa"/>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35,412</w:t>
            </w:r>
          </w:p>
        </w:tc>
        <w:tc>
          <w:tcPr>
            <w:tcW w:w="397" w:type="dxa"/>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c>
          <w:tcPr>
            <w:tcW w:w="515" w:type="dxa"/>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36,886</w:t>
            </w:r>
          </w:p>
        </w:tc>
        <w:tc>
          <w:tcPr>
            <w:tcW w:w="397" w:type="dxa"/>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c>
          <w:tcPr>
            <w:tcW w:w="515" w:type="dxa"/>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36,803</w:t>
            </w:r>
          </w:p>
        </w:tc>
        <w:tc>
          <w:tcPr>
            <w:tcW w:w="413" w:type="dxa"/>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r>
      <w:tr>
        <w:trPr/>
        <w:tc>
          <w:tcPr>
            <w:tcW w:w="3523"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Females</w:t>
            </w:r>
          </w:p>
        </w:tc>
        <w:tc>
          <w:tcPr>
            <w:tcW w:w="290"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78</w:t>
            </w:r>
          </w:p>
        </w:tc>
        <w:tc>
          <w:tcPr>
            <w:tcW w:w="397"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31%</w:t>
            </w:r>
          </w:p>
        </w:tc>
        <w:tc>
          <w:tcPr>
            <w:tcW w:w="29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66</w:t>
            </w:r>
          </w:p>
        </w:tc>
        <w:tc>
          <w:tcPr>
            <w:tcW w:w="397"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27%</w:t>
            </w:r>
          </w:p>
        </w:tc>
        <w:tc>
          <w:tcPr>
            <w:tcW w:w="42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461</w:t>
            </w:r>
          </w:p>
        </w:tc>
        <w:tc>
          <w:tcPr>
            <w:tcW w:w="397"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36%</w:t>
            </w:r>
          </w:p>
        </w:tc>
        <w:tc>
          <w:tcPr>
            <w:tcW w:w="425"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433</w:t>
            </w:r>
          </w:p>
        </w:tc>
        <w:tc>
          <w:tcPr>
            <w:tcW w:w="397"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38%</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19,452</w:t>
            </w:r>
          </w:p>
        </w:tc>
        <w:tc>
          <w:tcPr>
            <w:tcW w:w="397"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55%</w:t>
            </w:r>
          </w:p>
        </w:tc>
        <w:tc>
          <w:tcPr>
            <w:tcW w:w="515"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19,643</w:t>
            </w:r>
          </w:p>
        </w:tc>
        <w:tc>
          <w:tcPr>
            <w:tcW w:w="397"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55%</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19.991</w:t>
            </w:r>
          </w:p>
        </w:tc>
        <w:tc>
          <w:tcPr>
            <w:tcW w:w="397"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54%</w:t>
            </w:r>
          </w:p>
        </w:tc>
        <w:tc>
          <w:tcPr>
            <w:tcW w:w="515"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20,142</w:t>
            </w:r>
          </w:p>
        </w:tc>
        <w:tc>
          <w:tcPr>
            <w:tcW w:w="413"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55%</w:t>
            </w:r>
          </w:p>
        </w:tc>
      </w:tr>
      <w:tr>
        <w:trPr/>
        <w:tc>
          <w:tcPr>
            <w:tcW w:w="3523"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Males</w:t>
            </w:r>
          </w:p>
        </w:tc>
        <w:tc>
          <w:tcPr>
            <w:tcW w:w="290"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177</w:t>
            </w:r>
          </w:p>
        </w:tc>
        <w:tc>
          <w:tcPr>
            <w:tcW w:w="397"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69%</w:t>
            </w:r>
          </w:p>
        </w:tc>
        <w:tc>
          <w:tcPr>
            <w:tcW w:w="29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176</w:t>
            </w:r>
          </w:p>
        </w:tc>
        <w:tc>
          <w:tcPr>
            <w:tcW w:w="397"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73%</w:t>
            </w:r>
          </w:p>
        </w:tc>
        <w:tc>
          <w:tcPr>
            <w:tcW w:w="42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837</w:t>
            </w:r>
          </w:p>
        </w:tc>
        <w:tc>
          <w:tcPr>
            <w:tcW w:w="397"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64%</w:t>
            </w:r>
          </w:p>
        </w:tc>
        <w:tc>
          <w:tcPr>
            <w:tcW w:w="425"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716</w:t>
            </w:r>
          </w:p>
        </w:tc>
        <w:tc>
          <w:tcPr>
            <w:tcW w:w="397"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62%</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15,881</w:t>
            </w:r>
          </w:p>
        </w:tc>
        <w:tc>
          <w:tcPr>
            <w:tcW w:w="397"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45%</w:t>
            </w:r>
          </w:p>
        </w:tc>
        <w:tc>
          <w:tcPr>
            <w:tcW w:w="515"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15,769</w:t>
            </w:r>
          </w:p>
        </w:tc>
        <w:tc>
          <w:tcPr>
            <w:tcW w:w="397"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45%</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16,895</w:t>
            </w:r>
          </w:p>
        </w:tc>
        <w:tc>
          <w:tcPr>
            <w:tcW w:w="397"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46%</w:t>
            </w:r>
          </w:p>
        </w:tc>
        <w:tc>
          <w:tcPr>
            <w:tcW w:w="515"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16,661</w:t>
            </w:r>
          </w:p>
        </w:tc>
        <w:tc>
          <w:tcPr>
            <w:tcW w:w="413"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45%</w:t>
            </w:r>
          </w:p>
        </w:tc>
      </w:tr>
      <w:tr>
        <w:trPr/>
        <w:tc>
          <w:tcPr>
            <w:tcW w:w="3523" w:type="dxa"/>
            <w:tcBorders/>
            <w:shd w:fill="808080"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Employees by gender, by labor category</w:t>
            </w:r>
          </w:p>
        </w:tc>
        <w:tc>
          <w:tcPr>
            <w:tcW w:w="290"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255</w:t>
            </w:r>
          </w:p>
        </w:tc>
        <w:tc>
          <w:tcPr>
            <w:tcW w:w="397"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c>
          <w:tcPr>
            <w:tcW w:w="290"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242</w:t>
            </w:r>
          </w:p>
        </w:tc>
        <w:tc>
          <w:tcPr>
            <w:tcW w:w="397"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c>
          <w:tcPr>
            <w:tcW w:w="425"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1,298</w:t>
            </w:r>
          </w:p>
        </w:tc>
        <w:tc>
          <w:tcPr>
            <w:tcW w:w="397"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c>
          <w:tcPr>
            <w:tcW w:w="425"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1,149</w:t>
            </w:r>
          </w:p>
        </w:tc>
        <w:tc>
          <w:tcPr>
            <w:tcW w:w="397"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c>
          <w:tcPr>
            <w:tcW w:w="515"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35,333</w:t>
            </w:r>
          </w:p>
        </w:tc>
        <w:tc>
          <w:tcPr>
            <w:tcW w:w="397"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c>
          <w:tcPr>
            <w:tcW w:w="515"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35,412</w:t>
            </w:r>
          </w:p>
        </w:tc>
        <w:tc>
          <w:tcPr>
            <w:tcW w:w="397"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c>
          <w:tcPr>
            <w:tcW w:w="515"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36,886</w:t>
            </w:r>
          </w:p>
        </w:tc>
        <w:tc>
          <w:tcPr>
            <w:tcW w:w="397"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c>
          <w:tcPr>
            <w:tcW w:w="515"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36,803</w:t>
            </w:r>
          </w:p>
        </w:tc>
        <w:tc>
          <w:tcPr>
            <w:tcW w:w="413"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r>
      <w:tr>
        <w:trPr/>
        <w:tc>
          <w:tcPr>
            <w:tcW w:w="3523"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Under 30 years</w:t>
            </w:r>
          </w:p>
        </w:tc>
        <w:tc>
          <w:tcPr>
            <w:tcW w:w="290"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w:t>
            </w:r>
          </w:p>
        </w:tc>
        <w:tc>
          <w:tcPr>
            <w:tcW w:w="397"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w:t>
            </w:r>
          </w:p>
        </w:tc>
        <w:tc>
          <w:tcPr>
            <w:tcW w:w="29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w:t>
            </w:r>
          </w:p>
        </w:tc>
        <w:tc>
          <w:tcPr>
            <w:tcW w:w="397"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w:t>
            </w:r>
          </w:p>
        </w:tc>
        <w:tc>
          <w:tcPr>
            <w:tcW w:w="42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20</w:t>
            </w:r>
          </w:p>
        </w:tc>
        <w:tc>
          <w:tcPr>
            <w:tcW w:w="397"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2%</w:t>
            </w:r>
          </w:p>
        </w:tc>
        <w:tc>
          <w:tcPr>
            <w:tcW w:w="425"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16</w:t>
            </w:r>
          </w:p>
        </w:tc>
        <w:tc>
          <w:tcPr>
            <w:tcW w:w="397"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12,574</w:t>
            </w:r>
          </w:p>
        </w:tc>
        <w:tc>
          <w:tcPr>
            <w:tcW w:w="397"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36%</w:t>
            </w:r>
          </w:p>
        </w:tc>
        <w:tc>
          <w:tcPr>
            <w:tcW w:w="515"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13,224</w:t>
            </w:r>
          </w:p>
        </w:tc>
        <w:tc>
          <w:tcPr>
            <w:tcW w:w="397"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37%</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12,594</w:t>
            </w:r>
          </w:p>
        </w:tc>
        <w:tc>
          <w:tcPr>
            <w:tcW w:w="397"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34%</w:t>
            </w:r>
          </w:p>
        </w:tc>
        <w:tc>
          <w:tcPr>
            <w:tcW w:w="515"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13,240</w:t>
            </w:r>
          </w:p>
        </w:tc>
        <w:tc>
          <w:tcPr>
            <w:tcW w:w="413"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36%</w:t>
            </w:r>
          </w:p>
        </w:tc>
      </w:tr>
      <w:tr>
        <w:trPr/>
        <w:tc>
          <w:tcPr>
            <w:tcW w:w="3523"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Between 30 and 50 years</w:t>
            </w:r>
          </w:p>
        </w:tc>
        <w:tc>
          <w:tcPr>
            <w:tcW w:w="290"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164</w:t>
            </w:r>
          </w:p>
        </w:tc>
        <w:tc>
          <w:tcPr>
            <w:tcW w:w="397"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64%</w:t>
            </w:r>
          </w:p>
        </w:tc>
        <w:tc>
          <w:tcPr>
            <w:tcW w:w="29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158</w:t>
            </w:r>
          </w:p>
        </w:tc>
        <w:tc>
          <w:tcPr>
            <w:tcW w:w="397"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65%</w:t>
            </w:r>
          </w:p>
        </w:tc>
        <w:tc>
          <w:tcPr>
            <w:tcW w:w="42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1,115</w:t>
            </w:r>
          </w:p>
        </w:tc>
        <w:tc>
          <w:tcPr>
            <w:tcW w:w="397"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86%</w:t>
            </w:r>
          </w:p>
        </w:tc>
        <w:tc>
          <w:tcPr>
            <w:tcW w:w="425"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986</w:t>
            </w:r>
          </w:p>
        </w:tc>
        <w:tc>
          <w:tcPr>
            <w:tcW w:w="397"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86%</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21,267</w:t>
            </w:r>
          </w:p>
        </w:tc>
        <w:tc>
          <w:tcPr>
            <w:tcW w:w="397"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60%</w:t>
            </w:r>
          </w:p>
        </w:tc>
        <w:tc>
          <w:tcPr>
            <w:tcW w:w="515"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20,682</w:t>
            </w:r>
          </w:p>
        </w:tc>
        <w:tc>
          <w:tcPr>
            <w:tcW w:w="397"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58%</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22,546</w:t>
            </w:r>
          </w:p>
        </w:tc>
        <w:tc>
          <w:tcPr>
            <w:tcW w:w="397"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61%</w:t>
            </w:r>
          </w:p>
        </w:tc>
        <w:tc>
          <w:tcPr>
            <w:tcW w:w="515"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21,826</w:t>
            </w:r>
          </w:p>
        </w:tc>
        <w:tc>
          <w:tcPr>
            <w:tcW w:w="413"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59%</w:t>
            </w:r>
          </w:p>
        </w:tc>
      </w:tr>
      <w:tr>
        <w:trPr/>
        <w:tc>
          <w:tcPr>
            <w:tcW w:w="3523"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Over 50 years</w:t>
            </w:r>
          </w:p>
        </w:tc>
        <w:tc>
          <w:tcPr>
            <w:tcW w:w="290"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91</w:t>
            </w:r>
          </w:p>
        </w:tc>
        <w:tc>
          <w:tcPr>
            <w:tcW w:w="397"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36%</w:t>
            </w:r>
          </w:p>
        </w:tc>
        <w:tc>
          <w:tcPr>
            <w:tcW w:w="29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84</w:t>
            </w:r>
          </w:p>
        </w:tc>
        <w:tc>
          <w:tcPr>
            <w:tcW w:w="397"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35%</w:t>
            </w:r>
          </w:p>
        </w:tc>
        <w:tc>
          <w:tcPr>
            <w:tcW w:w="42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163</w:t>
            </w:r>
          </w:p>
        </w:tc>
        <w:tc>
          <w:tcPr>
            <w:tcW w:w="397"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13%</w:t>
            </w:r>
          </w:p>
        </w:tc>
        <w:tc>
          <w:tcPr>
            <w:tcW w:w="425"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147</w:t>
            </w:r>
          </w:p>
        </w:tc>
        <w:tc>
          <w:tcPr>
            <w:tcW w:w="397"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13%</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1,492</w:t>
            </w:r>
          </w:p>
        </w:tc>
        <w:tc>
          <w:tcPr>
            <w:tcW w:w="397"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4%</w:t>
            </w:r>
          </w:p>
        </w:tc>
        <w:tc>
          <w:tcPr>
            <w:tcW w:w="515"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1,506</w:t>
            </w:r>
          </w:p>
        </w:tc>
        <w:tc>
          <w:tcPr>
            <w:tcW w:w="397"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4%</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1,746</w:t>
            </w:r>
          </w:p>
        </w:tc>
        <w:tc>
          <w:tcPr>
            <w:tcW w:w="397"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5%</w:t>
            </w:r>
          </w:p>
        </w:tc>
        <w:tc>
          <w:tcPr>
            <w:tcW w:w="515"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1,737</w:t>
            </w:r>
          </w:p>
        </w:tc>
        <w:tc>
          <w:tcPr>
            <w:tcW w:w="413"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5%</w:t>
            </w:r>
          </w:p>
        </w:tc>
      </w:tr>
    </w:tbl>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lineRule="auto" w:line="240" w:before="0" w:after="0"/>
        <w:ind w:left="0" w:right="0" w:hanging="0"/>
        <w:jc w:val="both"/>
        <w:rPr>
          <w:rFonts w:ascii="Arial" w:hAnsi="Arial"/>
          <w:b/>
          <w:i w:val="false"/>
          <w:caps w:val="false"/>
          <w:smallCaps w:val="false"/>
          <w:color w:val="FE5000"/>
          <w:sz w:val="28"/>
        </w:rPr>
      </w:pPr>
      <w:r>
        <w:rPr>
          <w:rFonts w:ascii="Arial" w:hAnsi="Arial"/>
          <w:b/>
          <w:i w:val="false"/>
          <w:caps w:val="false"/>
          <w:smallCaps w:val="false"/>
          <w:color w:val="FE5000"/>
          <w:sz w:val="28"/>
        </w:rPr>
        <w:t>2.2.3. Total performance and reward72</w:t>
      </w:r>
    </w:p>
    <w:p>
      <w:pPr>
        <w:pStyle w:val="TextBody"/>
        <w:bidi w:val="0"/>
        <w:spacing w:before="60" w:after="6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i w:val="false"/>
          <w:caps w:val="false"/>
          <w:smallCaps w:val="false"/>
          <w:sz w:val="20"/>
        </w:rPr>
        <w:t>MATERIAL TOPIC EMPLOYMENT AND TALENT MANAGEMENT</w:t>
      </w:r>
      <w:r>
        <w:rPr>
          <w:rFonts w:ascii="Arial" w:hAnsi="Arial"/>
          <w:b w:val="false"/>
          <w:i w:val="false"/>
          <w:caps w:val="false"/>
          <w:smallCaps w:val="false"/>
          <w:sz w:val="2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i w:val="false"/>
          <w:caps w:val="false"/>
          <w:smallCaps w:val="false"/>
          <w:sz w:val="20"/>
        </w:rPr>
        <w:t xml:space="preserve">GRI </w:t>
      </w:r>
      <w:r>
        <w:rPr>
          <w:rFonts w:ascii="Arial" w:hAnsi="Arial"/>
          <w:b w:val="false"/>
          <w:i w:val="false"/>
          <w:caps w:val="false"/>
          <w:smallCaps w:val="false"/>
          <w:sz w:val="20"/>
        </w:rPr>
        <w:t>2-30, 401-2, 401-3, 404-1, 404-2, 404-3 , 403-8, 403-9, 403-10</w:t>
      </w:r>
    </w:p>
    <w:tbl>
      <w:tblPr>
        <w:tblW w:w="8855" w:type="dxa"/>
        <w:jc w:val="left"/>
        <w:tblInd w:w="0" w:type="dxa"/>
        <w:tblLayout w:type="fixed"/>
        <w:tblCellMar>
          <w:top w:w="0" w:type="dxa"/>
          <w:left w:w="0" w:type="dxa"/>
          <w:bottom w:w="0" w:type="dxa"/>
          <w:right w:w="0" w:type="dxa"/>
        </w:tblCellMar>
      </w:tblPr>
      <w:tblGrid>
        <w:gridCol w:w="8720"/>
        <w:gridCol w:w="60"/>
        <w:gridCol w:w="75"/>
      </w:tblGrid>
      <w:tr>
        <w:trPr/>
        <w:tc>
          <w:tcPr>
            <w:tcW w:w="8720" w:type="dxa"/>
            <w:vMerge w:val="restart"/>
            <w:tcBorders/>
            <w:shd w:fill="000000"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GRI 401-2 Benefits provided to full-time employees that are not provided to part-time or temporary employees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720" w:type="dxa"/>
            <w:vMerge w:val="continue"/>
            <w:tcBorders/>
            <w:shd w:fill="000000" w:val="clear"/>
            <w:vAlign w:val="center"/>
          </w:tcPr>
          <w:p>
            <w:pPr>
              <w:pStyle w:val="Normal"/>
              <w:bidi w:val="0"/>
              <w:jc w:val="left"/>
              <w:rPr/>
            </w:pPr>
            <w:r>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720" w:type="dxa"/>
            <w:tcBorders>
              <w:bottom w:val="single" w:sz="8" w:space="0" w:color="BFBFBF"/>
            </w:tcBorders>
            <w:shd w:fill="808080" w:val="clear"/>
            <w:tcMar>
              <w:bottom w:w="28" w:type="dxa"/>
            </w:tcM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General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720"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Life insurance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720"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Paid parental leave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720"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Bereavement or serious accident leave for a direct family member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720" w:type="dxa"/>
            <w:tcBorders>
              <w:bottom w:val="single" w:sz="8" w:space="0" w:color="BFBFBF"/>
            </w:tcBorders>
            <w:shd w:fill="808080" w:val="clear"/>
            <w:tcMar>
              <w:bottom w:w="28" w:type="dxa"/>
            </w:tcM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Financial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720"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Loans at special rates for freely available credits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720"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Special rates and upgrades for credit cards and preferential exchange rate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spacing w:before="60" w:after="60"/>
        <w:jc w:val="left"/>
        <w:rPr>
          <w:caps w:val="false"/>
          <w:smallCaps w:val="false"/>
          <w:bdr w:val="single" w:sz="8" w:space="1" w:color="000000"/>
        </w:rPr>
      </w:pPr>
      <w:r>
        <w:rPr>
          <w:caps w:val="false"/>
          <w:smallCaps w:val="false"/>
          <w:bdr w:val="single" w:sz="8" w:space="1" w:color="000000"/>
        </w:rPr>
        <w:t> </w:t>
      </w:r>
    </w:p>
    <w:p>
      <w:pPr>
        <w:pStyle w:val="TextBody"/>
        <w:bidi w:val="0"/>
        <w:spacing w:lineRule="auto" w:line="240"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71 The results reported in this section include the following companies: BCP Perú, BCP Bolivia, Mibanco Perú, Mibanco Colombia, Prima AFP, Pacífico Seguros, and Credicorp Capital.</w:t>
      </w:r>
    </w:p>
    <w:p>
      <w:pPr>
        <w:pStyle w:val="TextBody"/>
        <w:bidi w:val="0"/>
        <w:spacing w:lineRule="auto" w:line="240"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72 The results reported in this section include the following companies: BCP Perú, BCP Bolivia, Mibanco Perú, Mibanco Colombia, Prima AFP, Pacífico Seguros, and Credicorp Capital.</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76</w:t>
      </w:r>
    </w:p>
    <w:p>
      <w:pPr>
        <w:pStyle w:val="HorizontalLine"/>
        <w:pBdr>
          <w:bottom w:val="single" w:sz="12" w:space="0" w:color="808080"/>
        </w:pBdr>
        <w:bidi w:val="0"/>
        <w:spacing w:before="200" w:after="200"/>
        <w:jc w:val="right"/>
        <w:rPr/>
      </w:pPr>
      <w:r>
        <w:rPr/>
      </w:r>
    </w:p>
    <w:tbl>
      <w:tblPr>
        <w:tblW w:w="4925" w:type="dxa"/>
        <w:jc w:val="left"/>
        <w:tblInd w:w="0" w:type="dxa"/>
        <w:tblLayout w:type="fixed"/>
        <w:tblCellMar>
          <w:top w:w="0" w:type="dxa"/>
          <w:left w:w="0" w:type="dxa"/>
          <w:bottom w:w="28" w:type="dxa"/>
          <w:right w:w="0" w:type="dxa"/>
        </w:tblCellMar>
      </w:tblPr>
      <w:tblGrid>
        <w:gridCol w:w="4790"/>
        <w:gridCol w:w="60"/>
        <w:gridCol w:w="75"/>
      </w:tblGrid>
      <w:tr>
        <w:trPr/>
        <w:tc>
          <w:tcPr>
            <w:tcW w:w="4790" w:type="dxa"/>
            <w:tcBorders>
              <w:bottom w:val="single" w:sz="8" w:space="0" w:color="BFBFBF"/>
            </w:tcBorders>
            <w:shd w:fill="808080"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Health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Health Plan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Nursing mothers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bottom w:val="single" w:sz="8" w:space="0" w:color="BFBFBF"/>
            </w:tcBorders>
            <w:shd w:fill="808080"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Well-being and quality of life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Flexible working hours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Summer Fridays (half working day)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Days off for marriage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Graduated from maternity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Hybrid working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Assistance lines: emotional, nutritional, legal, and financial support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Emotional support and mental health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Employee free personalized nutrition program</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00"/>
        <w:gridCol w:w="605"/>
      </w:tblGrid>
      <w:tr>
        <w:trPr/>
        <w:tc>
          <w:tcPr>
            <w:tcW w:w="9600" w:type="dxa"/>
            <w:vMerge w:val="restart"/>
            <w:tcBorders/>
            <w:shd w:fill="000000"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GRI 401-3 Parental Leave</w:t>
            </w:r>
          </w:p>
        </w:tc>
        <w:tc>
          <w:tcPr>
            <w:tcW w:w="605"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TOTAL</w:t>
            </w:r>
          </w:p>
        </w:tc>
      </w:tr>
      <w:tr>
        <w:trPr/>
        <w:tc>
          <w:tcPr>
            <w:tcW w:w="9600" w:type="dxa"/>
            <w:vMerge w:val="continue"/>
            <w:tcBorders/>
            <w:shd w:fill="000000" w:val="clear"/>
            <w:vAlign w:val="center"/>
          </w:tcPr>
          <w:p>
            <w:pPr>
              <w:pStyle w:val="Normal"/>
              <w:bidi w:val="0"/>
              <w:jc w:val="left"/>
              <w:rPr/>
            </w:pPr>
            <w:r>
              <w:rPr/>
            </w:r>
          </w:p>
        </w:tc>
        <w:tc>
          <w:tcPr>
            <w:tcW w:w="605"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2023</w:t>
            </w:r>
          </w:p>
        </w:tc>
      </w:tr>
      <w:tr>
        <w:trPr/>
        <w:tc>
          <w:tcPr>
            <w:tcW w:w="9600" w:type="dxa"/>
            <w:tcBorders>
              <w:bottom w:val="single" w:sz="8" w:space="0" w:color="BFBFBF"/>
            </w:tcBorders>
            <w:shd w:fill="808080" w:val="clear"/>
            <w:tcMar>
              <w:bottom w:w="28" w:type="dxa"/>
            </w:tcM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a. The number of employees who were been entitled to parental leave, by gender.</w:t>
            </w:r>
          </w:p>
        </w:tc>
        <w:tc>
          <w:tcPr>
            <w:tcW w:w="605"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2,010</w:t>
            </w:r>
          </w:p>
        </w:tc>
      </w:tr>
      <w:tr>
        <w:trPr/>
        <w:tc>
          <w:tcPr>
            <w:tcW w:w="9600"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Female</w:t>
            </w:r>
          </w:p>
        </w:tc>
        <w:tc>
          <w:tcPr>
            <w:tcW w:w="60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1,210</w:t>
            </w:r>
          </w:p>
        </w:tc>
      </w:tr>
      <w:tr>
        <w:trPr/>
        <w:tc>
          <w:tcPr>
            <w:tcW w:w="9600"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Male</w:t>
            </w:r>
          </w:p>
        </w:tc>
        <w:tc>
          <w:tcPr>
            <w:tcW w:w="60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800</w:t>
            </w:r>
          </w:p>
        </w:tc>
      </w:tr>
      <w:tr>
        <w:trPr/>
        <w:tc>
          <w:tcPr>
            <w:tcW w:w="9600" w:type="dxa"/>
            <w:tcBorders>
              <w:bottom w:val="single" w:sz="8" w:space="0" w:color="BFBFBF"/>
            </w:tcBorders>
            <w:shd w:fill="808080" w:val="clear"/>
            <w:tcMar>
              <w:bottom w:w="28" w:type="dxa"/>
            </w:tcM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b. Total number of employees that took parental leave, by gender.</w:t>
            </w:r>
          </w:p>
        </w:tc>
        <w:tc>
          <w:tcPr>
            <w:tcW w:w="605"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2,009</w:t>
            </w:r>
          </w:p>
        </w:tc>
      </w:tr>
      <w:tr>
        <w:trPr/>
        <w:tc>
          <w:tcPr>
            <w:tcW w:w="9600"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Female</w:t>
            </w:r>
          </w:p>
        </w:tc>
        <w:tc>
          <w:tcPr>
            <w:tcW w:w="60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1,210</w:t>
            </w:r>
          </w:p>
        </w:tc>
      </w:tr>
      <w:tr>
        <w:trPr/>
        <w:tc>
          <w:tcPr>
            <w:tcW w:w="9600"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Male</w:t>
            </w:r>
          </w:p>
        </w:tc>
        <w:tc>
          <w:tcPr>
            <w:tcW w:w="60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799</w:t>
            </w:r>
          </w:p>
        </w:tc>
      </w:tr>
      <w:tr>
        <w:trPr/>
        <w:tc>
          <w:tcPr>
            <w:tcW w:w="9600" w:type="dxa"/>
            <w:tcBorders>
              <w:bottom w:val="single" w:sz="8" w:space="0" w:color="BFBFBF"/>
            </w:tcBorders>
            <w:shd w:fill="808080" w:val="clear"/>
            <w:tcMar>
              <w:bottom w:w="28" w:type="dxa"/>
            </w:tcM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c. Total number of employees that returned to work in the reporting period after parental leave (during the reporting period) by gender.</w:t>
            </w:r>
          </w:p>
        </w:tc>
        <w:tc>
          <w:tcPr>
            <w:tcW w:w="605"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1,887</w:t>
            </w:r>
          </w:p>
        </w:tc>
      </w:tr>
      <w:tr>
        <w:trPr/>
        <w:tc>
          <w:tcPr>
            <w:tcW w:w="9600"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Female</w:t>
            </w:r>
          </w:p>
        </w:tc>
        <w:tc>
          <w:tcPr>
            <w:tcW w:w="60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1,122</w:t>
            </w:r>
          </w:p>
        </w:tc>
      </w:tr>
      <w:tr>
        <w:trPr/>
        <w:tc>
          <w:tcPr>
            <w:tcW w:w="9600"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Male</w:t>
            </w:r>
          </w:p>
        </w:tc>
        <w:tc>
          <w:tcPr>
            <w:tcW w:w="60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765</w:t>
            </w:r>
          </w:p>
        </w:tc>
      </w:tr>
      <w:tr>
        <w:trPr/>
        <w:tc>
          <w:tcPr>
            <w:tcW w:w="9600" w:type="dxa"/>
            <w:tcBorders>
              <w:bottom w:val="single" w:sz="8" w:space="0" w:color="BFBFBF"/>
            </w:tcBorders>
            <w:shd w:fill="808080" w:val="clear"/>
            <w:tcMar>
              <w:bottom w:w="28" w:type="dxa"/>
            </w:tcM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d. Total number of employees that returned to work after parental leave ended that were still employed 12 months after their return to work, by gender.</w:t>
            </w:r>
          </w:p>
        </w:tc>
        <w:tc>
          <w:tcPr>
            <w:tcW w:w="605"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1,448</w:t>
            </w:r>
          </w:p>
        </w:tc>
      </w:tr>
      <w:tr>
        <w:trPr/>
        <w:tc>
          <w:tcPr>
            <w:tcW w:w="9600"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Female</w:t>
            </w:r>
          </w:p>
        </w:tc>
        <w:tc>
          <w:tcPr>
            <w:tcW w:w="60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847</w:t>
            </w:r>
          </w:p>
        </w:tc>
      </w:tr>
      <w:tr>
        <w:trPr/>
        <w:tc>
          <w:tcPr>
            <w:tcW w:w="9600"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Male</w:t>
            </w:r>
          </w:p>
        </w:tc>
        <w:tc>
          <w:tcPr>
            <w:tcW w:w="60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601</w:t>
            </w:r>
          </w:p>
        </w:tc>
      </w:tr>
      <w:tr>
        <w:trPr/>
        <w:tc>
          <w:tcPr>
            <w:tcW w:w="9600" w:type="dxa"/>
            <w:tcBorders>
              <w:left w:val="single" w:sz="8" w:space="0" w:color="000000"/>
              <w:bottom w:val="single" w:sz="8" w:space="0" w:color="BFBFBF"/>
            </w:tcBorders>
            <w:shd w:fill="808080" w:val="clear"/>
            <w:tcMar>
              <w:left w:w="70" w:type="dxa"/>
              <w:bottom w:w="28" w:type="dxa"/>
            </w:tcM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e. Number of employees who returned from parental leave in 2022</w:t>
            </w:r>
          </w:p>
        </w:tc>
        <w:tc>
          <w:tcPr>
            <w:tcW w:w="605"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1,574</w:t>
            </w:r>
          </w:p>
        </w:tc>
      </w:tr>
      <w:tr>
        <w:trPr/>
        <w:tc>
          <w:tcPr>
            <w:tcW w:w="9600" w:type="dxa"/>
            <w:tcBorders>
              <w:left w:val="single" w:sz="8" w:space="0" w:color="000000"/>
              <w:bottom w:val="single" w:sz="8" w:space="0" w:color="BFBFBF"/>
            </w:tcBorders>
            <w:shd w:fill="FFFFFF" w:val="clear"/>
            <w:tcMar>
              <w:left w:w="70" w:type="dxa"/>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Female</w:t>
            </w:r>
          </w:p>
        </w:tc>
        <w:tc>
          <w:tcPr>
            <w:tcW w:w="60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946</w:t>
            </w:r>
          </w:p>
        </w:tc>
      </w:tr>
      <w:tr>
        <w:trPr/>
        <w:tc>
          <w:tcPr>
            <w:tcW w:w="9600" w:type="dxa"/>
            <w:tcBorders>
              <w:left w:val="single" w:sz="8" w:space="0" w:color="000000"/>
              <w:bottom w:val="single" w:sz="8" w:space="0" w:color="000000"/>
            </w:tcBorders>
            <w:shd w:fill="FFFFFF" w:val="clear"/>
            <w:tcMar>
              <w:left w:w="70" w:type="dxa"/>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Male</w:t>
            </w:r>
          </w:p>
        </w:tc>
        <w:tc>
          <w:tcPr>
            <w:tcW w:w="605" w:type="dxa"/>
            <w:tcBorders>
              <w:bottom w:val="single" w:sz="8" w:space="0" w:color="000000"/>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628</w:t>
            </w:r>
          </w:p>
        </w:tc>
      </w:tr>
    </w:tbl>
    <w:p>
      <w:pPr>
        <w:pStyle w:val="TextBody"/>
        <w:bidi w:val="0"/>
        <w:spacing w:before="0" w:after="0"/>
        <w:ind w:left="0" w:right="0" w:hanging="0"/>
        <w:jc w:val="both"/>
        <w:rPr>
          <w:rFonts w:ascii="Arial" w:hAnsi="Arial"/>
          <w:b w:val="false"/>
          <w:i w:val="false"/>
          <w:caps w:val="false"/>
          <w:smallCaps w:val="false"/>
          <w:color w:val="404040"/>
          <w:sz w:val="16"/>
        </w:rPr>
      </w:pPr>
      <w:r>
        <w:rPr>
          <w:rFonts w:ascii="Arial" w:hAnsi="Arial"/>
          <w:b w:val="false"/>
          <w:i w:val="false"/>
          <w:caps w:val="false"/>
          <w:smallCaps w:val="false"/>
          <w:color w:val="404040"/>
          <w:sz w:val="16"/>
        </w:rPr>
        <w:t>(*) Due to an adjustment in the calculation methodology, the 2023 data are not comparative with those reported in previous years.</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77</w:t>
      </w:r>
    </w:p>
    <w:p>
      <w:pPr>
        <w:pStyle w:val="HorizontalLine"/>
        <w:pBdr>
          <w:bottom w:val="single" w:sz="12" w:space="0" w:color="808080"/>
        </w:pBdr>
        <w:bidi w:val="0"/>
        <w:spacing w:before="200" w:after="200"/>
        <w:jc w:val="right"/>
        <w:rPr/>
      </w:pPr>
      <w:r>
        <w:rPr/>
      </w:r>
    </w:p>
    <w:tbl>
      <w:tblPr>
        <w:tblW w:w="10205" w:type="dxa"/>
        <w:jc w:val="left"/>
        <w:tblInd w:w="0" w:type="dxa"/>
        <w:tblLayout w:type="fixed"/>
        <w:tblCellMar>
          <w:top w:w="0" w:type="dxa"/>
          <w:left w:w="0" w:type="dxa"/>
          <w:bottom w:w="0" w:type="dxa"/>
          <w:right w:w="0" w:type="dxa"/>
        </w:tblCellMar>
      </w:tblPr>
      <w:tblGrid>
        <w:gridCol w:w="9600"/>
        <w:gridCol w:w="605"/>
      </w:tblGrid>
      <w:tr>
        <w:trPr/>
        <w:tc>
          <w:tcPr>
            <w:tcW w:w="9600" w:type="dxa"/>
            <w:vMerge w:val="restart"/>
            <w:tcBorders/>
            <w:shd w:fill="000000" w:val="clear"/>
            <w:vAlign w:val="center"/>
          </w:tcPr>
          <w:p>
            <w:pPr>
              <w:pStyle w:val="TableContents"/>
              <w:bidi w:val="0"/>
              <w:spacing w:before="0" w:after="283"/>
              <w:jc w:val="left"/>
              <w:rPr>
                <w:rFonts w:ascii="Arial" w:hAnsi="Arial"/>
                <w:b/>
                <w:color w:val="FFFFFF"/>
                <w:sz w:val="16"/>
              </w:rPr>
            </w:pPr>
            <w:r>
              <w:rPr>
                <w:rFonts w:ascii="Arial" w:hAnsi="Arial"/>
                <w:b/>
                <w:color w:val="FFFFFF"/>
                <w:sz w:val="16"/>
              </w:rPr>
              <w:t>GRI 401-3 Return to work rate</w:t>
            </w:r>
          </w:p>
        </w:tc>
        <w:tc>
          <w:tcPr>
            <w:tcW w:w="605" w:type="dxa"/>
            <w:tcBorders/>
            <w:shd w:fill="000000" w:val="clear"/>
            <w:vAlign w:val="center"/>
          </w:tcPr>
          <w:p>
            <w:pPr>
              <w:pStyle w:val="TableContents"/>
              <w:bidi w:val="0"/>
              <w:spacing w:before="0" w:after="283"/>
              <w:jc w:val="center"/>
              <w:rPr>
                <w:rFonts w:ascii="Arial" w:hAnsi="Arial"/>
                <w:b/>
                <w:color w:val="FFFFFF"/>
                <w:sz w:val="16"/>
              </w:rPr>
            </w:pPr>
            <w:r>
              <w:rPr>
                <w:rFonts w:ascii="Arial" w:hAnsi="Arial"/>
                <w:b/>
                <w:color w:val="FFFFFF"/>
                <w:sz w:val="16"/>
              </w:rPr>
              <w:t>TOTAL</w:t>
            </w:r>
          </w:p>
        </w:tc>
      </w:tr>
      <w:tr>
        <w:trPr/>
        <w:tc>
          <w:tcPr>
            <w:tcW w:w="9600" w:type="dxa"/>
            <w:vMerge w:val="continue"/>
            <w:tcBorders/>
            <w:shd w:fill="000000" w:val="clear"/>
            <w:vAlign w:val="center"/>
          </w:tcPr>
          <w:p>
            <w:pPr>
              <w:pStyle w:val="Normal"/>
              <w:bidi w:val="0"/>
              <w:jc w:val="left"/>
              <w:rPr/>
            </w:pPr>
            <w:r>
              <w:rPr/>
            </w:r>
          </w:p>
        </w:tc>
        <w:tc>
          <w:tcPr>
            <w:tcW w:w="605" w:type="dxa"/>
            <w:tcBorders/>
            <w:shd w:fill="000000" w:val="clear"/>
            <w:vAlign w:val="center"/>
          </w:tcPr>
          <w:p>
            <w:pPr>
              <w:pStyle w:val="TableContents"/>
              <w:bidi w:val="0"/>
              <w:spacing w:before="0" w:after="283"/>
              <w:jc w:val="center"/>
              <w:rPr>
                <w:rFonts w:ascii="Arial" w:hAnsi="Arial"/>
                <w:b/>
                <w:color w:val="FFFFFF"/>
                <w:sz w:val="16"/>
              </w:rPr>
            </w:pPr>
            <w:r>
              <w:rPr>
                <w:rFonts w:ascii="Arial" w:hAnsi="Arial"/>
                <w:b/>
                <w:color w:val="FFFFFF"/>
                <w:sz w:val="16"/>
              </w:rPr>
              <w:t>2023</w:t>
            </w:r>
          </w:p>
        </w:tc>
      </w:tr>
      <w:tr>
        <w:trPr/>
        <w:tc>
          <w:tcPr>
            <w:tcW w:w="9600" w:type="dxa"/>
            <w:tcBorders>
              <w:top w:val="single" w:sz="8" w:space="0" w:color="000000"/>
              <w:left w:val="single" w:sz="8" w:space="0" w:color="000000"/>
              <w:bottom w:val="single" w:sz="8" w:space="0" w:color="BFBFBF"/>
            </w:tcBorders>
            <w:shd w:fill="808080" w:val="clear"/>
            <w:tcMar>
              <w:top w:w="28" w:type="dxa"/>
              <w:left w:w="70" w:type="dxa"/>
              <w:bottom w:w="28" w:type="dxa"/>
            </w:tcMar>
            <w:vAlign w:val="center"/>
          </w:tcPr>
          <w:p>
            <w:pPr>
              <w:pStyle w:val="TableContents"/>
              <w:bidi w:val="0"/>
              <w:spacing w:before="0" w:after="283"/>
              <w:jc w:val="left"/>
              <w:rPr>
                <w:rFonts w:ascii="Arial" w:hAnsi="Arial"/>
                <w:b/>
                <w:color w:val="FFFFFF"/>
                <w:sz w:val="16"/>
              </w:rPr>
            </w:pPr>
            <w:r>
              <w:rPr>
                <w:rFonts w:ascii="Arial" w:hAnsi="Arial"/>
                <w:b/>
                <w:color w:val="FFFFFF"/>
                <w:sz w:val="16"/>
              </w:rPr>
              <w:t>Rate of return to work of employees who took parental leave, by gender.</w:t>
            </w:r>
          </w:p>
        </w:tc>
        <w:tc>
          <w:tcPr>
            <w:tcW w:w="605" w:type="dxa"/>
            <w:tcBorders>
              <w:bottom w:val="single" w:sz="8" w:space="0" w:color="BFBFBF"/>
            </w:tcBorders>
            <w:tcMar>
              <w:bottom w:w="28" w:type="dxa"/>
            </w:tcMar>
            <w:vAlign w:val="center"/>
          </w:tcPr>
          <w:p>
            <w:pPr>
              <w:pStyle w:val="TableContents"/>
              <w:bidi w:val="0"/>
              <w:spacing w:before="0" w:after="283"/>
              <w:jc w:val="center"/>
              <w:rPr>
                <w:rFonts w:ascii="Arial" w:hAnsi="Arial"/>
                <w:b/>
                <w:color w:val="404040"/>
                <w:sz w:val="16"/>
              </w:rPr>
            </w:pPr>
            <w:r>
              <w:rPr>
                <w:rFonts w:ascii="Arial" w:hAnsi="Arial"/>
                <w:b/>
                <w:color w:val="404040"/>
                <w:sz w:val="16"/>
              </w:rPr>
              <w:t>93.9%</w:t>
            </w:r>
          </w:p>
        </w:tc>
      </w:tr>
      <w:tr>
        <w:trPr/>
        <w:tc>
          <w:tcPr>
            <w:tcW w:w="9600"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color w:val="404040"/>
                <w:sz w:val="16"/>
              </w:rPr>
            </w:pPr>
            <w:r>
              <w:rPr>
                <w:rFonts w:ascii="Arial" w:hAnsi="Arial"/>
                <w:color w:val="404040"/>
                <w:sz w:val="16"/>
              </w:rPr>
              <w:t>Female</w:t>
            </w:r>
          </w:p>
        </w:tc>
        <w:tc>
          <w:tcPr>
            <w:tcW w:w="605" w:type="dxa"/>
            <w:tcBorders>
              <w:bottom w:val="single" w:sz="8" w:space="0" w:color="BFBFBF"/>
            </w:tcBorders>
            <w:tcMar>
              <w:bottom w:w="28" w:type="dxa"/>
            </w:tcMar>
            <w:vAlign w:val="center"/>
          </w:tcPr>
          <w:p>
            <w:pPr>
              <w:pStyle w:val="TableContents"/>
              <w:bidi w:val="0"/>
              <w:spacing w:before="0" w:after="283"/>
              <w:jc w:val="center"/>
              <w:rPr>
                <w:rFonts w:ascii="Arial" w:hAnsi="Arial"/>
                <w:color w:val="404040"/>
                <w:sz w:val="16"/>
              </w:rPr>
            </w:pPr>
            <w:r>
              <w:rPr>
                <w:rFonts w:ascii="Arial" w:hAnsi="Arial"/>
                <w:color w:val="404040"/>
                <w:sz w:val="16"/>
              </w:rPr>
              <w:t>92.7%</w:t>
            </w:r>
          </w:p>
        </w:tc>
      </w:tr>
      <w:tr>
        <w:trPr/>
        <w:tc>
          <w:tcPr>
            <w:tcW w:w="9600"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color w:val="404040"/>
                <w:sz w:val="16"/>
              </w:rPr>
            </w:pPr>
            <w:r>
              <w:rPr>
                <w:rFonts w:ascii="Arial" w:hAnsi="Arial"/>
                <w:color w:val="404040"/>
                <w:sz w:val="16"/>
              </w:rPr>
              <w:t>Male</w:t>
            </w:r>
          </w:p>
        </w:tc>
        <w:tc>
          <w:tcPr>
            <w:tcW w:w="605" w:type="dxa"/>
            <w:tcBorders>
              <w:bottom w:val="single" w:sz="8" w:space="0" w:color="BFBFBF"/>
            </w:tcBorders>
            <w:tcMar>
              <w:bottom w:w="28" w:type="dxa"/>
            </w:tcMar>
            <w:vAlign w:val="center"/>
          </w:tcPr>
          <w:p>
            <w:pPr>
              <w:pStyle w:val="TableContents"/>
              <w:bidi w:val="0"/>
              <w:spacing w:before="0" w:after="283"/>
              <w:jc w:val="center"/>
              <w:rPr>
                <w:rFonts w:ascii="Arial" w:hAnsi="Arial"/>
                <w:color w:val="404040"/>
                <w:sz w:val="16"/>
              </w:rPr>
            </w:pPr>
            <w:r>
              <w:rPr>
                <w:rFonts w:ascii="Arial" w:hAnsi="Arial"/>
                <w:color w:val="404040"/>
                <w:sz w:val="16"/>
              </w:rPr>
              <w:t>95.7%</w:t>
            </w:r>
          </w:p>
        </w:tc>
      </w:tr>
      <w:tr>
        <w:trPr/>
        <w:tc>
          <w:tcPr>
            <w:tcW w:w="9600" w:type="dxa"/>
            <w:tcBorders>
              <w:bottom w:val="single" w:sz="8" w:space="0" w:color="BFBFBF"/>
            </w:tcBorders>
            <w:shd w:fill="808080" w:val="clear"/>
            <w:tcMar>
              <w:bottom w:w="28" w:type="dxa"/>
            </w:tcMar>
            <w:vAlign w:val="center"/>
          </w:tcPr>
          <w:p>
            <w:pPr>
              <w:pStyle w:val="TableContents"/>
              <w:bidi w:val="0"/>
              <w:spacing w:before="0" w:after="283"/>
              <w:jc w:val="left"/>
              <w:rPr/>
            </w:pPr>
            <w:r>
              <w:rPr>
                <w:rFonts w:ascii="Arial" w:hAnsi="Arial"/>
                <w:b/>
                <w:color w:val="FFFFFF"/>
                <w:sz w:val="16"/>
              </w:rPr>
              <w:t>Retention rate</w:t>
            </w:r>
            <w:r>
              <w:rPr>
                <w:rFonts w:ascii="Arial" w:hAnsi="Arial"/>
                <w:sz w:val="16"/>
              </w:rPr>
              <w:br/>
            </w:r>
            <w:r>
              <w:rPr>
                <w:rFonts w:ascii="Arial" w:hAnsi="Arial"/>
                <w:color w:val="FFFFFF"/>
                <w:sz w:val="16"/>
              </w:rPr>
              <w:t>(The total number of employees retained 12 months after returning to work following a period of parental leave/Total number of employees returning from parental leave in the prior reporting period(s)*100</w:t>
            </w:r>
          </w:p>
        </w:tc>
        <w:tc>
          <w:tcPr>
            <w:tcW w:w="605" w:type="dxa"/>
            <w:tcBorders>
              <w:bottom w:val="single" w:sz="8" w:space="0" w:color="BFBFBF"/>
            </w:tcBorders>
            <w:tcMar>
              <w:bottom w:w="28" w:type="dxa"/>
            </w:tcMar>
            <w:vAlign w:val="center"/>
          </w:tcPr>
          <w:p>
            <w:pPr>
              <w:pStyle w:val="TableContents"/>
              <w:bidi w:val="0"/>
              <w:spacing w:before="0" w:after="283"/>
              <w:jc w:val="center"/>
              <w:rPr>
                <w:rFonts w:ascii="Arial" w:hAnsi="Arial"/>
                <w:b/>
                <w:color w:val="404040"/>
                <w:sz w:val="16"/>
              </w:rPr>
            </w:pPr>
            <w:r>
              <w:rPr>
                <w:rFonts w:ascii="Arial" w:hAnsi="Arial"/>
                <w:b/>
                <w:color w:val="404040"/>
                <w:sz w:val="16"/>
              </w:rPr>
              <w:t>92.0%</w:t>
            </w:r>
          </w:p>
        </w:tc>
      </w:tr>
      <w:tr>
        <w:trPr/>
        <w:tc>
          <w:tcPr>
            <w:tcW w:w="9600"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color w:val="404040"/>
                <w:sz w:val="16"/>
              </w:rPr>
            </w:pPr>
            <w:r>
              <w:rPr>
                <w:rFonts w:ascii="Arial" w:hAnsi="Arial"/>
                <w:color w:val="404040"/>
                <w:sz w:val="16"/>
              </w:rPr>
              <w:t>Female</w:t>
            </w:r>
          </w:p>
        </w:tc>
        <w:tc>
          <w:tcPr>
            <w:tcW w:w="605" w:type="dxa"/>
            <w:tcBorders>
              <w:bottom w:val="single" w:sz="8" w:space="0" w:color="BFBFBF"/>
            </w:tcBorders>
            <w:tcMar>
              <w:bottom w:w="28" w:type="dxa"/>
            </w:tcMar>
            <w:vAlign w:val="center"/>
          </w:tcPr>
          <w:p>
            <w:pPr>
              <w:pStyle w:val="TableContents"/>
              <w:bidi w:val="0"/>
              <w:spacing w:before="0" w:after="283"/>
              <w:jc w:val="center"/>
              <w:rPr>
                <w:rFonts w:ascii="Arial" w:hAnsi="Arial"/>
                <w:color w:val="404040"/>
                <w:sz w:val="16"/>
              </w:rPr>
            </w:pPr>
            <w:r>
              <w:rPr>
                <w:rFonts w:ascii="Arial" w:hAnsi="Arial"/>
                <w:color w:val="404040"/>
                <w:sz w:val="16"/>
              </w:rPr>
              <w:t>89.5%</w:t>
            </w:r>
          </w:p>
        </w:tc>
      </w:tr>
      <w:tr>
        <w:trPr/>
        <w:tc>
          <w:tcPr>
            <w:tcW w:w="9600"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color w:val="404040"/>
                <w:sz w:val="16"/>
              </w:rPr>
            </w:pPr>
            <w:r>
              <w:rPr>
                <w:rFonts w:ascii="Arial" w:hAnsi="Arial"/>
                <w:color w:val="404040"/>
                <w:sz w:val="16"/>
              </w:rPr>
              <w:t>Male</w:t>
            </w:r>
          </w:p>
        </w:tc>
        <w:tc>
          <w:tcPr>
            <w:tcW w:w="605" w:type="dxa"/>
            <w:tcBorders>
              <w:bottom w:val="single" w:sz="8" w:space="0" w:color="BFBFBF"/>
            </w:tcBorders>
            <w:tcMar>
              <w:bottom w:w="28" w:type="dxa"/>
            </w:tcMar>
            <w:vAlign w:val="center"/>
          </w:tcPr>
          <w:p>
            <w:pPr>
              <w:pStyle w:val="TableContents"/>
              <w:bidi w:val="0"/>
              <w:spacing w:before="0" w:after="283"/>
              <w:jc w:val="center"/>
              <w:rPr>
                <w:rFonts w:ascii="Arial" w:hAnsi="Arial"/>
                <w:color w:val="404040"/>
                <w:sz w:val="16"/>
              </w:rPr>
            </w:pPr>
            <w:r>
              <w:rPr>
                <w:rFonts w:ascii="Arial" w:hAnsi="Arial"/>
                <w:color w:val="404040"/>
                <w:sz w:val="16"/>
              </w:rPr>
              <w:t>95.7%</w:t>
            </w:r>
          </w:p>
        </w:tc>
      </w:tr>
    </w:tbl>
    <w:p>
      <w:pPr>
        <w:pStyle w:val="TextBody"/>
        <w:bidi w:val="0"/>
        <w:spacing w:before="0" w:after="0"/>
        <w:ind w:left="0" w:right="0" w:hanging="0"/>
        <w:jc w:val="left"/>
        <w:rPr>
          <w:caps w:val="false"/>
          <w:smallCaps w:val="false"/>
          <w:color w:val="FE5000"/>
        </w:rPr>
      </w:pPr>
      <w:r>
        <w:rPr>
          <w:caps w:val="false"/>
          <w:smallCaps w:val="false"/>
          <w:color w:val="FE5000"/>
        </w:rPr>
        <w:t> </w:t>
      </w:r>
    </w:p>
    <w:tbl>
      <w:tblPr>
        <w:tblW w:w="8505" w:type="dxa"/>
        <w:jc w:val="left"/>
        <w:tblInd w:w="0" w:type="dxa"/>
        <w:tblLayout w:type="fixed"/>
        <w:tblCellMar>
          <w:top w:w="0" w:type="dxa"/>
          <w:left w:w="0" w:type="dxa"/>
          <w:bottom w:w="0" w:type="dxa"/>
          <w:right w:w="0" w:type="dxa"/>
        </w:tblCellMar>
      </w:tblPr>
      <w:tblGrid>
        <w:gridCol w:w="7685"/>
        <w:gridCol w:w="515"/>
        <w:gridCol w:w="305"/>
      </w:tblGrid>
      <w:tr>
        <w:trPr/>
        <w:tc>
          <w:tcPr>
            <w:tcW w:w="7685" w:type="dxa"/>
            <w:tcBorders/>
            <w:shd w:fill="000000" w:val="clear"/>
            <w:vAlign w:val="center"/>
          </w:tcPr>
          <w:p>
            <w:pPr>
              <w:pStyle w:val="TableContents"/>
              <w:bidi w:val="0"/>
              <w:spacing w:lineRule="auto" w:line="240" w:before="0" w:after="283"/>
              <w:jc w:val="left"/>
              <w:rPr>
                <w:rFonts w:ascii="Arial" w:hAnsi="Arial"/>
                <w:b/>
                <w:color w:val="FFFFFF"/>
                <w:sz w:val="16"/>
              </w:rPr>
            </w:pPr>
            <w:r>
              <w:rPr>
                <w:rFonts w:ascii="Arial" w:hAnsi="Arial"/>
                <w:b/>
                <w:color w:val="FFFFFF"/>
                <w:sz w:val="16"/>
              </w:rPr>
              <w:t>GRI 403-8 Coverage of the occupational health and safety system in the workplace73</w:t>
            </w:r>
          </w:p>
        </w:tc>
        <w:tc>
          <w:tcPr>
            <w:tcW w:w="515" w:type="dxa"/>
            <w:tcBorders/>
            <w:shd w:fill="000000" w:val="clear"/>
            <w:vAlign w:val="center"/>
          </w:tcPr>
          <w:p>
            <w:pPr>
              <w:pStyle w:val="TableContents"/>
              <w:bidi w:val="0"/>
              <w:spacing w:before="0" w:after="283"/>
              <w:jc w:val="center"/>
              <w:rPr>
                <w:rFonts w:ascii="Arial" w:hAnsi="Arial"/>
                <w:b/>
                <w:color w:val="FFFFFF"/>
                <w:sz w:val="16"/>
              </w:rPr>
            </w:pPr>
            <w:r>
              <w:rPr>
                <w:rFonts w:ascii="Arial" w:hAnsi="Arial"/>
                <w:b/>
                <w:color w:val="FFFFFF"/>
                <w:sz w:val="16"/>
              </w:rPr>
              <w:t>Q</w:t>
            </w:r>
          </w:p>
        </w:tc>
        <w:tc>
          <w:tcPr>
            <w:tcW w:w="305" w:type="dxa"/>
            <w:tcBorders/>
            <w:shd w:fill="000000" w:val="clear"/>
            <w:vAlign w:val="center"/>
          </w:tcPr>
          <w:p>
            <w:pPr>
              <w:pStyle w:val="TableContents"/>
              <w:bidi w:val="0"/>
              <w:spacing w:before="0" w:after="283"/>
              <w:jc w:val="center"/>
              <w:rPr>
                <w:rFonts w:ascii="Arial" w:hAnsi="Arial"/>
                <w:b/>
                <w:color w:val="FFFFFF"/>
                <w:sz w:val="16"/>
              </w:rPr>
            </w:pPr>
            <w:r>
              <w:rPr>
                <w:rFonts w:ascii="Arial" w:hAnsi="Arial"/>
                <w:b/>
                <w:color w:val="FFFFFF"/>
                <w:sz w:val="16"/>
              </w:rPr>
              <w:t>%</w:t>
            </w:r>
          </w:p>
        </w:tc>
      </w:tr>
      <w:tr>
        <w:trPr/>
        <w:tc>
          <w:tcPr>
            <w:tcW w:w="7685" w:type="dxa"/>
            <w:tcBorders/>
            <w:shd w:fill="808080" w:val="clear"/>
            <w:vAlign w:val="center"/>
          </w:tcPr>
          <w:p>
            <w:pPr>
              <w:pStyle w:val="TableContents"/>
              <w:bidi w:val="0"/>
              <w:spacing w:before="0" w:after="283"/>
              <w:jc w:val="left"/>
              <w:rPr>
                <w:rFonts w:ascii="Arial" w:hAnsi="Arial"/>
                <w:b/>
                <w:color w:val="FFFFFF"/>
                <w:sz w:val="16"/>
              </w:rPr>
            </w:pPr>
            <w:r>
              <w:rPr>
                <w:rFonts w:ascii="Arial" w:hAnsi="Arial"/>
                <w:b/>
                <w:color w:val="FFFFFF"/>
                <w:sz w:val="16"/>
              </w:rPr>
              <w:t>The occupational health and safety management system</w:t>
            </w:r>
          </w:p>
        </w:tc>
        <w:tc>
          <w:tcPr>
            <w:tcW w:w="515" w:type="dxa"/>
            <w:tcBorders/>
            <w:shd w:fill="808080" w:val="clear"/>
            <w:vAlign w:val="center"/>
          </w:tcPr>
          <w:p>
            <w:pPr>
              <w:pStyle w:val="TableContents"/>
              <w:bidi w:val="0"/>
              <w:spacing w:before="0" w:after="283"/>
              <w:jc w:val="center"/>
              <w:rPr/>
            </w:pPr>
            <w:r>
              <w:rPr/>
              <w:t> </w:t>
            </w:r>
          </w:p>
        </w:tc>
        <w:tc>
          <w:tcPr>
            <w:tcW w:w="305" w:type="dxa"/>
            <w:tcBorders/>
            <w:shd w:fill="808080" w:val="clear"/>
            <w:vAlign w:val="center"/>
          </w:tcPr>
          <w:p>
            <w:pPr>
              <w:pStyle w:val="TableContents"/>
              <w:bidi w:val="0"/>
              <w:spacing w:before="0" w:after="283"/>
              <w:jc w:val="left"/>
              <w:rPr/>
            </w:pPr>
            <w:r>
              <w:rPr/>
              <w:t> </w:t>
            </w:r>
          </w:p>
        </w:tc>
      </w:tr>
      <w:tr>
        <w:trPr/>
        <w:tc>
          <w:tcPr>
            <w:tcW w:w="7685" w:type="dxa"/>
            <w:tcBorders>
              <w:bottom w:val="single" w:sz="8" w:space="0" w:color="BFBFBF"/>
            </w:tcBorders>
            <w:tcMar>
              <w:bottom w:w="28" w:type="dxa"/>
            </w:tcMar>
            <w:vAlign w:val="center"/>
          </w:tcPr>
          <w:p>
            <w:pPr>
              <w:pStyle w:val="TableContents"/>
              <w:bidi w:val="0"/>
              <w:spacing w:before="0" w:after="283"/>
              <w:jc w:val="left"/>
              <w:rPr/>
            </w:pPr>
            <w:r>
              <w:rPr/>
              <w:t> </w:t>
            </w:r>
            <w:r>
              <w:rPr>
                <w:rFonts w:ascii="Arial" w:hAnsi="Arial"/>
                <w:sz w:val="16"/>
              </w:rPr>
              <w:t xml:space="preserve">Employees covered by the Occupational Health and Safety Management System </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sz w:val="16"/>
              </w:rPr>
            </w:pPr>
            <w:r>
              <w:rPr>
                <w:rFonts w:ascii="Arial" w:hAnsi="Arial"/>
                <w:sz w:val="16"/>
              </w:rPr>
              <w:t>31,689</w:t>
            </w:r>
          </w:p>
        </w:tc>
        <w:tc>
          <w:tcPr>
            <w:tcW w:w="305" w:type="dxa"/>
            <w:tcBorders>
              <w:bottom w:val="single" w:sz="8" w:space="0" w:color="BFBFBF"/>
            </w:tcBorders>
            <w:tcMar>
              <w:bottom w:w="28" w:type="dxa"/>
            </w:tcMar>
            <w:vAlign w:val="center"/>
          </w:tcPr>
          <w:p>
            <w:pPr>
              <w:pStyle w:val="TableContents"/>
              <w:bidi w:val="0"/>
              <w:spacing w:before="0" w:after="283"/>
              <w:jc w:val="center"/>
              <w:rPr>
                <w:rFonts w:ascii="Arial" w:hAnsi="Arial"/>
                <w:sz w:val="16"/>
              </w:rPr>
            </w:pPr>
            <w:r>
              <w:rPr>
                <w:rFonts w:ascii="Arial" w:hAnsi="Arial"/>
                <w:sz w:val="16"/>
              </w:rPr>
              <w:t>100</w:t>
            </w:r>
          </w:p>
        </w:tc>
      </w:tr>
      <w:tr>
        <w:trPr/>
        <w:tc>
          <w:tcPr>
            <w:tcW w:w="7685" w:type="dxa"/>
            <w:tcBorders>
              <w:bottom w:val="single" w:sz="8" w:space="0" w:color="BFBFBF"/>
            </w:tcBorders>
            <w:tcMar>
              <w:bottom w:w="28" w:type="dxa"/>
            </w:tcMar>
            <w:vAlign w:val="center"/>
          </w:tcPr>
          <w:p>
            <w:pPr>
              <w:pStyle w:val="TableContents"/>
              <w:bidi w:val="0"/>
              <w:spacing w:before="0" w:after="283"/>
              <w:jc w:val="left"/>
              <w:rPr/>
            </w:pPr>
            <w:r>
              <w:rPr/>
              <w:t> </w:t>
            </w:r>
            <w:r>
              <w:rPr>
                <w:rFonts w:ascii="Arial" w:hAnsi="Arial"/>
                <w:sz w:val="16"/>
              </w:rPr>
              <w:t xml:space="preserve">Contractors covered by the occupational health and safety management system </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sz w:val="16"/>
              </w:rPr>
            </w:pPr>
            <w:r>
              <w:rPr>
                <w:rFonts w:ascii="Arial" w:hAnsi="Arial"/>
                <w:sz w:val="16"/>
              </w:rPr>
              <w:t>0%</w:t>
            </w:r>
          </w:p>
        </w:tc>
        <w:tc>
          <w:tcPr>
            <w:tcW w:w="305"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sz w:val="16"/>
              </w:rPr>
            </w:pPr>
            <w:r>
              <w:rPr>
                <w:rFonts w:ascii="Arial" w:hAnsi="Arial"/>
                <w:sz w:val="16"/>
              </w:rPr>
              <w:t>-</w:t>
            </w:r>
          </w:p>
        </w:tc>
      </w:tr>
      <w:tr>
        <w:trPr/>
        <w:tc>
          <w:tcPr>
            <w:tcW w:w="7685" w:type="dxa"/>
            <w:tcBorders/>
            <w:shd w:fill="808080" w:val="clear"/>
            <w:vAlign w:val="center"/>
          </w:tcPr>
          <w:p>
            <w:pPr>
              <w:pStyle w:val="TableContents"/>
              <w:bidi w:val="0"/>
              <w:spacing w:before="0" w:after="283"/>
              <w:jc w:val="left"/>
              <w:rPr>
                <w:rFonts w:ascii="Arial" w:hAnsi="Arial"/>
                <w:b/>
                <w:color w:val="FFFFFF"/>
                <w:sz w:val="16"/>
              </w:rPr>
            </w:pPr>
            <w:r>
              <w:rPr>
                <w:rFonts w:ascii="Arial" w:hAnsi="Arial"/>
                <w:b/>
                <w:color w:val="FFFFFF"/>
                <w:sz w:val="16"/>
              </w:rPr>
              <w:t>Occupational health and safety management system with internal audit</w:t>
            </w:r>
          </w:p>
        </w:tc>
        <w:tc>
          <w:tcPr>
            <w:tcW w:w="515" w:type="dxa"/>
            <w:tcBorders/>
            <w:shd w:fill="808080" w:val="clear"/>
            <w:vAlign w:val="center"/>
          </w:tcPr>
          <w:p>
            <w:pPr>
              <w:pStyle w:val="TableContents"/>
              <w:bidi w:val="0"/>
              <w:spacing w:before="0" w:after="283"/>
              <w:jc w:val="center"/>
              <w:rPr/>
            </w:pPr>
            <w:r>
              <w:rPr/>
              <w:t> </w:t>
            </w:r>
          </w:p>
        </w:tc>
        <w:tc>
          <w:tcPr>
            <w:tcW w:w="305" w:type="dxa"/>
            <w:tcBorders/>
            <w:shd w:fill="808080" w:val="clear"/>
            <w:vAlign w:val="center"/>
          </w:tcPr>
          <w:p>
            <w:pPr>
              <w:pStyle w:val="TableContents"/>
              <w:bidi w:val="0"/>
              <w:spacing w:before="0" w:after="283"/>
              <w:jc w:val="center"/>
              <w:rPr/>
            </w:pPr>
            <w:r>
              <w:rPr/>
              <w:t> </w:t>
            </w:r>
          </w:p>
        </w:tc>
      </w:tr>
      <w:tr>
        <w:trPr/>
        <w:tc>
          <w:tcPr>
            <w:tcW w:w="7685" w:type="dxa"/>
            <w:tcBorders>
              <w:bottom w:val="single" w:sz="8" w:space="0" w:color="BFBFBF"/>
            </w:tcBorders>
            <w:tcMar>
              <w:bottom w:w="28" w:type="dxa"/>
            </w:tcMar>
            <w:vAlign w:val="center"/>
          </w:tcPr>
          <w:p>
            <w:pPr>
              <w:pStyle w:val="TableContents"/>
              <w:bidi w:val="0"/>
              <w:spacing w:before="0" w:after="283"/>
              <w:jc w:val="left"/>
              <w:rPr/>
            </w:pPr>
            <w:r>
              <w:rPr/>
              <w:t> </w:t>
            </w:r>
            <w:r>
              <w:rPr>
                <w:rFonts w:ascii="Arial" w:hAnsi="Arial"/>
                <w:sz w:val="16"/>
              </w:rPr>
              <w:t xml:space="preserve">Employees covered by the occupational health and safety management system subject to internal audit </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sz w:val="16"/>
              </w:rPr>
            </w:pPr>
            <w:r>
              <w:rPr>
                <w:rFonts w:ascii="Arial" w:hAnsi="Arial"/>
                <w:sz w:val="16"/>
              </w:rPr>
              <w:t>31,689</w:t>
            </w:r>
          </w:p>
        </w:tc>
        <w:tc>
          <w:tcPr>
            <w:tcW w:w="305" w:type="dxa"/>
            <w:tcBorders>
              <w:bottom w:val="single" w:sz="8" w:space="0" w:color="BFBFBF"/>
            </w:tcBorders>
            <w:tcMar>
              <w:bottom w:w="28" w:type="dxa"/>
            </w:tcMar>
            <w:vAlign w:val="center"/>
          </w:tcPr>
          <w:p>
            <w:pPr>
              <w:pStyle w:val="TableContents"/>
              <w:bidi w:val="0"/>
              <w:spacing w:before="0" w:after="283"/>
              <w:jc w:val="center"/>
              <w:rPr>
                <w:rFonts w:ascii="Arial" w:hAnsi="Arial"/>
                <w:sz w:val="16"/>
              </w:rPr>
            </w:pPr>
            <w:r>
              <w:rPr>
                <w:rFonts w:ascii="Arial" w:hAnsi="Arial"/>
                <w:sz w:val="16"/>
              </w:rPr>
              <w:t>100</w:t>
            </w:r>
          </w:p>
        </w:tc>
      </w:tr>
      <w:tr>
        <w:trPr/>
        <w:tc>
          <w:tcPr>
            <w:tcW w:w="7685"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sz w:val="16"/>
              </w:rPr>
            </w:pPr>
            <w:r>
              <w:rPr>
                <w:rFonts w:ascii="Arial" w:hAnsi="Arial"/>
                <w:sz w:val="16"/>
              </w:rPr>
              <w:t>Contractors covered by the occupational health and safety management system subject to internal audit</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sz w:val="16"/>
              </w:rPr>
            </w:pPr>
            <w:r>
              <w:rPr>
                <w:rFonts w:ascii="Arial" w:hAnsi="Arial"/>
                <w:sz w:val="16"/>
              </w:rPr>
              <w:t>0%</w:t>
            </w:r>
          </w:p>
        </w:tc>
        <w:tc>
          <w:tcPr>
            <w:tcW w:w="305"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sz w:val="16"/>
              </w:rPr>
            </w:pPr>
            <w:r>
              <w:rPr>
                <w:rFonts w:ascii="Arial" w:hAnsi="Arial"/>
                <w:sz w:val="16"/>
              </w:rPr>
              <w:t>-</w:t>
            </w:r>
          </w:p>
        </w:tc>
      </w:tr>
      <w:tr>
        <w:trPr/>
        <w:tc>
          <w:tcPr>
            <w:tcW w:w="7685" w:type="dxa"/>
            <w:tcBorders/>
            <w:shd w:fill="808080" w:val="clear"/>
            <w:vAlign w:val="center"/>
          </w:tcPr>
          <w:p>
            <w:pPr>
              <w:pStyle w:val="TableContents"/>
              <w:bidi w:val="0"/>
              <w:spacing w:before="0" w:after="283"/>
              <w:jc w:val="left"/>
              <w:rPr>
                <w:rFonts w:ascii="Arial" w:hAnsi="Arial"/>
                <w:b/>
                <w:color w:val="FFFFFF"/>
                <w:sz w:val="16"/>
              </w:rPr>
            </w:pPr>
            <w:r>
              <w:rPr>
                <w:rFonts w:ascii="Arial" w:hAnsi="Arial"/>
                <w:b/>
                <w:color w:val="FFFFFF"/>
                <w:sz w:val="16"/>
              </w:rPr>
              <w:t>Occupational health and safety management system with external audit</w:t>
            </w:r>
          </w:p>
        </w:tc>
        <w:tc>
          <w:tcPr>
            <w:tcW w:w="515" w:type="dxa"/>
            <w:tcBorders/>
            <w:shd w:fill="808080" w:val="clear"/>
            <w:vAlign w:val="center"/>
          </w:tcPr>
          <w:p>
            <w:pPr>
              <w:pStyle w:val="TableContents"/>
              <w:bidi w:val="0"/>
              <w:spacing w:before="0" w:after="283"/>
              <w:jc w:val="center"/>
              <w:rPr/>
            </w:pPr>
            <w:r>
              <w:rPr/>
              <w:t> </w:t>
            </w:r>
          </w:p>
        </w:tc>
        <w:tc>
          <w:tcPr>
            <w:tcW w:w="305" w:type="dxa"/>
            <w:tcBorders/>
            <w:shd w:fill="808080" w:val="clear"/>
            <w:vAlign w:val="center"/>
          </w:tcPr>
          <w:p>
            <w:pPr>
              <w:pStyle w:val="TableContents"/>
              <w:bidi w:val="0"/>
              <w:spacing w:before="0" w:after="283"/>
              <w:jc w:val="center"/>
              <w:rPr/>
            </w:pPr>
            <w:r>
              <w:rPr/>
              <w:t> </w:t>
            </w:r>
          </w:p>
        </w:tc>
      </w:tr>
      <w:tr>
        <w:trPr/>
        <w:tc>
          <w:tcPr>
            <w:tcW w:w="7685" w:type="dxa"/>
            <w:tcBorders>
              <w:bottom w:val="single" w:sz="8" w:space="0" w:color="BFBFBF"/>
            </w:tcBorders>
            <w:tcMar>
              <w:bottom w:w="28" w:type="dxa"/>
            </w:tcMar>
            <w:vAlign w:val="center"/>
          </w:tcPr>
          <w:p>
            <w:pPr>
              <w:pStyle w:val="TableContents"/>
              <w:bidi w:val="0"/>
              <w:spacing w:before="0" w:after="283"/>
              <w:jc w:val="left"/>
              <w:rPr/>
            </w:pPr>
            <w:r>
              <w:rPr/>
              <w:t> </w:t>
            </w:r>
            <w:r>
              <w:rPr>
                <w:rFonts w:ascii="Arial" w:hAnsi="Arial"/>
                <w:sz w:val="16"/>
              </w:rPr>
              <w:t xml:space="preserve">Employees covered by the occupational health and safety management system subject to external audit </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sz w:val="16"/>
              </w:rPr>
            </w:pPr>
            <w:r>
              <w:rPr>
                <w:rFonts w:ascii="Arial" w:hAnsi="Arial"/>
                <w:sz w:val="16"/>
              </w:rPr>
              <w:t>31,689</w:t>
            </w:r>
          </w:p>
        </w:tc>
        <w:tc>
          <w:tcPr>
            <w:tcW w:w="305" w:type="dxa"/>
            <w:tcBorders>
              <w:bottom w:val="single" w:sz="8" w:space="0" w:color="BFBFBF"/>
            </w:tcBorders>
            <w:tcMar>
              <w:bottom w:w="28" w:type="dxa"/>
            </w:tcMar>
            <w:vAlign w:val="center"/>
          </w:tcPr>
          <w:p>
            <w:pPr>
              <w:pStyle w:val="TableContents"/>
              <w:bidi w:val="0"/>
              <w:spacing w:before="0" w:after="283"/>
              <w:jc w:val="center"/>
              <w:rPr>
                <w:rFonts w:ascii="Arial" w:hAnsi="Arial"/>
                <w:sz w:val="16"/>
              </w:rPr>
            </w:pPr>
            <w:r>
              <w:rPr>
                <w:rFonts w:ascii="Arial" w:hAnsi="Arial"/>
                <w:sz w:val="16"/>
              </w:rPr>
              <w:t>100</w:t>
            </w:r>
          </w:p>
        </w:tc>
      </w:tr>
      <w:tr>
        <w:trPr/>
        <w:tc>
          <w:tcPr>
            <w:tcW w:w="7685"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sz w:val="16"/>
              </w:rPr>
            </w:pPr>
            <w:r>
              <w:rPr>
                <w:rFonts w:ascii="Arial" w:hAnsi="Arial"/>
                <w:sz w:val="16"/>
              </w:rPr>
              <w:t>Contractors covered by the occupational health and safety management system subject to external audit</w:t>
            </w:r>
          </w:p>
        </w:tc>
        <w:tc>
          <w:tcPr>
            <w:tcW w:w="515" w:type="dxa"/>
            <w:tcBorders>
              <w:bottom w:val="single" w:sz="8" w:space="0" w:color="BFBFBF"/>
            </w:tcBorders>
            <w:tcMar>
              <w:bottom w:w="28" w:type="dxa"/>
            </w:tcMar>
            <w:vAlign w:val="center"/>
          </w:tcPr>
          <w:p>
            <w:pPr>
              <w:pStyle w:val="TableContents"/>
              <w:bidi w:val="0"/>
              <w:spacing w:before="0" w:after="283"/>
              <w:jc w:val="center"/>
              <w:rPr>
                <w:rFonts w:ascii="Arial" w:hAnsi="Arial"/>
                <w:sz w:val="16"/>
              </w:rPr>
            </w:pPr>
            <w:r>
              <w:rPr>
                <w:rFonts w:ascii="Arial" w:hAnsi="Arial"/>
                <w:sz w:val="16"/>
              </w:rPr>
              <w:t>0%</w:t>
            </w:r>
          </w:p>
        </w:tc>
        <w:tc>
          <w:tcPr>
            <w:tcW w:w="305"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sz w:val="16"/>
              </w:rPr>
            </w:pPr>
            <w:r>
              <w:rPr>
                <w:rFonts w:ascii="Arial" w:hAnsi="Arial"/>
                <w:sz w:val="16"/>
              </w:rPr>
              <w:t>-</w:t>
            </w:r>
          </w:p>
        </w:tc>
      </w:tr>
      <w:tr>
        <w:trPr/>
        <w:tc>
          <w:tcPr>
            <w:tcW w:w="7685" w:type="dxa"/>
            <w:tcBorders/>
            <w:shd w:fill="808080" w:val="clear"/>
            <w:vAlign w:val="center"/>
          </w:tcPr>
          <w:p>
            <w:pPr>
              <w:pStyle w:val="TableContents"/>
              <w:bidi w:val="0"/>
              <w:spacing w:before="0" w:after="283"/>
              <w:jc w:val="left"/>
              <w:rPr>
                <w:rFonts w:ascii="Arial" w:hAnsi="Arial"/>
                <w:b/>
                <w:color w:val="FFFFFF"/>
                <w:sz w:val="16"/>
              </w:rPr>
            </w:pPr>
            <w:r>
              <w:rPr>
                <w:rFonts w:ascii="Arial" w:hAnsi="Arial"/>
                <w:b/>
                <w:color w:val="FFFFFF"/>
                <w:sz w:val="16"/>
              </w:rPr>
              <w:t>TOTAL EMPLOYEES</w:t>
            </w:r>
          </w:p>
        </w:tc>
        <w:tc>
          <w:tcPr>
            <w:tcW w:w="820" w:type="dxa"/>
            <w:gridSpan w:val="2"/>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sz w:val="16"/>
              </w:rPr>
            </w:pPr>
            <w:r>
              <w:rPr>
                <w:rFonts w:ascii="Arial" w:hAnsi="Arial"/>
                <w:sz w:val="16"/>
              </w:rPr>
              <w:t>31,689</w:t>
            </w:r>
          </w:p>
        </w:tc>
      </w:tr>
      <w:tr>
        <w:trPr/>
        <w:tc>
          <w:tcPr>
            <w:tcW w:w="7685" w:type="dxa"/>
            <w:tcBorders/>
            <w:shd w:fill="808080" w:val="clear"/>
            <w:vAlign w:val="center"/>
          </w:tcPr>
          <w:p>
            <w:pPr>
              <w:pStyle w:val="TableContents"/>
              <w:bidi w:val="0"/>
              <w:spacing w:before="0" w:after="283"/>
              <w:jc w:val="left"/>
              <w:rPr>
                <w:rFonts w:ascii="Arial" w:hAnsi="Arial"/>
                <w:b/>
                <w:color w:val="FFFFFF"/>
                <w:sz w:val="16"/>
              </w:rPr>
            </w:pPr>
            <w:r>
              <w:rPr>
                <w:rFonts w:ascii="Arial" w:hAnsi="Arial"/>
                <w:b/>
                <w:color w:val="FFFFFF"/>
                <w:sz w:val="16"/>
              </w:rPr>
              <w:t>TOTAL CONTRACTORS</w:t>
            </w:r>
          </w:p>
        </w:tc>
        <w:tc>
          <w:tcPr>
            <w:tcW w:w="820" w:type="dxa"/>
            <w:gridSpan w:val="2"/>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sz w:val="16"/>
              </w:rPr>
            </w:pPr>
            <w:r>
              <w:rPr>
                <w:rFonts w:ascii="Arial" w:hAnsi="Arial"/>
                <w:sz w:val="16"/>
              </w:rPr>
              <w:t>0</w:t>
            </w:r>
          </w:p>
        </w:tc>
      </w:tr>
      <w:tr>
        <w:trPr/>
        <w:tc>
          <w:tcPr>
            <w:tcW w:w="7685" w:type="dxa"/>
            <w:tcBorders/>
            <w:shd w:fill="808080" w:val="clear"/>
            <w:vAlign w:val="center"/>
          </w:tcPr>
          <w:p>
            <w:pPr>
              <w:pStyle w:val="TableContents"/>
              <w:bidi w:val="0"/>
              <w:spacing w:before="0" w:after="283"/>
              <w:jc w:val="left"/>
              <w:rPr>
                <w:rFonts w:ascii="Arial" w:hAnsi="Arial"/>
                <w:b/>
                <w:color w:val="FFFFFF"/>
                <w:sz w:val="16"/>
              </w:rPr>
            </w:pPr>
            <w:r>
              <w:rPr>
                <w:rFonts w:ascii="Arial" w:hAnsi="Arial"/>
                <w:b/>
                <w:color w:val="FFFFFF"/>
                <w:sz w:val="16"/>
              </w:rPr>
              <w:t>TOTAL EMPLOYEES AND CONTRACTORS</w:t>
            </w:r>
          </w:p>
        </w:tc>
        <w:tc>
          <w:tcPr>
            <w:tcW w:w="820" w:type="dxa"/>
            <w:gridSpan w:val="2"/>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sz w:val="16"/>
              </w:rPr>
            </w:pPr>
            <w:r>
              <w:rPr>
                <w:rFonts w:ascii="Arial" w:hAnsi="Arial"/>
                <w:sz w:val="16"/>
              </w:rPr>
              <w:t>31,689</w:t>
            </w:r>
          </w:p>
        </w:tc>
      </w:tr>
    </w:tbl>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60" w:after="60"/>
        <w:jc w:val="left"/>
        <w:rPr>
          <w:caps w:val="false"/>
          <w:smallCaps w:val="false"/>
          <w:bdr w:val="single" w:sz="8" w:space="1" w:color="000000"/>
        </w:rPr>
      </w:pPr>
      <w:r>
        <w:rPr>
          <w:caps w:val="false"/>
          <w:smallCaps w:val="false"/>
          <w:bdr w:val="single" w:sz="8" w:space="1" w:color="000000"/>
        </w:rPr>
        <w:t> </w:t>
      </w:r>
    </w:p>
    <w:p>
      <w:pPr>
        <w:pStyle w:val="TextBody"/>
        <w:bidi w:val="0"/>
        <w:spacing w:lineRule="auto" w:line="240"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 xml:space="preserve">73  </w:t>
      </w:r>
      <w:r>
        <w:rPr>
          <w:rFonts w:ascii="Arial" w:hAnsi="Arial"/>
          <w:b w:val="false"/>
          <w:i w:val="false"/>
          <w:caps w:val="false"/>
          <w:smallCaps w:val="false"/>
          <w:color w:val="404040"/>
          <w:sz w:val="16"/>
        </w:rPr>
        <w:t>Includes BCP Perú, Mibanco Perú, Pacífico Seguros, Prima AFP y Credicorp Capital</w:t>
      </w:r>
      <w:r>
        <w:rPr>
          <w:rFonts w:ascii="Arial" w:hAnsi="Arial"/>
          <w:b w:val="false"/>
          <w:i w:val="false"/>
          <w:caps w:val="false"/>
          <w:smallCaps w:val="false"/>
          <w:sz w:val="16"/>
        </w:rPr>
        <w:t>:</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78</w:t>
      </w:r>
    </w:p>
    <w:p>
      <w:pPr>
        <w:pStyle w:val="HorizontalLine"/>
        <w:pBdr>
          <w:bottom w:val="single" w:sz="12" w:space="0" w:color="808080"/>
        </w:pBdr>
        <w:bidi w:val="0"/>
        <w:spacing w:before="200" w:after="200"/>
        <w:jc w:val="right"/>
        <w:rPr/>
      </w:pPr>
      <w:r>
        <w:rPr/>
      </w:r>
    </w:p>
    <w:tbl>
      <w:tblPr>
        <w:tblW w:w="6720" w:type="dxa"/>
        <w:jc w:val="left"/>
        <w:tblInd w:w="0" w:type="dxa"/>
        <w:tblLayout w:type="fixed"/>
        <w:tblCellMar>
          <w:top w:w="0" w:type="dxa"/>
          <w:left w:w="0" w:type="dxa"/>
          <w:bottom w:w="0" w:type="dxa"/>
          <w:right w:w="0" w:type="dxa"/>
        </w:tblCellMar>
      </w:tblPr>
      <w:tblGrid>
        <w:gridCol w:w="5495"/>
        <w:gridCol w:w="830"/>
        <w:gridCol w:w="395"/>
      </w:tblGrid>
      <w:tr>
        <w:trPr/>
        <w:tc>
          <w:tcPr>
            <w:tcW w:w="5495" w:type="dxa"/>
            <w:tcBorders/>
            <w:shd w:fill="000000" w:val="clear"/>
            <w:vAlign w:val="center"/>
          </w:tcPr>
          <w:p>
            <w:pPr>
              <w:pStyle w:val="TableContents"/>
              <w:bidi w:val="0"/>
              <w:spacing w:before="0" w:after="283"/>
              <w:jc w:val="left"/>
              <w:rPr>
                <w:caps w:val="false"/>
                <w:smallCaps w:val="false"/>
              </w:rPr>
            </w:pPr>
            <w:r>
              <w:rPr>
                <w:caps w:val="false"/>
                <w:smallCaps w:val="false"/>
              </w:rPr>
              <w:t> </w:t>
            </w:r>
          </w:p>
        </w:tc>
        <w:tc>
          <w:tcPr>
            <w:tcW w:w="1225" w:type="dxa"/>
            <w:gridSpan w:val="2"/>
            <w:tcBorders>
              <w:top w:val="single" w:sz="8" w:space="0" w:color="000000"/>
              <w:left w:val="single" w:sz="8" w:space="0" w:color="000000"/>
              <w:bottom w:val="single" w:sz="8" w:space="0" w:color="000000"/>
              <w:right w:val="single" w:sz="8" w:space="0" w:color="000000"/>
            </w:tcBorders>
            <w:shd w:fill="000000" w:val="clear"/>
            <w:tcMar>
              <w:top w:w="28" w:type="dxa"/>
              <w:left w:w="70" w:type="dxa"/>
              <w:bottom w:w="28" w:type="dxa"/>
              <w:right w:w="7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Total</w:t>
            </w:r>
          </w:p>
        </w:tc>
      </w:tr>
      <w:tr>
        <w:trPr/>
        <w:tc>
          <w:tcPr>
            <w:tcW w:w="5495" w:type="dxa"/>
            <w:tcBorders>
              <w:top w:val="single" w:sz="8" w:space="0" w:color="000000"/>
              <w:left w:val="single" w:sz="8" w:space="0" w:color="000000"/>
              <w:bottom w:val="single" w:sz="8" w:space="0" w:color="000000"/>
              <w:right w:val="single" w:sz="8" w:space="0" w:color="000000"/>
            </w:tcBorders>
            <w:shd w:fill="000000" w:val="clear"/>
            <w:tcMar>
              <w:top w:w="28" w:type="dxa"/>
              <w:left w:w="70" w:type="dxa"/>
              <w:bottom w:w="28" w:type="dxa"/>
              <w:right w:w="70" w:type="dxa"/>
            </w:tcMar>
            <w:vAlign w:val="center"/>
          </w:tcPr>
          <w:p>
            <w:pPr>
              <w:pStyle w:val="TableContents"/>
              <w:bidi w:val="0"/>
              <w:spacing w:lineRule="auto" w:line="240"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GRI 403-9 Work-related injuries74</w:t>
            </w:r>
          </w:p>
        </w:tc>
        <w:tc>
          <w:tcPr>
            <w:tcW w:w="830" w:type="dxa"/>
            <w:tcBorders>
              <w:bottom w:val="single" w:sz="8" w:space="0" w:color="000000"/>
              <w:right w:val="single" w:sz="8" w:space="0" w:color="000000"/>
            </w:tcBorders>
            <w:shd w:fill="000000" w:val="clear"/>
            <w:tcMar>
              <w:bottom w:w="28" w:type="dxa"/>
              <w:right w:w="7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Q</w:t>
            </w:r>
          </w:p>
        </w:tc>
        <w:tc>
          <w:tcPr>
            <w:tcW w:w="395" w:type="dxa"/>
            <w:tcBorders>
              <w:bottom w:val="single" w:sz="8" w:space="0" w:color="000000"/>
              <w:right w:val="single" w:sz="8" w:space="0" w:color="000000"/>
            </w:tcBorders>
            <w:shd w:fill="000000" w:val="clear"/>
            <w:tcMar>
              <w:bottom w:w="28" w:type="dxa"/>
              <w:right w:w="7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Rate</w:t>
            </w:r>
          </w:p>
        </w:tc>
      </w:tr>
      <w:tr>
        <w:trPr/>
        <w:tc>
          <w:tcPr>
            <w:tcW w:w="5495" w:type="dxa"/>
            <w:tcBorders>
              <w:left w:val="single" w:sz="8" w:space="0" w:color="000000"/>
              <w:bottom w:val="single" w:sz="8" w:space="0" w:color="FFFFFF"/>
              <w:right w:val="single" w:sz="8" w:space="0" w:color="808080"/>
            </w:tcBorders>
            <w:shd w:fill="808080" w:val="clear"/>
            <w:tcMar>
              <w:left w:w="70" w:type="dxa"/>
              <w:bottom w:w="28" w:type="dxa"/>
              <w:right w:w="70" w:type="dxa"/>
            </w:tcM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For all employees</w:t>
            </w:r>
          </w:p>
        </w:tc>
        <w:tc>
          <w:tcPr>
            <w:tcW w:w="830" w:type="dxa"/>
            <w:tcBorders>
              <w:bottom w:val="single" w:sz="8" w:space="0" w:color="FFFFFF"/>
              <w:right w:val="single" w:sz="8" w:space="0" w:color="808080"/>
            </w:tcBorders>
            <w:shd w:fill="808080" w:val="clear"/>
            <w:tcMar>
              <w:bottom w:w="28" w:type="dxa"/>
              <w:right w:w="7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single" w:sz="8" w:space="0" w:color="FFFFFF"/>
              <w:right w:val="single" w:sz="8" w:space="0" w:color="FFFFFF"/>
            </w:tcBorders>
            <w:shd w:fill="808080" w:val="clear"/>
            <w:tcMar>
              <w:bottom w:w="28" w:type="dxa"/>
              <w:right w:w="7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495" w:type="dxa"/>
            <w:tcBorders>
              <w:left w:val="single" w:sz="8" w:space="0" w:color="FFFFFF"/>
              <w:bottom w:val="single" w:sz="8" w:space="0" w:color="D0CECE"/>
              <w:right w:val="single" w:sz="8" w:space="0" w:color="FFFFFF"/>
            </w:tcBorders>
            <w:tcMar>
              <w:left w:w="70" w:type="dxa"/>
              <w:bottom w:w="28" w:type="dxa"/>
              <w:right w:w="7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Fatalities as a result of a work-related injury</w:t>
            </w:r>
          </w:p>
        </w:tc>
        <w:tc>
          <w:tcPr>
            <w:tcW w:w="830" w:type="dxa"/>
            <w:tcBorders>
              <w:bottom w:val="single" w:sz="8" w:space="0" w:color="D0CECE"/>
              <w:right w:val="single" w:sz="8" w:space="0" w:color="FFFFFF"/>
            </w:tcBorders>
            <w:tcMar>
              <w:bottom w:w="28" w:type="dxa"/>
              <w:right w:w="7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w:t>
            </w:r>
          </w:p>
        </w:tc>
        <w:tc>
          <w:tcPr>
            <w:tcW w:w="395" w:type="dxa"/>
            <w:tcBorders>
              <w:bottom w:val="single" w:sz="8" w:space="0" w:color="D0CECE"/>
              <w:right w:val="single" w:sz="8" w:space="0" w:color="FFFFFF"/>
            </w:tcBorders>
            <w:tcMar>
              <w:bottom w:w="28" w:type="dxa"/>
              <w:right w:w="7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w:t>
            </w:r>
          </w:p>
        </w:tc>
      </w:tr>
      <w:tr>
        <w:trPr/>
        <w:tc>
          <w:tcPr>
            <w:tcW w:w="5495" w:type="dxa"/>
            <w:tcBorders>
              <w:left w:val="single" w:sz="8" w:space="0" w:color="FFFFFF"/>
              <w:bottom w:val="single" w:sz="8" w:space="0" w:color="D0CECE"/>
              <w:right w:val="single" w:sz="8" w:space="0" w:color="FFFFFF"/>
            </w:tcBorders>
            <w:tcMar>
              <w:left w:w="70" w:type="dxa"/>
              <w:bottom w:w="28" w:type="dxa"/>
              <w:right w:w="7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High-consequence work-related injuries (excluding fatalities)</w:t>
            </w:r>
          </w:p>
        </w:tc>
        <w:tc>
          <w:tcPr>
            <w:tcW w:w="830" w:type="dxa"/>
            <w:tcBorders>
              <w:bottom w:val="single" w:sz="8" w:space="0" w:color="D0CECE"/>
              <w:right w:val="single" w:sz="8" w:space="0" w:color="FFFFFF"/>
            </w:tcBorders>
            <w:tcMar>
              <w:bottom w:w="28" w:type="dxa"/>
              <w:right w:w="7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w:t>
            </w:r>
          </w:p>
        </w:tc>
        <w:tc>
          <w:tcPr>
            <w:tcW w:w="395" w:type="dxa"/>
            <w:tcBorders>
              <w:bottom w:val="single" w:sz="8" w:space="0" w:color="D0CECE"/>
              <w:right w:val="single" w:sz="8" w:space="0" w:color="FFFFFF"/>
            </w:tcBorders>
            <w:tcMar>
              <w:bottom w:w="28" w:type="dxa"/>
              <w:right w:w="7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w:t>
            </w:r>
          </w:p>
        </w:tc>
      </w:tr>
      <w:tr>
        <w:trPr/>
        <w:tc>
          <w:tcPr>
            <w:tcW w:w="5495" w:type="dxa"/>
            <w:tcBorders>
              <w:left w:val="single" w:sz="8" w:space="0" w:color="FFFFFF"/>
              <w:bottom w:val="single" w:sz="8" w:space="0" w:color="D0CECE"/>
              <w:right w:val="single" w:sz="8" w:space="0" w:color="FFFFFF"/>
            </w:tcBorders>
            <w:tcMar>
              <w:left w:w="70" w:type="dxa"/>
              <w:bottom w:w="28" w:type="dxa"/>
              <w:right w:w="7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Recordable work-related injuries.</w:t>
            </w:r>
          </w:p>
        </w:tc>
        <w:tc>
          <w:tcPr>
            <w:tcW w:w="830" w:type="dxa"/>
            <w:tcBorders>
              <w:bottom w:val="single" w:sz="8" w:space="0" w:color="D0CECE"/>
              <w:right w:val="single" w:sz="8" w:space="0" w:color="FFFFFF"/>
            </w:tcBorders>
            <w:tcMar>
              <w:bottom w:w="28" w:type="dxa"/>
              <w:right w:w="7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81</w:t>
            </w:r>
          </w:p>
        </w:tc>
        <w:tc>
          <w:tcPr>
            <w:tcW w:w="395" w:type="dxa"/>
            <w:tcBorders>
              <w:bottom w:val="single" w:sz="8" w:space="0" w:color="D0CECE"/>
              <w:right w:val="single" w:sz="8" w:space="0" w:color="FFFFFF"/>
            </w:tcBorders>
            <w:tcMar>
              <w:bottom w:w="28" w:type="dxa"/>
              <w:right w:w="7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1.26</w:t>
            </w:r>
          </w:p>
        </w:tc>
      </w:tr>
      <w:tr>
        <w:trPr/>
        <w:tc>
          <w:tcPr>
            <w:tcW w:w="5495" w:type="dxa"/>
            <w:tcBorders>
              <w:left w:val="single" w:sz="8" w:space="0" w:color="FFFFFF"/>
              <w:bottom w:val="single" w:sz="8" w:space="0" w:color="FFFFFF"/>
              <w:right w:val="single" w:sz="8" w:space="0" w:color="FFFFFF"/>
            </w:tcBorders>
            <w:tcMar>
              <w:left w:w="70" w:type="dxa"/>
              <w:bottom w:w="28" w:type="dxa"/>
              <w:right w:w="7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Number of hours worked</w:t>
            </w:r>
          </w:p>
        </w:tc>
        <w:tc>
          <w:tcPr>
            <w:tcW w:w="830" w:type="dxa"/>
            <w:tcBorders>
              <w:bottom w:val="single" w:sz="8" w:space="0" w:color="FFFFFF"/>
              <w:right w:val="single" w:sz="8" w:space="0" w:color="FFFFFF"/>
            </w:tcBorders>
            <w:tcMar>
              <w:bottom w:w="28" w:type="dxa"/>
              <w:right w:w="7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64,117,052</w:t>
            </w:r>
          </w:p>
        </w:tc>
        <w:tc>
          <w:tcPr>
            <w:tcW w:w="395" w:type="dxa"/>
            <w:tcBorders>
              <w:bottom w:val="single" w:sz="8" w:space="0" w:color="FFFFFF"/>
              <w:right w:val="single" w:sz="8" w:space="0" w:color="FFFFFF"/>
            </w:tcBorders>
            <w:tcMar>
              <w:bottom w:w="28" w:type="dxa"/>
              <w:right w:w="7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w:t>
            </w:r>
          </w:p>
        </w:tc>
      </w:tr>
      <w:tr>
        <w:trPr/>
        <w:tc>
          <w:tcPr>
            <w:tcW w:w="5495" w:type="dxa"/>
            <w:tcBorders>
              <w:left w:val="single" w:sz="8" w:space="0" w:color="FFFFFF"/>
              <w:bottom w:val="single" w:sz="8" w:space="0" w:color="FFFFFF"/>
              <w:right w:val="single" w:sz="8" w:space="0" w:color="A6A6A6"/>
            </w:tcBorders>
            <w:shd w:fill="A6A6A6" w:val="clear"/>
            <w:tcMar>
              <w:left w:w="70" w:type="dxa"/>
              <w:bottom w:w="28" w:type="dxa"/>
              <w:right w:w="70" w:type="dxa"/>
            </w:tcM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For all contractors</w:t>
            </w:r>
          </w:p>
        </w:tc>
        <w:tc>
          <w:tcPr>
            <w:tcW w:w="830" w:type="dxa"/>
            <w:tcBorders>
              <w:bottom w:val="single" w:sz="8" w:space="0" w:color="FFFFFF"/>
              <w:right w:val="single" w:sz="8" w:space="0" w:color="A6A6A6"/>
            </w:tcBorders>
            <w:shd w:fill="A6A6A6" w:val="clear"/>
            <w:tcMar>
              <w:bottom w:w="28" w:type="dxa"/>
              <w:right w:w="7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single" w:sz="8" w:space="0" w:color="FFFFFF"/>
              <w:right w:val="single" w:sz="8" w:space="0" w:color="FFFFFF"/>
            </w:tcBorders>
            <w:shd w:fill="A6A6A6" w:val="clear"/>
            <w:tcMar>
              <w:bottom w:w="28" w:type="dxa"/>
              <w:right w:w="7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495" w:type="dxa"/>
            <w:tcBorders>
              <w:left w:val="single" w:sz="8" w:space="0" w:color="FFFFFF"/>
              <w:bottom w:val="single" w:sz="8" w:space="0" w:color="D0CECE"/>
              <w:right w:val="single" w:sz="8" w:space="0" w:color="FFFFFF"/>
            </w:tcBorders>
            <w:tcMar>
              <w:left w:w="70" w:type="dxa"/>
              <w:bottom w:w="28" w:type="dxa"/>
              <w:right w:w="7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Deaths resulting from an injury due to an occupational accident</w:t>
            </w:r>
          </w:p>
        </w:tc>
        <w:tc>
          <w:tcPr>
            <w:tcW w:w="830" w:type="dxa"/>
            <w:tcBorders>
              <w:bottom w:val="single" w:sz="8" w:space="0" w:color="D0CECE"/>
              <w:right w:val="single" w:sz="8" w:space="0" w:color="FFFFFF"/>
            </w:tcBorders>
            <w:tcMar>
              <w:bottom w:w="28" w:type="dxa"/>
              <w:right w:w="7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w:t>
            </w:r>
          </w:p>
        </w:tc>
        <w:tc>
          <w:tcPr>
            <w:tcW w:w="395" w:type="dxa"/>
            <w:tcBorders>
              <w:bottom w:val="single" w:sz="8" w:space="0" w:color="D0CECE"/>
              <w:right w:val="single" w:sz="8" w:space="0" w:color="FFFFFF"/>
            </w:tcBorders>
            <w:tcMar>
              <w:bottom w:w="28" w:type="dxa"/>
              <w:right w:w="7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w:t>
            </w:r>
          </w:p>
        </w:tc>
      </w:tr>
      <w:tr>
        <w:trPr/>
        <w:tc>
          <w:tcPr>
            <w:tcW w:w="5495" w:type="dxa"/>
            <w:tcBorders>
              <w:left w:val="single" w:sz="8" w:space="0" w:color="FFFFFF"/>
              <w:bottom w:val="single" w:sz="8" w:space="0" w:color="D0CECE"/>
              <w:right w:val="single" w:sz="8" w:space="0" w:color="FFFFFF"/>
            </w:tcBorders>
            <w:tcMar>
              <w:left w:w="70" w:type="dxa"/>
              <w:bottom w:w="28" w:type="dxa"/>
              <w:right w:w="7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Work-related accident injuries with major consequences (excluding deaths)</w:t>
            </w:r>
          </w:p>
        </w:tc>
        <w:tc>
          <w:tcPr>
            <w:tcW w:w="830" w:type="dxa"/>
            <w:tcBorders>
              <w:bottom w:val="single" w:sz="8" w:space="0" w:color="D0CECE"/>
              <w:right w:val="single" w:sz="8" w:space="0" w:color="FFFFFF"/>
            </w:tcBorders>
            <w:tcMar>
              <w:bottom w:w="28" w:type="dxa"/>
              <w:right w:w="7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w:t>
            </w:r>
          </w:p>
        </w:tc>
        <w:tc>
          <w:tcPr>
            <w:tcW w:w="395" w:type="dxa"/>
            <w:tcBorders>
              <w:bottom w:val="single" w:sz="8" w:space="0" w:color="D0CECE"/>
              <w:right w:val="single" w:sz="8" w:space="0" w:color="FFFFFF"/>
            </w:tcBorders>
            <w:tcMar>
              <w:bottom w:w="28" w:type="dxa"/>
              <w:right w:w="7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w:t>
            </w:r>
          </w:p>
        </w:tc>
      </w:tr>
      <w:tr>
        <w:trPr/>
        <w:tc>
          <w:tcPr>
            <w:tcW w:w="5495" w:type="dxa"/>
            <w:tcBorders>
              <w:left w:val="single" w:sz="8" w:space="0" w:color="FFFFFF"/>
              <w:bottom w:val="single" w:sz="8" w:space="0" w:color="D0CECE"/>
              <w:right w:val="single" w:sz="8" w:space="0" w:color="FFFFFF"/>
            </w:tcBorders>
            <w:tcMar>
              <w:left w:w="70" w:type="dxa"/>
              <w:bottom w:w="28" w:type="dxa"/>
              <w:right w:w="7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Work-related injuries.</w:t>
            </w:r>
          </w:p>
        </w:tc>
        <w:tc>
          <w:tcPr>
            <w:tcW w:w="830" w:type="dxa"/>
            <w:tcBorders>
              <w:bottom w:val="single" w:sz="8" w:space="0" w:color="D0CECE"/>
              <w:right w:val="single" w:sz="8" w:space="0" w:color="FFFFFF"/>
            </w:tcBorders>
            <w:tcMar>
              <w:bottom w:w="28" w:type="dxa"/>
              <w:right w:w="7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11</w:t>
            </w:r>
          </w:p>
        </w:tc>
        <w:tc>
          <w:tcPr>
            <w:tcW w:w="395" w:type="dxa"/>
            <w:tcBorders>
              <w:bottom w:val="single" w:sz="8" w:space="0" w:color="D0CECE"/>
              <w:right w:val="single" w:sz="8" w:space="0" w:color="FFFFFF"/>
            </w:tcBorders>
            <w:tcMar>
              <w:bottom w:w="28" w:type="dxa"/>
              <w:right w:w="7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w:t>
            </w:r>
          </w:p>
        </w:tc>
      </w:tr>
      <w:tr>
        <w:trPr/>
        <w:tc>
          <w:tcPr>
            <w:tcW w:w="5495" w:type="dxa"/>
            <w:tcBorders>
              <w:left w:val="single" w:sz="8" w:space="0" w:color="FFFFFF"/>
              <w:bottom w:val="single" w:sz="8" w:space="0" w:color="FFFFFF"/>
              <w:right w:val="single" w:sz="8" w:space="0" w:color="FFFFFF"/>
            </w:tcBorders>
            <w:tcMar>
              <w:left w:w="70" w:type="dxa"/>
              <w:bottom w:w="28" w:type="dxa"/>
              <w:right w:w="7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Number of hours worked</w:t>
            </w:r>
          </w:p>
        </w:tc>
        <w:tc>
          <w:tcPr>
            <w:tcW w:w="830" w:type="dxa"/>
            <w:tcBorders>
              <w:bottom w:val="single" w:sz="8" w:space="0" w:color="FFFFFF"/>
              <w:right w:val="single" w:sz="8" w:space="0" w:color="FFFFFF"/>
            </w:tcBorders>
            <w:tcMar>
              <w:bottom w:w="28" w:type="dxa"/>
              <w:right w:w="7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w:t>
            </w:r>
          </w:p>
        </w:tc>
        <w:tc>
          <w:tcPr>
            <w:tcW w:w="395" w:type="dxa"/>
            <w:tcBorders>
              <w:bottom w:val="single" w:sz="8" w:space="0" w:color="FFFFFF"/>
              <w:right w:val="single" w:sz="8" w:space="0" w:color="FFFFFF"/>
            </w:tcBorders>
            <w:tcMar>
              <w:bottom w:w="28" w:type="dxa"/>
              <w:right w:w="7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w:t>
            </w:r>
          </w:p>
        </w:tc>
      </w:tr>
    </w:tbl>
    <w:p>
      <w:pPr>
        <w:pStyle w:val="TextBody"/>
        <w:bidi w:val="0"/>
        <w:spacing w:before="0" w:after="0"/>
        <w:ind w:left="0" w:right="0" w:hanging="0"/>
        <w:jc w:val="left"/>
        <w:rPr>
          <w:caps w:val="false"/>
          <w:smallCaps w:val="false"/>
          <w:color w:val="FE5000"/>
        </w:rPr>
      </w:pPr>
      <w:r>
        <w:rPr>
          <w:caps w:val="false"/>
          <w:smallCaps w:val="false"/>
          <w:color w:val="FE5000"/>
        </w:rPr>
        <w:t> </w:t>
      </w:r>
    </w:p>
    <w:tbl>
      <w:tblPr>
        <w:tblW w:w="3685" w:type="dxa"/>
        <w:jc w:val="left"/>
        <w:tblInd w:w="-10" w:type="dxa"/>
        <w:tblLayout w:type="fixed"/>
        <w:tblCellMar>
          <w:top w:w="28" w:type="dxa"/>
          <w:left w:w="70" w:type="dxa"/>
          <w:bottom w:w="28" w:type="dxa"/>
          <w:right w:w="70" w:type="dxa"/>
        </w:tblCellMar>
      </w:tblPr>
      <w:tblGrid>
        <w:gridCol w:w="3245"/>
        <w:gridCol w:w="440"/>
      </w:tblGrid>
      <w:tr>
        <w:trPr/>
        <w:tc>
          <w:tcPr>
            <w:tcW w:w="3245" w:type="dxa"/>
            <w:tcBorders>
              <w:top w:val="single" w:sz="8" w:space="0" w:color="000000"/>
              <w:left w:val="single" w:sz="8" w:space="0" w:color="000000"/>
              <w:bottom w:val="single" w:sz="8" w:space="0" w:color="000000"/>
              <w:right w:val="single" w:sz="8" w:space="0" w:color="FFFFFF"/>
            </w:tcBorders>
            <w:shd w:fill="000000" w:val="clear"/>
            <w:vAlign w:val="center"/>
          </w:tcPr>
          <w:p>
            <w:pPr>
              <w:pStyle w:val="TableContents"/>
              <w:bidi w:val="0"/>
              <w:spacing w:lineRule="auto" w:line="240"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GRI 403-10 Work-related ill health75</w:t>
            </w:r>
          </w:p>
        </w:tc>
        <w:tc>
          <w:tcPr>
            <w:tcW w:w="440" w:type="dxa"/>
            <w:tcBorders>
              <w:top w:val="single" w:sz="8" w:space="0" w:color="000000"/>
              <w:bottom w:val="single" w:sz="8" w:space="0" w:color="000000"/>
              <w:right w:val="single" w:sz="8" w:space="0" w:color="000000"/>
            </w:tcBorders>
            <w:shd w:fill="000000" w:val="clear"/>
            <w:tcMar>
              <w:left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Total</w:t>
            </w:r>
          </w:p>
        </w:tc>
      </w:tr>
      <w:tr>
        <w:trPr/>
        <w:tc>
          <w:tcPr>
            <w:tcW w:w="3245" w:type="dxa"/>
            <w:tcBorders>
              <w:left w:val="single" w:sz="8" w:space="0" w:color="FFFFFF"/>
              <w:right w:val="single" w:sz="8" w:space="0" w:color="808080"/>
            </w:tcBorders>
            <w:shd w:fill="808080" w:val="clear"/>
            <w:tcMar>
              <w:top w:w="0" w:type="dxa"/>
              <w:bottom w:w="0" w:type="dxa"/>
            </w:tcM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For all employees</w:t>
            </w:r>
          </w:p>
        </w:tc>
        <w:tc>
          <w:tcPr>
            <w:tcW w:w="440" w:type="dxa"/>
            <w:tcBorders>
              <w:right w:val="single" w:sz="8" w:space="0" w:color="FFFFFF"/>
            </w:tcBorders>
            <w:shd w:fill="808080" w:val="clear"/>
            <w:tcMar>
              <w:top w:w="0" w:type="dxa"/>
              <w:left w:w="0" w:type="dxa"/>
              <w:bottom w:w="0" w:type="dxa"/>
            </w:tcMar>
            <w:vAlign w:val="center"/>
          </w:tcPr>
          <w:p>
            <w:pPr>
              <w:pStyle w:val="TableContents"/>
              <w:bidi w:val="0"/>
              <w:spacing w:before="0" w:after="283"/>
              <w:jc w:val="center"/>
              <w:rPr>
                <w:rFonts w:ascii="Arial" w:hAnsi="Arial"/>
                <w:b w:val="false"/>
                <w:i w:val="false"/>
                <w:caps w:val="false"/>
                <w:smallCaps w:val="false"/>
                <w:color w:val="FFFFFF"/>
                <w:sz w:val="16"/>
              </w:rPr>
            </w:pPr>
            <w:r>
              <w:rPr>
                <w:rFonts w:ascii="Arial" w:hAnsi="Arial"/>
                <w:b w:val="false"/>
                <w:i w:val="false"/>
                <w:caps w:val="false"/>
                <w:smallCaps w:val="false"/>
                <w:color w:val="FFFFFF"/>
                <w:sz w:val="16"/>
              </w:rPr>
              <w:t>_</w:t>
            </w:r>
          </w:p>
        </w:tc>
      </w:tr>
      <w:tr>
        <w:trPr/>
        <w:tc>
          <w:tcPr>
            <w:tcW w:w="3245" w:type="dxa"/>
            <w:tcBorders>
              <w:left w:val="single" w:sz="8" w:space="0" w:color="FFFFFF"/>
              <w:bottom w:val="single" w:sz="8" w:space="0" w:color="D0CECE"/>
              <w:right w:val="single" w:sz="8" w:space="0" w:color="FFFFFF"/>
            </w:tcBorders>
            <w:tcMar>
              <w:top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Fatalities as a result of work-related ill health</w:t>
            </w:r>
          </w:p>
        </w:tc>
        <w:tc>
          <w:tcPr>
            <w:tcW w:w="440" w:type="dxa"/>
            <w:tcBorders>
              <w:bottom w:val="single" w:sz="8" w:space="0" w:color="D0CECE"/>
              <w:right w:val="single" w:sz="8" w:space="0" w:color="FFFFFF"/>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w:t>
            </w:r>
          </w:p>
        </w:tc>
      </w:tr>
      <w:tr>
        <w:trPr/>
        <w:tc>
          <w:tcPr>
            <w:tcW w:w="3245" w:type="dxa"/>
            <w:tcBorders>
              <w:left w:val="single" w:sz="8" w:space="0" w:color="FFFFFF"/>
              <w:right w:val="single" w:sz="8" w:space="0" w:color="FFFFFF"/>
            </w:tcBorders>
            <w:tcMar>
              <w:top w:w="0" w:type="dxa"/>
              <w:bottom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Recordable work-related ill health</w:t>
            </w:r>
          </w:p>
        </w:tc>
        <w:tc>
          <w:tcPr>
            <w:tcW w:w="440" w:type="dxa"/>
            <w:tcBorders>
              <w:right w:val="single" w:sz="8" w:space="0" w:color="FFFFFF"/>
            </w:tcBorders>
            <w:tcMar>
              <w:top w:w="0" w:type="dxa"/>
              <w:left w:w="0" w:type="dxa"/>
              <w:bottom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w:t>
            </w:r>
          </w:p>
        </w:tc>
      </w:tr>
      <w:tr>
        <w:trPr/>
        <w:tc>
          <w:tcPr>
            <w:tcW w:w="3245" w:type="dxa"/>
            <w:tcBorders>
              <w:left w:val="single" w:sz="8" w:space="0" w:color="FFFFFF"/>
              <w:right w:val="single" w:sz="8" w:space="0" w:color="808080"/>
            </w:tcBorders>
            <w:shd w:fill="808080" w:val="clear"/>
            <w:tcMar>
              <w:top w:w="0" w:type="dxa"/>
              <w:bottom w:w="0" w:type="dxa"/>
            </w:tcM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For all contractors</w:t>
            </w:r>
          </w:p>
        </w:tc>
        <w:tc>
          <w:tcPr>
            <w:tcW w:w="440" w:type="dxa"/>
            <w:tcBorders>
              <w:right w:val="single" w:sz="8" w:space="0" w:color="FFFFFF"/>
            </w:tcBorders>
            <w:shd w:fill="808080" w:val="clear"/>
            <w:tcMar>
              <w:top w:w="0" w:type="dxa"/>
              <w:left w:w="0" w:type="dxa"/>
              <w:bottom w:w="0" w:type="dxa"/>
            </w:tcMar>
            <w:vAlign w:val="center"/>
          </w:tcPr>
          <w:p>
            <w:pPr>
              <w:pStyle w:val="TableContents"/>
              <w:bidi w:val="0"/>
              <w:spacing w:before="0" w:after="283"/>
              <w:jc w:val="center"/>
              <w:rPr>
                <w:rFonts w:ascii="Arial" w:hAnsi="Arial"/>
                <w:b w:val="false"/>
                <w:i w:val="false"/>
                <w:caps w:val="false"/>
                <w:smallCaps w:val="false"/>
                <w:color w:val="FFFFFF"/>
                <w:sz w:val="16"/>
              </w:rPr>
            </w:pPr>
            <w:r>
              <w:rPr>
                <w:rFonts w:ascii="Arial" w:hAnsi="Arial"/>
                <w:b w:val="false"/>
                <w:i w:val="false"/>
                <w:caps w:val="false"/>
                <w:smallCaps w:val="false"/>
                <w:color w:val="FFFFFF"/>
                <w:sz w:val="16"/>
              </w:rPr>
              <w:t>_</w:t>
            </w:r>
          </w:p>
        </w:tc>
      </w:tr>
      <w:tr>
        <w:trPr/>
        <w:tc>
          <w:tcPr>
            <w:tcW w:w="3245" w:type="dxa"/>
            <w:tcBorders>
              <w:left w:val="single" w:sz="8" w:space="0" w:color="FFFFFF"/>
              <w:bottom w:val="single" w:sz="8" w:space="0" w:color="D0CECE"/>
              <w:right w:val="single" w:sz="8" w:space="0" w:color="FFFFFF"/>
            </w:tcBorders>
            <w:tcMar>
              <w:top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Fatalities as a result of work-related ill health</w:t>
            </w:r>
          </w:p>
        </w:tc>
        <w:tc>
          <w:tcPr>
            <w:tcW w:w="440" w:type="dxa"/>
            <w:tcBorders>
              <w:bottom w:val="single" w:sz="8" w:space="0" w:color="D0CECE"/>
              <w:right w:val="single" w:sz="8" w:space="0" w:color="FFFFFF"/>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w:t>
            </w:r>
          </w:p>
        </w:tc>
      </w:tr>
      <w:tr>
        <w:trPr/>
        <w:tc>
          <w:tcPr>
            <w:tcW w:w="3245" w:type="dxa"/>
            <w:tcBorders>
              <w:left w:val="single" w:sz="8" w:space="0" w:color="FFFFFF"/>
              <w:bottom w:val="single" w:sz="8" w:space="0" w:color="FFFFFF"/>
              <w:right w:val="single" w:sz="8" w:space="0" w:color="FFFFFF"/>
            </w:tcBorders>
            <w:tcMar>
              <w:top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Cases of work-related ill health</w:t>
            </w:r>
          </w:p>
        </w:tc>
        <w:tc>
          <w:tcPr>
            <w:tcW w:w="440" w:type="dxa"/>
            <w:tcBorders>
              <w:bottom w:val="single" w:sz="8" w:space="0" w:color="FFFFFF"/>
              <w:right w:val="single" w:sz="8" w:space="0" w:color="FFFFFF"/>
            </w:tcBorders>
            <w:tcMar>
              <w:top w:w="0" w:type="dxa"/>
              <w:left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w:t>
            </w:r>
          </w:p>
        </w:tc>
      </w:tr>
    </w:tbl>
    <w:p>
      <w:pPr>
        <w:pStyle w:val="TextBody"/>
        <w:bidi w:val="0"/>
        <w:spacing w:before="0" w:after="0"/>
        <w:ind w:left="0" w:right="0" w:hanging="0"/>
        <w:jc w:val="left"/>
        <w:rPr>
          <w:caps w:val="false"/>
          <w:smallCaps w:val="false"/>
          <w:color w:val="FE5000"/>
        </w:rPr>
      </w:pPr>
      <w:r>
        <w:rPr>
          <w:caps w:val="false"/>
          <w:smallCaps w:val="false"/>
          <w:color w:val="FE5000"/>
        </w:rPr>
        <w:t> </w:t>
      </w:r>
    </w:p>
    <w:tbl>
      <w:tblPr>
        <w:tblW w:w="10205" w:type="dxa"/>
        <w:jc w:val="left"/>
        <w:tblInd w:w="0" w:type="dxa"/>
        <w:tblLayout w:type="fixed"/>
        <w:tblCellMar>
          <w:top w:w="0" w:type="dxa"/>
          <w:left w:w="0" w:type="dxa"/>
          <w:bottom w:w="0" w:type="dxa"/>
          <w:right w:w="0" w:type="dxa"/>
        </w:tblCellMar>
      </w:tblPr>
      <w:tblGrid>
        <w:gridCol w:w="6542"/>
        <w:gridCol w:w="740"/>
        <w:gridCol w:w="1083"/>
        <w:gridCol w:w="740"/>
        <w:gridCol w:w="1100"/>
      </w:tblGrid>
      <w:tr>
        <w:trPr/>
        <w:tc>
          <w:tcPr>
            <w:tcW w:w="6542" w:type="dxa"/>
            <w:vMerge w:val="restart"/>
            <w:tcBorders/>
            <w:shd w:fill="000000"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GRI 404-1 Average hours of training per year per employee, by gender, by occupational category</w:t>
            </w:r>
          </w:p>
        </w:tc>
        <w:tc>
          <w:tcPr>
            <w:tcW w:w="1823" w:type="dxa"/>
            <w:gridSpan w:val="2"/>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2023</w:t>
            </w:r>
          </w:p>
        </w:tc>
        <w:tc>
          <w:tcPr>
            <w:tcW w:w="1840" w:type="dxa"/>
            <w:gridSpan w:val="2"/>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2022</w:t>
            </w:r>
          </w:p>
        </w:tc>
      </w:tr>
      <w:tr>
        <w:trPr/>
        <w:tc>
          <w:tcPr>
            <w:tcW w:w="6542" w:type="dxa"/>
            <w:vMerge w:val="continue"/>
            <w:tcBorders/>
            <w:shd w:fill="000000" w:val="clear"/>
            <w:vAlign w:val="center"/>
          </w:tcPr>
          <w:p>
            <w:pPr>
              <w:pStyle w:val="Normal"/>
              <w:bidi w:val="0"/>
              <w:jc w:val="left"/>
              <w:rPr/>
            </w:pPr>
            <w:r>
              <w:rPr/>
            </w:r>
          </w:p>
        </w:tc>
        <w:tc>
          <w:tcPr>
            <w:tcW w:w="740" w:type="dxa"/>
            <w:tcBorders>
              <w:bottom w:val="single" w:sz="8" w:space="0" w:color="BFBFBF"/>
            </w:tcBorders>
            <w:shd w:fill="00000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Hours</w:t>
            </w:r>
          </w:p>
        </w:tc>
        <w:tc>
          <w:tcPr>
            <w:tcW w:w="1083" w:type="dxa"/>
            <w:tcBorders>
              <w:bottom w:val="single" w:sz="8" w:space="0" w:color="BFBFBF"/>
            </w:tcBorders>
            <w:shd w:fill="00000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Average hours</w:t>
            </w:r>
          </w:p>
        </w:tc>
        <w:tc>
          <w:tcPr>
            <w:tcW w:w="740" w:type="dxa"/>
            <w:tcBorders>
              <w:bottom w:val="single" w:sz="8" w:space="0" w:color="BFBFBF"/>
            </w:tcBorders>
            <w:shd w:fill="00000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Hours</w:t>
            </w:r>
          </w:p>
        </w:tc>
        <w:tc>
          <w:tcPr>
            <w:tcW w:w="1100" w:type="dxa"/>
            <w:tcBorders>
              <w:bottom w:val="single" w:sz="8" w:space="0" w:color="BFBFBF"/>
            </w:tcBorders>
            <w:shd w:fill="00000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Average hours</w:t>
            </w:r>
          </w:p>
        </w:tc>
      </w:tr>
      <w:tr>
        <w:trPr/>
        <w:tc>
          <w:tcPr>
            <w:tcW w:w="6542" w:type="dxa"/>
            <w:tcBorders/>
            <w:shd w:fill="808080"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Total and average total hours by gender</w:t>
            </w:r>
          </w:p>
        </w:tc>
        <w:tc>
          <w:tcPr>
            <w:tcW w:w="740"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1,004,567</w:t>
            </w:r>
          </w:p>
        </w:tc>
        <w:tc>
          <w:tcPr>
            <w:tcW w:w="1083"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24.3</w:t>
            </w:r>
          </w:p>
        </w:tc>
        <w:tc>
          <w:tcPr>
            <w:tcW w:w="740"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1,503,249</w:t>
            </w:r>
          </w:p>
        </w:tc>
        <w:tc>
          <w:tcPr>
            <w:tcW w:w="1100"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39.2</w:t>
            </w:r>
          </w:p>
        </w:tc>
      </w:tr>
      <w:tr>
        <w:trPr/>
        <w:tc>
          <w:tcPr>
            <w:tcW w:w="6542"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Female</w:t>
            </w:r>
          </w:p>
        </w:tc>
        <w:tc>
          <w:tcPr>
            <w:tcW w:w="740"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585,209</w:t>
            </w:r>
          </w:p>
        </w:tc>
        <w:tc>
          <w:tcPr>
            <w:tcW w:w="1083"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25.7</w:t>
            </w:r>
          </w:p>
        </w:tc>
        <w:tc>
          <w:tcPr>
            <w:tcW w:w="74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873,051</w:t>
            </w:r>
          </w:p>
        </w:tc>
        <w:tc>
          <w:tcPr>
            <w:tcW w:w="1100"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41.1</w:t>
            </w:r>
          </w:p>
        </w:tc>
      </w:tr>
      <w:tr>
        <w:trPr/>
        <w:tc>
          <w:tcPr>
            <w:tcW w:w="6542"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Male</w:t>
            </w:r>
          </w:p>
        </w:tc>
        <w:tc>
          <w:tcPr>
            <w:tcW w:w="740"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419,357</w:t>
            </w:r>
          </w:p>
        </w:tc>
        <w:tc>
          <w:tcPr>
            <w:tcW w:w="1083"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22.6</w:t>
            </w:r>
          </w:p>
        </w:tc>
        <w:tc>
          <w:tcPr>
            <w:tcW w:w="74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630,198</w:t>
            </w:r>
          </w:p>
        </w:tc>
        <w:tc>
          <w:tcPr>
            <w:tcW w:w="1100"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36,8</w:t>
            </w:r>
          </w:p>
        </w:tc>
      </w:tr>
      <w:tr>
        <w:trPr/>
        <w:tc>
          <w:tcPr>
            <w:tcW w:w="6542"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i w:val="false"/>
                <w:caps w:val="false"/>
                <w:smallCaps w:val="false"/>
                <w:color w:val="404040"/>
                <w:sz w:val="16"/>
              </w:rPr>
            </w:pPr>
            <w:r>
              <w:rPr>
                <w:rFonts w:ascii="Arial" w:hAnsi="Arial"/>
                <w:b/>
                <w:i w:val="false"/>
                <w:caps w:val="false"/>
                <w:smallCaps w:val="false"/>
                <w:color w:val="404040"/>
                <w:sz w:val="16"/>
              </w:rPr>
              <w:t>Total</w:t>
            </w:r>
          </w:p>
        </w:tc>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1083"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BFBFBF"/>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6542" w:type="dxa"/>
            <w:tcBorders/>
            <w:shd w:fill="808080"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Total and average total hours by labor category</w:t>
            </w:r>
          </w:p>
        </w:tc>
        <w:tc>
          <w:tcPr>
            <w:tcW w:w="740"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1,004,567</w:t>
            </w:r>
          </w:p>
        </w:tc>
        <w:tc>
          <w:tcPr>
            <w:tcW w:w="1083" w:type="dxa"/>
            <w:tcBorders>
              <w:bottom w:val="single" w:sz="8" w:space="0" w:color="BFBFBF"/>
            </w:tcBorders>
            <w:shd w:fill="808080"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1,503,249</w:t>
            </w:r>
          </w:p>
        </w:tc>
        <w:tc>
          <w:tcPr>
            <w:tcW w:w="1100" w:type="dxa"/>
            <w:tcBorders>
              <w:bottom w:val="single" w:sz="8" w:space="0" w:color="BFBFBF"/>
            </w:tcBorders>
            <w:shd w:fill="808080"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6542"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Leaders</w:t>
            </w:r>
          </w:p>
        </w:tc>
        <w:tc>
          <w:tcPr>
            <w:tcW w:w="740"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8,734</w:t>
            </w:r>
          </w:p>
        </w:tc>
        <w:tc>
          <w:tcPr>
            <w:tcW w:w="1083"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36</w:t>
            </w:r>
          </w:p>
        </w:tc>
        <w:tc>
          <w:tcPr>
            <w:tcW w:w="74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3,313</w:t>
            </w:r>
          </w:p>
        </w:tc>
        <w:tc>
          <w:tcPr>
            <w:tcW w:w="110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12</w:t>
            </w:r>
          </w:p>
        </w:tc>
      </w:tr>
      <w:tr>
        <w:trPr/>
        <w:tc>
          <w:tcPr>
            <w:tcW w:w="6542"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Middle-management</w:t>
            </w:r>
          </w:p>
        </w:tc>
        <w:tc>
          <w:tcPr>
            <w:tcW w:w="740"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77,593</w:t>
            </w:r>
          </w:p>
        </w:tc>
        <w:tc>
          <w:tcPr>
            <w:tcW w:w="1083"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44</w:t>
            </w:r>
          </w:p>
        </w:tc>
        <w:tc>
          <w:tcPr>
            <w:tcW w:w="74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74,482</w:t>
            </w:r>
          </w:p>
        </w:tc>
        <w:tc>
          <w:tcPr>
            <w:tcW w:w="110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50</w:t>
            </w:r>
          </w:p>
        </w:tc>
      </w:tr>
      <w:tr>
        <w:trPr/>
        <w:tc>
          <w:tcPr>
            <w:tcW w:w="6542"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Non-managerial employees</w:t>
            </w:r>
          </w:p>
        </w:tc>
        <w:tc>
          <w:tcPr>
            <w:tcW w:w="740"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918,239</w:t>
            </w:r>
          </w:p>
        </w:tc>
        <w:tc>
          <w:tcPr>
            <w:tcW w:w="1083"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23</w:t>
            </w:r>
          </w:p>
        </w:tc>
        <w:tc>
          <w:tcPr>
            <w:tcW w:w="74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1,425,454</w:t>
            </w:r>
          </w:p>
        </w:tc>
        <w:tc>
          <w:tcPr>
            <w:tcW w:w="110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39</w:t>
            </w:r>
          </w:p>
        </w:tc>
      </w:tr>
      <w:tr>
        <w:trPr/>
        <w:tc>
          <w:tcPr>
            <w:tcW w:w="6542" w:type="dxa"/>
            <w:tcBorders>
              <w:bottom w:val="single" w:sz="8" w:space="0" w:color="BFBFBF"/>
            </w:tcBorders>
            <w:shd w:fill="808080" w:val="clear"/>
            <w:tcMar>
              <w:bottom w:w="28" w:type="dxa"/>
            </w:tcM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Total employees trained</w:t>
            </w:r>
          </w:p>
        </w:tc>
        <w:tc>
          <w:tcPr>
            <w:tcW w:w="1823" w:type="dxa"/>
            <w:gridSpan w:val="2"/>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41,338</w:t>
            </w:r>
          </w:p>
        </w:tc>
        <w:tc>
          <w:tcPr>
            <w:tcW w:w="1840" w:type="dxa"/>
            <w:gridSpan w:val="2"/>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38,374</w:t>
            </w:r>
          </w:p>
        </w:tc>
      </w:tr>
      <w:tr>
        <w:trPr/>
        <w:tc>
          <w:tcPr>
            <w:tcW w:w="6542"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Females</w:t>
            </w:r>
          </w:p>
        </w:tc>
        <w:tc>
          <w:tcPr>
            <w:tcW w:w="1823" w:type="dxa"/>
            <w:gridSpan w:val="2"/>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22,767</w:t>
            </w:r>
          </w:p>
        </w:tc>
        <w:tc>
          <w:tcPr>
            <w:tcW w:w="1840" w:type="dxa"/>
            <w:gridSpan w:val="2"/>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21,230</w:t>
            </w:r>
          </w:p>
        </w:tc>
      </w:tr>
      <w:tr>
        <w:trPr/>
        <w:tc>
          <w:tcPr>
            <w:tcW w:w="6542"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Males</w:t>
            </w:r>
          </w:p>
        </w:tc>
        <w:tc>
          <w:tcPr>
            <w:tcW w:w="1823" w:type="dxa"/>
            <w:gridSpan w:val="2"/>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18,571</w:t>
            </w:r>
          </w:p>
        </w:tc>
        <w:tc>
          <w:tcPr>
            <w:tcW w:w="1840" w:type="dxa"/>
            <w:gridSpan w:val="2"/>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17,144</w:t>
            </w:r>
          </w:p>
        </w:tc>
      </w:tr>
      <w:tr>
        <w:trPr/>
        <w:tc>
          <w:tcPr>
            <w:tcW w:w="6542" w:type="dxa"/>
            <w:tcBorders>
              <w:bottom w:val="single" w:sz="8" w:space="0" w:color="BFBFBF"/>
            </w:tcBorders>
            <w:shd w:fill="808080" w:val="clear"/>
            <w:tcMar>
              <w:bottom w:w="28" w:type="dxa"/>
            </w:tcM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Total employees trained</w:t>
            </w:r>
          </w:p>
        </w:tc>
        <w:tc>
          <w:tcPr>
            <w:tcW w:w="1823" w:type="dxa"/>
            <w:gridSpan w:val="2"/>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41,338</w:t>
            </w:r>
          </w:p>
        </w:tc>
        <w:tc>
          <w:tcPr>
            <w:tcW w:w="1840" w:type="dxa"/>
            <w:gridSpan w:val="2"/>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38,374</w:t>
            </w:r>
          </w:p>
        </w:tc>
      </w:tr>
      <w:tr>
        <w:trPr/>
        <w:tc>
          <w:tcPr>
            <w:tcW w:w="6542"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Senior leaders</w:t>
            </w:r>
          </w:p>
        </w:tc>
        <w:tc>
          <w:tcPr>
            <w:tcW w:w="1823" w:type="dxa"/>
            <w:gridSpan w:val="2"/>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245</w:t>
            </w:r>
          </w:p>
        </w:tc>
        <w:tc>
          <w:tcPr>
            <w:tcW w:w="1840" w:type="dxa"/>
            <w:gridSpan w:val="2"/>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276</w:t>
            </w:r>
          </w:p>
        </w:tc>
      </w:tr>
      <w:tr>
        <w:trPr/>
        <w:tc>
          <w:tcPr>
            <w:tcW w:w="6542"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Middle managers</w:t>
            </w:r>
          </w:p>
        </w:tc>
        <w:tc>
          <w:tcPr>
            <w:tcW w:w="1823" w:type="dxa"/>
            <w:gridSpan w:val="2"/>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1,763</w:t>
            </w:r>
          </w:p>
        </w:tc>
        <w:tc>
          <w:tcPr>
            <w:tcW w:w="1840" w:type="dxa"/>
            <w:gridSpan w:val="2"/>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1,502</w:t>
            </w:r>
          </w:p>
        </w:tc>
      </w:tr>
      <w:tr>
        <w:trPr/>
        <w:tc>
          <w:tcPr>
            <w:tcW w:w="6542"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Non-managerial employees</w:t>
            </w:r>
          </w:p>
        </w:tc>
        <w:tc>
          <w:tcPr>
            <w:tcW w:w="1823" w:type="dxa"/>
            <w:gridSpan w:val="2"/>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39,330</w:t>
            </w:r>
          </w:p>
        </w:tc>
        <w:tc>
          <w:tcPr>
            <w:tcW w:w="1840" w:type="dxa"/>
            <w:gridSpan w:val="2"/>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36,596</w:t>
            </w:r>
          </w:p>
        </w:tc>
      </w:tr>
    </w:tbl>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60" w:after="6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lineRule="auto" w:line="240"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74 Includes the following subsidiaries: BCP Perú, Mibanco Perú, Pacífico Seguros, Prima AFP and Credicorp Capital.</w:t>
      </w:r>
    </w:p>
    <w:p>
      <w:pPr>
        <w:pStyle w:val="TextBody"/>
        <w:bidi w:val="0"/>
        <w:spacing w:lineRule="auto" w:line="240"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75 Includes the following subsidiaries: BCP Perú, Mibanco Perú, Pacífico Seguros, Prima AFP and Credicorp Capital.</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79</w:t>
      </w:r>
    </w:p>
    <w:p>
      <w:pPr>
        <w:pStyle w:val="HorizontalLine"/>
        <w:pBdr>
          <w:bottom w:val="single" w:sz="12" w:space="0" w:color="808080"/>
        </w:pBdr>
        <w:bidi w:val="0"/>
        <w:spacing w:before="200" w:after="200"/>
        <w:jc w:val="right"/>
        <w:rPr/>
      </w:pPr>
      <w:r>
        <w:rPr/>
      </w:r>
    </w:p>
    <w:p>
      <w:pPr>
        <w:pStyle w:val="TextBody"/>
        <w:bidi w:val="0"/>
        <w:spacing w:before="0" w:after="0"/>
        <w:ind w:left="0" w:right="0" w:hanging="0"/>
        <w:jc w:val="left"/>
        <w:rPr>
          <w:rFonts w:ascii="Arial" w:hAnsi="Arial"/>
          <w:b/>
          <w:i w:val="false"/>
          <w:caps w:val="false"/>
          <w:smallCaps w:val="false"/>
          <w:sz w:val="20"/>
        </w:rPr>
      </w:pPr>
      <w:r>
        <w:rPr>
          <w:rFonts w:ascii="Arial" w:hAnsi="Arial"/>
          <w:b/>
          <w:i w:val="false"/>
          <w:caps w:val="false"/>
          <w:smallCaps w:val="false"/>
          <w:sz w:val="20"/>
        </w:rPr>
        <w:t>GRI 404-2 Programs for upgrading employee skills and transition assistance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During 2023, we focused on training our employees in the development and learning of areas such as Agility, Innovation, Data Driven and Employee and Client Experience, Integrating modules in soft skills such as leadership and teamwork. Learning plans were defined to close gaps in specialized roles and adapt to digital transformation, offering upskilling and reskilling programs for tribe units and COEs. We promoted the collaborative and personalized learning culture through Udemy licenses, addressing topics such as data analytics and project management. In addition, we conducted cross-cutting campaigns, including courses on cybersecurity. The year culminated with more than 41 thousand employees trained across the Group during more than 1 million training hours, n average of 24.3 hours per employee.</w:t>
      </w:r>
    </w:p>
    <w:p>
      <w:pPr>
        <w:pStyle w:val="TextBody"/>
        <w:bidi w:val="0"/>
        <w:spacing w:before="0" w:after="0"/>
        <w:ind w:left="0" w:right="0" w:hanging="0"/>
        <w:jc w:val="both"/>
        <w:rPr>
          <w:caps w:val="false"/>
          <w:smallCaps w:val="false"/>
        </w:rPr>
      </w:pPr>
      <w:r>
        <w:rPr>
          <w:caps w:val="false"/>
          <w:smallCaps w:val="false"/>
        </w:rPr>
        <w:t> </w:t>
      </w:r>
    </w:p>
    <w:tbl>
      <w:tblPr>
        <w:tblW w:w="9978" w:type="dxa"/>
        <w:jc w:val="left"/>
        <w:tblInd w:w="0" w:type="dxa"/>
        <w:tblLayout w:type="fixed"/>
        <w:tblCellMar>
          <w:top w:w="0" w:type="dxa"/>
          <w:left w:w="0" w:type="dxa"/>
          <w:bottom w:w="0" w:type="dxa"/>
          <w:right w:w="0" w:type="dxa"/>
        </w:tblCellMar>
      </w:tblPr>
      <w:tblGrid>
        <w:gridCol w:w="7395"/>
        <w:gridCol w:w="737"/>
        <w:gridCol w:w="501"/>
        <w:gridCol w:w="737"/>
        <w:gridCol w:w="501"/>
        <w:gridCol w:w="107"/>
      </w:tblGrid>
      <w:tr>
        <w:trPr/>
        <w:tc>
          <w:tcPr>
            <w:tcW w:w="7395" w:type="dxa"/>
            <w:vMerge w:val="restart"/>
            <w:tcBorders/>
            <w:shd w:fill="000000" w:val="cle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i w:val="false"/>
                <w:caps w:val="false"/>
                <w:smallCaps w:val="false"/>
                <w:color w:val="FFFFFF"/>
                <w:sz w:val="16"/>
              </w:rPr>
              <w:t>GRI 404-3 Percentage of employees receiving</w:t>
            </w:r>
            <w:r>
              <w:rPr>
                <w:rFonts w:ascii="Arial" w:hAnsi="Arial"/>
                <w:b w:val="false"/>
                <w:i w:val="false"/>
                <w:caps w:val="false"/>
                <w:smallCaps w:val="false"/>
                <w:sz w:val="16"/>
              </w:rPr>
              <w:br/>
            </w:r>
            <w:r>
              <w:rPr>
                <w:rFonts w:ascii="Arial" w:hAnsi="Arial"/>
                <w:b/>
                <w:i w:val="false"/>
                <w:caps w:val="false"/>
                <w:smallCaps w:val="false"/>
                <w:color w:val="FFFFFF"/>
                <w:sz w:val="16"/>
              </w:rPr>
              <w:t>regular performance and career development reviews</w:t>
            </w:r>
          </w:p>
        </w:tc>
        <w:tc>
          <w:tcPr>
            <w:tcW w:w="1238" w:type="dxa"/>
            <w:gridSpan w:val="2"/>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2023</w:t>
            </w:r>
          </w:p>
        </w:tc>
        <w:tc>
          <w:tcPr>
            <w:tcW w:w="1238" w:type="dxa"/>
            <w:gridSpan w:val="2"/>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2022*</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95" w:type="dxa"/>
            <w:vMerge w:val="continue"/>
            <w:tcBorders/>
            <w:shd w:fill="000000" w:val="clear"/>
            <w:vAlign w:val="center"/>
          </w:tcPr>
          <w:p>
            <w:pPr>
              <w:pStyle w:val="Normal"/>
              <w:bidi w:val="0"/>
              <w:jc w:val="left"/>
              <w:rPr/>
            </w:pPr>
            <w:r>
              <w:rPr/>
            </w:r>
          </w:p>
        </w:tc>
        <w:tc>
          <w:tcPr>
            <w:tcW w:w="737"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Q</w:t>
            </w:r>
          </w:p>
        </w:tc>
        <w:tc>
          <w:tcPr>
            <w:tcW w:w="501"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w:t>
            </w:r>
          </w:p>
        </w:tc>
        <w:tc>
          <w:tcPr>
            <w:tcW w:w="737"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Q</w:t>
            </w:r>
          </w:p>
        </w:tc>
        <w:tc>
          <w:tcPr>
            <w:tcW w:w="501"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95" w:type="dxa"/>
            <w:tcBorders>
              <w:bottom w:val="single" w:sz="8" w:space="0" w:color="BFBFBF"/>
            </w:tcBorders>
            <w:shd w:fill="808080" w:val="clear"/>
            <w:tcMar>
              <w:bottom w:w="28" w:type="dxa"/>
            </w:tcM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Employees by gender who received a performance review</w:t>
            </w:r>
          </w:p>
        </w:tc>
        <w:tc>
          <w:tcPr>
            <w:tcW w:w="737" w:type="dxa"/>
            <w:tcBorders>
              <w:bottom w:val="single" w:sz="8" w:space="0" w:color="A5A5A5"/>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31,788</w:t>
            </w:r>
          </w:p>
        </w:tc>
        <w:tc>
          <w:tcPr>
            <w:tcW w:w="501"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94%</w:t>
            </w:r>
          </w:p>
        </w:tc>
        <w:tc>
          <w:tcPr>
            <w:tcW w:w="737" w:type="dxa"/>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31,757</w:t>
            </w:r>
          </w:p>
        </w:tc>
        <w:tc>
          <w:tcPr>
            <w:tcW w:w="501"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val="false"/>
                <w:i w:val="false"/>
                <w:caps w:val="false"/>
                <w:smallCaps w:val="false"/>
                <w:color w:val="FFFFFF"/>
                <w:sz w:val="16"/>
              </w:rPr>
            </w:pPr>
            <w:r>
              <w:rPr>
                <w:rFonts w:ascii="Arial" w:hAnsi="Arial"/>
                <w:b w:val="false"/>
                <w:i w:val="false"/>
                <w:caps w:val="false"/>
                <w:smallCaps w:val="false"/>
                <w:color w:val="FFFFFF"/>
                <w:sz w:val="16"/>
              </w:rPr>
              <w:t>98%</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95"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Female</w:t>
            </w:r>
          </w:p>
        </w:tc>
        <w:tc>
          <w:tcPr>
            <w:tcW w:w="737"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16,999</w:t>
            </w:r>
          </w:p>
        </w:tc>
        <w:tc>
          <w:tcPr>
            <w:tcW w:w="501"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94%</w:t>
            </w:r>
          </w:p>
        </w:tc>
        <w:tc>
          <w:tcPr>
            <w:tcW w:w="737"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17,118</w:t>
            </w:r>
          </w:p>
        </w:tc>
        <w:tc>
          <w:tcPr>
            <w:tcW w:w="501"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98%</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95"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Male</w:t>
            </w:r>
          </w:p>
        </w:tc>
        <w:tc>
          <w:tcPr>
            <w:tcW w:w="737"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14,789</w:t>
            </w:r>
          </w:p>
        </w:tc>
        <w:tc>
          <w:tcPr>
            <w:tcW w:w="501"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93%</w:t>
            </w:r>
          </w:p>
        </w:tc>
        <w:tc>
          <w:tcPr>
            <w:tcW w:w="737"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14,639</w:t>
            </w:r>
          </w:p>
        </w:tc>
        <w:tc>
          <w:tcPr>
            <w:tcW w:w="501"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98%</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95" w:type="dxa"/>
            <w:tcBorders>
              <w:bottom w:val="single" w:sz="8" w:space="0" w:color="BFBFBF"/>
            </w:tcBorders>
            <w:shd w:fill="808080" w:val="clear"/>
            <w:tcMar>
              <w:bottom w:w="28" w:type="dxa"/>
            </w:tcM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Employees by labor category who received a performance review</w:t>
            </w:r>
          </w:p>
        </w:tc>
        <w:tc>
          <w:tcPr>
            <w:tcW w:w="737" w:type="dxa"/>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31,788</w:t>
            </w:r>
          </w:p>
        </w:tc>
        <w:tc>
          <w:tcPr>
            <w:tcW w:w="501"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94%</w:t>
            </w:r>
          </w:p>
        </w:tc>
        <w:tc>
          <w:tcPr>
            <w:tcW w:w="737" w:type="dxa"/>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31,757</w:t>
            </w:r>
          </w:p>
        </w:tc>
        <w:tc>
          <w:tcPr>
            <w:tcW w:w="501"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98%</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95"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Senior leaders</w:t>
            </w:r>
          </w:p>
        </w:tc>
        <w:tc>
          <w:tcPr>
            <w:tcW w:w="737"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199</w:t>
            </w:r>
          </w:p>
        </w:tc>
        <w:tc>
          <w:tcPr>
            <w:tcW w:w="501"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92%</w:t>
            </w:r>
          </w:p>
        </w:tc>
        <w:tc>
          <w:tcPr>
            <w:tcW w:w="737"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217</w:t>
            </w:r>
          </w:p>
        </w:tc>
        <w:tc>
          <w:tcPr>
            <w:tcW w:w="501"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95%</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95"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Middle managers</w:t>
            </w:r>
          </w:p>
        </w:tc>
        <w:tc>
          <w:tcPr>
            <w:tcW w:w="737"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1,283</w:t>
            </w:r>
          </w:p>
        </w:tc>
        <w:tc>
          <w:tcPr>
            <w:tcW w:w="501"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98%</w:t>
            </w:r>
          </w:p>
        </w:tc>
        <w:tc>
          <w:tcPr>
            <w:tcW w:w="737"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1,069</w:t>
            </w:r>
          </w:p>
        </w:tc>
        <w:tc>
          <w:tcPr>
            <w:tcW w:w="501"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98%</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95"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Non-managerial employees</w:t>
            </w:r>
          </w:p>
        </w:tc>
        <w:tc>
          <w:tcPr>
            <w:tcW w:w="737"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30,306</w:t>
            </w:r>
          </w:p>
        </w:tc>
        <w:tc>
          <w:tcPr>
            <w:tcW w:w="501"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93%</w:t>
            </w:r>
          </w:p>
        </w:tc>
        <w:tc>
          <w:tcPr>
            <w:tcW w:w="737"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30,471</w:t>
            </w:r>
          </w:p>
        </w:tc>
        <w:tc>
          <w:tcPr>
            <w:tcW w:w="501"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98%</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95" w:type="dxa"/>
            <w:tcBorders/>
            <w:shd w:fill="808080"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TOTAL EMPLOYEES at the time of review</w:t>
            </w:r>
          </w:p>
        </w:tc>
        <w:tc>
          <w:tcPr>
            <w:tcW w:w="737" w:type="dxa"/>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33,952</w:t>
            </w:r>
          </w:p>
        </w:tc>
        <w:tc>
          <w:tcPr>
            <w:tcW w:w="501" w:type="dxa"/>
            <w:tcBorders/>
            <w:shd w:fill="808080" w:val="clear"/>
            <w:vAlign w:val="center"/>
          </w:tcPr>
          <w:p>
            <w:pPr>
              <w:pStyle w:val="TableContents"/>
              <w:bidi w:val="0"/>
              <w:spacing w:before="0" w:after="283"/>
              <w:jc w:val="left"/>
              <w:rPr>
                <w:caps w:val="false"/>
                <w:smallCaps w:val="false"/>
              </w:rPr>
            </w:pPr>
            <w:r>
              <w:rPr>
                <w:caps w:val="false"/>
                <w:smallCaps w:val="false"/>
              </w:rPr>
              <w:t> </w:t>
            </w:r>
          </w:p>
        </w:tc>
        <w:tc>
          <w:tcPr>
            <w:tcW w:w="737" w:type="dxa"/>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32,410</w:t>
            </w:r>
          </w:p>
        </w:tc>
        <w:tc>
          <w:tcPr>
            <w:tcW w:w="501" w:type="dxa"/>
            <w:tcBorders/>
            <w:shd w:fill="808080"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95"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Females</w:t>
            </w:r>
          </w:p>
        </w:tc>
        <w:tc>
          <w:tcPr>
            <w:tcW w:w="737"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18,055</w:t>
            </w:r>
          </w:p>
        </w:tc>
        <w:tc>
          <w:tcPr>
            <w:tcW w:w="501" w:type="dxa"/>
            <w:tcBorders>
              <w:top w:val="single" w:sz="8" w:space="0" w:color="BFBFBF"/>
              <w:bottom w:val="single" w:sz="8" w:space="0" w:color="BFBFBF"/>
            </w:tcBorders>
            <w:tcMar>
              <w:top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737" w:type="dxa"/>
            <w:tcBorders>
              <w:top w:val="single" w:sz="8" w:space="0" w:color="BFBFBF"/>
              <w:bottom w:val="single" w:sz="8" w:space="0" w:color="BFBFBF"/>
            </w:tcBorders>
            <w:shd w:fill="FFFFFF" w:val="clear"/>
            <w:tcMar>
              <w:top w:w="28" w:type="dxa"/>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17,463</w:t>
            </w:r>
          </w:p>
        </w:tc>
        <w:tc>
          <w:tcPr>
            <w:tcW w:w="501" w:type="dxa"/>
            <w:tcBorders>
              <w:top w:val="single" w:sz="8" w:space="0" w:color="BFBFBF"/>
              <w:bottom w:val="single" w:sz="8" w:space="0" w:color="BFBFBF"/>
            </w:tcBorders>
            <w:shd w:fill="FFFFFF" w:val="clear"/>
            <w:tcMar>
              <w:top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95"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Males</w:t>
            </w:r>
          </w:p>
        </w:tc>
        <w:tc>
          <w:tcPr>
            <w:tcW w:w="737"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15,897</w:t>
            </w:r>
          </w:p>
        </w:tc>
        <w:tc>
          <w:tcPr>
            <w:tcW w:w="501" w:type="dxa"/>
            <w:tcBorders>
              <w:bottom w:val="single" w:sz="8" w:space="0" w:color="BFBFBF"/>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7"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14,947</w:t>
            </w:r>
          </w:p>
        </w:tc>
        <w:tc>
          <w:tcPr>
            <w:tcW w:w="501" w:type="dxa"/>
            <w:tcBorders>
              <w:bottom w:val="single" w:sz="8" w:space="0" w:color="BFBFBF"/>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95" w:type="dxa"/>
            <w:tcBorders/>
            <w:shd w:fill="808080"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TOTAL EMPLOYEES at the time of review</w:t>
            </w:r>
          </w:p>
        </w:tc>
        <w:tc>
          <w:tcPr>
            <w:tcW w:w="737" w:type="dxa"/>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33,952</w:t>
            </w:r>
          </w:p>
        </w:tc>
        <w:tc>
          <w:tcPr>
            <w:tcW w:w="501" w:type="dxa"/>
            <w:tcBorders>
              <w:bottom w:val="single" w:sz="8" w:space="0" w:color="BFBFBF"/>
            </w:tcBorders>
            <w:shd w:fill="808080"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7"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32,410</w:t>
            </w:r>
          </w:p>
        </w:tc>
        <w:tc>
          <w:tcPr>
            <w:tcW w:w="501" w:type="dxa"/>
            <w:tcBorders>
              <w:bottom w:val="single" w:sz="8" w:space="0" w:color="BFBFBF"/>
            </w:tcBorders>
            <w:shd w:fill="808080"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95"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Senior leaders</w:t>
            </w:r>
          </w:p>
        </w:tc>
        <w:tc>
          <w:tcPr>
            <w:tcW w:w="737"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217</w:t>
            </w:r>
          </w:p>
        </w:tc>
        <w:tc>
          <w:tcPr>
            <w:tcW w:w="501" w:type="dxa"/>
            <w:tcBorders>
              <w:bottom w:val="single" w:sz="8" w:space="0" w:color="BFBFBF"/>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7"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229</w:t>
            </w:r>
          </w:p>
        </w:tc>
        <w:tc>
          <w:tcPr>
            <w:tcW w:w="501" w:type="dxa"/>
            <w:tcBorders>
              <w:bottom w:val="single" w:sz="8" w:space="0" w:color="BFBFBF"/>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95"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Middle managers</w:t>
            </w:r>
          </w:p>
        </w:tc>
        <w:tc>
          <w:tcPr>
            <w:tcW w:w="737"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1,310</w:t>
            </w:r>
          </w:p>
        </w:tc>
        <w:tc>
          <w:tcPr>
            <w:tcW w:w="501" w:type="dxa"/>
            <w:tcBorders>
              <w:bottom w:val="single" w:sz="8" w:space="0" w:color="BFBFBF"/>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7"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1,087</w:t>
            </w:r>
          </w:p>
        </w:tc>
        <w:tc>
          <w:tcPr>
            <w:tcW w:w="501" w:type="dxa"/>
            <w:tcBorders>
              <w:bottom w:val="single" w:sz="8" w:space="0" w:color="BFBFBF"/>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95"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Non-managerial employees</w:t>
            </w:r>
          </w:p>
        </w:tc>
        <w:tc>
          <w:tcPr>
            <w:tcW w:w="737"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32,425</w:t>
            </w:r>
          </w:p>
        </w:tc>
        <w:tc>
          <w:tcPr>
            <w:tcW w:w="501" w:type="dxa"/>
            <w:tcBorders>
              <w:bottom w:val="single" w:sz="8" w:space="0" w:color="BFBFBF"/>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7"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31,094</w:t>
            </w:r>
          </w:p>
        </w:tc>
        <w:tc>
          <w:tcPr>
            <w:tcW w:w="501" w:type="dxa"/>
            <w:tcBorders>
              <w:bottom w:val="single" w:sz="8" w:space="0" w:color="BFBFBF"/>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95" w:type="dxa"/>
            <w:tcBorders/>
            <w:vAlign w:val="center"/>
          </w:tcPr>
          <w:p>
            <w:pPr>
              <w:pStyle w:val="TableContents"/>
              <w:bidi w:val="0"/>
              <w:spacing w:before="0" w:after="283"/>
              <w:jc w:val="left"/>
              <w:rPr>
                <w:caps w:val="false"/>
                <w:smallCaps w:val="false"/>
              </w:rPr>
            </w:pPr>
            <w:r>
              <w:rPr>
                <w:caps w:val="false"/>
                <w:smallCaps w:val="false"/>
              </w:rPr>
              <w:t> </w:t>
            </w:r>
          </w:p>
        </w:tc>
        <w:tc>
          <w:tcPr>
            <w:tcW w:w="737" w:type="dxa"/>
            <w:tcBorders/>
            <w:vAlign w:val="center"/>
          </w:tcPr>
          <w:p>
            <w:pPr>
              <w:pStyle w:val="TableContents"/>
              <w:bidi w:val="0"/>
              <w:spacing w:before="0" w:after="283"/>
              <w:jc w:val="left"/>
              <w:rPr>
                <w:caps w:val="false"/>
                <w:smallCaps w:val="false"/>
              </w:rPr>
            </w:pPr>
            <w:r>
              <w:rPr>
                <w:caps w:val="false"/>
                <w:smallCaps w:val="false"/>
              </w:rPr>
              <w:t> </w:t>
            </w:r>
          </w:p>
        </w:tc>
        <w:tc>
          <w:tcPr>
            <w:tcW w:w="501" w:type="dxa"/>
            <w:tcBorders/>
            <w:vAlign w:val="center"/>
          </w:tcPr>
          <w:p>
            <w:pPr>
              <w:pStyle w:val="TableContents"/>
              <w:bidi w:val="0"/>
              <w:spacing w:before="0" w:after="283"/>
              <w:jc w:val="left"/>
              <w:rPr>
                <w:caps w:val="false"/>
                <w:smallCaps w:val="false"/>
              </w:rPr>
            </w:pPr>
            <w:r>
              <w:rPr>
                <w:caps w:val="false"/>
                <w:smallCaps w:val="false"/>
              </w:rPr>
              <w:t> </w:t>
            </w:r>
          </w:p>
        </w:tc>
        <w:tc>
          <w:tcPr>
            <w:tcW w:w="737" w:type="dxa"/>
            <w:tcBorders/>
            <w:vAlign w:val="center"/>
          </w:tcPr>
          <w:p>
            <w:pPr>
              <w:pStyle w:val="TableContents"/>
              <w:bidi w:val="0"/>
              <w:spacing w:before="0" w:after="283"/>
              <w:jc w:val="left"/>
              <w:rPr>
                <w:caps w:val="false"/>
                <w:smallCaps w:val="false"/>
              </w:rPr>
            </w:pPr>
            <w:r>
              <w:rPr>
                <w:caps w:val="false"/>
                <w:smallCaps w:val="false"/>
              </w:rPr>
              <w:t> </w:t>
            </w:r>
          </w:p>
        </w:tc>
        <w:tc>
          <w:tcPr>
            <w:tcW w:w="501" w:type="dxa"/>
            <w:tcBorders/>
            <w:vAlign w:val="center"/>
          </w:tcPr>
          <w:p>
            <w:pPr>
              <w:pStyle w:val="TableContents"/>
              <w:bidi w:val="0"/>
              <w:spacing w:before="0" w:after="283"/>
              <w:jc w:val="left"/>
              <w:rPr>
                <w:caps w:val="false"/>
                <w:smallCaps w:val="false"/>
              </w:rPr>
            </w:pPr>
            <w:r>
              <w:rPr>
                <w:caps w:val="false"/>
                <w:smallCaps w:val="false"/>
              </w:rPr>
              <w:t> </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978" w:type="dxa"/>
            <w:gridSpan w:val="6"/>
            <w:tcBorders/>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 Includes the following subsidiaries: BCP Perú, Mibanco Perú, Pacífico Seguros, Prima AFP, Mibanco Colombia, and Credicorp Capital.</w:t>
            </w:r>
          </w:p>
        </w:tc>
      </w:tr>
    </w:tbl>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80</w:t>
      </w:r>
    </w:p>
    <w:p>
      <w:pPr>
        <w:pStyle w:val="HorizontalLine"/>
        <w:pBdr>
          <w:bottom w:val="single" w:sz="12" w:space="0" w:color="808080"/>
        </w:pBdr>
        <w:bidi w:val="0"/>
        <w:spacing w:before="200" w:after="200"/>
        <w:jc w:val="right"/>
        <w:rPr/>
      </w:pPr>
      <w:r>
        <w:rPr/>
      </w:r>
    </w:p>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2.3. SUSTAINABLE SUPPLIER MANAGEMENT</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left"/>
        <w:rPr>
          <w:caps w:val="false"/>
          <w:smallCaps w:val="false"/>
          <w:color w:val="FE5000"/>
        </w:rPr>
      </w:pPr>
      <w:r>
        <w:rPr>
          <w:caps w:val="false"/>
          <w:smallCaps w:val="false"/>
          <w:color w:val="FE5000"/>
        </w:rPr>
        <w:t> </w:t>
      </w:r>
      <w:r>
        <mc:AlternateContent>
          <mc:Choice Requires="wps">
            <w:drawing>
              <wp:anchor behindDoc="0" distT="0" distB="0" distL="0" distR="0" simplePos="0" locked="0" layoutInCell="1" allowOverlap="1" relativeHeight="310">
                <wp:simplePos x="0" y="0"/>
                <wp:positionH relativeFrom="column">
                  <wp:align>left</wp:align>
                </wp:positionH>
                <wp:positionV relativeFrom="line">
                  <wp:posOffset>635</wp:posOffset>
                </wp:positionV>
                <wp:extent cx="3110230" cy="3973195"/>
                <wp:effectExtent l="0" t="0" r="0" b="0"/>
                <wp:wrapSquare wrapText="right"/>
                <wp:docPr id="431" name="Frame126"/>
                <a:graphic xmlns:a="http://schemas.openxmlformats.org/drawingml/2006/main">
                  <a:graphicData uri="http://schemas.microsoft.com/office/word/2010/wordprocessingShape">
                    <wps:wsp>
                      <wps:cNvSpPr txBox="1"/>
                      <wps:spPr>
                        <a:xfrm>
                          <a:off x="0" y="0"/>
                          <a:ext cx="3110230" cy="3973195"/>
                        </a:xfrm>
                        <a:prstGeom prst="rect"/>
                        <a:solidFill>
                          <a:srgbClr val="FFFFFF"/>
                        </a:solidFill>
                      </wps:spPr>
                      <wps:txbx>
                        <w:txbxContent>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ESG assessment for suppliers</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shd w:fill="ED7C30" w:val="clear"/>
                                  <w:vAlign w:val="center"/>
                                </w:tcPr>
                                <w:p>
                                  <w:pPr>
                                    <w:pStyle w:val="TableContents"/>
                                    <w:bidi w:val="0"/>
                                    <w:spacing w:before="0" w:after="283"/>
                                    <w:jc w:val="center"/>
                                    <w:rPr>
                                      <w:rFonts w:ascii="Arial" w:hAnsi="Arial"/>
                                      <w:b/>
                                      <w:color w:val="FFFFFF"/>
                                      <w:sz w:val="16"/>
                                    </w:rPr>
                                  </w:pPr>
                                  <w:r>
                                    <w:rPr>
                                      <w:rFonts w:ascii="Arial" w:hAnsi="Arial"/>
                                      <w:b/>
                                      <w:color w:val="FFFFFF"/>
                                      <w:sz w:val="16"/>
                                    </w:rPr>
                                    <w:t>ESG questions to standardized supplier treatment</w:t>
                                  </w:r>
                                </w:p>
                              </w:tc>
                            </w:tr>
                            <w:tr>
                              <w:trPr/>
                              <w:tc>
                                <w:tcPr>
                                  <w:tcW w:w="10205" w:type="dxa"/>
                                  <w:tcBorders/>
                                  <w:shd w:fill="F8D7CD" w:val="cle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Formality</w:t>
                                  </w:r>
                                </w:p>
                              </w:tc>
                            </w:tr>
                            <w:tr>
                              <w:trPr/>
                              <w:tc>
                                <w:tcPr>
                                  <w:tcW w:w="10205" w:type="dxa"/>
                                  <w:tcBorders/>
                                  <w:shd w:fill="FCECE8" w:val="cle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General questions: constitution, accounting, permits</w:t>
                                  </w:r>
                                </w:p>
                              </w:tc>
                            </w:tr>
                            <w:tr>
                              <w:trPr/>
                              <w:tc>
                                <w:tcPr>
                                  <w:tcW w:w="10205" w:type="dxa"/>
                                  <w:tcBorders/>
                                  <w:shd w:fill="F8D7CD" w:val="cle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Environmental</w:t>
                                  </w:r>
                                </w:p>
                              </w:tc>
                            </w:tr>
                            <w:tr>
                              <w:trPr/>
                              <w:tc>
                                <w:tcPr>
                                  <w:tcW w:w="10205" w:type="dxa"/>
                                  <w:tcBorders/>
                                  <w:shd w:fill="FCECE8" w:val="cle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Questions on carbon footprint measurement, Environmental Management System, environmental initiatives or programs, Environmental Management System Certification (ISO 14000) or other national or international standards, environmental management indicators and training programs (informative section, non-mandatory).</w:t>
                                  </w:r>
                                </w:p>
                              </w:tc>
                            </w:tr>
                            <w:tr>
                              <w:trPr/>
                              <w:tc>
                                <w:tcPr>
                                  <w:tcW w:w="10205" w:type="dxa"/>
                                  <w:tcBorders/>
                                  <w:shd w:fill="F8D7CD" w:val="cle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Workplace</w:t>
                                  </w:r>
                                </w:p>
                              </w:tc>
                            </w:tr>
                            <w:tr>
                              <w:trPr/>
                              <w:tc>
                                <w:tcPr>
                                  <w:tcW w:w="10205" w:type="dxa"/>
                                  <w:tcBorders/>
                                  <w:shd w:fill="FCECE8" w:val="clear"/>
                                  <w:vAlign w:val="center"/>
                                </w:tcPr>
                                <w:p>
                                  <w:pPr>
                                    <w:pStyle w:val="TableContents"/>
                                    <w:bidi w:val="0"/>
                                    <w:spacing w:before="0" w:after="283"/>
                                    <w:jc w:val="both"/>
                                    <w:rPr>
                                      <w:rFonts w:ascii="Arial" w:hAnsi="Arial"/>
                                      <w:b w:val="false"/>
                                      <w:i w:val="false"/>
                                      <w:caps w:val="false"/>
                                      <w:smallCaps w:val="false"/>
                                      <w:sz w:val="16"/>
                                    </w:rPr>
                                  </w:pPr>
                                  <w:r>
                                    <w:rPr>
                                      <w:rFonts w:ascii="Arial" w:hAnsi="Arial"/>
                                      <w:b w:val="false"/>
                                      <w:i w:val="false"/>
                                      <w:caps w:val="false"/>
                                      <w:smallCaps w:val="false"/>
                                      <w:sz w:val="16"/>
                                    </w:rPr>
                                    <w:t>Questions on labor formality, payment of legal obligations, payment of remuneration, health insurance, bonuses, utilities, severance paid, paid vacations, attendance, child labor policies.</w:t>
                                  </w:r>
                                </w:p>
                              </w:tc>
                            </w:tr>
                            <w:tr>
                              <w:trPr/>
                              <w:tc>
                                <w:tcPr>
                                  <w:tcW w:w="10205" w:type="dxa"/>
                                  <w:tcBorders/>
                                  <w:shd w:fill="F8D7CD" w:val="cle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Occupational Safety and Health( OSH) System</w:t>
                                  </w:r>
                                </w:p>
                              </w:tc>
                            </w:tr>
                            <w:tr>
                              <w:trPr/>
                              <w:tc>
                                <w:tcPr>
                                  <w:tcW w:w="10205" w:type="dxa"/>
                                  <w:tcBorders/>
                                  <w:shd w:fill="FCECE8" w:val="cle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Questions about policy, IPERC Matrix, OSH program, OSH Committee or supervisor, occupational safety procedures, Complementary Insurance for Workplace Risk, safety statistics, medical examinations, training, and contingency plan.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12.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ESG assessment for suppliers</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shd w:fill="ED7C30" w:val="clear"/>
                            <w:vAlign w:val="center"/>
                          </w:tcPr>
                          <w:p>
                            <w:pPr>
                              <w:pStyle w:val="TableContents"/>
                              <w:bidi w:val="0"/>
                              <w:spacing w:before="0" w:after="283"/>
                              <w:jc w:val="center"/>
                              <w:rPr>
                                <w:rFonts w:ascii="Arial" w:hAnsi="Arial"/>
                                <w:b/>
                                <w:color w:val="FFFFFF"/>
                                <w:sz w:val="16"/>
                              </w:rPr>
                            </w:pPr>
                            <w:r>
                              <w:rPr>
                                <w:rFonts w:ascii="Arial" w:hAnsi="Arial"/>
                                <w:b/>
                                <w:color w:val="FFFFFF"/>
                                <w:sz w:val="16"/>
                              </w:rPr>
                              <w:t>ESG questions to standardized supplier treatment</w:t>
                            </w:r>
                          </w:p>
                        </w:tc>
                      </w:tr>
                      <w:tr>
                        <w:trPr/>
                        <w:tc>
                          <w:tcPr>
                            <w:tcW w:w="10205" w:type="dxa"/>
                            <w:tcBorders/>
                            <w:shd w:fill="F8D7CD" w:val="cle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Formality</w:t>
                            </w:r>
                          </w:p>
                        </w:tc>
                      </w:tr>
                      <w:tr>
                        <w:trPr/>
                        <w:tc>
                          <w:tcPr>
                            <w:tcW w:w="10205" w:type="dxa"/>
                            <w:tcBorders/>
                            <w:shd w:fill="FCECE8" w:val="cle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General questions: constitution, accounting, permits</w:t>
                            </w:r>
                          </w:p>
                        </w:tc>
                      </w:tr>
                      <w:tr>
                        <w:trPr/>
                        <w:tc>
                          <w:tcPr>
                            <w:tcW w:w="10205" w:type="dxa"/>
                            <w:tcBorders/>
                            <w:shd w:fill="F8D7CD" w:val="cle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Environmental</w:t>
                            </w:r>
                          </w:p>
                        </w:tc>
                      </w:tr>
                      <w:tr>
                        <w:trPr/>
                        <w:tc>
                          <w:tcPr>
                            <w:tcW w:w="10205" w:type="dxa"/>
                            <w:tcBorders/>
                            <w:shd w:fill="FCECE8" w:val="cle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Questions on carbon footprint measurement, Environmental Management System, environmental initiatives or programs, Environmental Management System Certification (ISO 14000) or other national or international standards, environmental management indicators and training programs (informative section, non-mandatory).</w:t>
                            </w:r>
                          </w:p>
                        </w:tc>
                      </w:tr>
                      <w:tr>
                        <w:trPr/>
                        <w:tc>
                          <w:tcPr>
                            <w:tcW w:w="10205" w:type="dxa"/>
                            <w:tcBorders/>
                            <w:shd w:fill="F8D7CD" w:val="cle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Workplace</w:t>
                            </w:r>
                          </w:p>
                        </w:tc>
                      </w:tr>
                      <w:tr>
                        <w:trPr/>
                        <w:tc>
                          <w:tcPr>
                            <w:tcW w:w="10205" w:type="dxa"/>
                            <w:tcBorders/>
                            <w:shd w:fill="FCECE8" w:val="clear"/>
                            <w:vAlign w:val="center"/>
                          </w:tcPr>
                          <w:p>
                            <w:pPr>
                              <w:pStyle w:val="TableContents"/>
                              <w:bidi w:val="0"/>
                              <w:spacing w:before="0" w:after="283"/>
                              <w:jc w:val="both"/>
                              <w:rPr>
                                <w:rFonts w:ascii="Arial" w:hAnsi="Arial"/>
                                <w:b w:val="false"/>
                                <w:i w:val="false"/>
                                <w:caps w:val="false"/>
                                <w:smallCaps w:val="false"/>
                                <w:sz w:val="16"/>
                              </w:rPr>
                            </w:pPr>
                            <w:r>
                              <w:rPr>
                                <w:rFonts w:ascii="Arial" w:hAnsi="Arial"/>
                                <w:b w:val="false"/>
                                <w:i w:val="false"/>
                                <w:caps w:val="false"/>
                                <w:smallCaps w:val="false"/>
                                <w:sz w:val="16"/>
                              </w:rPr>
                              <w:t>Questions on labor formality, payment of legal obligations, payment of remuneration, health insurance, bonuses, utilities, severance paid, paid vacations, attendance, child labor policies.</w:t>
                            </w:r>
                          </w:p>
                        </w:tc>
                      </w:tr>
                      <w:tr>
                        <w:trPr/>
                        <w:tc>
                          <w:tcPr>
                            <w:tcW w:w="10205" w:type="dxa"/>
                            <w:tcBorders/>
                            <w:shd w:fill="F8D7CD" w:val="clear"/>
                            <w:vAlign w:val="center"/>
                          </w:tcPr>
                          <w:p>
                            <w:pPr>
                              <w:pStyle w:val="TableContents"/>
                              <w:bidi w:val="0"/>
                              <w:spacing w:before="0" w:after="283"/>
                              <w:jc w:val="center"/>
                              <w:rPr>
                                <w:rFonts w:ascii="Arial" w:hAnsi="Arial"/>
                                <w:b/>
                                <w:i w:val="false"/>
                                <w:caps w:val="false"/>
                                <w:smallCaps w:val="false"/>
                                <w:sz w:val="16"/>
                              </w:rPr>
                            </w:pPr>
                            <w:r>
                              <w:rPr>
                                <w:rFonts w:ascii="Arial" w:hAnsi="Arial"/>
                                <w:b/>
                                <w:i w:val="false"/>
                                <w:caps w:val="false"/>
                                <w:smallCaps w:val="false"/>
                                <w:sz w:val="16"/>
                              </w:rPr>
                              <w:t>Occupational Safety and Health( OSH) System</w:t>
                            </w:r>
                          </w:p>
                        </w:tc>
                      </w:tr>
                      <w:tr>
                        <w:trPr/>
                        <w:tc>
                          <w:tcPr>
                            <w:tcW w:w="10205" w:type="dxa"/>
                            <w:tcBorders/>
                            <w:shd w:fill="FCECE8" w:val="cle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Questions about policy, IPERC Matrix, OSH program, OSH Committee or supervisor, occupational safety procedures, Complementary Insurance for Workplace Risk, safety statistics, medical examinations, training, and contingency plan.</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11">
                <wp:simplePos x="0" y="0"/>
                <wp:positionH relativeFrom="column">
                  <wp:align>right</wp:align>
                </wp:positionH>
                <wp:positionV relativeFrom="line">
                  <wp:posOffset>635</wp:posOffset>
                </wp:positionV>
                <wp:extent cx="3110230" cy="4389120"/>
                <wp:effectExtent l="0" t="0" r="0" b="0"/>
                <wp:wrapSquare wrapText="left"/>
                <wp:docPr id="432" name="Frame127"/>
                <a:graphic xmlns:a="http://schemas.openxmlformats.org/drawingml/2006/main">
                  <a:graphicData uri="http://schemas.microsoft.com/office/word/2010/wordprocessingShape">
                    <wps:wsp>
                      <wps:cNvSpPr txBox="1"/>
                      <wps:spPr>
                        <a:xfrm>
                          <a:off x="0" y="0"/>
                          <a:ext cx="3110230" cy="4389120"/>
                        </a:xfrm>
                        <a:prstGeom prst="rect"/>
                        <a:solidFill>
                          <a:srgbClr val="FFFFFF"/>
                        </a:solidFill>
                      </wps:spPr>
                      <wps:txbx>
                        <w:txbxContent>
                          <w:p>
                            <w:pPr>
                              <w:pStyle w:val="TextBody"/>
                              <w:bidi w:val="0"/>
                              <w:spacing w:lineRule="auto" w:line="240"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Table Category of expenses and investment40</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color w:val="FE5000"/>
                              </w:rPr>
                            </w:pPr>
                            <w:r>
                              <w:rPr>
                                <w:caps w:val="false"/>
                                <w:smallCaps w:val="false"/>
                                <w:color w:val="FE5000"/>
                              </w:rPr>
                              <w:t> </w:t>
                            </w:r>
                          </w:p>
                          <w:tbl>
                            <w:tblPr>
                              <w:tblW w:w="9615" w:type="dxa"/>
                              <w:jc w:val="center"/>
                              <w:tblInd w:w="0" w:type="dxa"/>
                              <w:tblLayout w:type="fixed"/>
                              <w:tblCellMar>
                                <w:top w:w="28" w:type="dxa"/>
                                <w:left w:w="108" w:type="dxa"/>
                                <w:bottom w:w="28" w:type="dxa"/>
                                <w:right w:w="0" w:type="dxa"/>
                              </w:tblCellMar>
                            </w:tblPr>
                            <w:tblGrid>
                              <w:gridCol w:w="800"/>
                              <w:gridCol w:w="3320"/>
                              <w:gridCol w:w="350"/>
                              <w:gridCol w:w="1340"/>
                              <w:gridCol w:w="980"/>
                              <w:gridCol w:w="2825"/>
                            </w:tblGrid>
                            <w:tr>
                              <w:trPr/>
                              <w:tc>
                                <w:tcPr>
                                  <w:tcW w:w="800" w:type="dxa"/>
                                  <w:tcBorders>
                                    <w:top w:val="single" w:sz="8" w:space="0" w:color="ED7D31"/>
                                    <w:left w:val="single" w:sz="8" w:space="0" w:color="ED7D31"/>
                                    <w:bottom w:val="single" w:sz="8" w:space="0" w:color="ED7D31"/>
                                  </w:tcBorders>
                                  <w:shd w:fill="ED7D31"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Company</w:t>
                                  </w:r>
                                </w:p>
                              </w:tc>
                              <w:tc>
                                <w:tcPr>
                                  <w:tcW w:w="3320" w:type="dxa"/>
                                  <w:tcBorders>
                                    <w:top w:val="single" w:sz="8" w:space="0" w:color="ED7D31"/>
                                    <w:bottom w:val="single" w:sz="8" w:space="0" w:color="ED7D31"/>
                                  </w:tcBorders>
                                  <w:shd w:fill="ED7D31" w:val="clear"/>
                                  <w:tcMar>
                                    <w:left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Category of expenditure</w:t>
                                  </w:r>
                                </w:p>
                              </w:tc>
                              <w:tc>
                                <w:tcPr>
                                  <w:tcW w:w="350" w:type="dxa"/>
                                  <w:tcBorders>
                                    <w:top w:val="single" w:sz="8" w:space="0" w:color="ED7D31"/>
                                    <w:bottom w:val="single" w:sz="8" w:space="0" w:color="ED7D31"/>
                                  </w:tcBorders>
                                  <w:shd w:fill="ED7D31" w:val="clear"/>
                                  <w:tcMar>
                                    <w:left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w:t>
                                  </w:r>
                                </w:p>
                              </w:tc>
                              <w:tc>
                                <w:tcPr>
                                  <w:tcW w:w="1340" w:type="dxa"/>
                                  <w:tcBorders>
                                    <w:top w:val="single" w:sz="8" w:space="0" w:color="ED7D31"/>
                                    <w:bottom w:val="single" w:sz="8" w:space="0" w:color="ED7D31"/>
                                  </w:tcBorders>
                                  <w:shd w:fill="ED7D31" w:val="clear"/>
                                  <w:tcMar>
                                    <w:left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Suppliers</w:t>
                                  </w:r>
                                </w:p>
                              </w:tc>
                              <w:tc>
                                <w:tcPr>
                                  <w:tcW w:w="980" w:type="dxa"/>
                                  <w:tcBorders>
                                    <w:top w:val="single" w:sz="8" w:space="0" w:color="ED7D31"/>
                                    <w:bottom w:val="single" w:sz="8" w:space="0" w:color="ED7D31"/>
                                  </w:tcBorders>
                                  <w:shd w:fill="ED7D31" w:val="clear"/>
                                  <w:tcMar>
                                    <w:left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Location</w:t>
                                  </w:r>
                                </w:p>
                              </w:tc>
                              <w:tc>
                                <w:tcPr>
                                  <w:tcW w:w="2825" w:type="dxa"/>
                                  <w:tcBorders>
                                    <w:top w:val="single" w:sz="8" w:space="0" w:color="ED7D31"/>
                                    <w:bottom w:val="single" w:sz="8" w:space="0" w:color="ED7D31"/>
                                    <w:right w:val="single" w:sz="8" w:space="0" w:color="ED7D31"/>
                                  </w:tcBorders>
                                  <w:shd w:fill="ED7D31" w:val="clear"/>
                                  <w:tcMar>
                                    <w:left w:w="0" w:type="dxa"/>
                                    <w:right w:w="10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Estimated payment value (millions)</w:t>
                                  </w:r>
                                </w:p>
                              </w:tc>
                            </w:tr>
                            <w:tr>
                              <w:trPr/>
                              <w:tc>
                                <w:tcPr>
                                  <w:tcW w:w="800" w:type="dxa"/>
                                  <w:vMerge w:val="restart"/>
                                  <w:tcBorders>
                                    <w:left w:val="single" w:sz="8" w:space="0" w:color="F4B083"/>
                                    <w:bottom w:val="single" w:sz="8" w:space="0" w:color="F4B083"/>
                                    <w:right w:val="single" w:sz="8" w:space="0" w:color="F4B083"/>
                                  </w:tcBorders>
                                  <w:shd w:fill="FBE4D5" w:val="clear"/>
                                  <w:tcMar>
                                    <w:top w:w="0" w:type="dxa"/>
                                    <w:right w:w="108" w:type="dxa"/>
                                  </w:tcMar>
                                  <w:vAlign w:val="center"/>
                                </w:tcPr>
                                <w:p>
                                  <w:pPr>
                                    <w:pStyle w:val="TableContents"/>
                                    <w:bidi w:val="0"/>
                                    <w:spacing w:before="0" w:after="283"/>
                                    <w:jc w:val="center"/>
                                    <w:rPr>
                                      <w:rFonts w:ascii="Arial" w:hAnsi="Arial"/>
                                      <w:b/>
                                      <w:i w:val="false"/>
                                      <w:caps w:val="false"/>
                                      <w:smallCaps w:val="false"/>
                                      <w:color w:val="000000"/>
                                      <w:sz w:val="16"/>
                                    </w:rPr>
                                  </w:pPr>
                                  <w:r>
                                    <w:rPr>
                                      <w:rFonts w:ascii="Arial" w:hAnsi="Arial"/>
                                      <w:b/>
                                      <w:i w:val="false"/>
                                      <w:caps w:val="false"/>
                                      <w:smallCaps w:val="false"/>
                                      <w:color w:val="000000"/>
                                      <w:sz w:val="16"/>
                                    </w:rPr>
                                    <w:t>Total</w:t>
                                  </w:r>
                                </w:p>
                              </w:tc>
                              <w:tc>
                                <w:tcPr>
                                  <w:tcW w:w="3320" w:type="dxa"/>
                                  <w:tcBorders>
                                    <w:bottom w:val="single" w:sz="8" w:space="0" w:color="F4B083"/>
                                    <w:right w:val="single" w:sz="8" w:space="0" w:color="F4B083"/>
                                  </w:tcBorders>
                                  <w:shd w:fill="FBE4D5" w:val="clear"/>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Software</w:t>
                                  </w:r>
                                </w:p>
                              </w:tc>
                              <w:tc>
                                <w:tcPr>
                                  <w:tcW w:w="350" w:type="dxa"/>
                                  <w:tcBorders>
                                    <w:bottom w:val="single" w:sz="8" w:space="0" w:color="F4B083"/>
                                    <w:right w:val="single" w:sz="8" w:space="0" w:color="F4B083"/>
                                  </w:tcBorders>
                                  <w:shd w:fill="FBE4D5" w:val="clear"/>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19%</w:t>
                                  </w:r>
                                </w:p>
                              </w:tc>
                              <w:tc>
                                <w:tcPr>
                                  <w:tcW w:w="1340" w:type="dxa"/>
                                  <w:tcBorders>
                                    <w:bottom w:val="single" w:sz="8" w:space="0" w:color="F4B083"/>
                                    <w:right w:val="single" w:sz="8" w:space="0" w:color="F4B083"/>
                                  </w:tcBorders>
                                  <w:shd w:fill="FBE4D5" w:val="clear"/>
                                  <w:tcMar>
                                    <w:top w:w="0" w:type="dxa"/>
                                    <w:left w:w="0" w:type="dxa"/>
                                    <w:right w:w="108"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980" w:type="dxa"/>
                                  <w:tcBorders>
                                    <w:bottom w:val="single" w:sz="8" w:space="0" w:color="F4B083"/>
                                    <w:right w:val="single" w:sz="8" w:space="0" w:color="F4B083"/>
                                  </w:tcBorders>
                                  <w:shd w:fill="FBE4D5" w:val="clear"/>
                                  <w:tcMar>
                                    <w:top w:w="0" w:type="dxa"/>
                                    <w:left w:w="0" w:type="dxa"/>
                                    <w:right w:w="108"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2825" w:type="dxa"/>
                                  <w:tcBorders>
                                    <w:bottom w:val="single" w:sz="8" w:space="0" w:color="F4B083"/>
                                    <w:right w:val="single" w:sz="8" w:space="0" w:color="F4B083"/>
                                  </w:tcBorders>
                                  <w:shd w:fill="FBE4D5" w:val="clear"/>
                                  <w:tcMar>
                                    <w:top w:w="0" w:type="dxa"/>
                                    <w:left w:w="0" w:type="dxa"/>
                                    <w:right w:w="108"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r>
                            <w:tr>
                              <w:trPr/>
                              <w:tc>
                                <w:tcPr>
                                  <w:tcW w:w="800" w:type="dxa"/>
                                  <w:vMerge w:val="continue"/>
                                  <w:tcBorders>
                                    <w:left w:val="single" w:sz="8" w:space="0" w:color="F4B083"/>
                                    <w:bottom w:val="single" w:sz="8" w:space="0" w:color="F4B083"/>
                                    <w:right w:val="single" w:sz="8" w:space="0" w:color="F4B083"/>
                                  </w:tcBorders>
                                  <w:tcMar>
                                    <w:top w:w="0" w:type="dxa"/>
                                    <w:right w:w="108" w:type="dxa"/>
                                  </w:tcMar>
                                  <w:vAlign w:val="center"/>
                                </w:tcPr>
                                <w:p>
                                  <w:pPr>
                                    <w:pStyle w:val="Normal"/>
                                    <w:bidi w:val="0"/>
                                    <w:jc w:val="left"/>
                                    <w:rPr/>
                                  </w:pPr>
                                  <w:r>
                                    <w:rPr/>
                                  </w:r>
                                </w:p>
                              </w:tc>
                              <w:tc>
                                <w:tcPr>
                                  <w:tcW w:w="3320" w:type="dxa"/>
                                  <w:tcBorders>
                                    <w:bottom w:val="single" w:sz="8" w:space="0" w:color="F4B083"/>
                                    <w:right w:val="single" w:sz="8" w:space="0" w:color="F4B083"/>
                                  </w:tcBorders>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Commissions, contributions, and investments</w:t>
                                  </w:r>
                                </w:p>
                              </w:tc>
                              <w:tc>
                                <w:tcPr>
                                  <w:tcW w:w="350" w:type="dxa"/>
                                  <w:tcBorders>
                                    <w:bottom w:val="single" w:sz="8" w:space="0" w:color="F4B083"/>
                                    <w:right w:val="single" w:sz="8" w:space="0" w:color="F4B083"/>
                                  </w:tcBorders>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17%</w:t>
                                  </w:r>
                                </w:p>
                              </w:tc>
                              <w:tc>
                                <w:tcPr>
                                  <w:tcW w:w="1340" w:type="dxa"/>
                                  <w:tcBorders>
                                    <w:bottom w:val="single" w:sz="8" w:space="0" w:color="F4B083"/>
                                    <w:right w:val="single" w:sz="8" w:space="0" w:color="F4B083"/>
                                  </w:tcBorders>
                                  <w:tcMar>
                                    <w:top w:w="0" w:type="dxa"/>
                                    <w:left w:w="0" w:type="dxa"/>
                                    <w:right w:w="108"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980" w:type="dxa"/>
                                  <w:tcBorders>
                                    <w:bottom w:val="single" w:sz="8" w:space="0" w:color="F4B083"/>
                                    <w:right w:val="single" w:sz="8" w:space="0" w:color="F4B083"/>
                                  </w:tcBorders>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National 96%</w:t>
                                  </w:r>
                                </w:p>
                              </w:tc>
                              <w:tc>
                                <w:tcPr>
                                  <w:tcW w:w="2825" w:type="dxa"/>
                                  <w:tcBorders>
                                    <w:bottom w:val="single" w:sz="8" w:space="0" w:color="F4B083"/>
                                    <w:right w:val="single" w:sz="8" w:space="0" w:color="F4B083"/>
                                  </w:tcBorders>
                                  <w:tcMar>
                                    <w:top w:w="0" w:type="dxa"/>
                                    <w:left w:w="0" w:type="dxa"/>
                                    <w:right w:w="108"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r>
                            <w:tr>
                              <w:trPr/>
                              <w:tc>
                                <w:tcPr>
                                  <w:tcW w:w="800" w:type="dxa"/>
                                  <w:vMerge w:val="continue"/>
                                  <w:tcBorders>
                                    <w:left w:val="single" w:sz="8" w:space="0" w:color="F4B083"/>
                                    <w:bottom w:val="single" w:sz="8" w:space="0" w:color="F4B083"/>
                                    <w:right w:val="single" w:sz="8" w:space="0" w:color="F4B083"/>
                                  </w:tcBorders>
                                  <w:shd w:fill="FBE4D5" w:val="clear"/>
                                  <w:tcMar>
                                    <w:top w:w="0" w:type="dxa"/>
                                    <w:right w:w="108" w:type="dxa"/>
                                  </w:tcMar>
                                  <w:vAlign w:val="center"/>
                                </w:tcPr>
                                <w:p>
                                  <w:pPr>
                                    <w:pStyle w:val="Normal"/>
                                    <w:bidi w:val="0"/>
                                    <w:jc w:val="left"/>
                                    <w:rPr/>
                                  </w:pPr>
                                  <w:r>
                                    <w:rPr/>
                                  </w:r>
                                </w:p>
                              </w:tc>
                              <w:tc>
                                <w:tcPr>
                                  <w:tcW w:w="3320" w:type="dxa"/>
                                  <w:tcBorders>
                                    <w:bottom w:val="single" w:sz="8" w:space="0" w:color="F4B083"/>
                                    <w:right w:val="single" w:sz="8" w:space="0" w:color="F4B083"/>
                                  </w:tcBorders>
                                  <w:shd w:fill="FBE4D5" w:val="clear"/>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Data Center</w:t>
                                  </w:r>
                                </w:p>
                              </w:tc>
                              <w:tc>
                                <w:tcPr>
                                  <w:tcW w:w="350" w:type="dxa"/>
                                  <w:tcBorders>
                                    <w:bottom w:val="single" w:sz="8" w:space="0" w:color="F4B083"/>
                                    <w:right w:val="single" w:sz="8" w:space="0" w:color="F4B083"/>
                                  </w:tcBorders>
                                  <w:shd w:fill="FBE4D5" w:val="clear"/>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12%</w:t>
                                  </w:r>
                                </w:p>
                              </w:tc>
                              <w:tc>
                                <w:tcPr>
                                  <w:tcW w:w="1340" w:type="dxa"/>
                                  <w:tcBorders>
                                    <w:bottom w:val="single" w:sz="8" w:space="0" w:color="F4B083"/>
                                    <w:right w:val="single" w:sz="8" w:space="0" w:color="F4B083"/>
                                  </w:tcBorders>
                                  <w:shd w:fill="FBE4D5" w:val="clear"/>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Over 13 thousand</w:t>
                                  </w:r>
                                </w:p>
                              </w:tc>
                              <w:tc>
                                <w:tcPr>
                                  <w:tcW w:w="980" w:type="dxa"/>
                                  <w:tcBorders>
                                    <w:bottom w:val="single" w:sz="8" w:space="0" w:color="F4B083"/>
                                    <w:right w:val="single" w:sz="8" w:space="0" w:color="F4B083"/>
                                  </w:tcBorders>
                                  <w:shd w:fill="FBE4D5" w:val="clear"/>
                                  <w:tcMar>
                                    <w:top w:w="0" w:type="dxa"/>
                                    <w:left w:w="0" w:type="dxa"/>
                                    <w:right w:w="108"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2825" w:type="dxa"/>
                                  <w:tcBorders>
                                    <w:bottom w:val="single" w:sz="8" w:space="0" w:color="F4B083"/>
                                    <w:right w:val="single" w:sz="8" w:space="0" w:color="F4B083"/>
                                  </w:tcBorders>
                                  <w:shd w:fill="FBE4D5" w:val="clear"/>
                                  <w:tcMar>
                                    <w:top w:w="0" w:type="dxa"/>
                                    <w:left w:w="0" w:type="dxa"/>
                                    <w:right w:w="108"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r>
                            <w:tr>
                              <w:trPr/>
                              <w:tc>
                                <w:tcPr>
                                  <w:tcW w:w="800" w:type="dxa"/>
                                  <w:vMerge w:val="continue"/>
                                  <w:tcBorders>
                                    <w:left w:val="single" w:sz="8" w:space="0" w:color="F4B083"/>
                                    <w:bottom w:val="single" w:sz="8" w:space="0" w:color="F4B083"/>
                                    <w:right w:val="single" w:sz="8" w:space="0" w:color="F4B083"/>
                                  </w:tcBorders>
                                  <w:tcMar>
                                    <w:top w:w="0" w:type="dxa"/>
                                    <w:right w:w="108" w:type="dxa"/>
                                  </w:tcMar>
                                  <w:vAlign w:val="center"/>
                                </w:tcPr>
                                <w:p>
                                  <w:pPr>
                                    <w:pStyle w:val="Normal"/>
                                    <w:bidi w:val="0"/>
                                    <w:jc w:val="left"/>
                                    <w:rPr/>
                                  </w:pPr>
                                  <w:r>
                                    <w:rPr/>
                                  </w:r>
                                </w:p>
                              </w:tc>
                              <w:tc>
                                <w:tcPr>
                                  <w:tcW w:w="3320" w:type="dxa"/>
                                  <w:tcBorders>
                                    <w:bottom w:val="single" w:sz="8" w:space="0" w:color="F4B083"/>
                                    <w:right w:val="single" w:sz="8" w:space="0" w:color="F4B083"/>
                                  </w:tcBorders>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Health and disaster service payments</w:t>
                                  </w:r>
                                </w:p>
                              </w:tc>
                              <w:tc>
                                <w:tcPr>
                                  <w:tcW w:w="350" w:type="dxa"/>
                                  <w:tcBorders>
                                    <w:bottom w:val="single" w:sz="8" w:space="0" w:color="F4B083"/>
                                    <w:right w:val="single" w:sz="8" w:space="0" w:color="F4B083"/>
                                  </w:tcBorders>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8%</w:t>
                                  </w:r>
                                </w:p>
                              </w:tc>
                              <w:tc>
                                <w:tcPr>
                                  <w:tcW w:w="1340" w:type="dxa"/>
                                  <w:tcBorders>
                                    <w:bottom w:val="single" w:sz="8" w:space="0" w:color="F4B083"/>
                                    <w:right w:val="single" w:sz="8" w:space="0" w:color="F4B083"/>
                                  </w:tcBorders>
                                  <w:tcMar>
                                    <w:top w:w="0" w:type="dxa"/>
                                    <w:left w:w="0" w:type="dxa"/>
                                    <w:right w:w="108"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980" w:type="dxa"/>
                                  <w:tcBorders>
                                    <w:bottom w:val="single" w:sz="8" w:space="0" w:color="F4B083"/>
                                    <w:right w:val="single" w:sz="8" w:space="0" w:color="F4B083"/>
                                  </w:tcBorders>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Foreign 4%</w:t>
                                  </w:r>
                                </w:p>
                              </w:tc>
                              <w:tc>
                                <w:tcPr>
                                  <w:tcW w:w="2825" w:type="dxa"/>
                                  <w:tcBorders>
                                    <w:bottom w:val="single" w:sz="8" w:space="0" w:color="F4B083"/>
                                    <w:right w:val="single" w:sz="8" w:space="0" w:color="F4B083"/>
                                  </w:tcBorders>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S/ 5,547</w:t>
                                  </w:r>
                                </w:p>
                              </w:tc>
                            </w:tr>
                            <w:tr>
                              <w:trPr/>
                              <w:tc>
                                <w:tcPr>
                                  <w:tcW w:w="800" w:type="dxa"/>
                                  <w:vMerge w:val="continue"/>
                                  <w:tcBorders>
                                    <w:left w:val="single" w:sz="8" w:space="0" w:color="F4B083"/>
                                    <w:bottom w:val="single" w:sz="8" w:space="0" w:color="F4B083"/>
                                    <w:right w:val="single" w:sz="8" w:space="0" w:color="F4B083"/>
                                  </w:tcBorders>
                                  <w:shd w:fill="FBE4D5" w:val="clear"/>
                                  <w:tcMar>
                                    <w:top w:w="0" w:type="dxa"/>
                                    <w:right w:w="108" w:type="dxa"/>
                                  </w:tcMar>
                                  <w:vAlign w:val="center"/>
                                </w:tcPr>
                                <w:p>
                                  <w:pPr>
                                    <w:pStyle w:val="Normal"/>
                                    <w:bidi w:val="0"/>
                                    <w:jc w:val="left"/>
                                    <w:rPr/>
                                  </w:pPr>
                                  <w:r>
                                    <w:rPr/>
                                  </w:r>
                                </w:p>
                              </w:tc>
                              <w:tc>
                                <w:tcPr>
                                  <w:tcW w:w="3320" w:type="dxa"/>
                                  <w:tcBorders>
                                    <w:bottom w:val="single" w:sz="8" w:space="0" w:color="F4B083"/>
                                    <w:right w:val="single" w:sz="8" w:space="0" w:color="F4B083"/>
                                  </w:tcBorders>
                                  <w:shd w:fill="FBE4D5" w:val="clear"/>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Building maintenance and remodeling</w:t>
                                  </w:r>
                                </w:p>
                              </w:tc>
                              <w:tc>
                                <w:tcPr>
                                  <w:tcW w:w="350" w:type="dxa"/>
                                  <w:tcBorders>
                                    <w:bottom w:val="single" w:sz="8" w:space="0" w:color="F4B083"/>
                                    <w:right w:val="single" w:sz="8" w:space="0" w:color="F4B083"/>
                                  </w:tcBorders>
                                  <w:shd w:fill="FBE4D5" w:val="clear"/>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6%</w:t>
                                  </w:r>
                                </w:p>
                              </w:tc>
                              <w:tc>
                                <w:tcPr>
                                  <w:tcW w:w="1340" w:type="dxa"/>
                                  <w:tcBorders>
                                    <w:bottom w:val="single" w:sz="8" w:space="0" w:color="F4B083"/>
                                    <w:right w:val="single" w:sz="8" w:space="0" w:color="F4B083"/>
                                  </w:tcBorders>
                                  <w:shd w:fill="FBE4D5" w:val="clear"/>
                                  <w:tcMar>
                                    <w:top w:w="0" w:type="dxa"/>
                                    <w:left w:w="0" w:type="dxa"/>
                                    <w:right w:w="108"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980" w:type="dxa"/>
                                  <w:tcBorders>
                                    <w:bottom w:val="single" w:sz="8" w:space="0" w:color="F4B083"/>
                                    <w:right w:val="single" w:sz="8" w:space="0" w:color="F4B083"/>
                                  </w:tcBorders>
                                  <w:shd w:fill="FBE4D5" w:val="clear"/>
                                  <w:tcMar>
                                    <w:top w:w="0" w:type="dxa"/>
                                    <w:left w:w="0" w:type="dxa"/>
                                    <w:right w:w="108"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2825" w:type="dxa"/>
                                  <w:tcBorders>
                                    <w:bottom w:val="single" w:sz="8" w:space="0" w:color="F4B083"/>
                                    <w:right w:val="single" w:sz="8" w:space="0" w:color="F4B083"/>
                                  </w:tcBorders>
                                  <w:shd w:fill="FBE4D5" w:val="clear"/>
                                  <w:tcMar>
                                    <w:top w:w="0" w:type="dxa"/>
                                    <w:left w:w="0" w:type="dxa"/>
                                    <w:right w:w="108"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r>
                            <w:tr>
                              <w:trPr/>
                              <w:tc>
                                <w:tcPr>
                                  <w:tcW w:w="800" w:type="dxa"/>
                                  <w:vMerge w:val="continue"/>
                                  <w:tcBorders>
                                    <w:left w:val="single" w:sz="8" w:space="0" w:color="F4B083"/>
                                    <w:bottom w:val="single" w:sz="8" w:space="0" w:color="F4B083"/>
                                    <w:right w:val="single" w:sz="8" w:space="0" w:color="F4B083"/>
                                  </w:tcBorders>
                                  <w:tcMar>
                                    <w:top w:w="0" w:type="dxa"/>
                                    <w:right w:w="108" w:type="dxa"/>
                                  </w:tcMar>
                                  <w:vAlign w:val="center"/>
                                </w:tcPr>
                                <w:p>
                                  <w:pPr>
                                    <w:pStyle w:val="Normal"/>
                                    <w:bidi w:val="0"/>
                                    <w:jc w:val="left"/>
                                    <w:rPr/>
                                  </w:pPr>
                                  <w:r>
                                    <w:rPr/>
                                  </w:r>
                                </w:p>
                              </w:tc>
                              <w:tc>
                                <w:tcPr>
                                  <w:tcW w:w="3320" w:type="dxa"/>
                                  <w:tcBorders>
                                    <w:bottom w:val="single" w:sz="8" w:space="0" w:color="F4B083"/>
                                    <w:right w:val="single" w:sz="8" w:space="0" w:color="F4B083"/>
                                  </w:tcBorders>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Insurance</w:t>
                                  </w:r>
                                </w:p>
                              </w:tc>
                              <w:tc>
                                <w:tcPr>
                                  <w:tcW w:w="350" w:type="dxa"/>
                                  <w:tcBorders>
                                    <w:bottom w:val="single" w:sz="8" w:space="0" w:color="F4B083"/>
                                    <w:right w:val="single" w:sz="8" w:space="0" w:color="F4B083"/>
                                  </w:tcBorders>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5%</w:t>
                                  </w:r>
                                </w:p>
                              </w:tc>
                              <w:tc>
                                <w:tcPr>
                                  <w:tcW w:w="1340" w:type="dxa"/>
                                  <w:tcBorders>
                                    <w:bottom w:val="single" w:sz="8" w:space="0" w:color="F4B083"/>
                                    <w:right w:val="single" w:sz="8" w:space="0" w:color="F4B083"/>
                                  </w:tcBorders>
                                  <w:tcMar>
                                    <w:top w:w="0" w:type="dxa"/>
                                    <w:left w:w="0" w:type="dxa"/>
                                    <w:right w:w="108"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980" w:type="dxa"/>
                                  <w:tcBorders>
                                    <w:bottom w:val="single" w:sz="8" w:space="0" w:color="F4B083"/>
                                    <w:right w:val="single" w:sz="8" w:space="0" w:color="F4B083"/>
                                  </w:tcBorders>
                                  <w:tcMar>
                                    <w:top w:w="0" w:type="dxa"/>
                                    <w:left w:w="0" w:type="dxa"/>
                                    <w:right w:w="108"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2825" w:type="dxa"/>
                                  <w:tcBorders>
                                    <w:bottom w:val="single" w:sz="8" w:space="0" w:color="F4B083"/>
                                    <w:right w:val="single" w:sz="8" w:space="0" w:color="F4B083"/>
                                  </w:tcBorders>
                                  <w:tcMar>
                                    <w:top w:w="0" w:type="dxa"/>
                                    <w:left w:w="0" w:type="dxa"/>
                                    <w:right w:w="108"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r>
                            <w:tr>
                              <w:trPr/>
                              <w:tc>
                                <w:tcPr>
                                  <w:tcW w:w="800" w:type="dxa"/>
                                  <w:vMerge w:val="continue"/>
                                  <w:tcBorders>
                                    <w:left w:val="single" w:sz="8" w:space="0" w:color="F4B083"/>
                                    <w:bottom w:val="single" w:sz="8" w:space="0" w:color="F4B083"/>
                                    <w:right w:val="single" w:sz="8" w:space="0" w:color="F4B083"/>
                                  </w:tcBorders>
                                  <w:shd w:fill="FBE4D5" w:val="clear"/>
                                  <w:tcMar>
                                    <w:top w:w="0" w:type="dxa"/>
                                    <w:right w:w="108" w:type="dxa"/>
                                  </w:tcMar>
                                  <w:vAlign w:val="center"/>
                                </w:tcPr>
                                <w:p>
                                  <w:pPr>
                                    <w:pStyle w:val="Normal"/>
                                    <w:bidi w:val="0"/>
                                    <w:jc w:val="left"/>
                                    <w:rPr/>
                                  </w:pPr>
                                  <w:r>
                                    <w:rPr/>
                                  </w:r>
                                </w:p>
                              </w:tc>
                              <w:tc>
                                <w:tcPr>
                                  <w:tcW w:w="3320" w:type="dxa"/>
                                  <w:tcBorders>
                                    <w:bottom w:val="single" w:sz="8" w:space="0" w:color="F4B083"/>
                                    <w:right w:val="single" w:sz="8" w:space="0" w:color="F4B083"/>
                                  </w:tcBorders>
                                  <w:shd w:fill="FBE4D5" w:val="clear"/>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Marketing</w:t>
                                  </w:r>
                                </w:p>
                              </w:tc>
                              <w:tc>
                                <w:tcPr>
                                  <w:tcW w:w="350" w:type="dxa"/>
                                  <w:tcBorders>
                                    <w:bottom w:val="single" w:sz="8" w:space="0" w:color="F4B083"/>
                                    <w:right w:val="single" w:sz="8" w:space="0" w:color="F4B083"/>
                                  </w:tcBorders>
                                  <w:shd w:fill="FBE4D5" w:val="clear"/>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5%</w:t>
                                  </w:r>
                                </w:p>
                              </w:tc>
                              <w:tc>
                                <w:tcPr>
                                  <w:tcW w:w="1340" w:type="dxa"/>
                                  <w:tcBorders>
                                    <w:bottom w:val="single" w:sz="8" w:space="0" w:color="F4B083"/>
                                    <w:right w:val="single" w:sz="8" w:space="0" w:color="F4B083"/>
                                  </w:tcBorders>
                                  <w:shd w:fill="FBE4D5" w:val="clear"/>
                                  <w:tcMar>
                                    <w:top w:w="0" w:type="dxa"/>
                                    <w:left w:w="0" w:type="dxa"/>
                                    <w:right w:w="108"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980" w:type="dxa"/>
                                  <w:tcBorders>
                                    <w:bottom w:val="single" w:sz="8" w:space="0" w:color="F4B083"/>
                                    <w:right w:val="single" w:sz="8" w:space="0" w:color="F4B083"/>
                                  </w:tcBorders>
                                  <w:shd w:fill="FBE4D5" w:val="clear"/>
                                  <w:tcMar>
                                    <w:top w:w="0" w:type="dxa"/>
                                    <w:left w:w="0" w:type="dxa"/>
                                    <w:right w:w="108"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2825" w:type="dxa"/>
                                  <w:tcBorders>
                                    <w:bottom w:val="single" w:sz="8" w:space="0" w:color="F4B083"/>
                                    <w:right w:val="single" w:sz="8" w:space="0" w:color="F4B083"/>
                                  </w:tcBorders>
                                  <w:shd w:fill="FBE4D5" w:val="clear"/>
                                  <w:tcMar>
                                    <w:top w:w="0" w:type="dxa"/>
                                    <w:left w:w="0" w:type="dxa"/>
                                    <w:right w:w="108"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45.6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lineRule="auto" w:line="240"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Table Category of expenses and investment40</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color w:val="FE5000"/>
                        </w:rPr>
                      </w:pPr>
                      <w:r>
                        <w:rPr>
                          <w:caps w:val="false"/>
                          <w:smallCaps w:val="false"/>
                          <w:color w:val="FE5000"/>
                        </w:rPr>
                        <w:t> </w:t>
                      </w:r>
                    </w:p>
                    <w:tbl>
                      <w:tblPr>
                        <w:tblW w:w="9615" w:type="dxa"/>
                        <w:jc w:val="center"/>
                        <w:tblInd w:w="0" w:type="dxa"/>
                        <w:tblLayout w:type="fixed"/>
                        <w:tblCellMar>
                          <w:top w:w="28" w:type="dxa"/>
                          <w:left w:w="108" w:type="dxa"/>
                          <w:bottom w:w="28" w:type="dxa"/>
                          <w:right w:w="0" w:type="dxa"/>
                        </w:tblCellMar>
                      </w:tblPr>
                      <w:tblGrid>
                        <w:gridCol w:w="800"/>
                        <w:gridCol w:w="3320"/>
                        <w:gridCol w:w="350"/>
                        <w:gridCol w:w="1340"/>
                        <w:gridCol w:w="980"/>
                        <w:gridCol w:w="2825"/>
                      </w:tblGrid>
                      <w:tr>
                        <w:trPr/>
                        <w:tc>
                          <w:tcPr>
                            <w:tcW w:w="800" w:type="dxa"/>
                            <w:tcBorders>
                              <w:top w:val="single" w:sz="8" w:space="0" w:color="ED7D31"/>
                              <w:left w:val="single" w:sz="8" w:space="0" w:color="ED7D31"/>
                              <w:bottom w:val="single" w:sz="8" w:space="0" w:color="ED7D31"/>
                            </w:tcBorders>
                            <w:shd w:fill="ED7D31"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Company</w:t>
                            </w:r>
                          </w:p>
                        </w:tc>
                        <w:tc>
                          <w:tcPr>
                            <w:tcW w:w="3320" w:type="dxa"/>
                            <w:tcBorders>
                              <w:top w:val="single" w:sz="8" w:space="0" w:color="ED7D31"/>
                              <w:bottom w:val="single" w:sz="8" w:space="0" w:color="ED7D31"/>
                            </w:tcBorders>
                            <w:shd w:fill="ED7D31" w:val="clear"/>
                            <w:tcMar>
                              <w:left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Category of expenditure</w:t>
                            </w:r>
                          </w:p>
                        </w:tc>
                        <w:tc>
                          <w:tcPr>
                            <w:tcW w:w="350" w:type="dxa"/>
                            <w:tcBorders>
                              <w:top w:val="single" w:sz="8" w:space="0" w:color="ED7D31"/>
                              <w:bottom w:val="single" w:sz="8" w:space="0" w:color="ED7D31"/>
                            </w:tcBorders>
                            <w:shd w:fill="ED7D31" w:val="clear"/>
                            <w:tcMar>
                              <w:left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w:t>
                            </w:r>
                          </w:p>
                        </w:tc>
                        <w:tc>
                          <w:tcPr>
                            <w:tcW w:w="1340" w:type="dxa"/>
                            <w:tcBorders>
                              <w:top w:val="single" w:sz="8" w:space="0" w:color="ED7D31"/>
                              <w:bottom w:val="single" w:sz="8" w:space="0" w:color="ED7D31"/>
                            </w:tcBorders>
                            <w:shd w:fill="ED7D31" w:val="clear"/>
                            <w:tcMar>
                              <w:left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Suppliers</w:t>
                            </w:r>
                          </w:p>
                        </w:tc>
                        <w:tc>
                          <w:tcPr>
                            <w:tcW w:w="980" w:type="dxa"/>
                            <w:tcBorders>
                              <w:top w:val="single" w:sz="8" w:space="0" w:color="ED7D31"/>
                              <w:bottom w:val="single" w:sz="8" w:space="0" w:color="ED7D31"/>
                            </w:tcBorders>
                            <w:shd w:fill="ED7D31" w:val="clear"/>
                            <w:tcMar>
                              <w:left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Location</w:t>
                            </w:r>
                          </w:p>
                        </w:tc>
                        <w:tc>
                          <w:tcPr>
                            <w:tcW w:w="2825" w:type="dxa"/>
                            <w:tcBorders>
                              <w:top w:val="single" w:sz="8" w:space="0" w:color="ED7D31"/>
                              <w:bottom w:val="single" w:sz="8" w:space="0" w:color="ED7D31"/>
                              <w:right w:val="single" w:sz="8" w:space="0" w:color="ED7D31"/>
                            </w:tcBorders>
                            <w:shd w:fill="ED7D31" w:val="clear"/>
                            <w:tcMar>
                              <w:left w:w="0" w:type="dxa"/>
                              <w:right w:w="10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Estimated payment value (millions)</w:t>
                            </w:r>
                          </w:p>
                        </w:tc>
                      </w:tr>
                      <w:tr>
                        <w:trPr/>
                        <w:tc>
                          <w:tcPr>
                            <w:tcW w:w="800" w:type="dxa"/>
                            <w:vMerge w:val="restart"/>
                            <w:tcBorders>
                              <w:left w:val="single" w:sz="8" w:space="0" w:color="F4B083"/>
                              <w:bottom w:val="single" w:sz="8" w:space="0" w:color="F4B083"/>
                              <w:right w:val="single" w:sz="8" w:space="0" w:color="F4B083"/>
                            </w:tcBorders>
                            <w:shd w:fill="FBE4D5" w:val="clear"/>
                            <w:tcMar>
                              <w:top w:w="0" w:type="dxa"/>
                              <w:right w:w="108" w:type="dxa"/>
                            </w:tcMar>
                            <w:vAlign w:val="center"/>
                          </w:tcPr>
                          <w:p>
                            <w:pPr>
                              <w:pStyle w:val="TableContents"/>
                              <w:bidi w:val="0"/>
                              <w:spacing w:before="0" w:after="283"/>
                              <w:jc w:val="center"/>
                              <w:rPr>
                                <w:rFonts w:ascii="Arial" w:hAnsi="Arial"/>
                                <w:b/>
                                <w:i w:val="false"/>
                                <w:caps w:val="false"/>
                                <w:smallCaps w:val="false"/>
                                <w:color w:val="000000"/>
                                <w:sz w:val="16"/>
                              </w:rPr>
                            </w:pPr>
                            <w:r>
                              <w:rPr>
                                <w:rFonts w:ascii="Arial" w:hAnsi="Arial"/>
                                <w:b/>
                                <w:i w:val="false"/>
                                <w:caps w:val="false"/>
                                <w:smallCaps w:val="false"/>
                                <w:color w:val="000000"/>
                                <w:sz w:val="16"/>
                              </w:rPr>
                              <w:t>Total</w:t>
                            </w:r>
                          </w:p>
                        </w:tc>
                        <w:tc>
                          <w:tcPr>
                            <w:tcW w:w="3320" w:type="dxa"/>
                            <w:tcBorders>
                              <w:bottom w:val="single" w:sz="8" w:space="0" w:color="F4B083"/>
                              <w:right w:val="single" w:sz="8" w:space="0" w:color="F4B083"/>
                            </w:tcBorders>
                            <w:shd w:fill="FBE4D5" w:val="clear"/>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Software</w:t>
                            </w:r>
                          </w:p>
                        </w:tc>
                        <w:tc>
                          <w:tcPr>
                            <w:tcW w:w="350" w:type="dxa"/>
                            <w:tcBorders>
                              <w:bottom w:val="single" w:sz="8" w:space="0" w:color="F4B083"/>
                              <w:right w:val="single" w:sz="8" w:space="0" w:color="F4B083"/>
                            </w:tcBorders>
                            <w:shd w:fill="FBE4D5" w:val="clear"/>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19%</w:t>
                            </w:r>
                          </w:p>
                        </w:tc>
                        <w:tc>
                          <w:tcPr>
                            <w:tcW w:w="1340" w:type="dxa"/>
                            <w:tcBorders>
                              <w:bottom w:val="single" w:sz="8" w:space="0" w:color="F4B083"/>
                              <w:right w:val="single" w:sz="8" w:space="0" w:color="F4B083"/>
                            </w:tcBorders>
                            <w:shd w:fill="FBE4D5" w:val="clear"/>
                            <w:tcMar>
                              <w:top w:w="0" w:type="dxa"/>
                              <w:left w:w="0" w:type="dxa"/>
                              <w:right w:w="108"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980" w:type="dxa"/>
                            <w:tcBorders>
                              <w:bottom w:val="single" w:sz="8" w:space="0" w:color="F4B083"/>
                              <w:right w:val="single" w:sz="8" w:space="0" w:color="F4B083"/>
                            </w:tcBorders>
                            <w:shd w:fill="FBE4D5" w:val="clear"/>
                            <w:tcMar>
                              <w:top w:w="0" w:type="dxa"/>
                              <w:left w:w="0" w:type="dxa"/>
                              <w:right w:w="108"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2825" w:type="dxa"/>
                            <w:tcBorders>
                              <w:bottom w:val="single" w:sz="8" w:space="0" w:color="F4B083"/>
                              <w:right w:val="single" w:sz="8" w:space="0" w:color="F4B083"/>
                            </w:tcBorders>
                            <w:shd w:fill="FBE4D5" w:val="clear"/>
                            <w:tcMar>
                              <w:top w:w="0" w:type="dxa"/>
                              <w:left w:w="0" w:type="dxa"/>
                              <w:right w:w="108"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r>
                      <w:tr>
                        <w:trPr/>
                        <w:tc>
                          <w:tcPr>
                            <w:tcW w:w="800" w:type="dxa"/>
                            <w:vMerge w:val="continue"/>
                            <w:tcBorders>
                              <w:left w:val="single" w:sz="8" w:space="0" w:color="F4B083"/>
                              <w:bottom w:val="single" w:sz="8" w:space="0" w:color="F4B083"/>
                              <w:right w:val="single" w:sz="8" w:space="0" w:color="F4B083"/>
                            </w:tcBorders>
                            <w:tcMar>
                              <w:top w:w="0" w:type="dxa"/>
                              <w:right w:w="108" w:type="dxa"/>
                            </w:tcMar>
                            <w:vAlign w:val="center"/>
                          </w:tcPr>
                          <w:p>
                            <w:pPr>
                              <w:pStyle w:val="Normal"/>
                              <w:bidi w:val="0"/>
                              <w:jc w:val="left"/>
                              <w:rPr/>
                            </w:pPr>
                            <w:r>
                              <w:rPr/>
                            </w:r>
                          </w:p>
                        </w:tc>
                        <w:tc>
                          <w:tcPr>
                            <w:tcW w:w="3320" w:type="dxa"/>
                            <w:tcBorders>
                              <w:bottom w:val="single" w:sz="8" w:space="0" w:color="F4B083"/>
                              <w:right w:val="single" w:sz="8" w:space="0" w:color="F4B083"/>
                            </w:tcBorders>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Commissions, contributions, and investments</w:t>
                            </w:r>
                          </w:p>
                        </w:tc>
                        <w:tc>
                          <w:tcPr>
                            <w:tcW w:w="350" w:type="dxa"/>
                            <w:tcBorders>
                              <w:bottom w:val="single" w:sz="8" w:space="0" w:color="F4B083"/>
                              <w:right w:val="single" w:sz="8" w:space="0" w:color="F4B083"/>
                            </w:tcBorders>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17%</w:t>
                            </w:r>
                          </w:p>
                        </w:tc>
                        <w:tc>
                          <w:tcPr>
                            <w:tcW w:w="1340" w:type="dxa"/>
                            <w:tcBorders>
                              <w:bottom w:val="single" w:sz="8" w:space="0" w:color="F4B083"/>
                              <w:right w:val="single" w:sz="8" w:space="0" w:color="F4B083"/>
                            </w:tcBorders>
                            <w:tcMar>
                              <w:top w:w="0" w:type="dxa"/>
                              <w:left w:w="0" w:type="dxa"/>
                              <w:right w:w="108"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980" w:type="dxa"/>
                            <w:tcBorders>
                              <w:bottom w:val="single" w:sz="8" w:space="0" w:color="F4B083"/>
                              <w:right w:val="single" w:sz="8" w:space="0" w:color="F4B083"/>
                            </w:tcBorders>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National 96%</w:t>
                            </w:r>
                          </w:p>
                        </w:tc>
                        <w:tc>
                          <w:tcPr>
                            <w:tcW w:w="2825" w:type="dxa"/>
                            <w:tcBorders>
                              <w:bottom w:val="single" w:sz="8" w:space="0" w:color="F4B083"/>
                              <w:right w:val="single" w:sz="8" w:space="0" w:color="F4B083"/>
                            </w:tcBorders>
                            <w:tcMar>
                              <w:top w:w="0" w:type="dxa"/>
                              <w:left w:w="0" w:type="dxa"/>
                              <w:right w:w="108"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r>
                      <w:tr>
                        <w:trPr/>
                        <w:tc>
                          <w:tcPr>
                            <w:tcW w:w="800" w:type="dxa"/>
                            <w:vMerge w:val="continue"/>
                            <w:tcBorders>
                              <w:left w:val="single" w:sz="8" w:space="0" w:color="F4B083"/>
                              <w:bottom w:val="single" w:sz="8" w:space="0" w:color="F4B083"/>
                              <w:right w:val="single" w:sz="8" w:space="0" w:color="F4B083"/>
                            </w:tcBorders>
                            <w:shd w:fill="FBE4D5" w:val="clear"/>
                            <w:tcMar>
                              <w:top w:w="0" w:type="dxa"/>
                              <w:right w:w="108" w:type="dxa"/>
                            </w:tcMar>
                            <w:vAlign w:val="center"/>
                          </w:tcPr>
                          <w:p>
                            <w:pPr>
                              <w:pStyle w:val="Normal"/>
                              <w:bidi w:val="0"/>
                              <w:jc w:val="left"/>
                              <w:rPr/>
                            </w:pPr>
                            <w:r>
                              <w:rPr/>
                            </w:r>
                          </w:p>
                        </w:tc>
                        <w:tc>
                          <w:tcPr>
                            <w:tcW w:w="3320" w:type="dxa"/>
                            <w:tcBorders>
                              <w:bottom w:val="single" w:sz="8" w:space="0" w:color="F4B083"/>
                              <w:right w:val="single" w:sz="8" w:space="0" w:color="F4B083"/>
                            </w:tcBorders>
                            <w:shd w:fill="FBE4D5" w:val="clear"/>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Data Center</w:t>
                            </w:r>
                          </w:p>
                        </w:tc>
                        <w:tc>
                          <w:tcPr>
                            <w:tcW w:w="350" w:type="dxa"/>
                            <w:tcBorders>
                              <w:bottom w:val="single" w:sz="8" w:space="0" w:color="F4B083"/>
                              <w:right w:val="single" w:sz="8" w:space="0" w:color="F4B083"/>
                            </w:tcBorders>
                            <w:shd w:fill="FBE4D5" w:val="clear"/>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12%</w:t>
                            </w:r>
                          </w:p>
                        </w:tc>
                        <w:tc>
                          <w:tcPr>
                            <w:tcW w:w="1340" w:type="dxa"/>
                            <w:tcBorders>
                              <w:bottom w:val="single" w:sz="8" w:space="0" w:color="F4B083"/>
                              <w:right w:val="single" w:sz="8" w:space="0" w:color="F4B083"/>
                            </w:tcBorders>
                            <w:shd w:fill="FBE4D5" w:val="clear"/>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Over 13 thousand</w:t>
                            </w:r>
                          </w:p>
                        </w:tc>
                        <w:tc>
                          <w:tcPr>
                            <w:tcW w:w="980" w:type="dxa"/>
                            <w:tcBorders>
                              <w:bottom w:val="single" w:sz="8" w:space="0" w:color="F4B083"/>
                              <w:right w:val="single" w:sz="8" w:space="0" w:color="F4B083"/>
                            </w:tcBorders>
                            <w:shd w:fill="FBE4D5" w:val="clear"/>
                            <w:tcMar>
                              <w:top w:w="0" w:type="dxa"/>
                              <w:left w:w="0" w:type="dxa"/>
                              <w:right w:w="108"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2825" w:type="dxa"/>
                            <w:tcBorders>
                              <w:bottom w:val="single" w:sz="8" w:space="0" w:color="F4B083"/>
                              <w:right w:val="single" w:sz="8" w:space="0" w:color="F4B083"/>
                            </w:tcBorders>
                            <w:shd w:fill="FBE4D5" w:val="clear"/>
                            <w:tcMar>
                              <w:top w:w="0" w:type="dxa"/>
                              <w:left w:w="0" w:type="dxa"/>
                              <w:right w:w="108"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r>
                      <w:tr>
                        <w:trPr/>
                        <w:tc>
                          <w:tcPr>
                            <w:tcW w:w="800" w:type="dxa"/>
                            <w:vMerge w:val="continue"/>
                            <w:tcBorders>
                              <w:left w:val="single" w:sz="8" w:space="0" w:color="F4B083"/>
                              <w:bottom w:val="single" w:sz="8" w:space="0" w:color="F4B083"/>
                              <w:right w:val="single" w:sz="8" w:space="0" w:color="F4B083"/>
                            </w:tcBorders>
                            <w:tcMar>
                              <w:top w:w="0" w:type="dxa"/>
                              <w:right w:w="108" w:type="dxa"/>
                            </w:tcMar>
                            <w:vAlign w:val="center"/>
                          </w:tcPr>
                          <w:p>
                            <w:pPr>
                              <w:pStyle w:val="Normal"/>
                              <w:bidi w:val="0"/>
                              <w:jc w:val="left"/>
                              <w:rPr/>
                            </w:pPr>
                            <w:r>
                              <w:rPr/>
                            </w:r>
                          </w:p>
                        </w:tc>
                        <w:tc>
                          <w:tcPr>
                            <w:tcW w:w="3320" w:type="dxa"/>
                            <w:tcBorders>
                              <w:bottom w:val="single" w:sz="8" w:space="0" w:color="F4B083"/>
                              <w:right w:val="single" w:sz="8" w:space="0" w:color="F4B083"/>
                            </w:tcBorders>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Health and disaster service payments</w:t>
                            </w:r>
                          </w:p>
                        </w:tc>
                        <w:tc>
                          <w:tcPr>
                            <w:tcW w:w="350" w:type="dxa"/>
                            <w:tcBorders>
                              <w:bottom w:val="single" w:sz="8" w:space="0" w:color="F4B083"/>
                              <w:right w:val="single" w:sz="8" w:space="0" w:color="F4B083"/>
                            </w:tcBorders>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8%</w:t>
                            </w:r>
                          </w:p>
                        </w:tc>
                        <w:tc>
                          <w:tcPr>
                            <w:tcW w:w="1340" w:type="dxa"/>
                            <w:tcBorders>
                              <w:bottom w:val="single" w:sz="8" w:space="0" w:color="F4B083"/>
                              <w:right w:val="single" w:sz="8" w:space="0" w:color="F4B083"/>
                            </w:tcBorders>
                            <w:tcMar>
                              <w:top w:w="0" w:type="dxa"/>
                              <w:left w:w="0" w:type="dxa"/>
                              <w:right w:w="108"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980" w:type="dxa"/>
                            <w:tcBorders>
                              <w:bottom w:val="single" w:sz="8" w:space="0" w:color="F4B083"/>
                              <w:right w:val="single" w:sz="8" w:space="0" w:color="F4B083"/>
                            </w:tcBorders>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Foreign 4%</w:t>
                            </w:r>
                          </w:p>
                        </w:tc>
                        <w:tc>
                          <w:tcPr>
                            <w:tcW w:w="2825" w:type="dxa"/>
                            <w:tcBorders>
                              <w:bottom w:val="single" w:sz="8" w:space="0" w:color="F4B083"/>
                              <w:right w:val="single" w:sz="8" w:space="0" w:color="F4B083"/>
                            </w:tcBorders>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S/ 5,547</w:t>
                            </w:r>
                          </w:p>
                        </w:tc>
                      </w:tr>
                      <w:tr>
                        <w:trPr/>
                        <w:tc>
                          <w:tcPr>
                            <w:tcW w:w="800" w:type="dxa"/>
                            <w:vMerge w:val="continue"/>
                            <w:tcBorders>
                              <w:left w:val="single" w:sz="8" w:space="0" w:color="F4B083"/>
                              <w:bottom w:val="single" w:sz="8" w:space="0" w:color="F4B083"/>
                              <w:right w:val="single" w:sz="8" w:space="0" w:color="F4B083"/>
                            </w:tcBorders>
                            <w:shd w:fill="FBE4D5" w:val="clear"/>
                            <w:tcMar>
                              <w:top w:w="0" w:type="dxa"/>
                              <w:right w:w="108" w:type="dxa"/>
                            </w:tcMar>
                            <w:vAlign w:val="center"/>
                          </w:tcPr>
                          <w:p>
                            <w:pPr>
                              <w:pStyle w:val="Normal"/>
                              <w:bidi w:val="0"/>
                              <w:jc w:val="left"/>
                              <w:rPr/>
                            </w:pPr>
                            <w:r>
                              <w:rPr/>
                            </w:r>
                          </w:p>
                        </w:tc>
                        <w:tc>
                          <w:tcPr>
                            <w:tcW w:w="3320" w:type="dxa"/>
                            <w:tcBorders>
                              <w:bottom w:val="single" w:sz="8" w:space="0" w:color="F4B083"/>
                              <w:right w:val="single" w:sz="8" w:space="0" w:color="F4B083"/>
                            </w:tcBorders>
                            <w:shd w:fill="FBE4D5" w:val="clear"/>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Building maintenance and remodeling</w:t>
                            </w:r>
                          </w:p>
                        </w:tc>
                        <w:tc>
                          <w:tcPr>
                            <w:tcW w:w="350" w:type="dxa"/>
                            <w:tcBorders>
                              <w:bottom w:val="single" w:sz="8" w:space="0" w:color="F4B083"/>
                              <w:right w:val="single" w:sz="8" w:space="0" w:color="F4B083"/>
                            </w:tcBorders>
                            <w:shd w:fill="FBE4D5" w:val="clear"/>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6%</w:t>
                            </w:r>
                          </w:p>
                        </w:tc>
                        <w:tc>
                          <w:tcPr>
                            <w:tcW w:w="1340" w:type="dxa"/>
                            <w:tcBorders>
                              <w:bottom w:val="single" w:sz="8" w:space="0" w:color="F4B083"/>
                              <w:right w:val="single" w:sz="8" w:space="0" w:color="F4B083"/>
                            </w:tcBorders>
                            <w:shd w:fill="FBE4D5" w:val="clear"/>
                            <w:tcMar>
                              <w:top w:w="0" w:type="dxa"/>
                              <w:left w:w="0" w:type="dxa"/>
                              <w:right w:w="108"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980" w:type="dxa"/>
                            <w:tcBorders>
                              <w:bottom w:val="single" w:sz="8" w:space="0" w:color="F4B083"/>
                              <w:right w:val="single" w:sz="8" w:space="0" w:color="F4B083"/>
                            </w:tcBorders>
                            <w:shd w:fill="FBE4D5" w:val="clear"/>
                            <w:tcMar>
                              <w:top w:w="0" w:type="dxa"/>
                              <w:left w:w="0" w:type="dxa"/>
                              <w:right w:w="108"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2825" w:type="dxa"/>
                            <w:tcBorders>
                              <w:bottom w:val="single" w:sz="8" w:space="0" w:color="F4B083"/>
                              <w:right w:val="single" w:sz="8" w:space="0" w:color="F4B083"/>
                            </w:tcBorders>
                            <w:shd w:fill="FBE4D5" w:val="clear"/>
                            <w:tcMar>
                              <w:top w:w="0" w:type="dxa"/>
                              <w:left w:w="0" w:type="dxa"/>
                              <w:right w:w="108"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r>
                      <w:tr>
                        <w:trPr/>
                        <w:tc>
                          <w:tcPr>
                            <w:tcW w:w="800" w:type="dxa"/>
                            <w:vMerge w:val="continue"/>
                            <w:tcBorders>
                              <w:left w:val="single" w:sz="8" w:space="0" w:color="F4B083"/>
                              <w:bottom w:val="single" w:sz="8" w:space="0" w:color="F4B083"/>
                              <w:right w:val="single" w:sz="8" w:space="0" w:color="F4B083"/>
                            </w:tcBorders>
                            <w:tcMar>
                              <w:top w:w="0" w:type="dxa"/>
                              <w:right w:w="108" w:type="dxa"/>
                            </w:tcMar>
                            <w:vAlign w:val="center"/>
                          </w:tcPr>
                          <w:p>
                            <w:pPr>
                              <w:pStyle w:val="Normal"/>
                              <w:bidi w:val="0"/>
                              <w:jc w:val="left"/>
                              <w:rPr/>
                            </w:pPr>
                            <w:r>
                              <w:rPr/>
                            </w:r>
                          </w:p>
                        </w:tc>
                        <w:tc>
                          <w:tcPr>
                            <w:tcW w:w="3320" w:type="dxa"/>
                            <w:tcBorders>
                              <w:bottom w:val="single" w:sz="8" w:space="0" w:color="F4B083"/>
                              <w:right w:val="single" w:sz="8" w:space="0" w:color="F4B083"/>
                            </w:tcBorders>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Insurance</w:t>
                            </w:r>
                          </w:p>
                        </w:tc>
                        <w:tc>
                          <w:tcPr>
                            <w:tcW w:w="350" w:type="dxa"/>
                            <w:tcBorders>
                              <w:bottom w:val="single" w:sz="8" w:space="0" w:color="F4B083"/>
                              <w:right w:val="single" w:sz="8" w:space="0" w:color="F4B083"/>
                            </w:tcBorders>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5%</w:t>
                            </w:r>
                          </w:p>
                        </w:tc>
                        <w:tc>
                          <w:tcPr>
                            <w:tcW w:w="1340" w:type="dxa"/>
                            <w:tcBorders>
                              <w:bottom w:val="single" w:sz="8" w:space="0" w:color="F4B083"/>
                              <w:right w:val="single" w:sz="8" w:space="0" w:color="F4B083"/>
                            </w:tcBorders>
                            <w:tcMar>
                              <w:top w:w="0" w:type="dxa"/>
                              <w:left w:w="0" w:type="dxa"/>
                              <w:right w:w="108"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980" w:type="dxa"/>
                            <w:tcBorders>
                              <w:bottom w:val="single" w:sz="8" w:space="0" w:color="F4B083"/>
                              <w:right w:val="single" w:sz="8" w:space="0" w:color="F4B083"/>
                            </w:tcBorders>
                            <w:tcMar>
                              <w:top w:w="0" w:type="dxa"/>
                              <w:left w:w="0" w:type="dxa"/>
                              <w:right w:w="108"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2825" w:type="dxa"/>
                            <w:tcBorders>
                              <w:bottom w:val="single" w:sz="8" w:space="0" w:color="F4B083"/>
                              <w:right w:val="single" w:sz="8" w:space="0" w:color="F4B083"/>
                            </w:tcBorders>
                            <w:tcMar>
                              <w:top w:w="0" w:type="dxa"/>
                              <w:left w:w="0" w:type="dxa"/>
                              <w:right w:w="108"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r>
                      <w:tr>
                        <w:trPr/>
                        <w:tc>
                          <w:tcPr>
                            <w:tcW w:w="800" w:type="dxa"/>
                            <w:vMerge w:val="continue"/>
                            <w:tcBorders>
                              <w:left w:val="single" w:sz="8" w:space="0" w:color="F4B083"/>
                              <w:bottom w:val="single" w:sz="8" w:space="0" w:color="F4B083"/>
                              <w:right w:val="single" w:sz="8" w:space="0" w:color="F4B083"/>
                            </w:tcBorders>
                            <w:shd w:fill="FBE4D5" w:val="clear"/>
                            <w:tcMar>
                              <w:top w:w="0" w:type="dxa"/>
                              <w:right w:w="108" w:type="dxa"/>
                            </w:tcMar>
                            <w:vAlign w:val="center"/>
                          </w:tcPr>
                          <w:p>
                            <w:pPr>
                              <w:pStyle w:val="Normal"/>
                              <w:bidi w:val="0"/>
                              <w:jc w:val="left"/>
                              <w:rPr/>
                            </w:pPr>
                            <w:r>
                              <w:rPr/>
                            </w:r>
                          </w:p>
                        </w:tc>
                        <w:tc>
                          <w:tcPr>
                            <w:tcW w:w="3320" w:type="dxa"/>
                            <w:tcBorders>
                              <w:bottom w:val="single" w:sz="8" w:space="0" w:color="F4B083"/>
                              <w:right w:val="single" w:sz="8" w:space="0" w:color="F4B083"/>
                            </w:tcBorders>
                            <w:shd w:fill="FBE4D5" w:val="clear"/>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Marketing</w:t>
                            </w:r>
                          </w:p>
                        </w:tc>
                        <w:tc>
                          <w:tcPr>
                            <w:tcW w:w="350" w:type="dxa"/>
                            <w:tcBorders>
                              <w:bottom w:val="single" w:sz="8" w:space="0" w:color="F4B083"/>
                              <w:right w:val="single" w:sz="8" w:space="0" w:color="F4B083"/>
                            </w:tcBorders>
                            <w:shd w:fill="FBE4D5" w:val="clear"/>
                            <w:tcMar>
                              <w:top w:w="0" w:type="dxa"/>
                              <w:left w:w="0" w:type="dxa"/>
                              <w:right w:w="10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5%</w:t>
                            </w:r>
                          </w:p>
                        </w:tc>
                        <w:tc>
                          <w:tcPr>
                            <w:tcW w:w="1340" w:type="dxa"/>
                            <w:tcBorders>
                              <w:bottom w:val="single" w:sz="8" w:space="0" w:color="F4B083"/>
                              <w:right w:val="single" w:sz="8" w:space="0" w:color="F4B083"/>
                            </w:tcBorders>
                            <w:shd w:fill="FBE4D5" w:val="clear"/>
                            <w:tcMar>
                              <w:top w:w="0" w:type="dxa"/>
                              <w:left w:w="0" w:type="dxa"/>
                              <w:right w:w="108"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980" w:type="dxa"/>
                            <w:tcBorders>
                              <w:bottom w:val="single" w:sz="8" w:space="0" w:color="F4B083"/>
                              <w:right w:val="single" w:sz="8" w:space="0" w:color="F4B083"/>
                            </w:tcBorders>
                            <w:shd w:fill="FBE4D5" w:val="clear"/>
                            <w:tcMar>
                              <w:top w:w="0" w:type="dxa"/>
                              <w:left w:w="0" w:type="dxa"/>
                              <w:right w:w="108"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2825" w:type="dxa"/>
                            <w:tcBorders>
                              <w:bottom w:val="single" w:sz="8" w:space="0" w:color="F4B083"/>
                              <w:right w:val="single" w:sz="8" w:space="0" w:color="F4B083"/>
                            </w:tcBorders>
                            <w:shd w:fill="FBE4D5" w:val="clear"/>
                            <w:tcMar>
                              <w:top w:w="0" w:type="dxa"/>
                              <w:left w:w="0" w:type="dxa"/>
                              <w:right w:w="108"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r>
                    </w:tbl>
                    <w:p>
                      <w:pPr>
                        <w:pStyle w:val="TextBody"/>
                        <w:bidi w:val="0"/>
                        <w:spacing w:before="0" w:after="283"/>
                        <w:jc w:val="left"/>
                        <w:rPr/>
                      </w:pPr>
                      <w:r>
                        <w:rPr/>
                      </w:r>
                    </w:p>
                  </w:txbxContent>
                </v:textbox>
                <w10:wrap type="square" side="left"/>
              </v:rect>
            </w:pict>
          </mc:Fallback>
        </mc:AlternateContent>
      </w:r>
    </w:p>
    <w:p>
      <w:pPr>
        <w:pStyle w:val="TextBody"/>
        <w:bidi w:val="0"/>
        <w:spacing w:before="60" w:after="6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lineRule="auto" w:line="240"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40 Information for BCP Perú, Mibanco Perú, Mibanco Colombia, Pacífico Seguros, Prima AFP, Credicorp Capital Perú.</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81</w:t>
      </w:r>
    </w:p>
    <w:p>
      <w:pPr>
        <w:pStyle w:val="HorizontalLine"/>
        <w:pBdr>
          <w:bottom w:val="single" w:sz="12" w:space="0" w:color="808080"/>
        </w:pBdr>
        <w:bidi w:val="0"/>
        <w:spacing w:before="200" w:after="200"/>
        <w:jc w:val="right"/>
        <w:rPr/>
      </w:pPr>
      <w:r>
        <w:rPr/>
      </w:r>
    </w:p>
    <w:tbl>
      <w:tblPr>
        <w:tblW w:w="6618" w:type="dxa"/>
        <w:jc w:val="left"/>
        <w:tblInd w:w="0" w:type="dxa"/>
        <w:tblLayout w:type="fixed"/>
        <w:tblCellMar>
          <w:top w:w="0" w:type="dxa"/>
          <w:left w:w="0" w:type="dxa"/>
          <w:bottom w:w="0" w:type="dxa"/>
          <w:right w:w="0" w:type="dxa"/>
        </w:tblCellMar>
      </w:tblPr>
      <w:tblGrid>
        <w:gridCol w:w="38"/>
        <w:gridCol w:w="275"/>
        <w:gridCol w:w="63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Arial" w:hAnsi="Arial"/>
                <w:b/>
                <w:i w:val="false"/>
                <w:caps w:val="false"/>
                <w:smallCaps w:val="false"/>
                <w:sz w:val="30"/>
              </w:rPr>
            </w:pPr>
            <w:r>
              <w:rPr>
                <w:rFonts w:ascii="Arial" w:hAnsi="Arial"/>
                <w:b/>
                <w:i w:val="false"/>
                <w:caps w:val="false"/>
                <w:smallCaps w:val="false"/>
                <w:sz w:val="30"/>
              </w:rPr>
              <w:t>3.</w:t>
            </w:r>
          </w:p>
        </w:tc>
        <w:tc>
          <w:tcPr>
            <w:tcW w:w="6305" w:type="dxa"/>
            <w:tcBorders/>
            <w:vAlign w:val="center"/>
          </w:tcPr>
          <w:p>
            <w:pPr>
              <w:pStyle w:val="TableContents"/>
              <w:bidi w:val="0"/>
              <w:spacing w:lineRule="auto" w:line="240" w:before="0" w:after="283"/>
              <w:jc w:val="left"/>
              <w:rPr>
                <w:rFonts w:ascii="Arial" w:hAnsi="Arial"/>
                <w:b/>
                <w:i w:val="false"/>
                <w:caps w:val="false"/>
                <w:smallCaps w:val="false"/>
                <w:sz w:val="30"/>
              </w:rPr>
            </w:pPr>
            <w:r>
              <w:rPr>
                <w:rFonts w:ascii="Arial" w:hAnsi="Arial"/>
                <w:b/>
                <w:i w:val="false"/>
                <w:caps w:val="false"/>
                <w:smallCaps w:val="false"/>
                <w:sz w:val="30"/>
              </w:rPr>
              <w:t>ENVIRONMENTAL MANAGEMENT ANNEX41</w:t>
            </w:r>
          </w:p>
        </w:tc>
      </w:tr>
    </w:tbl>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left"/>
        <w:rPr>
          <w:rFonts w:ascii="Arial" w:hAnsi="Arial"/>
          <w:b w:val="false"/>
          <w:i w:val="false"/>
          <w:caps w:val="false"/>
          <w:smallCaps w:val="false"/>
          <w:color w:val="FE5000"/>
          <w:sz w:val="16"/>
        </w:rPr>
      </w:pPr>
      <w:r>
        <w:rPr>
          <w:rFonts w:ascii="Arial" w:hAnsi="Arial"/>
          <w:b/>
          <w:i w:val="false"/>
          <w:caps w:val="false"/>
          <w:smallCaps w:val="false"/>
          <w:color w:val="FE5000"/>
          <w:sz w:val="30"/>
        </w:rPr>
        <w:t>3.6. OUR DIRECT ENVIRONMENTAL IMPACT</w:t>
      </w:r>
      <w:r>
        <w:rPr>
          <w:rFonts w:ascii="Arial" w:hAnsi="Arial"/>
          <w:b w:val="false"/>
          <w:i w:val="false"/>
          <w:caps w:val="false"/>
          <w:smallCaps w:val="false"/>
          <w:color w:val="FE5000"/>
          <w:sz w:val="16"/>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i w:val="false"/>
          <w:caps w:val="false"/>
          <w:smallCaps w:val="false"/>
          <w:sz w:val="20"/>
        </w:rPr>
        <w:t xml:space="preserve">GRI </w:t>
      </w:r>
      <w:r>
        <w:rPr>
          <w:rFonts w:ascii="Arial" w:hAnsi="Arial"/>
          <w:b w:val="false"/>
          <w:i w:val="false"/>
          <w:caps w:val="false"/>
          <w:smallCaps w:val="false"/>
          <w:sz w:val="20"/>
        </w:rPr>
        <w:t>302-1, 302-2, 302-3, 302-4, 303-3, 305-1, 305-2, 305-3, 305-4, 305-5, 306-3, 306-4, 306-5</w:t>
      </w:r>
    </w:p>
    <w:p>
      <w:pPr>
        <w:pStyle w:val="TextBody"/>
        <w:bidi w:val="0"/>
        <w:spacing w:before="0" w:after="0"/>
        <w:ind w:left="0" w:right="0" w:hanging="0"/>
        <w:jc w:val="left"/>
        <w:rPr>
          <w:caps w:val="false"/>
          <w:smallCaps w:val="false"/>
        </w:rPr>
      </w:pPr>
      <w:r>
        <w:rPr>
          <w:caps w:val="false"/>
          <w:smallCaps w:val="false"/>
        </w:rPr>
        <w:t> </w:t>
      </w:r>
    </w:p>
    <w:tbl>
      <w:tblPr>
        <w:tblW w:w="7225" w:type="dxa"/>
        <w:jc w:val="left"/>
        <w:tblInd w:w="0" w:type="dxa"/>
        <w:tblLayout w:type="fixed"/>
        <w:tblCellMar>
          <w:top w:w="0" w:type="dxa"/>
          <w:left w:w="0" w:type="dxa"/>
          <w:bottom w:w="28" w:type="dxa"/>
          <w:right w:w="0" w:type="dxa"/>
        </w:tblCellMar>
      </w:tblPr>
      <w:tblGrid>
        <w:gridCol w:w="4580"/>
        <w:gridCol w:w="740"/>
        <w:gridCol w:w="575"/>
        <w:gridCol w:w="740"/>
        <w:gridCol w:w="590"/>
      </w:tblGrid>
      <w:tr>
        <w:trPr/>
        <w:tc>
          <w:tcPr>
            <w:tcW w:w="4580" w:type="dxa"/>
            <w:vMerge w:val="restart"/>
            <w:tcBorders>
              <w:bottom w:val="single" w:sz="8" w:space="0" w:color="BFBFBF"/>
            </w:tcBorders>
            <w:shd w:fill="000000"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GRI 305-1, 305-2, 305-3 Carbon footprint</w:t>
            </w:r>
          </w:p>
        </w:tc>
        <w:tc>
          <w:tcPr>
            <w:tcW w:w="1315" w:type="dxa"/>
            <w:gridSpan w:val="2"/>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2023</w:t>
            </w:r>
          </w:p>
        </w:tc>
        <w:tc>
          <w:tcPr>
            <w:tcW w:w="1330" w:type="dxa"/>
            <w:gridSpan w:val="2"/>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2022</w:t>
            </w:r>
          </w:p>
        </w:tc>
      </w:tr>
      <w:tr>
        <w:trPr/>
        <w:tc>
          <w:tcPr>
            <w:tcW w:w="4580" w:type="dxa"/>
            <w:vMerge w:val="continue"/>
            <w:tcBorders>
              <w:bottom w:val="single" w:sz="8" w:space="0" w:color="BFBFBF"/>
            </w:tcBorders>
            <w:shd w:fill="000000" w:val="clear"/>
            <w:vAlign w:val="center"/>
          </w:tcPr>
          <w:p>
            <w:pPr>
              <w:pStyle w:val="Normal"/>
              <w:bidi w:val="0"/>
              <w:jc w:val="left"/>
              <w:rPr/>
            </w:pPr>
            <w:r>
              <w:rPr/>
            </w:r>
          </w:p>
        </w:tc>
        <w:tc>
          <w:tcPr>
            <w:tcW w:w="740" w:type="dxa"/>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tCO2eq</w:t>
            </w:r>
          </w:p>
        </w:tc>
        <w:tc>
          <w:tcPr>
            <w:tcW w:w="575" w:type="dxa"/>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w:t>
            </w:r>
          </w:p>
        </w:tc>
        <w:tc>
          <w:tcPr>
            <w:tcW w:w="740" w:type="dxa"/>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tCO2eq</w:t>
            </w:r>
          </w:p>
        </w:tc>
        <w:tc>
          <w:tcPr>
            <w:tcW w:w="590" w:type="dxa"/>
            <w:tcBorders/>
            <w:shd w:fill="00000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w:t>
            </w:r>
          </w:p>
        </w:tc>
      </w:tr>
      <w:tr>
        <w:trPr/>
        <w:tc>
          <w:tcPr>
            <w:tcW w:w="4580" w:type="dxa"/>
            <w:tcBorders/>
            <w:shd w:fill="808080" w:val="clear"/>
            <w:tcMar>
              <w:bottom w:w="0" w:type="dxa"/>
            </w:tcM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Total GHG emissions</w:t>
            </w:r>
          </w:p>
        </w:tc>
        <w:tc>
          <w:tcPr>
            <w:tcW w:w="740" w:type="dxa"/>
            <w:tcBorders/>
            <w:shd w:fill="80808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44,890.54</w:t>
            </w:r>
          </w:p>
        </w:tc>
        <w:tc>
          <w:tcPr>
            <w:tcW w:w="575" w:type="dxa"/>
            <w:tcBorders/>
            <w:shd w:fill="80808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c>
          <w:tcPr>
            <w:tcW w:w="740" w:type="dxa"/>
            <w:tcBorders/>
            <w:shd w:fill="80808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43,466,22</w:t>
            </w:r>
          </w:p>
        </w:tc>
        <w:tc>
          <w:tcPr>
            <w:tcW w:w="590" w:type="dxa"/>
            <w:tcBorders/>
            <w:shd w:fill="808080"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r>
      <w:tr>
        <w:trPr/>
        <w:tc>
          <w:tcPr>
            <w:tcW w:w="4580" w:type="dxa"/>
            <w:tcBorders/>
            <w:shd w:fill="A6A6A6" w:val="clear"/>
            <w:tcMar>
              <w:bottom w:w="0" w:type="dxa"/>
            </w:tcM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Scope 1</w:t>
            </w:r>
          </w:p>
        </w:tc>
        <w:tc>
          <w:tcPr>
            <w:tcW w:w="740" w:type="dxa"/>
            <w:tcBorders/>
            <w:shd w:fill="A6A6A6"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2,321.19</w:t>
            </w:r>
          </w:p>
        </w:tc>
        <w:tc>
          <w:tcPr>
            <w:tcW w:w="575" w:type="dxa"/>
            <w:tcBorders/>
            <w:shd w:fill="A6A6A6"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5.17%</w:t>
            </w:r>
          </w:p>
        </w:tc>
        <w:tc>
          <w:tcPr>
            <w:tcW w:w="740" w:type="dxa"/>
            <w:tcBorders/>
            <w:shd w:fill="A6A6A6"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2,065,28</w:t>
            </w:r>
          </w:p>
        </w:tc>
        <w:tc>
          <w:tcPr>
            <w:tcW w:w="590" w:type="dxa"/>
            <w:tcBorders/>
            <w:shd w:fill="A6A6A6"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4.75%</w:t>
            </w:r>
          </w:p>
        </w:tc>
      </w:tr>
      <w:tr>
        <w:trPr/>
        <w:tc>
          <w:tcPr>
            <w:tcW w:w="4580" w:type="dxa"/>
            <w:tcBorders>
              <w:bottom w:val="single" w:sz="8" w:space="0" w:color="BFBFBF"/>
            </w:tcBorders>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Air conditioning:</w:t>
            </w:r>
          </w:p>
        </w:tc>
        <w:tc>
          <w:tcPr>
            <w:tcW w:w="74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1,439.65</w:t>
            </w:r>
          </w:p>
        </w:tc>
        <w:tc>
          <w:tcPr>
            <w:tcW w:w="575"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3.2%</w:t>
            </w:r>
          </w:p>
        </w:tc>
        <w:tc>
          <w:tcPr>
            <w:tcW w:w="74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1,098,54</w:t>
            </w:r>
          </w:p>
        </w:tc>
        <w:tc>
          <w:tcPr>
            <w:tcW w:w="59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2.5%</w:t>
            </w:r>
          </w:p>
        </w:tc>
      </w:tr>
      <w:tr>
        <w:trPr/>
        <w:tc>
          <w:tcPr>
            <w:tcW w:w="4580"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Transport in own vehicles</w:t>
            </w:r>
          </w:p>
        </w:tc>
        <w:tc>
          <w:tcPr>
            <w:tcW w:w="74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188.76</w:t>
            </w:r>
          </w:p>
        </w:tc>
        <w:tc>
          <w:tcPr>
            <w:tcW w:w="57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0.4%</w:t>
            </w:r>
          </w:p>
        </w:tc>
        <w:tc>
          <w:tcPr>
            <w:tcW w:w="74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595.23</w:t>
            </w:r>
          </w:p>
        </w:tc>
        <w:tc>
          <w:tcPr>
            <w:tcW w:w="59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1.4%</w:t>
            </w:r>
          </w:p>
        </w:tc>
      </w:tr>
      <w:tr>
        <w:trPr/>
        <w:tc>
          <w:tcPr>
            <w:tcW w:w="4580"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Fuel consumption of stationary equipment</w:t>
            </w:r>
          </w:p>
        </w:tc>
        <w:tc>
          <w:tcPr>
            <w:tcW w:w="74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514.94</w:t>
            </w:r>
          </w:p>
        </w:tc>
        <w:tc>
          <w:tcPr>
            <w:tcW w:w="57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1.1%</w:t>
            </w:r>
          </w:p>
        </w:tc>
        <w:tc>
          <w:tcPr>
            <w:tcW w:w="74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211.22</w:t>
            </w:r>
          </w:p>
        </w:tc>
        <w:tc>
          <w:tcPr>
            <w:tcW w:w="59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0.5%</w:t>
            </w:r>
          </w:p>
        </w:tc>
      </w:tr>
      <w:tr>
        <w:trPr/>
        <w:tc>
          <w:tcPr>
            <w:tcW w:w="4580"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Kitchen</w:t>
            </w:r>
          </w:p>
        </w:tc>
        <w:tc>
          <w:tcPr>
            <w:tcW w:w="74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167.33</w:t>
            </w:r>
          </w:p>
        </w:tc>
        <w:tc>
          <w:tcPr>
            <w:tcW w:w="57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0.4%</w:t>
            </w:r>
          </w:p>
        </w:tc>
        <w:tc>
          <w:tcPr>
            <w:tcW w:w="74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146.68</w:t>
            </w:r>
          </w:p>
        </w:tc>
        <w:tc>
          <w:tcPr>
            <w:tcW w:w="59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0.3%</w:t>
            </w:r>
          </w:p>
        </w:tc>
      </w:tr>
      <w:tr>
        <w:trPr/>
        <w:tc>
          <w:tcPr>
            <w:tcW w:w="4580"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Extinguishers</w:t>
            </w:r>
          </w:p>
        </w:tc>
        <w:tc>
          <w:tcPr>
            <w:tcW w:w="74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8.75</w:t>
            </w:r>
          </w:p>
        </w:tc>
        <w:tc>
          <w:tcPr>
            <w:tcW w:w="57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0.0%</w:t>
            </w:r>
          </w:p>
        </w:tc>
        <w:tc>
          <w:tcPr>
            <w:tcW w:w="74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12.94</w:t>
            </w:r>
          </w:p>
        </w:tc>
        <w:tc>
          <w:tcPr>
            <w:tcW w:w="59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0.0%</w:t>
            </w:r>
          </w:p>
        </w:tc>
      </w:tr>
      <w:tr>
        <w:trPr/>
        <w:tc>
          <w:tcPr>
            <w:tcW w:w="4580" w:type="dxa"/>
            <w:tcBorders/>
            <w:shd w:fill="FFFFFF" w:val="clear"/>
            <w:tcMar>
              <w:bottom w:w="0" w:type="dxa"/>
            </w:tcM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Fertilizers</w:t>
            </w:r>
          </w:p>
        </w:tc>
        <w:tc>
          <w:tcPr>
            <w:tcW w:w="74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1.77</w:t>
            </w:r>
          </w:p>
        </w:tc>
        <w:tc>
          <w:tcPr>
            <w:tcW w:w="57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0.0%</w:t>
            </w:r>
          </w:p>
        </w:tc>
        <w:tc>
          <w:tcPr>
            <w:tcW w:w="740" w:type="dxa"/>
            <w:tcBorders/>
            <w:shd w:fill="FFFFFF" w:val="clear"/>
            <w:tcMar>
              <w:bottom w:w="0" w:type="dxa"/>
            </w:tcM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0.67</w:t>
            </w:r>
          </w:p>
        </w:tc>
        <w:tc>
          <w:tcPr>
            <w:tcW w:w="59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0.0%</w:t>
            </w:r>
          </w:p>
        </w:tc>
      </w:tr>
      <w:tr>
        <w:trPr/>
        <w:tc>
          <w:tcPr>
            <w:tcW w:w="4580" w:type="dxa"/>
            <w:tcBorders/>
            <w:shd w:fill="A6A6A6" w:val="clear"/>
            <w:tcMar>
              <w:bottom w:w="0" w:type="dxa"/>
            </w:tcM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Scope 2</w:t>
            </w:r>
          </w:p>
        </w:tc>
        <w:tc>
          <w:tcPr>
            <w:tcW w:w="740" w:type="dxa"/>
            <w:tcBorders/>
            <w:shd w:fill="A6A6A6"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16,862.82</w:t>
            </w:r>
          </w:p>
        </w:tc>
        <w:tc>
          <w:tcPr>
            <w:tcW w:w="575" w:type="dxa"/>
            <w:tcBorders/>
            <w:shd w:fill="A6A6A6"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37.56%</w:t>
            </w:r>
          </w:p>
        </w:tc>
        <w:tc>
          <w:tcPr>
            <w:tcW w:w="740" w:type="dxa"/>
            <w:tcBorders/>
            <w:shd w:fill="A6A6A6"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16,078,63</w:t>
            </w:r>
          </w:p>
        </w:tc>
        <w:tc>
          <w:tcPr>
            <w:tcW w:w="590" w:type="dxa"/>
            <w:tcBorders>
              <w:bottom w:val="single" w:sz="8" w:space="0" w:color="BFBFBF"/>
            </w:tcBorders>
            <w:shd w:fill="A6A6A6"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36.99%</w:t>
            </w:r>
          </w:p>
        </w:tc>
      </w:tr>
      <w:tr>
        <w:trPr/>
        <w:tc>
          <w:tcPr>
            <w:tcW w:w="4580" w:type="dxa"/>
            <w:tcBorders>
              <w:bottom w:val="single" w:sz="8" w:space="0" w:color="BFBFBF"/>
            </w:tcBorders>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Electricity Consumption</w:t>
            </w:r>
          </w:p>
        </w:tc>
        <w:tc>
          <w:tcPr>
            <w:tcW w:w="74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16,862.82</w:t>
            </w:r>
          </w:p>
        </w:tc>
        <w:tc>
          <w:tcPr>
            <w:tcW w:w="575"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37.6%</w:t>
            </w:r>
          </w:p>
        </w:tc>
        <w:tc>
          <w:tcPr>
            <w:tcW w:w="74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16,078,63</w:t>
            </w:r>
          </w:p>
        </w:tc>
        <w:tc>
          <w:tcPr>
            <w:tcW w:w="59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37.0%</w:t>
            </w:r>
          </w:p>
        </w:tc>
      </w:tr>
      <w:tr>
        <w:trPr/>
        <w:tc>
          <w:tcPr>
            <w:tcW w:w="4580" w:type="dxa"/>
            <w:tcBorders/>
            <w:shd w:fill="A6A6A6" w:val="clear"/>
            <w:tcMar>
              <w:bottom w:w="0" w:type="dxa"/>
            </w:tcM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Scope 3</w:t>
            </w:r>
          </w:p>
        </w:tc>
        <w:tc>
          <w:tcPr>
            <w:tcW w:w="740" w:type="dxa"/>
            <w:tcBorders/>
            <w:shd w:fill="A6A6A6"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25,706.53</w:t>
            </w:r>
          </w:p>
        </w:tc>
        <w:tc>
          <w:tcPr>
            <w:tcW w:w="575" w:type="dxa"/>
            <w:tcBorders/>
            <w:shd w:fill="A6A6A6"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57.26%</w:t>
            </w:r>
          </w:p>
        </w:tc>
        <w:tc>
          <w:tcPr>
            <w:tcW w:w="740" w:type="dxa"/>
            <w:tcBorders/>
            <w:shd w:fill="A6A6A6" w:val="clear"/>
            <w:tcMar>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25,322,31</w:t>
            </w:r>
          </w:p>
        </w:tc>
        <w:tc>
          <w:tcPr>
            <w:tcW w:w="590" w:type="dxa"/>
            <w:tcBorders>
              <w:bottom w:val="single" w:sz="8" w:space="0" w:color="BFBFBF"/>
            </w:tcBorders>
            <w:shd w:fill="A6A6A6"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58.26%</w:t>
            </w:r>
          </w:p>
        </w:tc>
      </w:tr>
      <w:tr>
        <w:trPr/>
        <w:tc>
          <w:tcPr>
            <w:tcW w:w="4580" w:type="dxa"/>
            <w:tcBorders>
              <w:bottom w:val="single" w:sz="8" w:space="0" w:color="BFBFBF"/>
            </w:tcBorders>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Employee travel to work</w:t>
            </w:r>
          </w:p>
        </w:tc>
        <w:tc>
          <w:tcPr>
            <w:tcW w:w="74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15,570.57</w:t>
            </w:r>
          </w:p>
        </w:tc>
        <w:tc>
          <w:tcPr>
            <w:tcW w:w="575"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34.7%</w:t>
            </w:r>
          </w:p>
        </w:tc>
        <w:tc>
          <w:tcPr>
            <w:tcW w:w="74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15,846,14</w:t>
            </w:r>
          </w:p>
        </w:tc>
        <w:tc>
          <w:tcPr>
            <w:tcW w:w="59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36.5%</w:t>
            </w:r>
          </w:p>
        </w:tc>
      </w:tr>
      <w:tr>
        <w:trPr/>
        <w:tc>
          <w:tcPr>
            <w:tcW w:w="4580" w:type="dxa"/>
            <w:tcBorders>
              <w:bottom w:val="single" w:sz="8" w:space="0" w:color="BFBFBF"/>
            </w:tcBorders>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Air travel</w:t>
            </w:r>
          </w:p>
        </w:tc>
        <w:tc>
          <w:tcPr>
            <w:tcW w:w="74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4,467.63</w:t>
            </w:r>
          </w:p>
        </w:tc>
        <w:tc>
          <w:tcPr>
            <w:tcW w:w="575"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10.0%</w:t>
            </w:r>
          </w:p>
        </w:tc>
        <w:tc>
          <w:tcPr>
            <w:tcW w:w="74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3,251,30</w:t>
            </w:r>
          </w:p>
        </w:tc>
        <w:tc>
          <w:tcPr>
            <w:tcW w:w="59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7.5%</w:t>
            </w:r>
          </w:p>
        </w:tc>
      </w:tr>
      <w:tr>
        <w:trPr/>
        <w:tc>
          <w:tcPr>
            <w:tcW w:w="4580"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Waste generation</w:t>
            </w:r>
          </w:p>
        </w:tc>
        <w:tc>
          <w:tcPr>
            <w:tcW w:w="74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860.20</w:t>
            </w:r>
          </w:p>
        </w:tc>
        <w:tc>
          <w:tcPr>
            <w:tcW w:w="57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1.9%</w:t>
            </w:r>
          </w:p>
        </w:tc>
        <w:tc>
          <w:tcPr>
            <w:tcW w:w="74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1,534,27</w:t>
            </w:r>
          </w:p>
        </w:tc>
        <w:tc>
          <w:tcPr>
            <w:tcW w:w="59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3.5%</w:t>
            </w:r>
          </w:p>
        </w:tc>
      </w:tr>
      <w:tr>
        <w:trPr/>
        <w:tc>
          <w:tcPr>
            <w:tcW w:w="4580"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Paper and cardboard consumption</w:t>
            </w:r>
          </w:p>
        </w:tc>
        <w:tc>
          <w:tcPr>
            <w:tcW w:w="74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1,070.36</w:t>
            </w:r>
          </w:p>
        </w:tc>
        <w:tc>
          <w:tcPr>
            <w:tcW w:w="57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2.4%</w:t>
            </w:r>
          </w:p>
        </w:tc>
        <w:tc>
          <w:tcPr>
            <w:tcW w:w="74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1,123,08</w:t>
            </w:r>
          </w:p>
        </w:tc>
        <w:tc>
          <w:tcPr>
            <w:tcW w:w="59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2.6%</w:t>
            </w:r>
          </w:p>
        </w:tc>
      </w:tr>
      <w:tr>
        <w:trPr/>
        <w:tc>
          <w:tcPr>
            <w:tcW w:w="4580"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Electricity consumption when working from home</w:t>
            </w:r>
          </w:p>
        </w:tc>
        <w:tc>
          <w:tcPr>
            <w:tcW w:w="74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687.80</w:t>
            </w:r>
          </w:p>
        </w:tc>
        <w:tc>
          <w:tcPr>
            <w:tcW w:w="57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1.5%</w:t>
            </w:r>
          </w:p>
        </w:tc>
        <w:tc>
          <w:tcPr>
            <w:tcW w:w="74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656.54</w:t>
            </w:r>
          </w:p>
        </w:tc>
        <w:tc>
          <w:tcPr>
            <w:tcW w:w="59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1.5%</w:t>
            </w:r>
          </w:p>
        </w:tc>
      </w:tr>
      <w:tr>
        <w:trPr/>
        <w:tc>
          <w:tcPr>
            <w:tcW w:w="4580"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Housing</w:t>
            </w:r>
          </w:p>
        </w:tc>
        <w:tc>
          <w:tcPr>
            <w:tcW w:w="74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493.95</w:t>
            </w:r>
          </w:p>
        </w:tc>
        <w:tc>
          <w:tcPr>
            <w:tcW w:w="57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1.1%</w:t>
            </w:r>
          </w:p>
        </w:tc>
        <w:tc>
          <w:tcPr>
            <w:tcW w:w="74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457.27</w:t>
            </w:r>
          </w:p>
        </w:tc>
        <w:tc>
          <w:tcPr>
            <w:tcW w:w="59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1.1%</w:t>
            </w:r>
          </w:p>
        </w:tc>
      </w:tr>
      <w:tr>
        <w:trPr/>
        <w:tc>
          <w:tcPr>
            <w:tcW w:w="4580"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Third party electricity consumption</w:t>
            </w:r>
          </w:p>
        </w:tc>
        <w:tc>
          <w:tcPr>
            <w:tcW w:w="74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346.62</w:t>
            </w:r>
          </w:p>
        </w:tc>
        <w:tc>
          <w:tcPr>
            <w:tcW w:w="57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0.8%</w:t>
            </w:r>
          </w:p>
        </w:tc>
        <w:tc>
          <w:tcPr>
            <w:tcW w:w="74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387.81</w:t>
            </w:r>
          </w:p>
        </w:tc>
        <w:tc>
          <w:tcPr>
            <w:tcW w:w="59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0.9%</w:t>
            </w:r>
          </w:p>
        </w:tc>
      </w:tr>
      <w:tr>
        <w:trPr/>
        <w:tc>
          <w:tcPr>
            <w:tcW w:w="4580"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Transport of cash</w:t>
            </w:r>
          </w:p>
        </w:tc>
        <w:tc>
          <w:tcPr>
            <w:tcW w:w="74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310.78</w:t>
            </w:r>
          </w:p>
        </w:tc>
        <w:tc>
          <w:tcPr>
            <w:tcW w:w="57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0.7%</w:t>
            </w:r>
          </w:p>
        </w:tc>
        <w:tc>
          <w:tcPr>
            <w:tcW w:w="74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287.34</w:t>
            </w:r>
          </w:p>
        </w:tc>
        <w:tc>
          <w:tcPr>
            <w:tcW w:w="59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0.7%</w:t>
            </w:r>
          </w:p>
        </w:tc>
      </w:tr>
      <w:tr>
        <w:trPr/>
        <w:tc>
          <w:tcPr>
            <w:tcW w:w="4580"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Transport of personnel in buses or vans hired by the company</w:t>
            </w:r>
          </w:p>
        </w:tc>
        <w:tc>
          <w:tcPr>
            <w:tcW w:w="74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104.90</w:t>
            </w:r>
          </w:p>
        </w:tc>
        <w:tc>
          <w:tcPr>
            <w:tcW w:w="57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0.2%</w:t>
            </w:r>
          </w:p>
        </w:tc>
        <w:tc>
          <w:tcPr>
            <w:tcW w:w="74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268.95</w:t>
            </w:r>
          </w:p>
        </w:tc>
        <w:tc>
          <w:tcPr>
            <w:tcW w:w="59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0.6%</w:t>
            </w:r>
          </w:p>
        </w:tc>
      </w:tr>
      <w:tr>
        <w:trPr/>
        <w:tc>
          <w:tcPr>
            <w:tcW w:w="4580"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National travel</w:t>
            </w:r>
          </w:p>
        </w:tc>
        <w:tc>
          <w:tcPr>
            <w:tcW w:w="74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238.15</w:t>
            </w:r>
          </w:p>
        </w:tc>
        <w:tc>
          <w:tcPr>
            <w:tcW w:w="57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0.5%</w:t>
            </w:r>
          </w:p>
        </w:tc>
        <w:tc>
          <w:tcPr>
            <w:tcW w:w="74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266.92</w:t>
            </w:r>
          </w:p>
        </w:tc>
        <w:tc>
          <w:tcPr>
            <w:tcW w:w="59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0.6%</w:t>
            </w:r>
          </w:p>
        </w:tc>
      </w:tr>
      <w:tr>
        <w:trPr/>
        <w:tc>
          <w:tcPr>
            <w:tcW w:w="4580"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Card imports</w:t>
            </w:r>
          </w:p>
        </w:tc>
        <w:tc>
          <w:tcPr>
            <w:tcW w:w="74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223.78</w:t>
            </w:r>
          </w:p>
        </w:tc>
        <w:tc>
          <w:tcPr>
            <w:tcW w:w="57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0.5%</w:t>
            </w:r>
          </w:p>
        </w:tc>
        <w:tc>
          <w:tcPr>
            <w:tcW w:w="74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220.55</w:t>
            </w:r>
          </w:p>
        </w:tc>
        <w:tc>
          <w:tcPr>
            <w:tcW w:w="59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0.5%</w:t>
            </w:r>
          </w:p>
        </w:tc>
      </w:tr>
      <w:tr>
        <w:trPr/>
        <w:tc>
          <w:tcPr>
            <w:tcW w:w="4580"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Courier services</w:t>
            </w:r>
          </w:p>
        </w:tc>
        <w:tc>
          <w:tcPr>
            <w:tcW w:w="74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210.84</w:t>
            </w:r>
          </w:p>
        </w:tc>
        <w:tc>
          <w:tcPr>
            <w:tcW w:w="57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0.5%</w:t>
            </w:r>
          </w:p>
        </w:tc>
        <w:tc>
          <w:tcPr>
            <w:tcW w:w="74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219.80</w:t>
            </w:r>
          </w:p>
        </w:tc>
        <w:tc>
          <w:tcPr>
            <w:tcW w:w="59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0.5%</w:t>
            </w:r>
          </w:p>
        </w:tc>
      </w:tr>
      <w:tr>
        <w:trPr/>
        <w:tc>
          <w:tcPr>
            <w:tcW w:w="4580"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Water consumption</w:t>
            </w:r>
          </w:p>
        </w:tc>
        <w:tc>
          <w:tcPr>
            <w:tcW w:w="74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221.00</w:t>
            </w:r>
          </w:p>
        </w:tc>
        <w:tc>
          <w:tcPr>
            <w:tcW w:w="57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0.5%</w:t>
            </w:r>
          </w:p>
        </w:tc>
        <w:tc>
          <w:tcPr>
            <w:tcW w:w="74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212.55</w:t>
            </w:r>
          </w:p>
        </w:tc>
        <w:tc>
          <w:tcPr>
            <w:tcW w:w="59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0.5%</w:t>
            </w:r>
          </w:p>
        </w:tc>
      </w:tr>
      <w:tr>
        <w:trPr/>
        <w:tc>
          <w:tcPr>
            <w:tcW w:w="4580"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Ambulances</w:t>
            </w:r>
          </w:p>
        </w:tc>
        <w:tc>
          <w:tcPr>
            <w:tcW w:w="74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243.67</w:t>
            </w:r>
          </w:p>
        </w:tc>
        <w:tc>
          <w:tcPr>
            <w:tcW w:w="57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0.5%</w:t>
            </w:r>
          </w:p>
        </w:tc>
        <w:tc>
          <w:tcPr>
            <w:tcW w:w="74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170,67</w:t>
            </w:r>
          </w:p>
        </w:tc>
        <w:tc>
          <w:tcPr>
            <w:tcW w:w="59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0.4%</w:t>
            </w:r>
          </w:p>
        </w:tc>
      </w:tr>
      <w:tr>
        <w:trPr/>
        <w:tc>
          <w:tcPr>
            <w:tcW w:w="4580"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Taxi services</w:t>
            </w:r>
          </w:p>
        </w:tc>
        <w:tc>
          <w:tcPr>
            <w:tcW w:w="74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259.93</w:t>
            </w:r>
          </w:p>
        </w:tc>
        <w:tc>
          <w:tcPr>
            <w:tcW w:w="57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0.6%</w:t>
            </w:r>
          </w:p>
        </w:tc>
        <w:tc>
          <w:tcPr>
            <w:tcW w:w="74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165.90</w:t>
            </w:r>
          </w:p>
        </w:tc>
        <w:tc>
          <w:tcPr>
            <w:tcW w:w="59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0.4%</w:t>
            </w:r>
          </w:p>
        </w:tc>
      </w:tr>
      <w:tr>
        <w:trPr/>
        <w:tc>
          <w:tcPr>
            <w:tcW w:w="4580"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Waste transport</w:t>
            </w:r>
          </w:p>
        </w:tc>
        <w:tc>
          <w:tcPr>
            <w:tcW w:w="74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3.86</w:t>
            </w:r>
          </w:p>
        </w:tc>
        <w:tc>
          <w:tcPr>
            <w:tcW w:w="57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0.0%</w:t>
            </w:r>
          </w:p>
        </w:tc>
        <w:tc>
          <w:tcPr>
            <w:tcW w:w="74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18.56</w:t>
            </w:r>
          </w:p>
        </w:tc>
        <w:tc>
          <w:tcPr>
            <w:tcW w:w="59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0.0%</w:t>
            </w:r>
          </w:p>
        </w:tc>
      </w:tr>
      <w:tr>
        <w:trPr/>
        <w:tc>
          <w:tcPr>
            <w:tcW w:w="4580"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Transportation between missions</w:t>
            </w:r>
          </w:p>
        </w:tc>
        <w:tc>
          <w:tcPr>
            <w:tcW w:w="74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w:t>
            </w:r>
          </w:p>
        </w:tc>
        <w:tc>
          <w:tcPr>
            <w:tcW w:w="57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0.0%</w:t>
            </w:r>
          </w:p>
        </w:tc>
        <w:tc>
          <w:tcPr>
            <w:tcW w:w="74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3.93</w:t>
            </w:r>
          </w:p>
        </w:tc>
        <w:tc>
          <w:tcPr>
            <w:tcW w:w="59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0.0%</w:t>
            </w:r>
          </w:p>
        </w:tc>
      </w:tr>
      <w:tr>
        <w:trPr/>
        <w:tc>
          <w:tcPr>
            <w:tcW w:w="4580"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Outsourced transport (card delivery)</w:t>
            </w:r>
          </w:p>
        </w:tc>
        <w:tc>
          <w:tcPr>
            <w:tcW w:w="74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0.03</w:t>
            </w:r>
          </w:p>
        </w:tc>
        <w:tc>
          <w:tcPr>
            <w:tcW w:w="57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0.0%</w:t>
            </w:r>
          </w:p>
        </w:tc>
        <w:tc>
          <w:tcPr>
            <w:tcW w:w="74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0.10</w:t>
            </w:r>
          </w:p>
        </w:tc>
        <w:tc>
          <w:tcPr>
            <w:tcW w:w="59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0.0%</w:t>
            </w:r>
          </w:p>
        </w:tc>
      </w:tr>
      <w:tr>
        <w:trPr/>
        <w:tc>
          <w:tcPr>
            <w:tcW w:w="4580" w:type="dxa"/>
            <w:tcBorders>
              <w:bottom w:val="single" w:sz="8" w:space="0" w:color="BFBFBF"/>
            </w:tcBorders>
            <w:shd w:fill="FFFFFF" w:val="clear"/>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Transport by boat</w:t>
            </w:r>
          </w:p>
        </w:tc>
        <w:tc>
          <w:tcPr>
            <w:tcW w:w="74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w:t>
            </w:r>
          </w:p>
        </w:tc>
        <w:tc>
          <w:tcPr>
            <w:tcW w:w="575"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0.0%</w:t>
            </w:r>
          </w:p>
        </w:tc>
        <w:tc>
          <w:tcPr>
            <w:tcW w:w="74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0.06</w:t>
            </w:r>
          </w:p>
        </w:tc>
        <w:tc>
          <w:tcPr>
            <w:tcW w:w="59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0.0%</w:t>
            </w:r>
          </w:p>
        </w:tc>
      </w:tr>
      <w:tr>
        <w:trPr/>
        <w:tc>
          <w:tcPr>
            <w:tcW w:w="4580" w:type="dxa"/>
            <w:tcBorders>
              <w:bottom w:val="single" w:sz="8" w:space="0" w:color="BFBFBF"/>
            </w:tcBorders>
            <w:vAlign w:val="center"/>
          </w:tcPr>
          <w:p>
            <w:pPr>
              <w:pStyle w:val="TableContents"/>
              <w:bidi w:val="0"/>
              <w:spacing w:before="0" w:after="283"/>
              <w:jc w:val="left"/>
              <w:rPr>
                <w:rFonts w:ascii="Arial" w:hAnsi="Arial"/>
                <w:b w:val="false"/>
                <w:i w:val="false"/>
                <w:caps w:val="false"/>
                <w:smallCaps w:val="false"/>
                <w:sz w:val="16"/>
              </w:rPr>
            </w:pPr>
            <w:r>
              <w:rPr>
                <w:rFonts w:ascii="Arial" w:hAnsi="Arial"/>
                <w:b w:val="false"/>
                <w:i w:val="false"/>
                <w:caps w:val="false"/>
                <w:smallCaps w:val="false"/>
                <w:sz w:val="16"/>
              </w:rPr>
              <w:t>Pacífico Asiste (Category  5)</w:t>
            </w:r>
          </w:p>
        </w:tc>
        <w:tc>
          <w:tcPr>
            <w:tcW w:w="74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392.45</w:t>
            </w:r>
          </w:p>
        </w:tc>
        <w:tc>
          <w:tcPr>
            <w:tcW w:w="575"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0.9%</w:t>
            </w:r>
          </w:p>
        </w:tc>
        <w:tc>
          <w:tcPr>
            <w:tcW w:w="740" w:type="dxa"/>
            <w:tcBorders>
              <w:bottom w:val="single" w:sz="8" w:space="0" w:color="BFBFBF"/>
            </w:tcBorders>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230.57</w:t>
            </w:r>
          </w:p>
        </w:tc>
        <w:tc>
          <w:tcPr>
            <w:tcW w:w="590" w:type="dxa"/>
            <w:tcBorders>
              <w:bottom w:val="single" w:sz="8" w:space="0" w:color="BFBFBF"/>
            </w:tcBorders>
            <w:shd w:fill="FFFFFF" w:val="clear"/>
            <w:vAlign w:val="center"/>
          </w:tcPr>
          <w:p>
            <w:pPr>
              <w:pStyle w:val="TableContents"/>
              <w:bidi w:val="0"/>
              <w:spacing w:before="0" w:after="283"/>
              <w:jc w:val="center"/>
              <w:rPr>
                <w:rFonts w:ascii="Arial" w:hAnsi="Arial"/>
                <w:b w:val="false"/>
                <w:i w:val="false"/>
                <w:caps w:val="false"/>
                <w:smallCaps w:val="false"/>
                <w:sz w:val="16"/>
              </w:rPr>
            </w:pPr>
            <w:r>
              <w:rPr>
                <w:rFonts w:ascii="Arial" w:hAnsi="Arial"/>
                <w:b w:val="false"/>
                <w:i w:val="false"/>
                <w:caps w:val="false"/>
                <w:smallCaps w:val="false"/>
                <w:sz w:val="16"/>
              </w:rPr>
              <w:t>0.5%</w:t>
            </w:r>
          </w:p>
        </w:tc>
      </w:tr>
    </w:tbl>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60" w:after="6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lineRule="auto" w:line="240"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41 The results reported in this section include the following companies: BCP Perú, BCP Bolivia, Mibanco Perú, Mibanco Colombia, Prima AFP, Pacífico Seguros, and Credicorp Capital.</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82</w:t>
      </w:r>
    </w:p>
    <w:p>
      <w:pPr>
        <w:pStyle w:val="HorizontalLine"/>
        <w:pBdr>
          <w:bottom w:val="single" w:sz="12" w:space="0" w:color="808080"/>
        </w:pBdr>
        <w:bidi w:val="0"/>
        <w:spacing w:before="200" w:after="200"/>
        <w:jc w:val="right"/>
        <w:rPr/>
      </w:pPr>
      <w:r>
        <w:rPr/>
      </w:r>
    </w:p>
    <w:tbl>
      <w:tblPr>
        <w:tblW w:w="5733" w:type="dxa"/>
        <w:jc w:val="left"/>
        <w:tblInd w:w="0" w:type="dxa"/>
        <w:tblLayout w:type="fixed"/>
        <w:tblCellMar>
          <w:top w:w="28" w:type="dxa"/>
          <w:left w:w="0" w:type="dxa"/>
          <w:bottom w:w="0" w:type="dxa"/>
          <w:right w:w="0" w:type="dxa"/>
        </w:tblCellMar>
      </w:tblPr>
      <w:tblGrid>
        <w:gridCol w:w="4206"/>
        <w:gridCol w:w="756"/>
        <w:gridCol w:w="771"/>
      </w:tblGrid>
      <w:tr>
        <w:trPr/>
        <w:tc>
          <w:tcPr>
            <w:tcW w:w="4206" w:type="dxa"/>
            <w:tcBorders>
              <w:top w:val="single" w:sz="8" w:space="0" w:color="BFBFBF"/>
            </w:tcBorders>
            <w:shd w:fill="000000"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GRI 305-4 Carbon footprint</w:t>
            </w:r>
          </w:p>
        </w:tc>
        <w:tc>
          <w:tcPr>
            <w:tcW w:w="756" w:type="dxa"/>
            <w:tcBorders>
              <w:top w:val="single" w:sz="8" w:space="0" w:color="BFBFBF"/>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2023</w:t>
            </w:r>
          </w:p>
        </w:tc>
        <w:tc>
          <w:tcPr>
            <w:tcW w:w="771" w:type="dxa"/>
            <w:tcBorders>
              <w:top w:val="single" w:sz="8" w:space="0" w:color="BFBFBF"/>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2022</w:t>
            </w:r>
          </w:p>
        </w:tc>
      </w:tr>
      <w:tr>
        <w:trPr/>
        <w:tc>
          <w:tcPr>
            <w:tcW w:w="4206" w:type="dxa"/>
            <w:tcBorders/>
            <w:shd w:fill="808080" w:val="clear"/>
            <w:tcMar>
              <w:top w:w="0" w:type="dxa"/>
            </w:tcM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GHG emission intensity (per number of employees)</w:t>
            </w:r>
          </w:p>
        </w:tc>
        <w:tc>
          <w:tcPr>
            <w:tcW w:w="756" w:type="dxa"/>
            <w:tcBorders/>
            <w:shd w:fill="808080" w:val="clear"/>
            <w:tcMar>
              <w:top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1.21</w:t>
            </w:r>
          </w:p>
        </w:tc>
        <w:tc>
          <w:tcPr>
            <w:tcW w:w="771" w:type="dxa"/>
            <w:tcBorders/>
            <w:shd w:fill="808080" w:val="clear"/>
            <w:tcMar>
              <w:top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1.18</w:t>
            </w:r>
          </w:p>
        </w:tc>
      </w:tr>
      <w:tr>
        <w:trPr/>
        <w:tc>
          <w:tcPr>
            <w:tcW w:w="4206" w:type="dxa"/>
            <w:tcBorders>
              <w:bottom w:val="single" w:sz="8" w:space="0" w:color="BFBFBF"/>
            </w:tcBorders>
            <w:shd w:fill="FFFFFF" w:val="clear"/>
            <w:tcMar>
              <w:top w:w="0" w:type="dxa"/>
              <w:bottom w:w="28"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Number of employees</w:t>
            </w:r>
          </w:p>
        </w:tc>
        <w:tc>
          <w:tcPr>
            <w:tcW w:w="756" w:type="dxa"/>
            <w:tcBorders>
              <w:bottom w:val="single" w:sz="8" w:space="0" w:color="BFBFBF"/>
            </w:tcBorders>
            <w:shd w:fill="FFFFFF" w:val="clear"/>
            <w:tcMar>
              <w:top w:w="0" w:type="dxa"/>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37,025.00</w:t>
            </w:r>
          </w:p>
        </w:tc>
        <w:tc>
          <w:tcPr>
            <w:tcW w:w="771" w:type="dxa"/>
            <w:tcBorders>
              <w:bottom w:val="single" w:sz="8" w:space="0" w:color="BFBFBF"/>
            </w:tcBorders>
            <w:shd w:fill="FFFFFF" w:val="clear"/>
            <w:tcMar>
              <w:top w:w="0" w:type="dxa"/>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36,919.00</w:t>
            </w:r>
          </w:p>
        </w:tc>
      </w:tr>
      <w:tr>
        <w:trPr/>
        <w:tc>
          <w:tcPr>
            <w:tcW w:w="5733" w:type="dxa"/>
            <w:gridSpan w:val="3"/>
            <w:tcBorders/>
            <w:shd w:fill="FFFFFF" w:val="clear"/>
            <w:tcMar>
              <w:top w:w="0"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The number of employees excludes BCP Miami and the BCP Panama agency.</w:t>
            </w:r>
          </w:p>
        </w:tc>
      </w:tr>
    </w:tbl>
    <w:p>
      <w:pPr>
        <w:pStyle w:val="TextBody"/>
        <w:bidi w:val="0"/>
        <w:spacing w:before="0" w:after="0"/>
        <w:ind w:left="0" w:right="0" w:hanging="0"/>
        <w:jc w:val="left"/>
        <w:rPr>
          <w:caps w:val="false"/>
          <w:smallCaps w:val="false"/>
          <w:color w:val="FE5000"/>
        </w:rPr>
      </w:pPr>
      <w:r>
        <w:rPr>
          <w:caps w:val="false"/>
          <w:smallCaps w:val="false"/>
          <w:color w:val="FE5000"/>
        </w:rPr>
        <w:t> </w:t>
      </w:r>
    </w:p>
    <w:tbl>
      <w:tblPr>
        <w:tblW w:w="10205" w:type="dxa"/>
        <w:jc w:val="left"/>
        <w:tblInd w:w="0" w:type="dxa"/>
        <w:tblLayout w:type="fixed"/>
        <w:tblCellMar>
          <w:top w:w="28" w:type="dxa"/>
          <w:left w:w="0" w:type="dxa"/>
          <w:bottom w:w="28" w:type="dxa"/>
          <w:right w:w="0" w:type="dxa"/>
        </w:tblCellMar>
      </w:tblPr>
      <w:tblGrid>
        <w:gridCol w:w="6924"/>
        <w:gridCol w:w="650"/>
        <w:gridCol w:w="1135"/>
        <w:gridCol w:w="620"/>
        <w:gridCol w:w="876"/>
      </w:tblGrid>
      <w:tr>
        <w:trPr/>
        <w:tc>
          <w:tcPr>
            <w:tcW w:w="6924" w:type="dxa"/>
            <w:vMerge w:val="restart"/>
            <w:tcBorders>
              <w:top w:val="single" w:sz="8" w:space="0" w:color="BFBFBF"/>
              <w:bottom w:val="single" w:sz="8" w:space="0" w:color="BFBFBF"/>
            </w:tcBorders>
            <w:shd w:fill="000000"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GRI 305-5 Reduction of GHG emissions</w:t>
            </w:r>
          </w:p>
        </w:tc>
        <w:tc>
          <w:tcPr>
            <w:tcW w:w="1785" w:type="dxa"/>
            <w:gridSpan w:val="2"/>
            <w:tcBorders/>
            <w:shd w:fill="000000" w:val="clear"/>
            <w:tcMar>
              <w:top w:w="0" w:type="dxa"/>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2023</w:t>
            </w:r>
          </w:p>
        </w:tc>
        <w:tc>
          <w:tcPr>
            <w:tcW w:w="1496" w:type="dxa"/>
            <w:gridSpan w:val="2"/>
            <w:tcBorders/>
            <w:shd w:fill="000000" w:val="clear"/>
            <w:tcMar>
              <w:top w:w="0" w:type="dxa"/>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2022</w:t>
            </w:r>
          </w:p>
        </w:tc>
      </w:tr>
      <w:tr>
        <w:trPr/>
        <w:tc>
          <w:tcPr>
            <w:tcW w:w="6924" w:type="dxa"/>
            <w:vMerge w:val="continue"/>
            <w:tcBorders>
              <w:top w:val="single" w:sz="8" w:space="0" w:color="BFBFBF"/>
              <w:bottom w:val="single" w:sz="8" w:space="0" w:color="BFBFBF"/>
            </w:tcBorders>
            <w:shd w:fill="000000" w:val="clear"/>
            <w:vAlign w:val="center"/>
          </w:tcPr>
          <w:p>
            <w:pPr>
              <w:pStyle w:val="Normal"/>
              <w:bidi w:val="0"/>
              <w:jc w:val="left"/>
              <w:rPr/>
            </w:pPr>
            <w:r>
              <w:rPr/>
            </w:r>
          </w:p>
        </w:tc>
        <w:tc>
          <w:tcPr>
            <w:tcW w:w="650" w:type="dxa"/>
            <w:tcBorders/>
            <w:shd w:fill="000000" w:val="clear"/>
            <w:tcMar>
              <w:top w:w="0" w:type="dxa"/>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tCO2eq</w:t>
            </w:r>
          </w:p>
        </w:tc>
        <w:tc>
          <w:tcPr>
            <w:tcW w:w="1135" w:type="dxa"/>
            <w:tcBorders/>
            <w:shd w:fill="000000" w:val="clear"/>
            <w:tcMar>
              <w:top w:w="0" w:type="dxa"/>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Subsidiary</w:t>
            </w:r>
          </w:p>
        </w:tc>
        <w:tc>
          <w:tcPr>
            <w:tcW w:w="620" w:type="dxa"/>
            <w:tcBorders/>
            <w:shd w:fill="000000" w:val="clear"/>
            <w:tcMar>
              <w:top w:w="0" w:type="dxa"/>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tCO2eq</w:t>
            </w:r>
          </w:p>
        </w:tc>
        <w:tc>
          <w:tcPr>
            <w:tcW w:w="876" w:type="dxa"/>
            <w:tcBorders/>
            <w:shd w:fill="000000" w:val="clear"/>
            <w:tcMar>
              <w:top w:w="0" w:type="dxa"/>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Subsidiary</w:t>
            </w:r>
          </w:p>
        </w:tc>
      </w:tr>
      <w:tr>
        <w:trPr/>
        <w:tc>
          <w:tcPr>
            <w:tcW w:w="6924" w:type="dxa"/>
            <w:tcBorders/>
            <w:shd w:fill="A6A6A6" w:val="clear"/>
            <w:tcMar>
              <w:top w:w="0" w:type="dxa"/>
              <w:bottom w:w="0" w:type="dxa"/>
            </w:tcM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GHG emissions reduction initiatives</w:t>
            </w:r>
          </w:p>
        </w:tc>
        <w:tc>
          <w:tcPr>
            <w:tcW w:w="650" w:type="dxa"/>
            <w:tcBorders/>
            <w:shd w:fill="A6A6A6" w:val="clear"/>
            <w:tcMar>
              <w:top w:w="0" w:type="dxa"/>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1,469.96</w:t>
            </w:r>
          </w:p>
        </w:tc>
        <w:tc>
          <w:tcPr>
            <w:tcW w:w="1135" w:type="dxa"/>
            <w:tcBorders/>
            <w:shd w:fill="A6A6A6"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A6A6A6"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876" w:type="dxa"/>
            <w:tcBorders/>
            <w:shd w:fill="A6A6A6"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924" w:type="dxa"/>
            <w:tcBorders>
              <w:bottom w:val="single" w:sz="8" w:space="0" w:color="BFBFBF"/>
            </w:tcBorders>
            <w:shd w:fill="FFFFFF" w:val="clear"/>
            <w:tcMar>
              <w:top w:w="0"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Solar panel implementation - Phase 1</w:t>
            </w:r>
          </w:p>
        </w:tc>
        <w:tc>
          <w:tcPr>
            <w:tcW w:w="65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39.85</w:t>
            </w:r>
          </w:p>
        </w:tc>
        <w:tc>
          <w:tcPr>
            <w:tcW w:w="1135"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BCP</w:t>
            </w:r>
          </w:p>
        </w:tc>
        <w:tc>
          <w:tcPr>
            <w:tcW w:w="62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876"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r>
      <w:tr>
        <w:trPr/>
        <w:tc>
          <w:tcPr>
            <w:tcW w:w="6924" w:type="dxa"/>
            <w:tcBorders>
              <w:bottom w:val="single" w:sz="8" w:space="0" w:color="BFBFBF"/>
            </w:tcBorders>
            <w:shd w:fill="FFFFFF" w:val="clear"/>
            <w:tcMar>
              <w:top w:w="0"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Solar panel implementation - Phase 2</w:t>
            </w:r>
          </w:p>
        </w:tc>
        <w:tc>
          <w:tcPr>
            <w:tcW w:w="65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153.25</w:t>
            </w:r>
          </w:p>
        </w:tc>
        <w:tc>
          <w:tcPr>
            <w:tcW w:w="1135"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BCP</w:t>
            </w:r>
          </w:p>
        </w:tc>
        <w:tc>
          <w:tcPr>
            <w:tcW w:w="62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876"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r>
      <w:tr>
        <w:trPr/>
        <w:tc>
          <w:tcPr>
            <w:tcW w:w="6924" w:type="dxa"/>
            <w:tcBorders>
              <w:bottom w:val="single" w:sz="8" w:space="0" w:color="BFBFBF"/>
            </w:tcBorders>
            <w:shd w:fill="FFFFFF" w:val="clear"/>
            <w:tcMar>
              <w:top w:w="0"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Migration to efficient air conditioning equipment - Phase 1</w:t>
            </w:r>
          </w:p>
        </w:tc>
        <w:tc>
          <w:tcPr>
            <w:tcW w:w="65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351.95</w:t>
            </w:r>
          </w:p>
        </w:tc>
        <w:tc>
          <w:tcPr>
            <w:tcW w:w="1135"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BCP</w:t>
            </w:r>
          </w:p>
        </w:tc>
        <w:tc>
          <w:tcPr>
            <w:tcW w:w="62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876"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r>
      <w:tr>
        <w:trPr/>
        <w:tc>
          <w:tcPr>
            <w:tcW w:w="6924" w:type="dxa"/>
            <w:tcBorders>
              <w:bottom w:val="single" w:sz="8" w:space="0" w:color="BFBFBF"/>
            </w:tcBorders>
            <w:shd w:fill="FFFFFF" w:val="clear"/>
            <w:tcMar>
              <w:top w:w="0"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Migration to efficient air conditioning equipment - Phase 2</w:t>
            </w:r>
          </w:p>
        </w:tc>
        <w:tc>
          <w:tcPr>
            <w:tcW w:w="65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196.81</w:t>
            </w:r>
          </w:p>
        </w:tc>
        <w:tc>
          <w:tcPr>
            <w:tcW w:w="1135"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BCP</w:t>
            </w:r>
          </w:p>
        </w:tc>
        <w:tc>
          <w:tcPr>
            <w:tcW w:w="62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876"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r>
      <w:tr>
        <w:trPr/>
        <w:tc>
          <w:tcPr>
            <w:tcW w:w="6924" w:type="dxa"/>
            <w:tcBorders>
              <w:bottom w:val="single" w:sz="8" w:space="0" w:color="BFBFBF"/>
            </w:tcBorders>
            <w:shd w:fill="FFFFFF" w:val="clear"/>
            <w:tcMar>
              <w:top w:w="0"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Migration to LED lighting in 100% of agencies to be transformed</w:t>
            </w:r>
          </w:p>
        </w:tc>
        <w:tc>
          <w:tcPr>
            <w:tcW w:w="65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54.36</w:t>
            </w:r>
          </w:p>
        </w:tc>
        <w:tc>
          <w:tcPr>
            <w:tcW w:w="1135"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BCP</w:t>
            </w:r>
          </w:p>
        </w:tc>
        <w:tc>
          <w:tcPr>
            <w:tcW w:w="62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876"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r>
      <w:tr>
        <w:trPr/>
        <w:tc>
          <w:tcPr>
            <w:tcW w:w="6924" w:type="dxa"/>
            <w:tcBorders>
              <w:bottom w:val="single" w:sz="8" w:space="0" w:color="BFBFBF"/>
            </w:tcBorders>
            <w:shd w:fill="FFFFFF" w:val="clear"/>
            <w:tcMar>
              <w:top w:w="0"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Strengthening solid waste management in offices and agencies in Lima</w:t>
            </w:r>
          </w:p>
        </w:tc>
        <w:tc>
          <w:tcPr>
            <w:tcW w:w="65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19.73</w:t>
            </w:r>
          </w:p>
        </w:tc>
        <w:tc>
          <w:tcPr>
            <w:tcW w:w="1135"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BCP</w:t>
            </w:r>
          </w:p>
        </w:tc>
        <w:tc>
          <w:tcPr>
            <w:tcW w:w="62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876"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r>
      <w:tr>
        <w:trPr/>
        <w:tc>
          <w:tcPr>
            <w:tcW w:w="6924" w:type="dxa"/>
            <w:tcBorders>
              <w:bottom w:val="single" w:sz="8" w:space="0" w:color="BFBFBF"/>
            </w:tcBorders>
            <w:shd w:fill="FFFFFF" w:val="clear"/>
            <w:tcMar>
              <w:top w:w="0"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Implementation of water efficiency measures at (migration of American grass to ground cover - succulents or succulent plants - La Molina Headquarters) (m2)</w:t>
            </w:r>
          </w:p>
        </w:tc>
        <w:tc>
          <w:tcPr>
            <w:tcW w:w="65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0.00</w:t>
            </w:r>
          </w:p>
        </w:tc>
        <w:tc>
          <w:tcPr>
            <w:tcW w:w="1135"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BCP</w:t>
            </w:r>
          </w:p>
        </w:tc>
        <w:tc>
          <w:tcPr>
            <w:tcW w:w="62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876"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r>
      <w:tr>
        <w:trPr/>
        <w:tc>
          <w:tcPr>
            <w:tcW w:w="6924" w:type="dxa"/>
            <w:tcBorders>
              <w:bottom w:val="single" w:sz="8" w:space="0" w:color="BFBFBF"/>
            </w:tcBorders>
            <w:shd w:fill="FFFFFF" w:val="clear"/>
            <w:tcMar>
              <w:top w:w="0"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Roll out of paperless strategies: Electronic vouchers at ATMs, efficient supply distribution</w:t>
            </w:r>
          </w:p>
        </w:tc>
        <w:tc>
          <w:tcPr>
            <w:tcW w:w="65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189.04</w:t>
            </w:r>
          </w:p>
        </w:tc>
        <w:tc>
          <w:tcPr>
            <w:tcW w:w="1135"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BCP</w:t>
            </w:r>
          </w:p>
        </w:tc>
        <w:tc>
          <w:tcPr>
            <w:tcW w:w="62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876"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r>
      <w:tr>
        <w:trPr/>
        <w:tc>
          <w:tcPr>
            <w:tcW w:w="6924" w:type="dxa"/>
            <w:tcBorders>
              <w:bottom w:val="single" w:sz="8" w:space="0" w:color="BFBFBF"/>
            </w:tcBorders>
            <w:shd w:fill="FFFFFF" w:val="clear"/>
            <w:tcMar>
              <w:top w:w="0"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Digital transformation - closing of premises</w:t>
            </w:r>
          </w:p>
        </w:tc>
        <w:tc>
          <w:tcPr>
            <w:tcW w:w="65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96.18</w:t>
            </w:r>
          </w:p>
        </w:tc>
        <w:tc>
          <w:tcPr>
            <w:tcW w:w="1135"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BCP</w:t>
            </w:r>
          </w:p>
        </w:tc>
        <w:tc>
          <w:tcPr>
            <w:tcW w:w="62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876"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r>
      <w:tr>
        <w:trPr/>
        <w:tc>
          <w:tcPr>
            <w:tcW w:w="6924" w:type="dxa"/>
            <w:tcBorders>
              <w:bottom w:val="single" w:sz="8" w:space="0" w:color="BFBFBF"/>
            </w:tcBorders>
            <w:shd w:fill="FFFFFF" w:val="clear"/>
            <w:tcMar>
              <w:top w:w="0"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Solar panel park</w:t>
            </w:r>
          </w:p>
        </w:tc>
        <w:tc>
          <w:tcPr>
            <w:tcW w:w="65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55.77</w:t>
            </w:r>
          </w:p>
        </w:tc>
        <w:tc>
          <w:tcPr>
            <w:tcW w:w="1135"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Mibanco</w:t>
            </w:r>
          </w:p>
        </w:tc>
        <w:tc>
          <w:tcPr>
            <w:tcW w:w="62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876"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r>
      <w:tr>
        <w:trPr/>
        <w:tc>
          <w:tcPr>
            <w:tcW w:w="6924" w:type="dxa"/>
            <w:tcBorders>
              <w:bottom w:val="single" w:sz="8" w:space="0" w:color="BFBFBF"/>
            </w:tcBorders>
            <w:shd w:fill="FFFFFF" w:val="clear"/>
            <w:tcMar>
              <w:top w:w="0"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Energy-efficient AC equipment</w:t>
            </w:r>
          </w:p>
        </w:tc>
        <w:tc>
          <w:tcPr>
            <w:tcW w:w="65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4.10</w:t>
            </w:r>
          </w:p>
        </w:tc>
        <w:tc>
          <w:tcPr>
            <w:tcW w:w="1135"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Mibanco</w:t>
            </w:r>
          </w:p>
        </w:tc>
        <w:tc>
          <w:tcPr>
            <w:tcW w:w="62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876"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r>
      <w:tr>
        <w:trPr/>
        <w:tc>
          <w:tcPr>
            <w:tcW w:w="6924" w:type="dxa"/>
            <w:tcBorders>
              <w:bottom w:val="single" w:sz="8" w:space="0" w:color="BFBFBF"/>
            </w:tcBorders>
            <w:shd w:fill="FFFFFF" w:val="clear"/>
            <w:tcMar>
              <w:top w:w="0"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Recyclables waste management</w:t>
            </w:r>
          </w:p>
        </w:tc>
        <w:tc>
          <w:tcPr>
            <w:tcW w:w="65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3.79</w:t>
            </w:r>
          </w:p>
        </w:tc>
        <w:tc>
          <w:tcPr>
            <w:tcW w:w="1135"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Mibanco</w:t>
            </w:r>
          </w:p>
        </w:tc>
        <w:tc>
          <w:tcPr>
            <w:tcW w:w="62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876"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r>
      <w:tr>
        <w:trPr/>
        <w:tc>
          <w:tcPr>
            <w:tcW w:w="6924" w:type="dxa"/>
            <w:tcBorders>
              <w:bottom w:val="single" w:sz="8" w:space="0" w:color="BFBFBF"/>
            </w:tcBorders>
            <w:shd w:fill="FFFFFF" w:val="clear"/>
            <w:tcMar>
              <w:top w:w="0"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Organic waste composting</w:t>
            </w:r>
          </w:p>
        </w:tc>
        <w:tc>
          <w:tcPr>
            <w:tcW w:w="65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12.55</w:t>
            </w:r>
          </w:p>
        </w:tc>
        <w:tc>
          <w:tcPr>
            <w:tcW w:w="1135"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Mibanco</w:t>
            </w:r>
          </w:p>
        </w:tc>
        <w:tc>
          <w:tcPr>
            <w:tcW w:w="62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876"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r>
      <w:tr>
        <w:trPr/>
        <w:tc>
          <w:tcPr>
            <w:tcW w:w="6924" w:type="dxa"/>
            <w:tcBorders>
              <w:bottom w:val="single" w:sz="8" w:space="0" w:color="BFBFBF"/>
            </w:tcBorders>
            <w:shd w:fill="FFFFFF" w:val="clear"/>
            <w:tcMar>
              <w:top w:w="0"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Solid waste recycling</w:t>
            </w:r>
          </w:p>
        </w:tc>
        <w:tc>
          <w:tcPr>
            <w:tcW w:w="65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0.08</w:t>
            </w:r>
          </w:p>
        </w:tc>
        <w:tc>
          <w:tcPr>
            <w:tcW w:w="1135"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Prima AFP</w:t>
            </w:r>
          </w:p>
        </w:tc>
        <w:tc>
          <w:tcPr>
            <w:tcW w:w="62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876"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r>
      <w:tr>
        <w:trPr/>
        <w:tc>
          <w:tcPr>
            <w:tcW w:w="6924" w:type="dxa"/>
            <w:tcBorders>
              <w:bottom w:val="single" w:sz="8" w:space="0" w:color="BFBFBF"/>
            </w:tcBorders>
            <w:shd w:fill="FFFFFF" w:val="clear"/>
            <w:tcMar>
              <w:top w:w="0"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Migration of information to the cloud</w:t>
            </w:r>
          </w:p>
        </w:tc>
        <w:tc>
          <w:tcPr>
            <w:tcW w:w="65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9.55</w:t>
            </w:r>
          </w:p>
        </w:tc>
        <w:tc>
          <w:tcPr>
            <w:tcW w:w="1135"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Prima AFP</w:t>
            </w:r>
          </w:p>
        </w:tc>
        <w:tc>
          <w:tcPr>
            <w:tcW w:w="62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876"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r>
      <w:tr>
        <w:trPr/>
        <w:tc>
          <w:tcPr>
            <w:tcW w:w="6924" w:type="dxa"/>
            <w:tcBorders>
              <w:bottom w:val="single" w:sz="8" w:space="0" w:color="BFBFBF"/>
            </w:tcBorders>
            <w:shd w:fill="FFFFFF" w:val="clear"/>
            <w:tcMar>
              <w:top w:w="0"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Changeover of extinguishing equipment</w:t>
            </w:r>
          </w:p>
        </w:tc>
        <w:tc>
          <w:tcPr>
            <w:tcW w:w="65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2.38</w:t>
            </w:r>
          </w:p>
        </w:tc>
        <w:tc>
          <w:tcPr>
            <w:tcW w:w="1135"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Mibanco Colombia</w:t>
            </w:r>
          </w:p>
        </w:tc>
        <w:tc>
          <w:tcPr>
            <w:tcW w:w="62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876"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r>
      <w:tr>
        <w:trPr/>
        <w:tc>
          <w:tcPr>
            <w:tcW w:w="6924" w:type="dxa"/>
            <w:tcBorders>
              <w:bottom w:val="single" w:sz="8" w:space="0" w:color="BFBFBF"/>
            </w:tcBorders>
            <w:shd w:fill="FFFFFF" w:val="clear"/>
            <w:tcMar>
              <w:top w:w="0"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Solid waste recycling</w:t>
            </w:r>
          </w:p>
        </w:tc>
        <w:tc>
          <w:tcPr>
            <w:tcW w:w="65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39.98</w:t>
            </w:r>
          </w:p>
        </w:tc>
        <w:tc>
          <w:tcPr>
            <w:tcW w:w="1135"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BCP Bolivia</w:t>
            </w:r>
          </w:p>
        </w:tc>
        <w:tc>
          <w:tcPr>
            <w:tcW w:w="62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876"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r>
      <w:tr>
        <w:trPr/>
        <w:tc>
          <w:tcPr>
            <w:tcW w:w="6924" w:type="dxa"/>
            <w:tcBorders>
              <w:bottom w:val="single" w:sz="8" w:space="0" w:color="BFBFBF"/>
            </w:tcBorders>
            <w:shd w:fill="FFFFFF" w:val="clear"/>
            <w:tcMar>
              <w:top w:w="0"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Electronic policies</w:t>
            </w:r>
          </w:p>
        </w:tc>
        <w:tc>
          <w:tcPr>
            <w:tcW w:w="65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240.60</w:t>
            </w:r>
          </w:p>
        </w:tc>
        <w:tc>
          <w:tcPr>
            <w:tcW w:w="1135"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Pacífico Seguros</w:t>
            </w:r>
          </w:p>
        </w:tc>
        <w:tc>
          <w:tcPr>
            <w:tcW w:w="62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876"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r>
    </w:tbl>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83</w:t>
      </w:r>
    </w:p>
    <w:p>
      <w:pPr>
        <w:pStyle w:val="HorizontalLine"/>
        <w:pBdr>
          <w:bottom w:val="single" w:sz="12" w:space="0" w:color="808080"/>
        </w:pBdr>
        <w:bidi w:val="0"/>
        <w:spacing w:before="200" w:after="200"/>
        <w:jc w:val="left"/>
        <w:rPr/>
      </w:pPr>
      <w:r>
        <w:rPr/>
      </w:r>
    </w:p>
    <w:tbl>
      <w:tblPr>
        <w:tblW w:w="8155" w:type="dxa"/>
        <w:jc w:val="left"/>
        <w:tblInd w:w="0" w:type="dxa"/>
        <w:tblLayout w:type="fixed"/>
        <w:tblCellMar>
          <w:top w:w="0" w:type="dxa"/>
          <w:left w:w="0" w:type="dxa"/>
          <w:bottom w:w="0" w:type="dxa"/>
          <w:right w:w="0" w:type="dxa"/>
        </w:tblCellMar>
      </w:tblPr>
      <w:tblGrid>
        <w:gridCol w:w="5510"/>
        <w:gridCol w:w="740"/>
        <w:gridCol w:w="575"/>
        <w:gridCol w:w="740"/>
        <w:gridCol w:w="590"/>
      </w:tblGrid>
      <w:tr>
        <w:trPr/>
        <w:tc>
          <w:tcPr>
            <w:tcW w:w="5510" w:type="dxa"/>
            <w:tcBorders/>
            <w:shd w:fill="000000"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GRI 302-1, 302-2 Energy: Electricity and fuel</w:t>
            </w:r>
          </w:p>
        </w:tc>
        <w:tc>
          <w:tcPr>
            <w:tcW w:w="1315" w:type="dxa"/>
            <w:gridSpan w:val="2"/>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2023</w:t>
            </w:r>
          </w:p>
        </w:tc>
        <w:tc>
          <w:tcPr>
            <w:tcW w:w="1330" w:type="dxa"/>
            <w:gridSpan w:val="2"/>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2022</w:t>
            </w:r>
          </w:p>
        </w:tc>
      </w:tr>
      <w:tr>
        <w:trPr/>
        <w:tc>
          <w:tcPr>
            <w:tcW w:w="5510" w:type="dxa"/>
            <w:tcBorders/>
            <w:shd w:fill="000000"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Energy sources</w:t>
            </w:r>
          </w:p>
        </w:tc>
        <w:tc>
          <w:tcPr>
            <w:tcW w:w="740"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MWh</w:t>
            </w:r>
          </w:p>
        </w:tc>
        <w:tc>
          <w:tcPr>
            <w:tcW w:w="575"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w:t>
            </w:r>
          </w:p>
        </w:tc>
        <w:tc>
          <w:tcPr>
            <w:tcW w:w="740"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MWh</w:t>
            </w:r>
          </w:p>
        </w:tc>
        <w:tc>
          <w:tcPr>
            <w:tcW w:w="590"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w:t>
            </w:r>
          </w:p>
        </w:tc>
      </w:tr>
      <w:tr>
        <w:trPr/>
        <w:tc>
          <w:tcPr>
            <w:tcW w:w="5510" w:type="dxa"/>
            <w:tcBorders/>
            <w:shd w:fill="808080"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Total energy consumption</w:t>
            </w:r>
          </w:p>
        </w:tc>
        <w:tc>
          <w:tcPr>
            <w:tcW w:w="740"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78,566.77</w:t>
            </w:r>
          </w:p>
        </w:tc>
        <w:tc>
          <w:tcPr>
            <w:tcW w:w="575" w:type="dxa"/>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c>
          <w:tcPr>
            <w:tcW w:w="740"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78,355.11</w:t>
            </w:r>
          </w:p>
        </w:tc>
        <w:tc>
          <w:tcPr>
            <w:tcW w:w="590" w:type="dxa"/>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r>
      <w:tr>
        <w:trPr/>
        <w:tc>
          <w:tcPr>
            <w:tcW w:w="5510"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Renewable energy</w:t>
            </w:r>
          </w:p>
        </w:tc>
        <w:tc>
          <w:tcPr>
            <w:tcW w:w="74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40,278.23</w:t>
            </w:r>
          </w:p>
        </w:tc>
        <w:tc>
          <w:tcPr>
            <w:tcW w:w="575"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51%</w:t>
            </w:r>
          </w:p>
        </w:tc>
        <w:tc>
          <w:tcPr>
            <w:tcW w:w="74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41,064.85</w:t>
            </w:r>
          </w:p>
        </w:tc>
        <w:tc>
          <w:tcPr>
            <w:tcW w:w="59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52%</w:t>
            </w:r>
          </w:p>
        </w:tc>
      </w:tr>
      <w:tr>
        <w:trPr/>
        <w:tc>
          <w:tcPr>
            <w:tcW w:w="5510"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Non-renewable energy</w:t>
            </w:r>
          </w:p>
        </w:tc>
        <w:tc>
          <w:tcPr>
            <w:tcW w:w="74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38,288.54</w:t>
            </w:r>
          </w:p>
        </w:tc>
        <w:tc>
          <w:tcPr>
            <w:tcW w:w="575"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49%</w:t>
            </w:r>
          </w:p>
        </w:tc>
        <w:tc>
          <w:tcPr>
            <w:tcW w:w="74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37,290.22</w:t>
            </w:r>
          </w:p>
        </w:tc>
        <w:tc>
          <w:tcPr>
            <w:tcW w:w="59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48%</w:t>
            </w:r>
          </w:p>
        </w:tc>
      </w:tr>
      <w:tr>
        <w:trPr/>
        <w:tc>
          <w:tcPr>
            <w:tcW w:w="5510" w:type="dxa"/>
            <w:tcBorders/>
            <w:shd w:fill="A6A6A6"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Electricity Consumption</w:t>
            </w:r>
          </w:p>
        </w:tc>
        <w:tc>
          <w:tcPr>
            <w:tcW w:w="740" w:type="dxa"/>
            <w:tcBorders/>
            <w:shd w:fill="A6A6A6"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74,964.75</w:t>
            </w:r>
          </w:p>
        </w:tc>
        <w:tc>
          <w:tcPr>
            <w:tcW w:w="575" w:type="dxa"/>
            <w:tcBorders/>
            <w:shd w:fill="A6A6A6"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95.42%</w:t>
            </w:r>
          </w:p>
        </w:tc>
        <w:tc>
          <w:tcPr>
            <w:tcW w:w="740" w:type="dxa"/>
            <w:tcBorders/>
            <w:shd w:fill="A6A6A6"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74,476.39</w:t>
            </w:r>
          </w:p>
        </w:tc>
        <w:tc>
          <w:tcPr>
            <w:tcW w:w="590" w:type="dxa"/>
            <w:tcBorders/>
            <w:shd w:fill="A6A6A6"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95.05%</w:t>
            </w:r>
          </w:p>
        </w:tc>
      </w:tr>
      <w:tr>
        <w:trPr/>
        <w:tc>
          <w:tcPr>
            <w:tcW w:w="5510" w:type="dxa"/>
            <w:tcBorders/>
            <w:shd w:fill="A6A6A6"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Non-renewable energy consumption</w:t>
            </w:r>
          </w:p>
        </w:tc>
        <w:tc>
          <w:tcPr>
            <w:tcW w:w="740" w:type="dxa"/>
            <w:tcBorders/>
            <w:shd w:fill="A6A6A6"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3,437.37</w:t>
            </w:r>
          </w:p>
        </w:tc>
        <w:tc>
          <w:tcPr>
            <w:tcW w:w="575" w:type="dxa"/>
            <w:tcBorders/>
            <w:shd w:fill="A6A6A6"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4.38%</w:t>
            </w:r>
          </w:p>
        </w:tc>
        <w:tc>
          <w:tcPr>
            <w:tcW w:w="740" w:type="dxa"/>
            <w:tcBorders/>
            <w:shd w:fill="A6A6A6"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3,697.27</w:t>
            </w:r>
          </w:p>
        </w:tc>
        <w:tc>
          <w:tcPr>
            <w:tcW w:w="590" w:type="dxa"/>
            <w:tcBorders/>
            <w:shd w:fill="A6A6A6"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4.72%</w:t>
            </w:r>
          </w:p>
        </w:tc>
      </w:tr>
      <w:tr>
        <w:trPr/>
        <w:tc>
          <w:tcPr>
            <w:tcW w:w="5510"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Diesel</w:t>
            </w:r>
          </w:p>
        </w:tc>
        <w:tc>
          <w:tcPr>
            <w:tcW w:w="74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1,967.93</w:t>
            </w:r>
          </w:p>
        </w:tc>
        <w:tc>
          <w:tcPr>
            <w:tcW w:w="575"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2.5%</w:t>
            </w:r>
          </w:p>
        </w:tc>
        <w:tc>
          <w:tcPr>
            <w:tcW w:w="74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2,417.61</w:t>
            </w:r>
          </w:p>
        </w:tc>
        <w:tc>
          <w:tcPr>
            <w:tcW w:w="59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3.1%</w:t>
            </w:r>
          </w:p>
        </w:tc>
      </w:tr>
      <w:tr>
        <w:trPr/>
        <w:tc>
          <w:tcPr>
            <w:tcW w:w="5510"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Gasoline</w:t>
            </w:r>
          </w:p>
        </w:tc>
        <w:tc>
          <w:tcPr>
            <w:tcW w:w="74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669.62</w:t>
            </w:r>
          </w:p>
        </w:tc>
        <w:tc>
          <w:tcPr>
            <w:tcW w:w="575"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0.9%</w:t>
            </w:r>
          </w:p>
        </w:tc>
        <w:tc>
          <w:tcPr>
            <w:tcW w:w="74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591.26</w:t>
            </w:r>
          </w:p>
        </w:tc>
        <w:tc>
          <w:tcPr>
            <w:tcW w:w="59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0.8%</w:t>
            </w:r>
          </w:p>
        </w:tc>
      </w:tr>
      <w:tr>
        <w:trPr/>
        <w:tc>
          <w:tcPr>
            <w:tcW w:w="5510"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Natural gas</w:t>
            </w:r>
          </w:p>
        </w:tc>
        <w:tc>
          <w:tcPr>
            <w:tcW w:w="74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392.31</w:t>
            </w:r>
          </w:p>
        </w:tc>
        <w:tc>
          <w:tcPr>
            <w:tcW w:w="575"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0.5%</w:t>
            </w:r>
          </w:p>
        </w:tc>
        <w:tc>
          <w:tcPr>
            <w:tcW w:w="74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455.22</w:t>
            </w:r>
          </w:p>
        </w:tc>
        <w:tc>
          <w:tcPr>
            <w:tcW w:w="59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0.6%</w:t>
            </w:r>
          </w:p>
        </w:tc>
      </w:tr>
      <w:tr>
        <w:trPr/>
        <w:tc>
          <w:tcPr>
            <w:tcW w:w="5510"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LPG</w:t>
            </w:r>
          </w:p>
        </w:tc>
        <w:tc>
          <w:tcPr>
            <w:tcW w:w="74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376.77</w:t>
            </w:r>
          </w:p>
        </w:tc>
        <w:tc>
          <w:tcPr>
            <w:tcW w:w="575"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0.5%</w:t>
            </w:r>
          </w:p>
        </w:tc>
        <w:tc>
          <w:tcPr>
            <w:tcW w:w="74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233.18</w:t>
            </w:r>
          </w:p>
        </w:tc>
        <w:tc>
          <w:tcPr>
            <w:tcW w:w="59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0.3%</w:t>
            </w:r>
          </w:p>
        </w:tc>
      </w:tr>
      <w:tr>
        <w:trPr/>
        <w:tc>
          <w:tcPr>
            <w:tcW w:w="5510" w:type="dxa"/>
            <w:tcBorders/>
            <w:shd w:fill="FFFFFF" w:val="cle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Other</w:t>
            </w:r>
          </w:p>
        </w:tc>
        <w:tc>
          <w:tcPr>
            <w:tcW w:w="74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30.74</w:t>
            </w:r>
          </w:p>
        </w:tc>
        <w:tc>
          <w:tcPr>
            <w:tcW w:w="575"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0.0%</w:t>
            </w:r>
          </w:p>
        </w:tc>
        <w:tc>
          <w:tcPr>
            <w:tcW w:w="74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0.00</w:t>
            </w:r>
          </w:p>
        </w:tc>
        <w:tc>
          <w:tcPr>
            <w:tcW w:w="59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0.0%</w:t>
            </w:r>
          </w:p>
        </w:tc>
      </w:tr>
      <w:tr>
        <w:trPr/>
        <w:tc>
          <w:tcPr>
            <w:tcW w:w="5510" w:type="dxa"/>
            <w:tcBorders>
              <w:bottom w:val="single" w:sz="8" w:space="0" w:color="BFBFBF"/>
            </w:tcBorders>
            <w:shd w:fill="A6A6A6" w:val="clear"/>
            <w:tcMar>
              <w:bottom w:w="28" w:type="dxa"/>
            </w:tcM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Energy consumption from renewable sources (biofuel, biomass, etc.)</w:t>
            </w:r>
          </w:p>
        </w:tc>
        <w:tc>
          <w:tcPr>
            <w:tcW w:w="740" w:type="dxa"/>
            <w:tcBorders/>
            <w:shd w:fill="A6A6A6"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164.65</w:t>
            </w:r>
          </w:p>
        </w:tc>
        <w:tc>
          <w:tcPr>
            <w:tcW w:w="575" w:type="dxa"/>
            <w:tcBorders/>
            <w:shd w:fill="A6A6A6"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0.21%</w:t>
            </w:r>
          </w:p>
        </w:tc>
        <w:tc>
          <w:tcPr>
            <w:tcW w:w="740" w:type="dxa"/>
            <w:tcBorders/>
            <w:shd w:fill="A6A6A6"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181.45</w:t>
            </w:r>
          </w:p>
        </w:tc>
        <w:tc>
          <w:tcPr>
            <w:tcW w:w="590" w:type="dxa"/>
            <w:tcBorders/>
            <w:shd w:fill="A6A6A6"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0.23%</w:t>
            </w:r>
          </w:p>
        </w:tc>
      </w:tr>
    </w:tbl>
    <w:p>
      <w:pPr>
        <w:pStyle w:val="TextBody"/>
        <w:bidi w:val="0"/>
        <w:spacing w:before="0" w:after="0"/>
        <w:ind w:left="0" w:right="0" w:hanging="0"/>
        <w:jc w:val="left"/>
        <w:rPr>
          <w:caps w:val="false"/>
          <w:smallCaps w:val="false"/>
          <w:color w:val="FE5000"/>
        </w:rPr>
      </w:pPr>
      <w:r>
        <w:rPr>
          <w:caps w:val="false"/>
          <w:smallCaps w:val="false"/>
          <w:color w:val="FE5000"/>
        </w:rPr>
        <w:t> </w:t>
      </w:r>
    </w:p>
    <w:tbl>
      <w:tblPr>
        <w:tblW w:w="5839" w:type="dxa"/>
        <w:jc w:val="left"/>
        <w:tblInd w:w="0" w:type="dxa"/>
        <w:tblLayout w:type="fixed"/>
        <w:tblCellMar>
          <w:top w:w="28" w:type="dxa"/>
          <w:left w:w="0" w:type="dxa"/>
          <w:bottom w:w="0" w:type="dxa"/>
          <w:right w:w="0" w:type="dxa"/>
        </w:tblCellMar>
      </w:tblPr>
      <w:tblGrid>
        <w:gridCol w:w="4162"/>
        <w:gridCol w:w="830"/>
        <w:gridCol w:w="847"/>
      </w:tblGrid>
      <w:tr>
        <w:trPr/>
        <w:tc>
          <w:tcPr>
            <w:tcW w:w="4162" w:type="dxa"/>
            <w:tcBorders>
              <w:top w:val="single" w:sz="8" w:space="0" w:color="BFBFBF"/>
            </w:tcBorders>
            <w:shd w:fill="000000"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GRI 302-3 Energy intensity: Electricity and fuel</w:t>
            </w:r>
          </w:p>
        </w:tc>
        <w:tc>
          <w:tcPr>
            <w:tcW w:w="830" w:type="dxa"/>
            <w:tcBorders/>
            <w:shd w:fill="000000" w:val="clear"/>
            <w:tcMar>
              <w:top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2023</w:t>
            </w:r>
          </w:p>
        </w:tc>
        <w:tc>
          <w:tcPr>
            <w:tcW w:w="847" w:type="dxa"/>
            <w:tcBorders/>
            <w:shd w:fill="000000" w:val="clear"/>
            <w:tcMar>
              <w:top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2022</w:t>
            </w:r>
          </w:p>
        </w:tc>
      </w:tr>
      <w:tr>
        <w:trPr/>
        <w:tc>
          <w:tcPr>
            <w:tcW w:w="4162" w:type="dxa"/>
            <w:tcBorders/>
            <w:shd w:fill="808080" w:val="clear"/>
            <w:tcMar>
              <w:top w:w="0" w:type="dxa"/>
            </w:tcM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Energy intensity (per # of collaborators)</w:t>
            </w:r>
          </w:p>
        </w:tc>
        <w:tc>
          <w:tcPr>
            <w:tcW w:w="830" w:type="dxa"/>
            <w:tcBorders/>
            <w:shd w:fill="808080" w:val="clear"/>
            <w:tcMar>
              <w:top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2.12</w:t>
            </w:r>
          </w:p>
        </w:tc>
        <w:tc>
          <w:tcPr>
            <w:tcW w:w="847" w:type="dxa"/>
            <w:tcBorders/>
            <w:shd w:fill="808080" w:val="clear"/>
            <w:tcMar>
              <w:top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2.12</w:t>
            </w:r>
          </w:p>
        </w:tc>
      </w:tr>
      <w:tr>
        <w:trPr/>
        <w:tc>
          <w:tcPr>
            <w:tcW w:w="4162" w:type="dxa"/>
            <w:tcBorders>
              <w:bottom w:val="single" w:sz="8" w:space="0" w:color="BFBFBF"/>
            </w:tcBorders>
            <w:shd w:fill="FFFFFF" w:val="clear"/>
            <w:tcMar>
              <w:top w:w="0" w:type="dxa"/>
              <w:bottom w:w="28"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Number of employees</w:t>
            </w:r>
          </w:p>
        </w:tc>
        <w:tc>
          <w:tcPr>
            <w:tcW w:w="830" w:type="dxa"/>
            <w:tcBorders>
              <w:bottom w:val="single" w:sz="8" w:space="0" w:color="BFBFBF"/>
            </w:tcBorders>
            <w:shd w:fill="FFFFFF" w:val="clear"/>
            <w:tcMar>
              <w:top w:w="0" w:type="dxa"/>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37,025.00</w:t>
            </w:r>
          </w:p>
        </w:tc>
        <w:tc>
          <w:tcPr>
            <w:tcW w:w="847" w:type="dxa"/>
            <w:tcBorders>
              <w:bottom w:val="single" w:sz="8" w:space="0" w:color="BFBFBF"/>
            </w:tcBorders>
            <w:shd w:fill="FFFFFF" w:val="clear"/>
            <w:tcMar>
              <w:top w:w="0" w:type="dxa"/>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36,919.00</w:t>
            </w:r>
          </w:p>
        </w:tc>
      </w:tr>
      <w:tr>
        <w:trPr/>
        <w:tc>
          <w:tcPr>
            <w:tcW w:w="5839" w:type="dxa"/>
            <w:gridSpan w:val="3"/>
            <w:tcBorders/>
            <w:shd w:fill="FFFFFF" w:val="clear"/>
            <w:tcMar>
              <w:top w:w="0"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*The number of employees excludes BCP Miami and the  BCP Panama agency.</w:t>
            </w:r>
          </w:p>
        </w:tc>
      </w:tr>
    </w:tbl>
    <w:p>
      <w:pPr>
        <w:pStyle w:val="TextBody"/>
        <w:bidi w:val="0"/>
        <w:spacing w:before="0" w:after="0"/>
        <w:ind w:left="0" w:right="0" w:hanging="0"/>
        <w:jc w:val="left"/>
        <w:rPr>
          <w:caps w:val="false"/>
          <w:smallCaps w:val="false"/>
          <w:color w:val="FE5000"/>
        </w:rPr>
      </w:pPr>
      <w:r>
        <w:rPr>
          <w:caps w:val="false"/>
          <w:smallCaps w:val="false"/>
          <w:color w:val="FE5000"/>
        </w:rPr>
        <w:t> </w:t>
      </w:r>
    </w:p>
    <w:tbl>
      <w:tblPr>
        <w:tblW w:w="7945" w:type="dxa"/>
        <w:jc w:val="left"/>
        <w:tblInd w:w="0" w:type="dxa"/>
        <w:tblLayout w:type="fixed"/>
        <w:tblCellMar>
          <w:top w:w="28" w:type="dxa"/>
          <w:left w:w="0" w:type="dxa"/>
          <w:bottom w:w="28" w:type="dxa"/>
          <w:right w:w="0" w:type="dxa"/>
        </w:tblCellMar>
      </w:tblPr>
      <w:tblGrid>
        <w:gridCol w:w="5150"/>
        <w:gridCol w:w="650"/>
        <w:gridCol w:w="860"/>
        <w:gridCol w:w="410"/>
        <w:gridCol w:w="875"/>
      </w:tblGrid>
      <w:tr>
        <w:trPr/>
        <w:tc>
          <w:tcPr>
            <w:tcW w:w="5150" w:type="dxa"/>
            <w:vMerge w:val="restart"/>
            <w:tcBorders>
              <w:top w:val="single" w:sz="8" w:space="0" w:color="BFBFBF"/>
              <w:bottom w:val="single" w:sz="8" w:space="0" w:color="BFBFBF"/>
            </w:tcBorders>
            <w:shd w:fill="000000"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GRI 302-4 Reduction of energy consumption: Electricity and fuel</w:t>
            </w:r>
          </w:p>
        </w:tc>
        <w:tc>
          <w:tcPr>
            <w:tcW w:w="1510" w:type="dxa"/>
            <w:gridSpan w:val="2"/>
            <w:tcBorders/>
            <w:shd w:fill="000000" w:val="clear"/>
            <w:tcMar>
              <w:top w:w="0" w:type="dxa"/>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2023</w:t>
            </w:r>
          </w:p>
        </w:tc>
        <w:tc>
          <w:tcPr>
            <w:tcW w:w="1285" w:type="dxa"/>
            <w:gridSpan w:val="2"/>
            <w:tcBorders/>
            <w:shd w:fill="000000" w:val="clear"/>
            <w:tcMar>
              <w:top w:w="0" w:type="dxa"/>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2022</w:t>
            </w:r>
          </w:p>
        </w:tc>
      </w:tr>
      <w:tr>
        <w:trPr/>
        <w:tc>
          <w:tcPr>
            <w:tcW w:w="5150" w:type="dxa"/>
            <w:vMerge w:val="continue"/>
            <w:tcBorders>
              <w:top w:val="single" w:sz="8" w:space="0" w:color="BFBFBF"/>
              <w:bottom w:val="single" w:sz="8" w:space="0" w:color="BFBFBF"/>
            </w:tcBorders>
            <w:shd w:fill="000000" w:val="clear"/>
            <w:vAlign w:val="center"/>
          </w:tcPr>
          <w:p>
            <w:pPr>
              <w:pStyle w:val="Normal"/>
              <w:bidi w:val="0"/>
              <w:jc w:val="left"/>
              <w:rPr/>
            </w:pPr>
            <w:r>
              <w:rPr/>
            </w:r>
          </w:p>
        </w:tc>
        <w:tc>
          <w:tcPr>
            <w:tcW w:w="650" w:type="dxa"/>
            <w:tcBorders/>
            <w:shd w:fill="000000" w:val="clear"/>
            <w:tcMar>
              <w:top w:w="0" w:type="dxa"/>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MWh</w:t>
            </w:r>
          </w:p>
        </w:tc>
        <w:tc>
          <w:tcPr>
            <w:tcW w:w="860" w:type="dxa"/>
            <w:tcBorders/>
            <w:shd w:fill="000000" w:val="clear"/>
            <w:tcMar>
              <w:top w:w="0" w:type="dxa"/>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Subsidiary</w:t>
            </w:r>
          </w:p>
        </w:tc>
        <w:tc>
          <w:tcPr>
            <w:tcW w:w="410" w:type="dxa"/>
            <w:tcBorders/>
            <w:shd w:fill="000000" w:val="clear"/>
            <w:tcMar>
              <w:top w:w="0" w:type="dxa"/>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MWh</w:t>
            </w:r>
          </w:p>
        </w:tc>
        <w:tc>
          <w:tcPr>
            <w:tcW w:w="875" w:type="dxa"/>
            <w:tcBorders/>
            <w:shd w:fill="000000" w:val="clear"/>
            <w:tcMar>
              <w:top w:w="0" w:type="dxa"/>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Subsidiary</w:t>
            </w:r>
          </w:p>
        </w:tc>
      </w:tr>
      <w:tr>
        <w:trPr/>
        <w:tc>
          <w:tcPr>
            <w:tcW w:w="5150" w:type="dxa"/>
            <w:tcBorders/>
            <w:shd w:fill="A6A6A6" w:val="clear"/>
            <w:tcMar>
              <w:top w:w="0" w:type="dxa"/>
              <w:bottom w:w="0" w:type="dxa"/>
            </w:tcM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Initiatives to reduce energy consumption</w:t>
            </w:r>
          </w:p>
        </w:tc>
        <w:tc>
          <w:tcPr>
            <w:tcW w:w="650" w:type="dxa"/>
            <w:tcBorders/>
            <w:shd w:fill="A6A6A6" w:val="clear"/>
            <w:tcMar>
              <w:top w:w="0" w:type="dxa"/>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4,507.60</w:t>
            </w:r>
          </w:p>
        </w:tc>
        <w:tc>
          <w:tcPr>
            <w:tcW w:w="860" w:type="dxa"/>
            <w:tcBorders/>
            <w:shd w:fill="A6A6A6" w:val="clear"/>
            <w:tcMar>
              <w:top w:w="0" w:type="dxa"/>
              <w:bottom w:w="0" w:type="dxa"/>
            </w:tcMar>
            <w:vAlign w:val="center"/>
          </w:tcPr>
          <w:p>
            <w:pPr>
              <w:pStyle w:val="TableContents"/>
              <w:bidi w:val="0"/>
              <w:spacing w:before="0" w:after="283"/>
              <w:jc w:val="center"/>
              <w:rPr>
                <w:caps w:val="false"/>
                <w:smallCaps w:val="false"/>
              </w:rPr>
            </w:pPr>
            <w:r>
              <w:rPr>
                <w:caps w:val="false"/>
                <w:smallCaps w:val="false"/>
              </w:rPr>
              <w:t> </w:t>
            </w:r>
          </w:p>
        </w:tc>
        <w:tc>
          <w:tcPr>
            <w:tcW w:w="410" w:type="dxa"/>
            <w:tcBorders/>
            <w:shd w:fill="A6A6A6" w:val="clear"/>
            <w:tcMar>
              <w:top w:w="0" w:type="dxa"/>
              <w:bottom w:w="0" w:type="dxa"/>
            </w:tcMar>
            <w:vAlign w:val="center"/>
          </w:tcPr>
          <w:p>
            <w:pPr>
              <w:pStyle w:val="TableContents"/>
              <w:bidi w:val="0"/>
              <w:spacing w:before="0" w:after="283"/>
              <w:jc w:val="center"/>
              <w:rPr>
                <w:caps w:val="false"/>
                <w:smallCaps w:val="false"/>
              </w:rPr>
            </w:pPr>
            <w:r>
              <w:rPr>
                <w:caps w:val="false"/>
                <w:smallCaps w:val="false"/>
              </w:rPr>
              <w:t> </w:t>
            </w:r>
          </w:p>
        </w:tc>
        <w:tc>
          <w:tcPr>
            <w:tcW w:w="875" w:type="dxa"/>
            <w:tcBorders/>
            <w:shd w:fill="A6A6A6" w:val="clear"/>
            <w:tcMar>
              <w:top w:w="0" w:type="dxa"/>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5150" w:type="dxa"/>
            <w:tcBorders>
              <w:bottom w:val="single" w:sz="8" w:space="0" w:color="BFBFBF"/>
            </w:tcBorders>
            <w:shd w:fill="FFFFFF" w:val="clear"/>
            <w:tcMar>
              <w:top w:w="0"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Solar panel implementation - Phase 1</w:t>
            </w:r>
          </w:p>
        </w:tc>
        <w:tc>
          <w:tcPr>
            <w:tcW w:w="65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198.70</w:t>
            </w:r>
          </w:p>
        </w:tc>
        <w:tc>
          <w:tcPr>
            <w:tcW w:w="86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BCP</w:t>
            </w:r>
          </w:p>
        </w:tc>
        <w:tc>
          <w:tcPr>
            <w:tcW w:w="41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875"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r>
      <w:tr>
        <w:trPr/>
        <w:tc>
          <w:tcPr>
            <w:tcW w:w="5150" w:type="dxa"/>
            <w:tcBorders>
              <w:bottom w:val="single" w:sz="8" w:space="0" w:color="BFBFBF"/>
            </w:tcBorders>
            <w:shd w:fill="FFFFFF" w:val="clear"/>
            <w:tcMar>
              <w:top w:w="0"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Solar panel implementation - Phase 2</w:t>
            </w:r>
          </w:p>
        </w:tc>
        <w:tc>
          <w:tcPr>
            <w:tcW w:w="65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717.16</w:t>
            </w:r>
          </w:p>
        </w:tc>
        <w:tc>
          <w:tcPr>
            <w:tcW w:w="86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BCP</w:t>
            </w:r>
          </w:p>
        </w:tc>
        <w:tc>
          <w:tcPr>
            <w:tcW w:w="41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875"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r>
      <w:tr>
        <w:trPr/>
        <w:tc>
          <w:tcPr>
            <w:tcW w:w="5150" w:type="dxa"/>
            <w:tcBorders>
              <w:bottom w:val="single" w:sz="8" w:space="0" w:color="BFBFBF"/>
            </w:tcBorders>
            <w:shd w:fill="FFFFFF" w:val="clear"/>
            <w:tcMar>
              <w:top w:w="0"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Migration to efficient air conditioning equipment - Phase 1</w:t>
            </w:r>
          </w:p>
        </w:tc>
        <w:tc>
          <w:tcPr>
            <w:tcW w:w="65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1,647.01</w:t>
            </w:r>
          </w:p>
        </w:tc>
        <w:tc>
          <w:tcPr>
            <w:tcW w:w="86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BCP</w:t>
            </w:r>
          </w:p>
        </w:tc>
        <w:tc>
          <w:tcPr>
            <w:tcW w:w="41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875"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r>
      <w:tr>
        <w:trPr/>
        <w:tc>
          <w:tcPr>
            <w:tcW w:w="5150" w:type="dxa"/>
            <w:tcBorders>
              <w:bottom w:val="single" w:sz="8" w:space="0" w:color="BFBFBF"/>
            </w:tcBorders>
            <w:shd w:fill="FFFFFF" w:val="clear"/>
            <w:tcMar>
              <w:top w:w="0"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Migration to efficient air conditioning equipment - Phase 2</w:t>
            </w:r>
          </w:p>
        </w:tc>
        <w:tc>
          <w:tcPr>
            <w:tcW w:w="65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921.00</w:t>
            </w:r>
          </w:p>
        </w:tc>
        <w:tc>
          <w:tcPr>
            <w:tcW w:w="86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BCP</w:t>
            </w:r>
          </w:p>
        </w:tc>
        <w:tc>
          <w:tcPr>
            <w:tcW w:w="41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875"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r>
      <w:tr>
        <w:trPr/>
        <w:tc>
          <w:tcPr>
            <w:tcW w:w="5150" w:type="dxa"/>
            <w:tcBorders>
              <w:bottom w:val="single" w:sz="8" w:space="0" w:color="BFBFBF"/>
            </w:tcBorders>
            <w:shd w:fill="FFFFFF" w:val="clear"/>
            <w:tcMar>
              <w:top w:w="0"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Migration to LED lighting in 100% of agencies to be transformed</w:t>
            </w:r>
          </w:p>
        </w:tc>
        <w:tc>
          <w:tcPr>
            <w:tcW w:w="65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254.39</w:t>
            </w:r>
          </w:p>
        </w:tc>
        <w:tc>
          <w:tcPr>
            <w:tcW w:w="86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BCP</w:t>
            </w:r>
          </w:p>
        </w:tc>
        <w:tc>
          <w:tcPr>
            <w:tcW w:w="41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875"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r>
      <w:tr>
        <w:trPr/>
        <w:tc>
          <w:tcPr>
            <w:tcW w:w="5150" w:type="dxa"/>
            <w:tcBorders>
              <w:bottom w:val="single" w:sz="8" w:space="0" w:color="BFBFBF"/>
            </w:tcBorders>
            <w:shd w:fill="FFFFFF" w:val="clear"/>
            <w:tcMar>
              <w:top w:w="0"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Digital transformation - closing of premises</w:t>
            </w:r>
          </w:p>
        </w:tc>
        <w:tc>
          <w:tcPr>
            <w:tcW w:w="65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444.59</w:t>
            </w:r>
          </w:p>
        </w:tc>
        <w:tc>
          <w:tcPr>
            <w:tcW w:w="86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BCP</w:t>
            </w:r>
          </w:p>
        </w:tc>
        <w:tc>
          <w:tcPr>
            <w:tcW w:w="41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875"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r>
      <w:tr>
        <w:trPr/>
        <w:tc>
          <w:tcPr>
            <w:tcW w:w="5150" w:type="dxa"/>
            <w:tcBorders>
              <w:bottom w:val="single" w:sz="8" w:space="0" w:color="BFBFBF"/>
            </w:tcBorders>
            <w:shd w:fill="FFFFFF" w:val="clear"/>
            <w:tcMar>
              <w:top w:w="0"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Solar panel park</w:t>
            </w:r>
          </w:p>
        </w:tc>
        <w:tc>
          <w:tcPr>
            <w:tcW w:w="65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260.97</w:t>
            </w:r>
          </w:p>
        </w:tc>
        <w:tc>
          <w:tcPr>
            <w:tcW w:w="86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Mibanco</w:t>
            </w:r>
          </w:p>
        </w:tc>
        <w:tc>
          <w:tcPr>
            <w:tcW w:w="41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875"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r>
      <w:tr>
        <w:trPr/>
        <w:tc>
          <w:tcPr>
            <w:tcW w:w="5150" w:type="dxa"/>
            <w:tcBorders>
              <w:bottom w:val="single" w:sz="8" w:space="0" w:color="BFBFBF"/>
            </w:tcBorders>
            <w:shd w:fill="FFFFFF" w:val="clear"/>
            <w:tcMar>
              <w:top w:w="0"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Energy efficient AC equipment</w:t>
            </w:r>
          </w:p>
        </w:tc>
        <w:tc>
          <w:tcPr>
            <w:tcW w:w="65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19.18</w:t>
            </w:r>
          </w:p>
        </w:tc>
        <w:tc>
          <w:tcPr>
            <w:tcW w:w="86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Mibanco</w:t>
            </w:r>
          </w:p>
        </w:tc>
        <w:tc>
          <w:tcPr>
            <w:tcW w:w="41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875"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r>
      <w:tr>
        <w:trPr/>
        <w:tc>
          <w:tcPr>
            <w:tcW w:w="5150" w:type="dxa"/>
            <w:tcBorders>
              <w:bottom w:val="single" w:sz="8" w:space="0" w:color="BFBFBF"/>
            </w:tcBorders>
            <w:shd w:fill="FFFFFF" w:val="clear"/>
            <w:tcMar>
              <w:top w:w="0"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Migration of information to the cloud</w:t>
            </w:r>
          </w:p>
        </w:tc>
        <w:tc>
          <w:tcPr>
            <w:tcW w:w="65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44.60</w:t>
            </w:r>
          </w:p>
        </w:tc>
        <w:tc>
          <w:tcPr>
            <w:tcW w:w="86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Prima AFP</w:t>
            </w:r>
          </w:p>
        </w:tc>
        <w:tc>
          <w:tcPr>
            <w:tcW w:w="410"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c>
          <w:tcPr>
            <w:tcW w:w="875" w:type="dxa"/>
            <w:tcBorders>
              <w:bottom w:val="single" w:sz="8" w:space="0" w:color="BFBFBF"/>
            </w:tcBorders>
            <w:shd w:fill="FFFFFF" w:val="clear"/>
            <w:tcMar>
              <w:top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r>
    </w:tbl>
    <w:p>
      <w:pPr>
        <w:pStyle w:val="TextBody"/>
        <w:bidi w:val="0"/>
        <w:spacing w:before="0" w:after="0"/>
        <w:ind w:left="0" w:right="0" w:hanging="0"/>
        <w:jc w:val="left"/>
        <w:rPr>
          <w:caps w:val="false"/>
          <w:smallCaps w:val="false"/>
          <w:color w:val="FE5000"/>
        </w:rPr>
      </w:pPr>
      <w:r>
        <w:rPr>
          <w:caps w:val="false"/>
          <w:smallCaps w:val="false"/>
          <w:color w:val="FE5000"/>
        </w:rPr>
        <w:t> </w:t>
      </w:r>
    </w:p>
    <w:tbl>
      <w:tblPr>
        <w:tblW w:w="4765" w:type="dxa"/>
        <w:jc w:val="left"/>
        <w:tblInd w:w="0" w:type="dxa"/>
        <w:tblLayout w:type="fixed"/>
        <w:tblCellMar>
          <w:top w:w="28" w:type="dxa"/>
          <w:left w:w="0" w:type="dxa"/>
          <w:bottom w:w="0" w:type="dxa"/>
          <w:right w:w="0" w:type="dxa"/>
        </w:tblCellMar>
      </w:tblPr>
      <w:tblGrid>
        <w:gridCol w:w="2210"/>
        <w:gridCol w:w="830"/>
        <w:gridCol w:w="440"/>
        <w:gridCol w:w="830"/>
        <w:gridCol w:w="455"/>
      </w:tblGrid>
      <w:tr>
        <w:trPr/>
        <w:tc>
          <w:tcPr>
            <w:tcW w:w="2210" w:type="dxa"/>
            <w:vMerge w:val="restart"/>
            <w:tcBorders>
              <w:top w:val="single" w:sz="8" w:space="0" w:color="BFBFBF"/>
            </w:tcBorders>
            <w:shd w:fill="000000"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GRI 303-3 Water withdrawal</w:t>
            </w:r>
          </w:p>
        </w:tc>
        <w:tc>
          <w:tcPr>
            <w:tcW w:w="1270" w:type="dxa"/>
            <w:gridSpan w:val="2"/>
            <w:tcBorders/>
            <w:shd w:fill="000000" w:val="clear"/>
            <w:tcMar>
              <w:top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2023</w:t>
            </w:r>
          </w:p>
        </w:tc>
        <w:tc>
          <w:tcPr>
            <w:tcW w:w="1285" w:type="dxa"/>
            <w:gridSpan w:val="2"/>
            <w:tcBorders/>
            <w:shd w:fill="000000" w:val="clear"/>
            <w:tcMar>
              <w:top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2022</w:t>
            </w:r>
          </w:p>
        </w:tc>
      </w:tr>
      <w:tr>
        <w:trPr/>
        <w:tc>
          <w:tcPr>
            <w:tcW w:w="2210" w:type="dxa"/>
            <w:vMerge w:val="continue"/>
            <w:tcBorders>
              <w:top w:val="single" w:sz="8" w:space="0" w:color="BFBFBF"/>
            </w:tcBorders>
            <w:shd w:fill="000000" w:val="clear"/>
            <w:vAlign w:val="center"/>
          </w:tcPr>
          <w:p>
            <w:pPr>
              <w:pStyle w:val="Normal"/>
              <w:bidi w:val="0"/>
              <w:jc w:val="left"/>
              <w:rPr/>
            </w:pPr>
            <w:r>
              <w:rPr/>
            </w:r>
          </w:p>
        </w:tc>
        <w:tc>
          <w:tcPr>
            <w:tcW w:w="830" w:type="dxa"/>
            <w:tcBorders/>
            <w:shd w:fill="000000" w:val="clear"/>
            <w:tcMar>
              <w:top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m3</w:t>
            </w:r>
          </w:p>
        </w:tc>
        <w:tc>
          <w:tcPr>
            <w:tcW w:w="440" w:type="dxa"/>
            <w:tcBorders/>
            <w:shd w:fill="000000" w:val="clear"/>
            <w:tcMar>
              <w:top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w:t>
            </w:r>
          </w:p>
        </w:tc>
        <w:tc>
          <w:tcPr>
            <w:tcW w:w="830" w:type="dxa"/>
            <w:tcBorders/>
            <w:shd w:fill="000000" w:val="clear"/>
            <w:tcMar>
              <w:top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m3</w:t>
            </w:r>
          </w:p>
        </w:tc>
        <w:tc>
          <w:tcPr>
            <w:tcW w:w="455" w:type="dxa"/>
            <w:tcBorders/>
            <w:shd w:fill="000000" w:val="clear"/>
            <w:tcMar>
              <w:top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w:t>
            </w:r>
          </w:p>
        </w:tc>
      </w:tr>
      <w:tr>
        <w:trPr/>
        <w:tc>
          <w:tcPr>
            <w:tcW w:w="2210" w:type="dxa"/>
            <w:tcBorders>
              <w:bottom w:val="single" w:sz="8" w:space="0" w:color="BFBFBF"/>
            </w:tcBorders>
            <w:shd w:fill="808080" w:val="clear"/>
            <w:tcMar>
              <w:top w:w="0" w:type="dxa"/>
              <w:bottom w:w="28" w:type="dxa"/>
            </w:tcM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Credicorp</w:t>
            </w:r>
          </w:p>
        </w:tc>
        <w:tc>
          <w:tcPr>
            <w:tcW w:w="830" w:type="dxa"/>
            <w:tcBorders/>
            <w:shd w:fill="808080" w:val="clear"/>
            <w:tcMar>
              <w:top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653,846.91</w:t>
            </w:r>
          </w:p>
        </w:tc>
        <w:tc>
          <w:tcPr>
            <w:tcW w:w="440" w:type="dxa"/>
            <w:tcBorders>
              <w:bottom w:val="single" w:sz="8" w:space="0" w:color="BFBFBF"/>
            </w:tcBorders>
            <w:shd w:fill="808080" w:val="clear"/>
            <w:tcMar>
              <w:top w:w="0" w:type="dxa"/>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c>
          <w:tcPr>
            <w:tcW w:w="830" w:type="dxa"/>
            <w:tcBorders/>
            <w:shd w:fill="808080" w:val="clear"/>
            <w:tcMar>
              <w:top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632,801.00</w:t>
            </w:r>
          </w:p>
        </w:tc>
        <w:tc>
          <w:tcPr>
            <w:tcW w:w="455" w:type="dxa"/>
            <w:tcBorders>
              <w:bottom w:val="single" w:sz="8" w:space="0" w:color="BFBFBF"/>
            </w:tcBorders>
            <w:shd w:fill="808080" w:val="clear"/>
            <w:tcMar>
              <w:top w:w="0" w:type="dxa"/>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r>
    </w:tbl>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84</w:t>
      </w:r>
    </w:p>
    <w:p>
      <w:pPr>
        <w:pStyle w:val="HorizontalLine"/>
        <w:pBdr>
          <w:bottom w:val="single" w:sz="12" w:space="0" w:color="808080"/>
        </w:pBdr>
        <w:bidi w:val="0"/>
        <w:spacing w:before="200" w:after="200"/>
        <w:jc w:val="left"/>
        <w:rPr/>
      </w:pPr>
      <w:r>
        <w:rPr/>
      </w:r>
    </w:p>
    <w:tbl>
      <w:tblPr>
        <w:tblW w:w="5440" w:type="dxa"/>
        <w:jc w:val="left"/>
        <w:tblInd w:w="0" w:type="dxa"/>
        <w:tblLayout w:type="fixed"/>
        <w:tblCellMar>
          <w:top w:w="0" w:type="dxa"/>
          <w:left w:w="0" w:type="dxa"/>
          <w:bottom w:w="0" w:type="dxa"/>
          <w:right w:w="0" w:type="dxa"/>
        </w:tblCellMar>
      </w:tblPr>
      <w:tblGrid>
        <w:gridCol w:w="2975"/>
        <w:gridCol w:w="650"/>
        <w:gridCol w:w="575"/>
        <w:gridCol w:w="650"/>
        <w:gridCol w:w="590"/>
      </w:tblGrid>
      <w:tr>
        <w:trPr/>
        <w:tc>
          <w:tcPr>
            <w:tcW w:w="2975" w:type="dxa"/>
            <w:vMerge w:val="restart"/>
            <w:tcBorders/>
            <w:shd w:fill="000000"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GRI 306-3, 306-4, 306-5 Waste by type</w:t>
            </w:r>
          </w:p>
        </w:tc>
        <w:tc>
          <w:tcPr>
            <w:tcW w:w="1225" w:type="dxa"/>
            <w:gridSpan w:val="2"/>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2023</w:t>
            </w:r>
          </w:p>
        </w:tc>
        <w:tc>
          <w:tcPr>
            <w:tcW w:w="1240" w:type="dxa"/>
            <w:gridSpan w:val="2"/>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2022</w:t>
            </w:r>
          </w:p>
        </w:tc>
      </w:tr>
      <w:tr>
        <w:trPr/>
        <w:tc>
          <w:tcPr>
            <w:tcW w:w="2975" w:type="dxa"/>
            <w:vMerge w:val="continue"/>
            <w:tcBorders/>
            <w:shd w:fill="000000" w:val="clear"/>
            <w:vAlign w:val="center"/>
          </w:tcPr>
          <w:p>
            <w:pPr>
              <w:pStyle w:val="Normal"/>
              <w:bidi w:val="0"/>
              <w:jc w:val="left"/>
              <w:rPr/>
            </w:pPr>
            <w:r>
              <w:rPr/>
            </w:r>
          </w:p>
        </w:tc>
        <w:tc>
          <w:tcPr>
            <w:tcW w:w="650"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t</w:t>
            </w:r>
          </w:p>
        </w:tc>
        <w:tc>
          <w:tcPr>
            <w:tcW w:w="575"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w:t>
            </w:r>
          </w:p>
        </w:tc>
        <w:tc>
          <w:tcPr>
            <w:tcW w:w="650"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t</w:t>
            </w:r>
          </w:p>
        </w:tc>
        <w:tc>
          <w:tcPr>
            <w:tcW w:w="590"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w:t>
            </w:r>
          </w:p>
        </w:tc>
      </w:tr>
      <w:tr>
        <w:trPr/>
        <w:tc>
          <w:tcPr>
            <w:tcW w:w="2975" w:type="dxa"/>
            <w:tcBorders/>
            <w:shd w:fill="808080"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Total waste generated</w:t>
            </w:r>
          </w:p>
        </w:tc>
        <w:tc>
          <w:tcPr>
            <w:tcW w:w="650" w:type="dxa"/>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1,157.14</w:t>
            </w:r>
          </w:p>
        </w:tc>
        <w:tc>
          <w:tcPr>
            <w:tcW w:w="575" w:type="dxa"/>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100.0%</w:t>
            </w:r>
          </w:p>
        </w:tc>
        <w:tc>
          <w:tcPr>
            <w:tcW w:w="650"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1,367.53</w:t>
            </w:r>
          </w:p>
        </w:tc>
        <w:tc>
          <w:tcPr>
            <w:tcW w:w="590" w:type="dxa"/>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r>
      <w:tr>
        <w:trPr/>
        <w:tc>
          <w:tcPr>
            <w:tcW w:w="2975"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Intended for disposal</w:t>
            </w:r>
          </w:p>
        </w:tc>
        <w:tc>
          <w:tcPr>
            <w:tcW w:w="650"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1,070.09</w:t>
            </w:r>
          </w:p>
        </w:tc>
        <w:tc>
          <w:tcPr>
            <w:tcW w:w="57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92.5%</w:t>
            </w:r>
          </w:p>
        </w:tc>
        <w:tc>
          <w:tcPr>
            <w:tcW w:w="65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1,301.00</w:t>
            </w:r>
          </w:p>
        </w:tc>
        <w:tc>
          <w:tcPr>
            <w:tcW w:w="59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95.1%</w:t>
            </w:r>
          </w:p>
        </w:tc>
      </w:tr>
      <w:tr>
        <w:trPr/>
        <w:tc>
          <w:tcPr>
            <w:tcW w:w="2975"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Reused/recycled/sold</w:t>
            </w:r>
          </w:p>
        </w:tc>
        <w:tc>
          <w:tcPr>
            <w:tcW w:w="650"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87.05</w:t>
            </w:r>
          </w:p>
        </w:tc>
        <w:tc>
          <w:tcPr>
            <w:tcW w:w="575"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7.5%</w:t>
            </w:r>
          </w:p>
        </w:tc>
        <w:tc>
          <w:tcPr>
            <w:tcW w:w="65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66.53</w:t>
            </w:r>
          </w:p>
        </w:tc>
        <w:tc>
          <w:tcPr>
            <w:tcW w:w="59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4.9%</w:t>
            </w:r>
          </w:p>
        </w:tc>
      </w:tr>
      <w:tr>
        <w:trPr/>
        <w:tc>
          <w:tcPr>
            <w:tcW w:w="2975" w:type="dxa"/>
            <w:tcBorders>
              <w:bottom w:val="single" w:sz="8" w:space="0" w:color="BFBFBF"/>
            </w:tcBorders>
            <w:shd w:fill="A6A6A6" w:val="clear"/>
            <w:tcMar>
              <w:bottom w:w="28" w:type="dxa"/>
            </w:tcM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Non-hazardous waste</w:t>
            </w:r>
          </w:p>
        </w:tc>
        <w:tc>
          <w:tcPr>
            <w:tcW w:w="650" w:type="dxa"/>
            <w:tcBorders>
              <w:bottom w:val="single" w:sz="8" w:space="0" w:color="BFBFBF"/>
            </w:tcBorders>
            <w:shd w:fill="A6A6A6"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1,157.14</w:t>
            </w:r>
          </w:p>
        </w:tc>
        <w:tc>
          <w:tcPr>
            <w:tcW w:w="575" w:type="dxa"/>
            <w:tcBorders>
              <w:bottom w:val="single" w:sz="8" w:space="0" w:color="BFBFBF"/>
            </w:tcBorders>
            <w:shd w:fill="A6A6A6"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c>
          <w:tcPr>
            <w:tcW w:w="650" w:type="dxa"/>
            <w:tcBorders>
              <w:bottom w:val="single" w:sz="8" w:space="0" w:color="BFBFBF"/>
            </w:tcBorders>
            <w:shd w:fill="A6A6A6"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1,367.53</w:t>
            </w:r>
          </w:p>
        </w:tc>
        <w:tc>
          <w:tcPr>
            <w:tcW w:w="590" w:type="dxa"/>
            <w:tcBorders>
              <w:bottom w:val="single" w:sz="8" w:space="0" w:color="BFBFBF"/>
            </w:tcBorders>
            <w:shd w:fill="A6A6A6"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100.0%</w:t>
            </w:r>
          </w:p>
        </w:tc>
      </w:tr>
      <w:tr>
        <w:trPr/>
        <w:tc>
          <w:tcPr>
            <w:tcW w:w="2975" w:type="dxa"/>
            <w:tcBorders>
              <w:bottom w:val="single" w:sz="8" w:space="0" w:color="BFBFBF"/>
            </w:tcBorders>
            <w:shd w:fill="A6A6A6" w:val="clear"/>
            <w:tcMar>
              <w:bottom w:w="28" w:type="dxa"/>
            </w:tcM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Hazardous waste</w:t>
            </w:r>
          </w:p>
        </w:tc>
        <w:tc>
          <w:tcPr>
            <w:tcW w:w="650" w:type="dxa"/>
            <w:tcBorders>
              <w:bottom w:val="single" w:sz="8" w:space="0" w:color="BFBFBF"/>
            </w:tcBorders>
            <w:shd w:fill="A6A6A6"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0</w:t>
            </w:r>
          </w:p>
        </w:tc>
        <w:tc>
          <w:tcPr>
            <w:tcW w:w="575" w:type="dxa"/>
            <w:tcBorders>
              <w:bottom w:val="single" w:sz="8" w:space="0" w:color="BFBFBF"/>
            </w:tcBorders>
            <w:shd w:fill="A6A6A6"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0.0%</w:t>
            </w:r>
          </w:p>
        </w:tc>
        <w:tc>
          <w:tcPr>
            <w:tcW w:w="650" w:type="dxa"/>
            <w:tcBorders>
              <w:bottom w:val="single" w:sz="8" w:space="0" w:color="BFBFBF"/>
            </w:tcBorders>
            <w:shd w:fill="A6A6A6"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0.00</w:t>
            </w:r>
          </w:p>
        </w:tc>
        <w:tc>
          <w:tcPr>
            <w:tcW w:w="590" w:type="dxa"/>
            <w:tcBorders>
              <w:bottom w:val="single" w:sz="8" w:space="0" w:color="BFBFBF"/>
            </w:tcBorders>
            <w:shd w:fill="A6A6A6"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0.0%</w:t>
            </w:r>
          </w:p>
        </w:tc>
      </w:tr>
    </w:tbl>
    <w:p>
      <w:pPr>
        <w:pStyle w:val="TextBody"/>
        <w:bidi w:val="0"/>
        <w:spacing w:before="0" w:after="0"/>
        <w:ind w:left="0" w:right="0" w:hanging="0"/>
        <w:jc w:val="left"/>
        <w:rPr>
          <w:caps w:val="false"/>
          <w:smallCaps w:val="false"/>
          <w:color w:val="FE5000"/>
        </w:rPr>
      </w:pPr>
      <w:r>
        <w:rPr>
          <w:caps w:val="false"/>
          <w:smallCaps w:val="false"/>
          <w:color w:val="FE5000"/>
        </w:rPr>
        <w:t> </w:t>
      </w:r>
    </w:p>
    <w:tbl>
      <w:tblPr>
        <w:tblW w:w="3820" w:type="dxa"/>
        <w:jc w:val="left"/>
        <w:tblInd w:w="0" w:type="dxa"/>
        <w:tblLayout w:type="fixed"/>
        <w:tblCellMar>
          <w:top w:w="0" w:type="dxa"/>
          <w:left w:w="0" w:type="dxa"/>
          <w:bottom w:w="0" w:type="dxa"/>
          <w:right w:w="0" w:type="dxa"/>
        </w:tblCellMar>
      </w:tblPr>
      <w:tblGrid>
        <w:gridCol w:w="1625"/>
        <w:gridCol w:w="650"/>
        <w:gridCol w:w="440"/>
        <w:gridCol w:w="650"/>
        <w:gridCol w:w="455"/>
      </w:tblGrid>
      <w:tr>
        <w:trPr/>
        <w:tc>
          <w:tcPr>
            <w:tcW w:w="1625" w:type="dxa"/>
            <w:vMerge w:val="restart"/>
            <w:tcBorders/>
            <w:shd w:fill="000000"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Paper Consumption</w:t>
            </w:r>
          </w:p>
        </w:tc>
        <w:tc>
          <w:tcPr>
            <w:tcW w:w="1090" w:type="dxa"/>
            <w:gridSpan w:val="2"/>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2023</w:t>
            </w:r>
          </w:p>
        </w:tc>
        <w:tc>
          <w:tcPr>
            <w:tcW w:w="1105" w:type="dxa"/>
            <w:gridSpan w:val="2"/>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2022</w:t>
            </w:r>
          </w:p>
        </w:tc>
      </w:tr>
      <w:tr>
        <w:trPr/>
        <w:tc>
          <w:tcPr>
            <w:tcW w:w="1625" w:type="dxa"/>
            <w:vMerge w:val="continue"/>
            <w:tcBorders/>
            <w:shd w:fill="000000" w:val="clear"/>
            <w:vAlign w:val="center"/>
          </w:tcPr>
          <w:p>
            <w:pPr>
              <w:pStyle w:val="Normal"/>
              <w:bidi w:val="0"/>
              <w:jc w:val="left"/>
              <w:rPr/>
            </w:pPr>
            <w:r>
              <w:rPr/>
            </w:r>
          </w:p>
        </w:tc>
        <w:tc>
          <w:tcPr>
            <w:tcW w:w="650"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t</w:t>
            </w:r>
          </w:p>
        </w:tc>
        <w:tc>
          <w:tcPr>
            <w:tcW w:w="440"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w:t>
            </w:r>
          </w:p>
        </w:tc>
        <w:tc>
          <w:tcPr>
            <w:tcW w:w="650"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t</w:t>
            </w:r>
          </w:p>
        </w:tc>
        <w:tc>
          <w:tcPr>
            <w:tcW w:w="455"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w:t>
            </w:r>
          </w:p>
        </w:tc>
      </w:tr>
      <w:tr>
        <w:trPr/>
        <w:tc>
          <w:tcPr>
            <w:tcW w:w="1625" w:type="dxa"/>
            <w:tcBorders>
              <w:bottom w:val="single" w:sz="8" w:space="0" w:color="BFBFBF"/>
            </w:tcBorders>
            <w:shd w:fill="808080" w:val="clear"/>
            <w:tcMar>
              <w:bottom w:w="28" w:type="dxa"/>
            </w:tcM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Credicorp</w:t>
            </w:r>
          </w:p>
        </w:tc>
        <w:tc>
          <w:tcPr>
            <w:tcW w:w="650" w:type="dxa"/>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1,096.73</w:t>
            </w:r>
          </w:p>
        </w:tc>
        <w:tc>
          <w:tcPr>
            <w:tcW w:w="440"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c>
          <w:tcPr>
            <w:tcW w:w="650" w:type="dxa"/>
            <w:tcBorders/>
            <w:shd w:fill="80808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1,052.00</w:t>
            </w:r>
          </w:p>
        </w:tc>
        <w:tc>
          <w:tcPr>
            <w:tcW w:w="455"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100%</w:t>
            </w:r>
          </w:p>
        </w:tc>
      </w:tr>
    </w:tbl>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85</w:t>
      </w:r>
    </w:p>
    <w:p>
      <w:pPr>
        <w:pStyle w:val="HorizontalLine"/>
        <w:pBdr>
          <w:bottom w:val="single" w:sz="12" w:space="0" w:color="808080"/>
        </w:pBdr>
        <w:bidi w:val="0"/>
        <w:spacing w:before="200" w:after="200"/>
        <w:jc w:val="left"/>
        <w:rPr/>
      </w:pPr>
      <w:r>
        <w:rPr/>
      </w:r>
    </w:p>
    <w:tbl>
      <w:tblPr>
        <w:tblW w:w="7053" w:type="dxa"/>
        <w:jc w:val="left"/>
        <w:tblInd w:w="0" w:type="dxa"/>
        <w:tblLayout w:type="fixed"/>
        <w:tblCellMar>
          <w:top w:w="0" w:type="dxa"/>
          <w:left w:w="0" w:type="dxa"/>
          <w:bottom w:w="0" w:type="dxa"/>
          <w:right w:w="0" w:type="dxa"/>
        </w:tblCellMar>
      </w:tblPr>
      <w:tblGrid>
        <w:gridCol w:w="38"/>
        <w:gridCol w:w="275"/>
        <w:gridCol w:w="67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Arial" w:hAnsi="Arial"/>
                <w:b/>
                <w:i w:val="false"/>
                <w:caps w:val="false"/>
                <w:smallCaps w:val="false"/>
                <w:sz w:val="30"/>
              </w:rPr>
            </w:pPr>
            <w:r>
              <w:rPr>
                <w:rFonts w:ascii="Arial" w:hAnsi="Arial"/>
                <w:b/>
                <w:i w:val="false"/>
                <w:caps w:val="false"/>
                <w:smallCaps w:val="false"/>
                <w:sz w:val="30"/>
              </w:rPr>
              <w:t>4.</w:t>
            </w:r>
          </w:p>
        </w:tc>
        <w:tc>
          <w:tcPr>
            <w:tcW w:w="6740" w:type="dxa"/>
            <w:tcBorders/>
            <w:vAlign w:val="center"/>
          </w:tcPr>
          <w:p>
            <w:pPr>
              <w:pStyle w:val="TableContents"/>
              <w:bidi w:val="0"/>
              <w:spacing w:before="0" w:after="283"/>
              <w:jc w:val="left"/>
              <w:rPr>
                <w:rFonts w:ascii="Arial" w:hAnsi="Arial"/>
                <w:b/>
                <w:i w:val="false"/>
                <w:caps w:val="false"/>
                <w:smallCaps w:val="false"/>
                <w:sz w:val="30"/>
              </w:rPr>
            </w:pPr>
            <w:r>
              <w:rPr>
                <w:rFonts w:ascii="Arial" w:hAnsi="Arial"/>
                <w:b/>
                <w:i w:val="false"/>
                <w:caps w:val="false"/>
                <w:smallCaps w:val="false"/>
                <w:sz w:val="30"/>
              </w:rPr>
              <w:t>ANNEX CHAPTER CORPORATE GOVERNANCE</w:t>
            </w:r>
          </w:p>
        </w:tc>
      </w:tr>
    </w:tbl>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lineRule="auto" w:line="240" w:before="0" w:after="0"/>
        <w:ind w:left="0" w:right="0" w:hanging="0"/>
        <w:jc w:val="left"/>
        <w:rPr>
          <w:rFonts w:ascii="Arial" w:hAnsi="Arial"/>
          <w:b/>
          <w:i w:val="false"/>
          <w:caps w:val="false"/>
          <w:smallCaps w:val="false"/>
          <w:color w:val="FE5000"/>
          <w:sz w:val="30"/>
        </w:rPr>
      </w:pPr>
      <w:r>
        <w:rPr>
          <w:rFonts w:ascii="Arial" w:hAnsi="Arial"/>
          <w:b/>
          <w:i w:val="false"/>
          <w:caps w:val="false"/>
          <w:smallCaps w:val="false"/>
          <w:color w:val="FE5000"/>
          <w:sz w:val="30"/>
        </w:rPr>
        <w:t>4.4. ETHICS, COMPLIANCE, AND HUMAN RIGHTS42</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Ethics and compliance</w:t>
      </w:r>
    </w:p>
    <w:p>
      <w:pPr>
        <w:pStyle w:val="TextBody"/>
        <w:bidi w:val="0"/>
        <w:spacing w:before="60" w:after="6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 w:hAnsi="Arial"/>
          <w:b/>
          <w:i w:val="false"/>
          <w:caps w:val="false"/>
          <w:smallCaps w:val="false"/>
          <w:sz w:val="20"/>
        </w:rPr>
      </w:pPr>
      <w:r>
        <w:rPr>
          <w:rFonts w:ascii="Arial" w:hAnsi="Arial"/>
          <w:b/>
          <w:i w:val="false"/>
          <w:caps w:val="false"/>
          <w:smallCaps w:val="false"/>
          <w:sz w:val="20"/>
        </w:rPr>
        <w:t>MATERIAL TOPIC GOVERNANCE, ETHICS, AND ANTICORRUPTION</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i w:val="false"/>
          <w:caps w:val="false"/>
          <w:smallCaps w:val="false"/>
          <w:sz w:val="20"/>
        </w:rPr>
        <w:t xml:space="preserve">GRI </w:t>
      </w:r>
      <w:r>
        <w:rPr>
          <w:rFonts w:ascii="Arial" w:hAnsi="Arial"/>
          <w:b w:val="false"/>
          <w:i w:val="false"/>
          <w:caps w:val="false"/>
          <w:smallCaps w:val="false"/>
          <w:sz w:val="20"/>
        </w:rPr>
        <w:t>2-27, 205-1, 205-2, 205-3, 206-1, 415-1</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i w:val="false"/>
          <w:caps w:val="false"/>
          <w:smallCaps w:val="false"/>
          <w:sz w:val="20"/>
        </w:rPr>
        <w:t xml:space="preserve">SASB </w:t>
      </w:r>
      <w:r>
        <w:rPr>
          <w:rFonts w:ascii="Arial" w:hAnsi="Arial"/>
          <w:b w:val="false"/>
          <w:i w:val="false"/>
          <w:caps w:val="false"/>
          <w:smallCaps w:val="false"/>
          <w:sz w:val="20"/>
        </w:rPr>
        <w:t>FN-CB-510A1</w:t>
      </w:r>
    </w:p>
    <w:p>
      <w:pPr>
        <w:pStyle w:val="TextBody"/>
        <w:bidi w:val="0"/>
        <w:spacing w:before="0" w:after="0"/>
        <w:ind w:left="0" w:right="0" w:hanging="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4880"/>
        <w:gridCol w:w="395"/>
      </w:tblGrid>
      <w:tr>
        <w:trPr/>
        <w:tc>
          <w:tcPr>
            <w:tcW w:w="4880" w:type="dxa"/>
            <w:tcBorders/>
            <w:shd w:fill="000000" w:val="clear"/>
            <w:vAlign w:val="center"/>
          </w:tcPr>
          <w:p>
            <w:pPr>
              <w:pStyle w:val="TableContents"/>
              <w:bidi w:val="0"/>
              <w:spacing w:before="0" w:after="0"/>
              <w:ind w:left="0" w:right="0" w:hanging="0"/>
              <w:jc w:val="left"/>
              <w:rPr>
                <w:rFonts w:ascii="Arial" w:hAnsi="Arial"/>
                <w:b w:val="false"/>
                <w:i w:val="false"/>
                <w:caps w:val="false"/>
                <w:smallCaps w:val="false"/>
                <w:color w:val="FFFFFF"/>
                <w:sz w:val="16"/>
              </w:rPr>
            </w:pPr>
            <w:r>
              <w:rPr>
                <w:rFonts w:ascii="Arial" w:hAnsi="Arial"/>
                <w:b/>
                <w:i w:val="false"/>
                <w:caps w:val="false"/>
                <w:smallCaps w:val="false"/>
                <w:color w:val="FFFFFF"/>
                <w:sz w:val="16"/>
              </w:rPr>
              <w:t>GRI 205-1 Operations assessed for risks</w:t>
            </w:r>
            <w:r>
              <w:rPr>
                <w:rFonts w:ascii="Arial" w:hAnsi="Arial"/>
                <w:b w:val="false"/>
                <w:i w:val="false"/>
                <w:caps w:val="false"/>
                <w:smallCaps w:val="false"/>
                <w:color w:val="FFFFFF"/>
                <w:sz w:val="16"/>
              </w:rPr>
              <w:br/>
            </w:r>
            <w:r>
              <w:rPr>
                <w:rFonts w:ascii="Arial" w:hAnsi="Arial"/>
                <w:b/>
                <w:i w:val="false"/>
                <w:caps w:val="false"/>
                <w:smallCaps w:val="false"/>
                <w:color w:val="FFFFFF"/>
                <w:sz w:val="16"/>
              </w:rPr>
              <w:t>related to corruption</w:t>
            </w:r>
          </w:p>
        </w:tc>
        <w:tc>
          <w:tcPr>
            <w:tcW w:w="395"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2023</w:t>
            </w:r>
          </w:p>
        </w:tc>
      </w:tr>
      <w:tr>
        <w:trPr/>
        <w:tc>
          <w:tcPr>
            <w:tcW w:w="4880" w:type="dxa"/>
            <w:tcBorders>
              <w:bottom w:val="single" w:sz="8" w:space="0" w:color="BFBFBF"/>
            </w:tcBorders>
            <w:shd w:fill="808080" w:val="clear"/>
            <w:tcMar>
              <w:bottom w:w="28" w:type="dxa"/>
            </w:tcM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Total number of operations</w:t>
            </w:r>
          </w:p>
        </w:tc>
        <w:tc>
          <w:tcPr>
            <w:tcW w:w="395"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41</w:t>
            </w:r>
          </w:p>
        </w:tc>
      </w:tr>
      <w:tr>
        <w:trPr/>
        <w:tc>
          <w:tcPr>
            <w:tcW w:w="4880"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Operations where corruption risk assessments were conducted</w:t>
            </w:r>
          </w:p>
        </w:tc>
        <w:tc>
          <w:tcPr>
            <w:tcW w:w="395"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13</w:t>
            </w:r>
          </w:p>
        </w:tc>
      </w:tr>
      <w:tr>
        <w:trPr/>
        <w:tc>
          <w:tcPr>
            <w:tcW w:w="4880"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 Operations where corruption risk assessments were conducted</w:t>
            </w:r>
          </w:p>
        </w:tc>
        <w:tc>
          <w:tcPr>
            <w:tcW w:w="395"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32%</w:t>
            </w:r>
          </w:p>
        </w:tc>
      </w:tr>
    </w:tbl>
    <w:p>
      <w:pPr>
        <w:pStyle w:val="TextBody"/>
        <w:bidi w:val="0"/>
        <w:spacing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These operations refer to processes internally qualified as RAC (Relevant, High and Critical) in which corruption risk assessments were performed.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75"/>
        <w:gridCol w:w="530"/>
      </w:tblGrid>
      <w:tr>
        <w:trPr/>
        <w:tc>
          <w:tcPr>
            <w:tcW w:w="9675" w:type="dxa"/>
            <w:tcBorders/>
            <w:shd w:fill="000000" w:val="clear"/>
            <w:vAlign w:val="center"/>
          </w:tcPr>
          <w:p>
            <w:pPr>
              <w:pStyle w:val="TableContents"/>
              <w:bidi w:val="0"/>
              <w:spacing w:before="0" w:after="0"/>
              <w:ind w:left="0" w:right="0" w:hanging="0"/>
              <w:jc w:val="left"/>
              <w:rPr>
                <w:rFonts w:ascii="Arial" w:hAnsi="Arial"/>
                <w:b/>
                <w:i w:val="false"/>
                <w:caps w:val="false"/>
                <w:smallCaps w:val="false"/>
                <w:color w:val="FFFFFF"/>
                <w:sz w:val="16"/>
              </w:rPr>
            </w:pPr>
            <w:r>
              <w:rPr>
                <w:rFonts w:ascii="Arial" w:hAnsi="Arial"/>
                <w:b/>
                <w:i w:val="false"/>
                <w:caps w:val="false"/>
                <w:smallCaps w:val="false"/>
                <w:color w:val="FFFFFF"/>
                <w:sz w:val="16"/>
              </w:rPr>
              <w:t>GRI 205-2 Communication and training about</w:t>
            </w:r>
          </w:p>
          <w:p>
            <w:pPr>
              <w:pStyle w:val="TableContents"/>
              <w:bidi w:val="0"/>
              <w:spacing w:before="0" w:after="0"/>
              <w:ind w:left="0" w:right="0" w:hanging="0"/>
              <w:jc w:val="left"/>
              <w:rPr>
                <w:rFonts w:ascii="Arial" w:hAnsi="Arial"/>
                <w:b/>
                <w:i w:val="false"/>
                <w:caps w:val="false"/>
                <w:smallCaps w:val="false"/>
                <w:color w:val="FFFFFF"/>
                <w:sz w:val="16"/>
              </w:rPr>
            </w:pPr>
            <w:r>
              <w:rPr>
                <w:rFonts w:ascii="Arial" w:hAnsi="Arial"/>
                <w:b/>
                <w:i w:val="false"/>
                <w:caps w:val="false"/>
                <w:smallCaps w:val="false"/>
                <w:color w:val="FFFFFF"/>
                <w:sz w:val="16"/>
              </w:rPr>
              <w:t>anti-corruption policies and procedures</w:t>
            </w:r>
          </w:p>
        </w:tc>
        <w:tc>
          <w:tcPr>
            <w:tcW w:w="530"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2023</w:t>
            </w:r>
          </w:p>
        </w:tc>
      </w:tr>
      <w:tr>
        <w:trPr/>
        <w:tc>
          <w:tcPr>
            <w:tcW w:w="9675" w:type="dxa"/>
            <w:tcBorders>
              <w:bottom w:val="single" w:sz="8" w:space="0" w:color="BFBFBF"/>
            </w:tcBorders>
            <w:shd w:fill="808080" w:val="clear"/>
            <w:tcMar>
              <w:bottom w:w="28" w:type="dxa"/>
            </w:tcM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Total business partners to whom the organization’s anti-corruption policies and procedures have been communicated</w:t>
            </w:r>
          </w:p>
        </w:tc>
        <w:tc>
          <w:tcPr>
            <w:tcW w:w="530" w:type="dxa"/>
            <w:tcBorders>
              <w:bottom w:val="single" w:sz="8" w:space="0" w:color="BFBFBF"/>
            </w:tcBorders>
            <w:shd w:fill="80808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35,080</w:t>
            </w:r>
          </w:p>
        </w:tc>
      </w:tr>
      <w:tr>
        <w:trPr/>
        <w:tc>
          <w:tcPr>
            <w:tcW w:w="9675"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i w:val="false"/>
                <w:caps w:val="false"/>
                <w:smallCaps w:val="false"/>
                <w:color w:val="000000"/>
                <w:sz w:val="16"/>
              </w:rPr>
            </w:pPr>
            <w:r>
              <w:rPr>
                <w:rFonts w:ascii="Arial" w:hAnsi="Arial"/>
                <w:b/>
                <w:i w:val="false"/>
                <w:caps w:val="false"/>
                <w:smallCaps w:val="false"/>
                <w:color w:val="000000"/>
                <w:sz w:val="16"/>
              </w:rPr>
              <w:t>MEMBERS OF THE HIGHEST GOVERNANCE BODY</w:t>
            </w:r>
          </w:p>
        </w:tc>
        <w:tc>
          <w:tcPr>
            <w:tcW w:w="530" w:type="dxa"/>
            <w:tcBorders/>
            <w:vAlign w:val="center"/>
          </w:tcPr>
          <w:p>
            <w:pPr>
              <w:pStyle w:val="TableContents"/>
              <w:bidi w:val="0"/>
              <w:spacing w:before="0" w:after="283"/>
              <w:jc w:val="center"/>
              <w:rPr>
                <w:rFonts w:ascii="Arial" w:hAnsi="Arial"/>
                <w:b/>
                <w:i w:val="false"/>
                <w:caps w:val="false"/>
                <w:smallCaps w:val="false"/>
                <w:color w:val="000000"/>
                <w:sz w:val="16"/>
              </w:rPr>
            </w:pPr>
            <w:r>
              <w:rPr>
                <w:rFonts w:ascii="Arial" w:hAnsi="Arial"/>
                <w:b/>
                <w:i w:val="false"/>
                <w:caps w:val="false"/>
                <w:smallCaps w:val="false"/>
                <w:color w:val="000000"/>
                <w:sz w:val="16"/>
              </w:rPr>
              <w:t>112</w:t>
            </w:r>
          </w:p>
        </w:tc>
      </w:tr>
      <w:tr>
        <w:trPr/>
        <w:tc>
          <w:tcPr>
            <w:tcW w:w="9675" w:type="dxa"/>
            <w:tcBorders>
              <w:bottom w:val="single" w:sz="8" w:space="0" w:color="BFBFBF"/>
            </w:tcBorders>
            <w:shd w:fill="A6A6A6" w:val="clear"/>
            <w:tcMar>
              <w:bottom w:w="28" w:type="dxa"/>
            </w:tcMar>
            <w:vAlign w:val="center"/>
          </w:tcPr>
          <w:p>
            <w:pPr>
              <w:pStyle w:val="TableContents"/>
              <w:bidi w:val="0"/>
              <w:spacing w:before="0" w:after="283"/>
              <w:jc w:val="left"/>
              <w:rPr>
                <w:rFonts w:ascii="Arial" w:hAnsi="Arial"/>
                <w:b w:val="false"/>
                <w:i w:val="false"/>
                <w:caps w:val="false"/>
                <w:smallCaps w:val="false"/>
                <w:color w:val="FFFFFF"/>
                <w:sz w:val="16"/>
              </w:rPr>
            </w:pPr>
            <w:r>
              <w:rPr>
                <w:rFonts w:ascii="Arial" w:hAnsi="Arial"/>
                <w:b w:val="false"/>
                <w:i w:val="false"/>
                <w:caps w:val="false"/>
                <w:smallCaps w:val="false"/>
                <w:color w:val="FFFFFF"/>
                <w:sz w:val="16"/>
              </w:rPr>
              <w:t>Members of the governing body who have received training in anti-corruption</w:t>
            </w:r>
          </w:p>
        </w:tc>
        <w:tc>
          <w:tcPr>
            <w:tcW w:w="530" w:type="dxa"/>
            <w:tcBorders>
              <w:bottom w:val="single" w:sz="8" w:space="0" w:color="BFBFBF"/>
            </w:tcBorders>
            <w:shd w:fill="A6A6A6" w:val="clear"/>
            <w:tcMar>
              <w:bottom w:w="28" w:type="dxa"/>
            </w:tcMar>
            <w:vAlign w:val="center"/>
          </w:tcPr>
          <w:p>
            <w:pPr>
              <w:pStyle w:val="TableContents"/>
              <w:bidi w:val="0"/>
              <w:spacing w:before="0" w:after="283"/>
              <w:jc w:val="center"/>
              <w:rPr>
                <w:rFonts w:ascii="Arial" w:hAnsi="Arial"/>
                <w:b w:val="false"/>
                <w:i w:val="false"/>
                <w:caps w:val="false"/>
                <w:smallCaps w:val="false"/>
                <w:color w:val="FFFFFF"/>
                <w:sz w:val="16"/>
              </w:rPr>
            </w:pPr>
            <w:r>
              <w:rPr>
                <w:rFonts w:ascii="Arial" w:hAnsi="Arial"/>
                <w:b w:val="false"/>
                <w:i w:val="false"/>
                <w:caps w:val="false"/>
                <w:smallCaps w:val="false"/>
                <w:color w:val="FFFFFF"/>
                <w:sz w:val="16"/>
              </w:rPr>
              <w:t>112</w:t>
            </w:r>
          </w:p>
        </w:tc>
      </w:tr>
      <w:tr>
        <w:trPr/>
        <w:tc>
          <w:tcPr>
            <w:tcW w:w="9675"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Number of sessions/trainings</w:t>
            </w:r>
          </w:p>
        </w:tc>
        <w:tc>
          <w:tcPr>
            <w:tcW w:w="530" w:type="dxa"/>
            <w:tcBorders>
              <w:bottom w:val="single" w:sz="8" w:space="0" w:color="BFBFBF"/>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9675"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Number of members of the highest governance body to whom the organization’s anti-corruption policies and procedures have been communicated</w:t>
            </w:r>
          </w:p>
        </w:tc>
        <w:tc>
          <w:tcPr>
            <w:tcW w:w="530"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112</w:t>
            </w:r>
          </w:p>
        </w:tc>
      </w:tr>
      <w:tr>
        <w:trPr/>
        <w:tc>
          <w:tcPr>
            <w:tcW w:w="9675"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 of members of the highest governance body to whom the organization’s anti-corruption policies and procedures have been communicated</w:t>
            </w:r>
          </w:p>
        </w:tc>
        <w:tc>
          <w:tcPr>
            <w:tcW w:w="530"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100%</w:t>
            </w:r>
          </w:p>
        </w:tc>
      </w:tr>
      <w:tr>
        <w:trPr/>
        <w:tc>
          <w:tcPr>
            <w:tcW w:w="9675"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 members of the highest governance body who have received anti-corruption training</w:t>
            </w:r>
          </w:p>
        </w:tc>
        <w:tc>
          <w:tcPr>
            <w:tcW w:w="530" w:type="dxa"/>
            <w:tcBorders>
              <w:bottom w:val="single" w:sz="8" w:space="0" w:color="BFBFBF"/>
            </w:tcBorders>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100%</w:t>
            </w:r>
          </w:p>
        </w:tc>
      </w:tr>
      <w:tr>
        <w:trPr/>
        <w:tc>
          <w:tcPr>
            <w:tcW w:w="9675" w:type="dxa"/>
            <w:tcBorders>
              <w:bottom w:val="single" w:sz="8" w:space="0" w:color="BFBFBF"/>
            </w:tcBorders>
            <w:tcMar>
              <w:bottom w:w="28" w:type="dxa"/>
            </w:tcMar>
            <w:vAlign w:val="center"/>
          </w:tcPr>
          <w:p>
            <w:pPr>
              <w:pStyle w:val="TableContents"/>
              <w:bidi w:val="0"/>
              <w:spacing w:before="0" w:after="283"/>
              <w:jc w:val="left"/>
              <w:rPr>
                <w:rFonts w:ascii="Arial" w:hAnsi="Arial"/>
                <w:b/>
                <w:i w:val="false"/>
                <w:caps w:val="false"/>
                <w:smallCaps w:val="false"/>
                <w:color w:val="000000"/>
                <w:sz w:val="16"/>
              </w:rPr>
            </w:pPr>
            <w:r>
              <w:rPr>
                <w:rFonts w:ascii="Arial" w:hAnsi="Arial"/>
                <w:b/>
                <w:i w:val="false"/>
                <w:caps w:val="false"/>
                <w:smallCaps w:val="false"/>
                <w:color w:val="000000"/>
                <w:sz w:val="16"/>
              </w:rPr>
              <w:t>EMPLOYEES  </w:t>
            </w:r>
          </w:p>
        </w:tc>
        <w:tc>
          <w:tcPr>
            <w:tcW w:w="530" w:type="dxa"/>
            <w:tcBorders/>
            <w:vAlign w:val="center"/>
          </w:tcPr>
          <w:p>
            <w:pPr>
              <w:pStyle w:val="TableContents"/>
              <w:bidi w:val="0"/>
              <w:spacing w:before="0" w:after="283"/>
              <w:jc w:val="center"/>
              <w:rPr>
                <w:rFonts w:ascii="Arial" w:hAnsi="Arial"/>
                <w:b/>
                <w:i w:val="false"/>
                <w:caps w:val="false"/>
                <w:smallCaps w:val="false"/>
                <w:color w:val="000000"/>
                <w:sz w:val="16"/>
              </w:rPr>
            </w:pPr>
            <w:r>
              <w:rPr>
                <w:rFonts w:ascii="Arial" w:hAnsi="Arial"/>
                <w:b/>
                <w:i w:val="false"/>
                <w:caps w:val="false"/>
                <w:smallCaps w:val="false"/>
                <w:color w:val="000000"/>
                <w:sz w:val="16"/>
              </w:rPr>
              <w:t>36,886</w:t>
            </w:r>
          </w:p>
        </w:tc>
      </w:tr>
      <w:tr>
        <w:trPr/>
        <w:tc>
          <w:tcPr>
            <w:tcW w:w="9675" w:type="dxa"/>
            <w:tcBorders>
              <w:bottom w:val="single" w:sz="8" w:space="0" w:color="BFBFBF"/>
            </w:tcBorders>
            <w:shd w:fill="A6A6A6" w:val="clear"/>
            <w:tcMar>
              <w:bottom w:w="28" w:type="dxa"/>
            </w:tcMar>
            <w:vAlign w:val="center"/>
          </w:tcPr>
          <w:p>
            <w:pPr>
              <w:pStyle w:val="TableContents"/>
              <w:bidi w:val="0"/>
              <w:spacing w:before="0" w:after="283"/>
              <w:jc w:val="left"/>
              <w:rPr>
                <w:rFonts w:ascii="Arial" w:hAnsi="Arial"/>
                <w:b w:val="false"/>
                <w:i w:val="false"/>
                <w:caps w:val="false"/>
                <w:smallCaps w:val="false"/>
                <w:color w:val="FFFFFF"/>
                <w:sz w:val="16"/>
              </w:rPr>
            </w:pPr>
            <w:r>
              <w:rPr>
                <w:rFonts w:ascii="Arial" w:hAnsi="Arial"/>
                <w:b w:val="false"/>
                <w:i w:val="false"/>
                <w:caps w:val="false"/>
                <w:smallCaps w:val="false"/>
                <w:color w:val="FFFFFF"/>
                <w:sz w:val="16"/>
              </w:rPr>
              <w:t>Employees to whom the organization’s anti-corruption policies and procedures have been communicated</w:t>
            </w:r>
          </w:p>
        </w:tc>
        <w:tc>
          <w:tcPr>
            <w:tcW w:w="530" w:type="dxa"/>
            <w:tcBorders>
              <w:bottom w:val="single" w:sz="8" w:space="0" w:color="BFBFBF"/>
            </w:tcBorders>
            <w:shd w:fill="A6A6A6" w:val="clear"/>
            <w:tcMar>
              <w:bottom w:w="28" w:type="dxa"/>
            </w:tcMar>
            <w:vAlign w:val="center"/>
          </w:tcPr>
          <w:p>
            <w:pPr>
              <w:pStyle w:val="TableContents"/>
              <w:bidi w:val="0"/>
              <w:spacing w:before="0" w:after="283"/>
              <w:jc w:val="center"/>
              <w:rPr>
                <w:rFonts w:ascii="Arial" w:hAnsi="Arial"/>
                <w:b w:val="false"/>
                <w:i w:val="false"/>
                <w:caps w:val="false"/>
                <w:smallCaps w:val="false"/>
                <w:color w:val="FFFFFF"/>
                <w:sz w:val="16"/>
              </w:rPr>
            </w:pPr>
            <w:r>
              <w:rPr>
                <w:rFonts w:ascii="Arial" w:hAnsi="Arial"/>
                <w:b w:val="false"/>
                <w:i w:val="false"/>
                <w:caps w:val="false"/>
                <w:smallCaps w:val="false"/>
                <w:color w:val="FFFFFF"/>
                <w:sz w:val="16"/>
              </w:rPr>
              <w:t>31,941</w:t>
            </w:r>
          </w:p>
        </w:tc>
      </w:tr>
      <w:tr>
        <w:trPr/>
        <w:tc>
          <w:tcPr>
            <w:tcW w:w="9675"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 of employees to whom the organization’s anti-corruption policies and procedures have been communicated</w:t>
            </w:r>
          </w:p>
        </w:tc>
        <w:tc>
          <w:tcPr>
            <w:tcW w:w="530" w:type="dxa"/>
            <w:tcBorders/>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87%</w:t>
            </w:r>
          </w:p>
        </w:tc>
      </w:tr>
      <w:tr>
        <w:trPr/>
        <w:tc>
          <w:tcPr>
            <w:tcW w:w="9675"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Employees who have received anti-corruption training</w:t>
            </w:r>
          </w:p>
        </w:tc>
        <w:tc>
          <w:tcPr>
            <w:tcW w:w="530" w:type="dxa"/>
            <w:tcBorders/>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31,941</w:t>
            </w:r>
          </w:p>
        </w:tc>
      </w:tr>
      <w:tr>
        <w:trPr/>
        <w:tc>
          <w:tcPr>
            <w:tcW w:w="9675"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 of employees who have received anti-corruption training</w:t>
            </w:r>
          </w:p>
        </w:tc>
        <w:tc>
          <w:tcPr>
            <w:tcW w:w="530" w:type="dxa"/>
            <w:tcBorders/>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87%</w:t>
            </w:r>
          </w:p>
        </w:tc>
      </w:tr>
      <w:tr>
        <w:trPr/>
        <w:tc>
          <w:tcPr>
            <w:tcW w:w="9675" w:type="dxa"/>
            <w:tcBorders>
              <w:bottom w:val="single" w:sz="8" w:space="0" w:color="BFBFBF"/>
            </w:tcBorders>
            <w:tcMar>
              <w:bottom w:w="28" w:type="dxa"/>
            </w:tcMar>
            <w:vAlign w:val="center"/>
          </w:tcPr>
          <w:p>
            <w:pPr>
              <w:pStyle w:val="TableContents"/>
              <w:bidi w:val="0"/>
              <w:spacing w:before="0" w:after="283"/>
              <w:jc w:val="left"/>
              <w:rPr>
                <w:rFonts w:ascii="Arial" w:hAnsi="Arial"/>
                <w:b/>
                <w:i w:val="false"/>
                <w:caps w:val="false"/>
                <w:smallCaps w:val="false"/>
                <w:color w:val="000000"/>
                <w:sz w:val="16"/>
              </w:rPr>
            </w:pPr>
            <w:r>
              <w:rPr>
                <w:rFonts w:ascii="Arial" w:hAnsi="Arial"/>
                <w:b/>
                <w:i w:val="false"/>
                <w:caps w:val="false"/>
                <w:smallCaps w:val="false"/>
                <w:color w:val="000000"/>
                <w:sz w:val="16"/>
              </w:rPr>
              <w:t>BUSINESS PARTNERS  </w:t>
            </w:r>
          </w:p>
        </w:tc>
        <w:tc>
          <w:tcPr>
            <w:tcW w:w="530" w:type="dxa"/>
            <w:tcBorders/>
            <w:vAlign w:val="center"/>
          </w:tcPr>
          <w:p>
            <w:pPr>
              <w:pStyle w:val="TableContents"/>
              <w:bidi w:val="0"/>
              <w:spacing w:before="0" w:after="283"/>
              <w:jc w:val="center"/>
              <w:rPr>
                <w:rFonts w:ascii="Arial" w:hAnsi="Arial"/>
                <w:b/>
                <w:i w:val="false"/>
                <w:caps w:val="false"/>
                <w:smallCaps w:val="false"/>
                <w:color w:val="000000"/>
                <w:sz w:val="16"/>
              </w:rPr>
            </w:pPr>
            <w:r>
              <w:rPr>
                <w:rFonts w:ascii="Arial" w:hAnsi="Arial"/>
                <w:b/>
                <w:i w:val="false"/>
                <w:caps w:val="false"/>
                <w:smallCaps w:val="false"/>
                <w:color w:val="000000"/>
                <w:sz w:val="16"/>
              </w:rPr>
              <w:t>4,404</w:t>
            </w:r>
          </w:p>
        </w:tc>
      </w:tr>
      <w:tr>
        <w:trPr/>
        <w:tc>
          <w:tcPr>
            <w:tcW w:w="9675" w:type="dxa"/>
            <w:tcBorders>
              <w:bottom w:val="single" w:sz="8" w:space="0" w:color="BFBFBF"/>
            </w:tcBorders>
            <w:shd w:fill="A6A6A6" w:val="clear"/>
            <w:tcMar>
              <w:bottom w:w="28" w:type="dxa"/>
            </w:tcMar>
            <w:vAlign w:val="center"/>
          </w:tcPr>
          <w:p>
            <w:pPr>
              <w:pStyle w:val="TableContents"/>
              <w:bidi w:val="0"/>
              <w:spacing w:before="0" w:after="283"/>
              <w:jc w:val="left"/>
              <w:rPr>
                <w:rFonts w:ascii="Arial" w:hAnsi="Arial"/>
                <w:b w:val="false"/>
                <w:i w:val="false"/>
                <w:caps w:val="false"/>
                <w:smallCaps w:val="false"/>
                <w:color w:val="FFFFFF"/>
                <w:sz w:val="16"/>
              </w:rPr>
            </w:pPr>
            <w:r>
              <w:rPr>
                <w:rFonts w:ascii="Arial" w:hAnsi="Arial"/>
                <w:b w:val="false"/>
                <w:i w:val="false"/>
                <w:caps w:val="false"/>
                <w:smallCaps w:val="false"/>
                <w:color w:val="FFFFFF"/>
                <w:sz w:val="16"/>
              </w:rPr>
              <w:t>Business partners to whom the organization’s anti-corruption policies and procedures have been communicated</w:t>
            </w:r>
          </w:p>
        </w:tc>
        <w:tc>
          <w:tcPr>
            <w:tcW w:w="530" w:type="dxa"/>
            <w:tcBorders>
              <w:bottom w:val="single" w:sz="8" w:space="0" w:color="BFBFBF"/>
            </w:tcBorders>
            <w:shd w:fill="A6A6A6" w:val="clear"/>
            <w:tcMar>
              <w:bottom w:w="28" w:type="dxa"/>
            </w:tcMar>
            <w:vAlign w:val="center"/>
          </w:tcPr>
          <w:p>
            <w:pPr>
              <w:pStyle w:val="TableContents"/>
              <w:bidi w:val="0"/>
              <w:spacing w:before="0" w:after="283"/>
              <w:jc w:val="center"/>
              <w:rPr>
                <w:rFonts w:ascii="Arial" w:hAnsi="Arial"/>
                <w:b w:val="false"/>
                <w:i w:val="false"/>
                <w:caps w:val="false"/>
                <w:smallCaps w:val="false"/>
                <w:color w:val="FFFFFF"/>
                <w:sz w:val="16"/>
              </w:rPr>
            </w:pPr>
            <w:r>
              <w:rPr>
                <w:rFonts w:ascii="Arial" w:hAnsi="Arial"/>
                <w:b w:val="false"/>
                <w:i w:val="false"/>
                <w:caps w:val="false"/>
                <w:smallCaps w:val="false"/>
                <w:color w:val="FFFFFF"/>
                <w:sz w:val="16"/>
              </w:rPr>
              <w:t>3,027</w:t>
            </w:r>
          </w:p>
        </w:tc>
      </w:tr>
      <w:tr>
        <w:trPr/>
        <w:tc>
          <w:tcPr>
            <w:tcW w:w="9675"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 of business partners to whom the organization’s anti-corruption policies and procedures have been communicated</w:t>
            </w:r>
          </w:p>
        </w:tc>
        <w:tc>
          <w:tcPr>
            <w:tcW w:w="530" w:type="dxa"/>
            <w:tcBorders/>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69%</w:t>
            </w:r>
          </w:p>
        </w:tc>
      </w:tr>
    </w:tbl>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60" w:after="6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lineRule="auto" w:line="240" w:before="0" w:after="0"/>
        <w:ind w:left="0" w:right="0" w:hanging="0"/>
        <w:jc w:val="both"/>
        <w:rPr>
          <w:rFonts w:ascii="Arial" w:hAnsi="Arial"/>
          <w:b w:val="false"/>
          <w:i w:val="false"/>
          <w:caps w:val="false"/>
          <w:smallCaps w:val="false"/>
          <w:sz w:val="16"/>
        </w:rPr>
      </w:pPr>
      <w:r>
        <w:rPr>
          <w:rFonts w:ascii="Arial" w:hAnsi="Arial"/>
          <w:b w:val="false"/>
          <w:i w:val="false"/>
          <w:caps w:val="false"/>
          <w:smallCaps w:val="false"/>
          <w:sz w:val="16"/>
        </w:rPr>
        <w:t>42 Unless otherwise indicated, the results reported in this section include the following companies BCP Perú, BCP Bolivia, Mibanco Perú, Mibanco Colombia, Prima AFP, Pacífico Seguros y Credicorp Capital. Salvo se indique lo contrario.</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86</w:t>
      </w:r>
    </w:p>
    <w:p>
      <w:pPr>
        <w:pStyle w:val="HorizontalLine"/>
        <w:pBdr>
          <w:bottom w:val="single" w:sz="12" w:space="0" w:color="808080"/>
        </w:pBdr>
        <w:bidi w:val="0"/>
        <w:spacing w:before="200" w:after="200"/>
        <w:jc w:val="left"/>
        <w:rPr/>
      </w:pPr>
      <w:r>
        <w:rPr/>
      </w:r>
    </w:p>
    <w:tbl>
      <w:tblPr>
        <w:tblW w:w="7050" w:type="dxa"/>
        <w:jc w:val="left"/>
        <w:tblInd w:w="0" w:type="dxa"/>
        <w:tblLayout w:type="fixed"/>
        <w:tblCellMar>
          <w:top w:w="0" w:type="dxa"/>
          <w:left w:w="0" w:type="dxa"/>
          <w:bottom w:w="0" w:type="dxa"/>
          <w:right w:w="0" w:type="dxa"/>
        </w:tblCellMar>
      </w:tblPr>
      <w:tblGrid>
        <w:gridCol w:w="6275"/>
        <w:gridCol w:w="380"/>
        <w:gridCol w:w="395"/>
      </w:tblGrid>
      <w:tr>
        <w:trPr/>
        <w:tc>
          <w:tcPr>
            <w:tcW w:w="6275" w:type="dxa"/>
            <w:tcBorders/>
            <w:shd w:fill="000000" w:val="clear"/>
            <w:vAlign w:val="center"/>
          </w:tcPr>
          <w:p>
            <w:pPr>
              <w:pStyle w:val="TableContents"/>
              <w:bidi w:val="0"/>
              <w:spacing w:before="0" w:after="0"/>
              <w:ind w:left="0" w:right="0" w:hanging="0"/>
              <w:jc w:val="left"/>
              <w:rPr>
                <w:rFonts w:ascii="Arial" w:hAnsi="Arial"/>
                <w:b/>
                <w:i w:val="false"/>
                <w:caps w:val="false"/>
                <w:smallCaps w:val="false"/>
                <w:color w:val="FFFFFF"/>
                <w:sz w:val="16"/>
              </w:rPr>
            </w:pPr>
            <w:r>
              <w:rPr>
                <w:rFonts w:ascii="Arial" w:hAnsi="Arial"/>
                <w:b/>
                <w:i w:val="false"/>
                <w:caps w:val="false"/>
                <w:smallCaps w:val="false"/>
                <w:color w:val="FFFFFF"/>
                <w:sz w:val="16"/>
              </w:rPr>
              <w:t>GRI 205-3 Confirmed incidents of corruption and</w:t>
            </w:r>
          </w:p>
          <w:p>
            <w:pPr>
              <w:pStyle w:val="TableContents"/>
              <w:bidi w:val="0"/>
              <w:spacing w:before="0" w:after="0"/>
              <w:ind w:left="0" w:right="0" w:hanging="0"/>
              <w:jc w:val="left"/>
              <w:rPr>
                <w:rFonts w:ascii="Arial" w:hAnsi="Arial"/>
                <w:b/>
                <w:i w:val="false"/>
                <w:caps w:val="false"/>
                <w:smallCaps w:val="false"/>
                <w:color w:val="FFFFFF"/>
                <w:sz w:val="16"/>
              </w:rPr>
            </w:pPr>
            <w:r>
              <w:rPr>
                <w:rFonts w:ascii="Arial" w:hAnsi="Arial"/>
                <w:b/>
                <w:i w:val="false"/>
                <w:caps w:val="false"/>
                <w:smallCaps w:val="false"/>
                <w:color w:val="FFFFFF"/>
                <w:sz w:val="16"/>
              </w:rPr>
              <w:t>actions taken</w:t>
            </w:r>
          </w:p>
        </w:tc>
        <w:tc>
          <w:tcPr>
            <w:tcW w:w="380"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2023</w:t>
            </w:r>
          </w:p>
        </w:tc>
        <w:tc>
          <w:tcPr>
            <w:tcW w:w="395"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2022</w:t>
            </w:r>
          </w:p>
        </w:tc>
      </w:tr>
      <w:tr>
        <w:trPr/>
        <w:tc>
          <w:tcPr>
            <w:tcW w:w="6275" w:type="dxa"/>
            <w:tcBorders>
              <w:top w:val="single" w:sz="8" w:space="0" w:color="A6A6A6"/>
              <w:bottom w:val="single" w:sz="8" w:space="0" w:color="BFBFBF"/>
            </w:tcBorders>
            <w:shd w:fill="FFFFFF" w:val="clear"/>
            <w:tcMar>
              <w:top w:w="28" w:type="dxa"/>
              <w:bottom w:w="28"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Number of Operations</w:t>
            </w:r>
          </w:p>
        </w:tc>
        <w:tc>
          <w:tcPr>
            <w:tcW w:w="380" w:type="dxa"/>
            <w:tcBorders>
              <w:top w:val="single" w:sz="8" w:space="0" w:color="A6A6A6"/>
              <w:bottom w:val="single" w:sz="8" w:space="0" w:color="BFBFBF"/>
            </w:tcBorders>
            <w:shd w:fill="FFFFFF" w:val="clear"/>
            <w:tcMar>
              <w:top w:w="28" w:type="dxa"/>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0</w:t>
            </w:r>
          </w:p>
        </w:tc>
        <w:tc>
          <w:tcPr>
            <w:tcW w:w="395" w:type="dxa"/>
            <w:tcBorders>
              <w:top w:val="single" w:sz="8" w:space="0" w:color="A6A6A6"/>
              <w:bottom w:val="single" w:sz="8" w:space="0" w:color="BFBFBF"/>
            </w:tcBorders>
            <w:tcMar>
              <w:top w:w="28" w:type="dxa"/>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r>
      <w:tr>
        <w:trPr/>
        <w:tc>
          <w:tcPr>
            <w:tcW w:w="6275" w:type="dxa"/>
            <w:tcBorders/>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 None of the cases reported by Alerta GenÉTICA turned out to a corruption case.</w:t>
            </w:r>
          </w:p>
        </w:tc>
        <w:tc>
          <w:tcPr>
            <w:tcW w:w="3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3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75" w:type="dxa"/>
            <w:tcBorders/>
            <w:shd w:fill="000000" w:val="clear"/>
            <w:vAlign w:val="center"/>
          </w:tcPr>
          <w:p>
            <w:pPr>
              <w:pStyle w:val="TableContents"/>
              <w:bidi w:val="0"/>
              <w:spacing w:before="0" w:after="0"/>
              <w:ind w:left="0" w:right="0" w:hanging="0"/>
              <w:jc w:val="left"/>
              <w:rPr>
                <w:rFonts w:ascii="Arial" w:hAnsi="Arial"/>
                <w:b/>
                <w:i w:val="false"/>
                <w:caps w:val="false"/>
                <w:smallCaps w:val="false"/>
                <w:color w:val="FFFFFF"/>
                <w:sz w:val="16"/>
              </w:rPr>
            </w:pPr>
            <w:r>
              <w:rPr>
                <w:rFonts w:ascii="Arial" w:hAnsi="Arial"/>
                <w:b/>
                <w:i w:val="false"/>
                <w:caps w:val="false"/>
                <w:smallCaps w:val="false"/>
                <w:color w:val="FFFFFF"/>
                <w:sz w:val="16"/>
              </w:rPr>
              <w:t>GRI 206-1 Legal actions for anti-competitive</w:t>
            </w:r>
          </w:p>
          <w:p>
            <w:pPr>
              <w:pStyle w:val="TableContents"/>
              <w:bidi w:val="0"/>
              <w:spacing w:before="0" w:after="0"/>
              <w:ind w:left="0" w:right="0" w:hanging="0"/>
              <w:jc w:val="left"/>
              <w:rPr>
                <w:rFonts w:ascii="Arial" w:hAnsi="Arial"/>
                <w:b/>
                <w:i w:val="false"/>
                <w:caps w:val="false"/>
                <w:smallCaps w:val="false"/>
                <w:color w:val="FFFFFF"/>
                <w:sz w:val="16"/>
              </w:rPr>
            </w:pPr>
            <w:r>
              <w:rPr>
                <w:rFonts w:ascii="Arial" w:hAnsi="Arial"/>
                <w:b/>
                <w:i w:val="false"/>
                <w:caps w:val="false"/>
                <w:smallCaps w:val="false"/>
                <w:color w:val="FFFFFF"/>
                <w:sz w:val="16"/>
              </w:rPr>
              <w:t>behavior, anti-trust, and monopoly practices</w:t>
            </w:r>
          </w:p>
        </w:tc>
        <w:tc>
          <w:tcPr>
            <w:tcW w:w="380"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2023</w:t>
            </w:r>
          </w:p>
        </w:tc>
        <w:tc>
          <w:tcPr>
            <w:tcW w:w="395"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2022</w:t>
            </w:r>
          </w:p>
        </w:tc>
      </w:tr>
      <w:tr>
        <w:trPr/>
        <w:tc>
          <w:tcPr>
            <w:tcW w:w="6275" w:type="dxa"/>
            <w:tcBorders>
              <w:top w:val="single" w:sz="8" w:space="0" w:color="A6A6A6"/>
              <w:bottom w:val="single" w:sz="8" w:space="0" w:color="BFBFBF"/>
            </w:tcBorders>
            <w:shd w:fill="FFFFFF" w:val="clear"/>
            <w:tcMar>
              <w:top w:w="28" w:type="dxa"/>
              <w:bottom w:w="28"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Number of legal actions (total)</w:t>
            </w:r>
          </w:p>
        </w:tc>
        <w:tc>
          <w:tcPr>
            <w:tcW w:w="380" w:type="dxa"/>
            <w:tcBorders>
              <w:top w:val="single" w:sz="8" w:space="0" w:color="A6A6A6"/>
              <w:bottom w:val="single" w:sz="8" w:space="0" w:color="BFBFBF"/>
            </w:tcBorders>
            <w:shd w:fill="FFFFFF" w:val="clear"/>
            <w:tcMar>
              <w:top w:w="28" w:type="dxa"/>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0</w:t>
            </w:r>
          </w:p>
        </w:tc>
        <w:tc>
          <w:tcPr>
            <w:tcW w:w="395" w:type="dxa"/>
            <w:tcBorders>
              <w:top w:val="single" w:sz="8" w:space="0" w:color="A6A6A6"/>
              <w:bottom w:val="single" w:sz="8" w:space="0" w:color="BFBFBF"/>
            </w:tcBorders>
            <w:tcMar>
              <w:top w:w="28" w:type="dxa"/>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w:t>
            </w:r>
          </w:p>
        </w:tc>
      </w:tr>
      <w:tr>
        <w:trPr/>
        <w:tc>
          <w:tcPr>
            <w:tcW w:w="6275" w:type="dxa"/>
            <w:tcBorders/>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*Neither Credicorp, nor any of its subsidiaries has a completed legal action (RS 2022).</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39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both"/>
        <w:rPr>
          <w:rFonts w:ascii="Arial" w:hAnsi="Arial"/>
          <w:b/>
          <w:i w:val="false"/>
          <w:caps w:val="false"/>
          <w:smallCaps w:val="false"/>
          <w:sz w:val="20"/>
        </w:rPr>
      </w:pPr>
      <w:r>
        <w:rPr>
          <w:rFonts w:ascii="Arial" w:hAnsi="Arial"/>
          <w:b/>
          <w:i w:val="false"/>
          <w:caps w:val="false"/>
          <w:smallCaps w:val="false"/>
          <w:sz w:val="20"/>
        </w:rPr>
        <w:t xml:space="preserve">GRI 415-1 Our Approach to Contributions to Political Parties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 xml:space="preserve">The guidelines that Credicorp has established in relation to contributions and political contributions have evolved in recent years and are embodied in our </w:t>
      </w:r>
      <w:r>
        <w:rPr>
          <w:rFonts w:ascii="Arial" w:hAnsi="Arial"/>
          <w:b w:val="false"/>
          <w:i w:val="false"/>
          <w:caps w:val="false"/>
          <w:smallCaps w:val="false"/>
          <w:sz w:val="20"/>
          <w:u w:val="single"/>
        </w:rPr>
        <w:t>Anti-corruption Policy</w:t>
      </w:r>
      <w:r>
        <w:rPr>
          <w:rFonts w:ascii="Arial" w:hAnsi="Arial"/>
          <w:b w:val="false"/>
          <w:i w:val="false"/>
          <w:caps w:val="false"/>
          <w:smallCaps w:val="false"/>
          <w:sz w:val="20"/>
        </w:rPr>
        <w:t xml:space="preserve"> that indicates: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val="false"/>
          <w:i w:val="false"/>
          <w:caps w:val="false"/>
          <w:smallCaps w:val="false"/>
          <w:sz w:val="20"/>
        </w:rPr>
        <w:t>Neither Credicorp nor any of its subsidiaries may make contributions or deliver any benefit whatsoever to political organizations or their members, under any modality (monetary and non-monetary), directly or indirectly. Pursuant to these guidelines, Credicorp and its subsidiaries did not make any direct or indirect contributions to political parties and/or representatives during 2023.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HUMAN RIGHTS</w:t>
      </w:r>
    </w:p>
    <w:p>
      <w:pPr>
        <w:pStyle w:val="TextBody"/>
        <w:bidi w:val="0"/>
        <w:spacing w:before="60" w:after="6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i w:val="false"/>
          <w:caps w:val="false"/>
          <w:smallCaps w:val="false"/>
          <w:sz w:val="20"/>
        </w:rPr>
        <w:t>MATERIAL TOPIC HUMAN RIGHTS</w:t>
      </w:r>
      <w:r>
        <w:rPr>
          <w:rFonts w:ascii="Arial" w:hAnsi="Arial"/>
          <w:b w:val="false"/>
          <w:i w:val="false"/>
          <w:caps w:val="false"/>
          <w:smallCaps w:val="false"/>
          <w:sz w:val="20"/>
        </w:rPr>
        <w:t> </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i w:val="false"/>
          <w:caps w:val="false"/>
          <w:smallCaps w:val="false"/>
          <w:sz w:val="20"/>
        </w:rPr>
        <w:t xml:space="preserve">GRI </w:t>
      </w:r>
      <w:r>
        <w:rPr>
          <w:rFonts w:ascii="Arial" w:hAnsi="Arial"/>
          <w:b w:val="false"/>
          <w:i w:val="false"/>
          <w:caps w:val="false"/>
          <w:smallCaps w:val="false"/>
          <w:sz w:val="20"/>
        </w:rPr>
        <w:t>406-1, 408-1, 409-1</w:t>
      </w:r>
    </w:p>
    <w:p>
      <w:pPr>
        <w:pStyle w:val="TextBody"/>
        <w:bidi w:val="0"/>
        <w:spacing w:before="0" w:after="0"/>
        <w:ind w:left="0" w:right="0" w:hanging="0"/>
        <w:jc w:val="both"/>
        <w:rPr>
          <w:caps w:val="false"/>
          <w:smallCaps w:val="false"/>
        </w:rPr>
      </w:pPr>
      <w:r>
        <w:rPr>
          <w:caps w:val="false"/>
          <w:smallCaps w:val="false"/>
        </w:rPr>
        <w:t> </w:t>
      </w:r>
    </w:p>
    <w:tbl>
      <w:tblPr>
        <w:tblW w:w="9705" w:type="dxa"/>
        <w:jc w:val="left"/>
        <w:tblInd w:w="0" w:type="dxa"/>
        <w:tblLayout w:type="fixed"/>
        <w:tblCellMar>
          <w:top w:w="0" w:type="dxa"/>
          <w:left w:w="0" w:type="dxa"/>
          <w:bottom w:w="0" w:type="dxa"/>
          <w:right w:w="0" w:type="dxa"/>
        </w:tblCellMar>
      </w:tblPr>
      <w:tblGrid>
        <w:gridCol w:w="8930"/>
        <w:gridCol w:w="380"/>
        <w:gridCol w:w="395"/>
      </w:tblGrid>
      <w:tr>
        <w:trPr/>
        <w:tc>
          <w:tcPr>
            <w:tcW w:w="8930" w:type="dxa"/>
            <w:tcBorders/>
            <w:shd w:fill="000000"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GRI 406-1 Incidence of discrimination and corrective actions taken</w:t>
            </w:r>
          </w:p>
        </w:tc>
        <w:tc>
          <w:tcPr>
            <w:tcW w:w="380"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2023</w:t>
            </w:r>
          </w:p>
        </w:tc>
        <w:tc>
          <w:tcPr>
            <w:tcW w:w="395"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2022</w:t>
            </w:r>
          </w:p>
        </w:tc>
      </w:tr>
      <w:tr>
        <w:trPr/>
        <w:tc>
          <w:tcPr>
            <w:tcW w:w="8930"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i w:val="false"/>
                <w:caps w:val="false"/>
                <w:smallCaps w:val="false"/>
                <w:color w:val="404040"/>
                <w:sz w:val="16"/>
              </w:rPr>
            </w:pPr>
            <w:r>
              <w:rPr>
                <w:rFonts w:ascii="Arial" w:hAnsi="Arial"/>
                <w:b/>
                <w:i w:val="false"/>
                <w:caps w:val="false"/>
                <w:smallCaps w:val="false"/>
                <w:color w:val="404040"/>
                <w:sz w:val="16"/>
              </w:rPr>
              <w:t>Total number of incidents</w:t>
            </w:r>
          </w:p>
        </w:tc>
        <w:tc>
          <w:tcPr>
            <w:tcW w:w="380" w:type="dxa"/>
            <w:tcBorders>
              <w:bottom w:val="single" w:sz="8" w:space="0" w:color="BFBFBF"/>
            </w:tcBorders>
            <w:tcMar>
              <w:bottom w:w="28" w:type="dxa"/>
            </w:tcMar>
            <w:vAlign w:val="center"/>
          </w:tcPr>
          <w:p>
            <w:pPr>
              <w:pStyle w:val="TableContents"/>
              <w:bidi w:val="0"/>
              <w:spacing w:before="0" w:after="283"/>
              <w:jc w:val="center"/>
              <w:rPr>
                <w:rFonts w:ascii="Arial" w:hAnsi="Arial"/>
                <w:b/>
                <w:i w:val="false"/>
                <w:caps w:val="false"/>
                <w:smallCaps w:val="false"/>
                <w:color w:val="404040"/>
                <w:sz w:val="16"/>
              </w:rPr>
            </w:pPr>
            <w:r>
              <w:rPr>
                <w:rFonts w:ascii="Arial" w:hAnsi="Arial"/>
                <w:b/>
                <w:i w:val="false"/>
                <w:caps w:val="false"/>
                <w:smallCaps w:val="false"/>
                <w:color w:val="404040"/>
                <w:sz w:val="16"/>
              </w:rPr>
              <w:t>3</w:t>
            </w:r>
          </w:p>
        </w:tc>
        <w:tc>
          <w:tcPr>
            <w:tcW w:w="395" w:type="dxa"/>
            <w:tcBorders>
              <w:bottom w:val="single" w:sz="8" w:space="0" w:color="BFBFBF"/>
            </w:tcBorders>
            <w:tcMar>
              <w:bottom w:w="28" w:type="dxa"/>
            </w:tcMar>
            <w:vAlign w:val="center"/>
          </w:tcPr>
          <w:p>
            <w:pPr>
              <w:pStyle w:val="TableContents"/>
              <w:bidi w:val="0"/>
              <w:spacing w:before="0" w:after="283"/>
              <w:jc w:val="center"/>
              <w:rPr>
                <w:rFonts w:ascii="Arial" w:hAnsi="Arial"/>
                <w:b/>
                <w:i w:val="false"/>
                <w:caps w:val="false"/>
                <w:smallCaps w:val="false"/>
                <w:color w:val="404040"/>
                <w:sz w:val="16"/>
              </w:rPr>
            </w:pPr>
            <w:r>
              <w:rPr>
                <w:rFonts w:ascii="Arial" w:hAnsi="Arial"/>
                <w:b/>
                <w:i w:val="false"/>
                <w:caps w:val="false"/>
                <w:smallCaps w:val="false"/>
                <w:color w:val="404040"/>
                <w:sz w:val="16"/>
              </w:rPr>
              <w:t>1</w:t>
            </w:r>
          </w:p>
        </w:tc>
      </w:tr>
      <w:tr>
        <w:trPr/>
        <w:tc>
          <w:tcPr>
            <w:tcW w:w="8930"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Incidents reviewed by the organization</w:t>
            </w:r>
          </w:p>
        </w:tc>
        <w:tc>
          <w:tcPr>
            <w:tcW w:w="38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2</w:t>
            </w:r>
          </w:p>
        </w:tc>
        <w:tc>
          <w:tcPr>
            <w:tcW w:w="395"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w:t>
            </w:r>
          </w:p>
        </w:tc>
      </w:tr>
      <w:tr>
        <w:trPr/>
        <w:tc>
          <w:tcPr>
            <w:tcW w:w="8930"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Incidents with remediation plans being implemented</w:t>
            </w:r>
          </w:p>
        </w:tc>
        <w:tc>
          <w:tcPr>
            <w:tcW w:w="38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w:t>
            </w:r>
          </w:p>
        </w:tc>
        <w:tc>
          <w:tcPr>
            <w:tcW w:w="395" w:type="dxa"/>
            <w:tcBorders>
              <w:bottom w:val="single" w:sz="8" w:space="0" w:color="BFBFBF"/>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930"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Incidents with remediation plans implemented with results reviewed through routine internal management review processes</w:t>
            </w:r>
          </w:p>
        </w:tc>
        <w:tc>
          <w:tcPr>
            <w:tcW w:w="38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w:t>
            </w:r>
          </w:p>
        </w:tc>
        <w:tc>
          <w:tcPr>
            <w:tcW w:w="395" w:type="dxa"/>
            <w:tcBorders>
              <w:bottom w:val="single" w:sz="8" w:space="0" w:color="BFBFBF"/>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930"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Incidents no longer subject to action</w:t>
            </w:r>
          </w:p>
        </w:tc>
        <w:tc>
          <w:tcPr>
            <w:tcW w:w="380" w:type="dxa"/>
            <w:tcBorders>
              <w:bottom w:val="single" w:sz="8" w:space="0" w:color="BFBFBF"/>
            </w:tcBorders>
            <w:shd w:fill="FFFFFF" w:val="clear"/>
            <w:tcMar>
              <w:bottom w:w="28" w:type="dxa"/>
            </w:tcMar>
            <w:vAlign w:val="center"/>
          </w:tcPr>
          <w:p>
            <w:pPr>
              <w:pStyle w:val="TableContents"/>
              <w:bidi w:val="0"/>
              <w:spacing w:before="0" w:after="283"/>
              <w:jc w:val="center"/>
              <w:rPr>
                <w:rFonts w:ascii="Arial" w:hAnsi="Arial"/>
                <w:b w:val="false"/>
                <w:i w:val="false"/>
                <w:caps w:val="false"/>
                <w:smallCaps w:val="false"/>
                <w:color w:val="404040"/>
                <w:sz w:val="16"/>
              </w:rPr>
            </w:pPr>
            <w:r>
              <w:rPr>
                <w:rFonts w:ascii="Arial" w:hAnsi="Arial"/>
                <w:b w:val="false"/>
                <w:i w:val="false"/>
                <w:caps w:val="false"/>
                <w:smallCaps w:val="false"/>
                <w:color w:val="404040"/>
                <w:sz w:val="16"/>
              </w:rPr>
              <w:t>1</w:t>
            </w:r>
          </w:p>
        </w:tc>
        <w:tc>
          <w:tcPr>
            <w:tcW w:w="395" w:type="dxa"/>
            <w:tcBorders>
              <w:bottom w:val="single" w:sz="8" w:space="0" w:color="BFBFBF"/>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color w:val="FE5000"/>
        </w:rPr>
      </w:pPr>
      <w:r>
        <w:rPr>
          <w:caps w:val="false"/>
          <w:smallCaps w:val="false"/>
          <w:color w:val="FE5000"/>
        </w:rPr>
        <w:t> </w:t>
      </w:r>
    </w:p>
    <w:tbl>
      <w:tblPr>
        <w:tblW w:w="10205" w:type="dxa"/>
        <w:jc w:val="left"/>
        <w:tblInd w:w="0" w:type="dxa"/>
        <w:tblLayout w:type="fixed"/>
        <w:tblCellMar>
          <w:top w:w="0" w:type="dxa"/>
          <w:left w:w="0" w:type="dxa"/>
          <w:bottom w:w="0" w:type="dxa"/>
          <w:right w:w="0" w:type="dxa"/>
        </w:tblCellMar>
      </w:tblPr>
      <w:tblGrid>
        <w:gridCol w:w="8743"/>
        <w:gridCol w:w="678"/>
        <w:gridCol w:w="784"/>
      </w:tblGrid>
      <w:tr>
        <w:trPr/>
        <w:tc>
          <w:tcPr>
            <w:tcW w:w="8743" w:type="dxa"/>
            <w:tcBorders/>
            <w:shd w:fill="000000"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GRI 408-1 Operations and suppliers at significant risk for incidents of child labor</w:t>
            </w:r>
          </w:p>
        </w:tc>
        <w:tc>
          <w:tcPr>
            <w:tcW w:w="678" w:type="dxa"/>
            <w:tcBorders>
              <w:bottom w:val="single" w:sz="8" w:space="0" w:color="5B9BD5"/>
            </w:tcBorders>
            <w:shd w:fill="00000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2023</w:t>
            </w:r>
          </w:p>
        </w:tc>
        <w:tc>
          <w:tcPr>
            <w:tcW w:w="784" w:type="dxa"/>
            <w:tcBorders>
              <w:bottom w:val="single" w:sz="8" w:space="0" w:color="5B9BD5"/>
            </w:tcBorders>
            <w:shd w:fill="00000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2022*</w:t>
            </w:r>
          </w:p>
        </w:tc>
      </w:tr>
      <w:tr>
        <w:trPr/>
        <w:tc>
          <w:tcPr>
            <w:tcW w:w="8743"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Total number of incidents</w:t>
            </w:r>
          </w:p>
        </w:tc>
        <w:tc>
          <w:tcPr>
            <w:tcW w:w="678" w:type="dxa"/>
            <w:tcBorders>
              <w:bottom w:val="single" w:sz="8" w:space="0" w:color="BFBFBF"/>
            </w:tcBorders>
            <w:shd w:fill="FFFFFF" w:val="clear"/>
            <w:tcMar>
              <w:bottom w:w="28" w:type="dxa"/>
            </w:tcMar>
            <w:vAlign w:val="center"/>
          </w:tcPr>
          <w:p>
            <w:pPr>
              <w:pStyle w:val="TableContents"/>
              <w:bidi w:val="0"/>
              <w:spacing w:before="0" w:after="283"/>
              <w:jc w:val="righ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w:t>
            </w:r>
          </w:p>
        </w:tc>
        <w:tc>
          <w:tcPr>
            <w:tcW w:w="784" w:type="dxa"/>
            <w:tcBorders>
              <w:bottom w:val="single" w:sz="8" w:space="0" w:color="BFBFBF"/>
            </w:tcBorders>
            <w:tcMar>
              <w:bottom w:w="28" w:type="dxa"/>
            </w:tcMar>
            <w:vAlign w:val="center"/>
          </w:tcPr>
          <w:p>
            <w:pPr>
              <w:pStyle w:val="TableContents"/>
              <w:bidi w:val="0"/>
              <w:spacing w:before="0" w:after="283"/>
              <w:jc w:val="righ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w:t>
            </w:r>
          </w:p>
        </w:tc>
      </w:tr>
      <w:tr>
        <w:trPr/>
        <w:tc>
          <w:tcPr>
            <w:tcW w:w="10205" w:type="dxa"/>
            <w:gridSpan w:val="3"/>
            <w:tcBorders/>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 In 2022, for the centralized tender processes, we evaluated 53% of pre-qualified suppliers. In addition, we issued 76 one-year pre-qualifications to current suppliers. No provider was identified at risk of violating child labor, forced labor or any human right.</w:t>
            </w:r>
          </w:p>
        </w:tc>
      </w:tr>
    </w:tbl>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87</w:t>
      </w:r>
    </w:p>
    <w:p>
      <w:pPr>
        <w:pStyle w:val="HorizontalLine"/>
        <w:pBdr>
          <w:bottom w:val="single" w:sz="12" w:space="0" w:color="808080"/>
        </w:pBdr>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8912"/>
        <w:gridCol w:w="601"/>
        <w:gridCol w:w="692"/>
      </w:tblGrid>
      <w:tr>
        <w:trPr/>
        <w:tc>
          <w:tcPr>
            <w:tcW w:w="8912" w:type="dxa"/>
            <w:tcBorders/>
            <w:shd w:fill="000000"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GRI 409-1 Operations and suppliers at significant risk for incidents of forced or compulsory labor</w:t>
            </w:r>
          </w:p>
        </w:tc>
        <w:tc>
          <w:tcPr>
            <w:tcW w:w="601" w:type="dxa"/>
            <w:tcBorders>
              <w:bottom w:val="single" w:sz="8" w:space="0" w:color="5B9BD5"/>
            </w:tcBorders>
            <w:shd w:fill="00000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2023</w:t>
            </w:r>
          </w:p>
        </w:tc>
        <w:tc>
          <w:tcPr>
            <w:tcW w:w="692" w:type="dxa"/>
            <w:tcBorders>
              <w:bottom w:val="single" w:sz="8" w:space="0" w:color="5B9BD5"/>
            </w:tcBorders>
            <w:shd w:fill="000000" w:val="clear"/>
            <w:tcMar>
              <w:bottom w:w="28"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2022*</w:t>
            </w:r>
          </w:p>
        </w:tc>
      </w:tr>
      <w:tr>
        <w:trPr/>
        <w:tc>
          <w:tcPr>
            <w:tcW w:w="8912"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Total number of incidents</w:t>
            </w:r>
          </w:p>
        </w:tc>
        <w:tc>
          <w:tcPr>
            <w:tcW w:w="601" w:type="dxa"/>
            <w:tcBorders>
              <w:bottom w:val="single" w:sz="8" w:space="0" w:color="BFBFBF"/>
            </w:tcBorders>
            <w:shd w:fill="FFFFFF" w:val="clear"/>
            <w:tcMar>
              <w:bottom w:w="28" w:type="dxa"/>
            </w:tcMar>
            <w:vAlign w:val="center"/>
          </w:tcPr>
          <w:p>
            <w:pPr>
              <w:pStyle w:val="TableContents"/>
              <w:bidi w:val="0"/>
              <w:spacing w:before="0" w:after="283"/>
              <w:jc w:val="righ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w:t>
            </w:r>
          </w:p>
        </w:tc>
        <w:tc>
          <w:tcPr>
            <w:tcW w:w="692" w:type="dxa"/>
            <w:tcBorders>
              <w:bottom w:val="single" w:sz="8" w:space="0" w:color="BFBFBF"/>
            </w:tcBorders>
            <w:tcMar>
              <w:bottom w:w="28" w:type="dxa"/>
            </w:tcMar>
            <w:vAlign w:val="center"/>
          </w:tcPr>
          <w:p>
            <w:pPr>
              <w:pStyle w:val="TableContents"/>
              <w:bidi w:val="0"/>
              <w:spacing w:before="0" w:after="283"/>
              <w:jc w:val="righ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0</w:t>
            </w:r>
          </w:p>
        </w:tc>
      </w:tr>
      <w:tr>
        <w:trPr/>
        <w:tc>
          <w:tcPr>
            <w:tcW w:w="10205" w:type="dxa"/>
            <w:gridSpan w:val="3"/>
            <w:tcBorders/>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 In 2022, for the centralized tender processes, we evaluated 53% of pre-qualified suppliers. In addition, we issued 76 one-year pre-qualifications to current suppliers. No provider was identified at risk of violating child labor, forced labor or any human right.</w:t>
            </w:r>
          </w:p>
        </w:tc>
      </w:tr>
    </w:tbl>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88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rFonts w:ascii="Arial" w:hAnsi="Arial"/>
          <w:b w:val="false"/>
          <w:i w:val="false"/>
          <w:caps w:val="false"/>
          <w:smallCaps w:val="false"/>
          <w:color w:val="FE5000"/>
          <w:sz w:val="16"/>
        </w:rPr>
      </w:pPr>
      <w:r>
        <w:rPr>
          <w:rFonts w:ascii="Arial" w:hAnsi="Arial"/>
          <w:b/>
          <w:i w:val="false"/>
          <w:caps w:val="false"/>
          <w:smallCaps w:val="false"/>
          <w:color w:val="FE5000"/>
          <w:sz w:val="28"/>
        </w:rPr>
        <w:t xml:space="preserve">4.4.3. Compliance programs: Other programs 2023 achievements </w:t>
      </w:r>
      <w:r>
        <w:rPr>
          <w:rFonts w:ascii="Arial" w:hAnsi="Arial"/>
          <w:b w:val="false"/>
          <w:i w:val="false"/>
          <w:caps w:val="false"/>
          <w:smallCaps w:val="false"/>
          <w:color w:val="FE5000"/>
          <w:sz w:val="16"/>
        </w:rPr>
        <w:t> </w:t>
      </w:r>
    </w:p>
    <w:p>
      <w:pPr>
        <w:pStyle w:val="TextBody"/>
        <w:bidi w:val="0"/>
        <w:spacing w:before="0" w:after="0"/>
        <w:ind w:left="0" w:right="0" w:hanging="0"/>
        <w:jc w:val="both"/>
        <w:rPr>
          <w:rFonts w:ascii="Arial" w:hAnsi="Arial"/>
          <w:b/>
          <w:i w:val="false"/>
          <w:caps w:val="false"/>
          <w:smallCaps w:val="false"/>
          <w:sz w:val="20"/>
        </w:rPr>
      </w:pPr>
      <w:r>
        <w:rPr>
          <w:rFonts w:ascii="Arial" w:hAnsi="Arial"/>
          <w:b/>
          <w:i w:val="false"/>
          <w:caps w:val="false"/>
          <w:smallCaps w:val="false"/>
          <w:sz w:val="20"/>
        </w:rPr>
        <w:t>MATERIAL TOPIC GOVERNANCE, ETHICS, AND ANTI-CORRUPTION</w:t>
      </w:r>
    </w:p>
    <w:p>
      <w:pPr>
        <w:pStyle w:val="TextBody"/>
        <w:bidi w:val="0"/>
        <w:spacing w:before="0" w:after="0"/>
        <w:ind w:left="0" w:right="0" w:hanging="0"/>
        <w:jc w:val="both"/>
        <w:rPr>
          <w:rFonts w:ascii="Arial" w:hAnsi="Arial"/>
          <w:b w:val="false"/>
          <w:i w:val="false"/>
          <w:caps w:val="false"/>
          <w:smallCaps w:val="false"/>
          <w:sz w:val="20"/>
        </w:rPr>
      </w:pPr>
      <w:r>
        <w:rPr>
          <w:rFonts w:ascii="Arial" w:hAnsi="Arial"/>
          <w:b/>
          <w:i w:val="false"/>
          <w:caps w:val="false"/>
          <w:smallCaps w:val="false"/>
          <w:sz w:val="20"/>
        </w:rPr>
        <w:t xml:space="preserve">GRI </w:t>
      </w:r>
      <w:r>
        <w:rPr>
          <w:rFonts w:ascii="Arial" w:hAnsi="Arial"/>
          <w:b w:val="false"/>
          <w:i w:val="false"/>
          <w:caps w:val="false"/>
          <w:smallCaps w:val="false"/>
          <w:sz w:val="20"/>
        </w:rPr>
        <w:t>3-3</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89</w:t>
      </w:r>
      <w:r>
        <mc:AlternateContent>
          <mc:Choice Requires="wps">
            <w:drawing>
              <wp:anchor behindDoc="0" distT="0" distB="0" distL="0" distR="0" simplePos="0" locked="0" layoutInCell="1" allowOverlap="1" relativeHeight="312">
                <wp:simplePos x="0" y="0"/>
                <wp:positionH relativeFrom="column">
                  <wp:align>left</wp:align>
                </wp:positionH>
                <wp:positionV relativeFrom="line">
                  <wp:posOffset>635</wp:posOffset>
                </wp:positionV>
                <wp:extent cx="3175000" cy="2726055"/>
                <wp:effectExtent l="0" t="0" r="0" b="0"/>
                <wp:wrapSquare wrapText="right"/>
                <wp:docPr id="433" name="Frame128"/>
                <a:graphic xmlns:a="http://schemas.openxmlformats.org/drawingml/2006/main">
                  <a:graphicData uri="http://schemas.microsoft.com/office/word/2010/wordprocessingShape">
                    <wps:wsp>
                      <wps:cNvSpPr txBox="1"/>
                      <wps:spPr>
                        <a:xfrm>
                          <a:off x="0" y="0"/>
                          <a:ext cx="3175000" cy="272605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040"/>
                              <w:gridCol w:w="9165"/>
                            </w:tblGrid>
                            <w:tr>
                              <w:trPr/>
                              <w:tc>
                                <w:tcPr>
                                  <w:tcW w:w="1040" w:type="dxa"/>
                                  <w:tcBorders/>
                                  <w:shd w:fill="FE7233" w:val="clear"/>
                                  <w:vAlign w:val="center"/>
                                </w:tcPr>
                                <w:p>
                                  <w:pPr>
                                    <w:pStyle w:val="TableContents"/>
                                    <w:bidi w:val="0"/>
                                    <w:jc w:val="center"/>
                                    <w:rPr>
                                      <w:rFonts w:ascii="Arial" w:hAnsi="Arial"/>
                                      <w:b/>
                                      <w:color w:val="FFFFFF"/>
                                      <w:sz w:val="18"/>
                                    </w:rPr>
                                  </w:pPr>
                                  <w:r>
                                    <w:rPr>
                                      <w:rFonts w:ascii="Arial" w:hAnsi="Arial"/>
                                      <w:b/>
                                      <w:color w:val="FFFFFF"/>
                                      <w:sz w:val="18"/>
                                    </w:rPr>
                                    <w:t>Fair</w:t>
                                  </w:r>
                                </w:p>
                                <w:p>
                                  <w:pPr>
                                    <w:pStyle w:val="TableContents"/>
                                    <w:bidi w:val="0"/>
                                    <w:spacing w:before="0" w:after="283"/>
                                    <w:jc w:val="center"/>
                                    <w:rPr>
                                      <w:rFonts w:ascii="Arial" w:hAnsi="Arial"/>
                                      <w:b/>
                                      <w:i w:val="false"/>
                                      <w:caps w:val="false"/>
                                      <w:smallCaps w:val="false"/>
                                      <w:color w:val="FFFFFF"/>
                                      <w:sz w:val="18"/>
                                    </w:rPr>
                                  </w:pPr>
                                  <w:r>
                                    <w:rPr>
                                      <w:rFonts w:ascii="Arial" w:hAnsi="Arial"/>
                                      <w:b/>
                                      <w:i w:val="false"/>
                                      <w:caps w:val="false"/>
                                      <w:smallCaps w:val="false"/>
                                      <w:color w:val="FFFFFF"/>
                                      <w:sz w:val="18"/>
                                    </w:rPr>
                                    <w:t>competition</w:t>
                                  </w:r>
                                </w:p>
                              </w:tc>
                              <w:tc>
                                <w:tcPr>
                                  <w:tcW w:w="9165" w:type="dxa"/>
                                  <w:tcBorders>
                                    <w:top w:val="single" w:sz="8" w:space="0" w:color="ED7C30"/>
                                    <w:bottom w:val="single" w:sz="8" w:space="0" w:color="ED7C30"/>
                                    <w:right w:val="single" w:sz="8" w:space="0" w:color="ED7C30"/>
                                  </w:tcBorders>
                                  <w:tcMar>
                                    <w:top w:w="160" w:type="dxa"/>
                                    <w:bottom w:w="160" w:type="dxa"/>
                                    <w:right w:w="18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18"/>
                                    </w:rPr>
                                    <w:t>We have zero tolerance for anti-competitive behaviors. Our Peruvian subsidiaries follow the Compliance Guide issued by Indecopi, the regulatory body under the Law for the Repression of Anti-Competitive Behavior. During the second half of 2023, we:</w:t>
                                  </w:r>
                                </w:p>
                                <w:p>
                                  <w:pPr>
                                    <w:pStyle w:val="TableContents"/>
                                    <w:bidi w:val="0"/>
                                    <w:spacing w:before="0" w:after="0"/>
                                    <w:ind w:left="648" w:right="0" w:hanging="648"/>
                                    <w:jc w:val="both"/>
                                    <w:rPr>
                                      <w:caps w:val="false"/>
                                      <w:smallCaps w:val="false"/>
                                    </w:rPr>
                                  </w:pPr>
                                  <w:r>
                                    <w:rPr>
                                      <w:caps w:val="false"/>
                                      <w:smallCaps w:val="false"/>
                                    </w:rPr>
                                    <w:t xml:space="preserve">●         </w:t>
                                  </w:r>
                                  <w:r>
                                    <w:rPr>
                                      <w:rFonts w:ascii="Arial" w:hAnsi="Arial"/>
                                      <w:b w:val="false"/>
                                      <w:i w:val="false"/>
                                      <w:caps w:val="false"/>
                                      <w:smallCaps w:val="false"/>
                                      <w:sz w:val="18"/>
                                    </w:rPr>
                                    <w:t>Updated and published the Fair Competition Policy.</w:t>
                                  </w:r>
                                </w:p>
                                <w:p>
                                  <w:pPr>
                                    <w:pStyle w:val="TableContents"/>
                                    <w:bidi w:val="0"/>
                                    <w:spacing w:before="0" w:after="0"/>
                                    <w:ind w:left="648" w:right="0" w:hanging="648"/>
                                    <w:jc w:val="both"/>
                                    <w:rPr>
                                      <w:caps w:val="false"/>
                                      <w:smallCaps w:val="false"/>
                                    </w:rPr>
                                  </w:pPr>
                                  <w:r>
                                    <w:rPr>
                                      <w:caps w:val="false"/>
                                      <w:smallCaps w:val="false"/>
                                    </w:rPr>
                                    <w:t xml:space="preserve">●           </w:t>
                                  </w:r>
                                  <w:r>
                                    <w:rPr>
                                      <w:rFonts w:ascii="Arial" w:hAnsi="Arial"/>
                                      <w:b w:val="false"/>
                                      <w:i w:val="false"/>
                                      <w:caps w:val="false"/>
                                      <w:smallCaps w:val="false"/>
                                      <w:sz w:val="18"/>
                                    </w:rPr>
                                    <w:t>Provided focused training on fair competition risks and concepts to the Yape sales teams, the SME Tribe, and the Digital Sales Tribe. </w:t>
                                  </w:r>
                                </w:p>
                                <w:p>
                                  <w:pPr>
                                    <w:pStyle w:val="TableContents"/>
                                    <w:bidi w:val="0"/>
                                    <w:spacing w:before="0" w:after="0"/>
                                    <w:ind w:left="648" w:right="0" w:hanging="648"/>
                                    <w:jc w:val="both"/>
                                    <w:rPr>
                                      <w:caps w:val="false"/>
                                      <w:smallCaps w:val="false"/>
                                    </w:rPr>
                                  </w:pPr>
                                  <w:r>
                                    <w:rPr>
                                      <w:caps w:val="false"/>
                                      <w:smallCaps w:val="false"/>
                                    </w:rPr>
                                    <w:t xml:space="preserve">●       </w:t>
                                  </w:r>
                                  <w:r>
                                    <w:rPr>
                                      <w:rFonts w:ascii="Arial" w:hAnsi="Arial"/>
                                      <w:b w:val="false"/>
                                      <w:i w:val="false"/>
                                      <w:caps w:val="false"/>
                                      <w:smallCaps w:val="false"/>
                                      <w:sz w:val="18"/>
                                    </w:rPr>
                                    <w:t>Rolled out two information capsules containing concepts and guidelines for avoiding risks in fair competition.</w:t>
                                  </w:r>
                                </w:p>
                                <w:p>
                                  <w:pPr>
                                    <w:pStyle w:val="TableContents"/>
                                    <w:bidi w:val="0"/>
                                    <w:spacing w:before="0" w:after="0"/>
                                    <w:ind w:left="648" w:right="0" w:hanging="648"/>
                                    <w:jc w:val="both"/>
                                    <w:rPr>
                                      <w:caps w:val="false"/>
                                      <w:smallCaps w:val="false"/>
                                    </w:rPr>
                                  </w:pPr>
                                  <w:r>
                                    <w:rPr>
                                      <w:caps w:val="false"/>
                                      <w:smallCaps w:val="false"/>
                                    </w:rPr>
                                    <w:t xml:space="preserve">●          </w:t>
                                  </w:r>
                                  <w:r>
                                    <w:rPr>
                                      <w:rFonts w:ascii="Arial" w:hAnsi="Arial"/>
                                      <w:b w:val="false"/>
                                      <w:i w:val="false"/>
                                      <w:caps w:val="false"/>
                                      <w:smallCaps w:val="false"/>
                                      <w:sz w:val="18"/>
                                    </w:rPr>
                                    <w:t>Developed for roll out in 2024 a fair competition communications workshop for teaching the guidelines on effective communication that avoids risks in fair competition.</w:t>
                                  </w:r>
                                </w:p>
                                <w:p>
                                  <w:pPr>
                                    <w:pStyle w:val="TableContents"/>
                                    <w:bidi w:val="0"/>
                                    <w:spacing w:before="0" w:after="0"/>
                                    <w:ind w:left="648" w:right="0" w:hanging="648"/>
                                    <w:jc w:val="both"/>
                                    <w:rPr>
                                      <w:caps w:val="false"/>
                                      <w:smallCaps w:val="false"/>
                                    </w:rPr>
                                  </w:pPr>
                                  <w:r>
                                    <w:rPr>
                                      <w:caps w:val="false"/>
                                      <w:smallCaps w:val="false"/>
                                    </w:rPr>
                                    <w:t xml:space="preserve">●          </w:t>
                                  </w:r>
                                  <w:r>
                                    <w:rPr>
                                      <w:rFonts w:ascii="Arial" w:hAnsi="Arial"/>
                                      <w:b w:val="false"/>
                                      <w:i w:val="false"/>
                                      <w:caps w:val="false"/>
                                      <w:smallCaps w:val="false"/>
                                      <w:sz w:val="18"/>
                                    </w:rPr>
                                    <w:t>Monitored free risk analysis on the participation of BCP representatives on industry bodies and the company’s contracts with suppliers.</w:t>
                                  </w:r>
                                </w:p>
                                <w:p>
                                  <w:pPr>
                                    <w:pStyle w:val="TableContents"/>
                                    <w:bidi w:val="0"/>
                                    <w:spacing w:before="0" w:after="0"/>
                                    <w:ind w:left="648" w:right="0" w:hanging="648"/>
                                    <w:jc w:val="both"/>
                                    <w:rPr>
                                      <w:caps w:val="false"/>
                                      <w:smallCaps w:val="false"/>
                                    </w:rPr>
                                  </w:pPr>
                                  <w:r>
                                    <w:rPr>
                                      <w:caps w:val="false"/>
                                      <w:smallCaps w:val="false"/>
                                    </w:rPr>
                                    <w:t xml:space="preserve">●     </w:t>
                                  </w:r>
                                  <w:r>
                                    <w:rPr>
                                      <w:rFonts w:ascii="Arial" w:hAnsi="Arial"/>
                                      <w:b w:val="false"/>
                                      <w:i w:val="false"/>
                                      <w:caps w:val="false"/>
                                      <w:smallCaps w:val="false"/>
                                      <w:sz w:val="18"/>
                                    </w:rPr>
                                    <w:t xml:space="preserve">Reduced two RAC items by activating a specific protocol on how to act when </w:t>
                                  </w:r>
                                  <w:r>
                                    <w:rPr>
                                      <w:rFonts w:ascii="Arial" w:hAnsi="Arial"/>
                                      <w:b w:val="false"/>
                                      <w:i/>
                                      <w:caps w:val="false"/>
                                      <w:smallCaps w:val="false"/>
                                      <w:sz w:val="18"/>
                                    </w:rPr>
                                    <w:t xml:space="preserve">Indecopi </w:t>
                                  </w:r>
                                  <w:r>
                                    <w:rPr>
                                      <w:rFonts w:ascii="Arial" w:hAnsi="Arial"/>
                                      <w:b w:val="false"/>
                                      <w:i w:val="false"/>
                                      <w:caps w:val="false"/>
                                      <w:smallCaps w:val="false"/>
                                      <w:sz w:val="18"/>
                                    </w:rPr>
                                    <w:t>conducts a fair competition inspection and another on third-party technology services contracting.</w:t>
                                  </w:r>
                                </w:p>
                                <w:p>
                                  <w:pPr>
                                    <w:pStyle w:val="TableContents"/>
                                    <w:bidi w:val="0"/>
                                    <w:spacing w:before="0" w:after="0"/>
                                    <w:ind w:left="648" w:right="0" w:hanging="648"/>
                                    <w:jc w:val="both"/>
                                    <w:rPr>
                                      <w:caps w:val="false"/>
                                      <w:smallCaps w:val="false"/>
                                    </w:rPr>
                                  </w:pPr>
                                  <w:r>
                                    <w:rPr>
                                      <w:caps w:val="false"/>
                                      <w:smallCaps w:val="false"/>
                                    </w:rPr>
                                    <w:t xml:space="preserve">●         </w:t>
                                  </w:r>
                                  <w:r>
                                    <w:rPr>
                                      <w:rFonts w:ascii="Arial" w:hAnsi="Arial"/>
                                      <w:b w:val="false"/>
                                      <w:i w:val="false"/>
                                      <w:caps w:val="false"/>
                                      <w:smallCaps w:val="false"/>
                                      <w:sz w:val="18"/>
                                    </w:rPr>
                                    <w:t xml:space="preserve">Neither Credicorp nor any of its subsidiaries has a completed anti-competitive legal action.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14.65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040"/>
                        <w:gridCol w:w="9165"/>
                      </w:tblGrid>
                      <w:tr>
                        <w:trPr/>
                        <w:tc>
                          <w:tcPr>
                            <w:tcW w:w="1040" w:type="dxa"/>
                            <w:tcBorders/>
                            <w:shd w:fill="FE7233" w:val="clear"/>
                            <w:vAlign w:val="center"/>
                          </w:tcPr>
                          <w:p>
                            <w:pPr>
                              <w:pStyle w:val="TableContents"/>
                              <w:bidi w:val="0"/>
                              <w:jc w:val="center"/>
                              <w:rPr>
                                <w:rFonts w:ascii="Arial" w:hAnsi="Arial"/>
                                <w:b/>
                                <w:color w:val="FFFFFF"/>
                                <w:sz w:val="18"/>
                              </w:rPr>
                            </w:pPr>
                            <w:r>
                              <w:rPr>
                                <w:rFonts w:ascii="Arial" w:hAnsi="Arial"/>
                                <w:b/>
                                <w:color w:val="FFFFFF"/>
                                <w:sz w:val="18"/>
                              </w:rPr>
                              <w:t>Fair</w:t>
                            </w:r>
                          </w:p>
                          <w:p>
                            <w:pPr>
                              <w:pStyle w:val="TableContents"/>
                              <w:bidi w:val="0"/>
                              <w:spacing w:before="0" w:after="283"/>
                              <w:jc w:val="center"/>
                              <w:rPr>
                                <w:rFonts w:ascii="Arial" w:hAnsi="Arial"/>
                                <w:b/>
                                <w:i w:val="false"/>
                                <w:caps w:val="false"/>
                                <w:smallCaps w:val="false"/>
                                <w:color w:val="FFFFFF"/>
                                <w:sz w:val="18"/>
                              </w:rPr>
                            </w:pPr>
                            <w:r>
                              <w:rPr>
                                <w:rFonts w:ascii="Arial" w:hAnsi="Arial"/>
                                <w:b/>
                                <w:i w:val="false"/>
                                <w:caps w:val="false"/>
                                <w:smallCaps w:val="false"/>
                                <w:color w:val="FFFFFF"/>
                                <w:sz w:val="18"/>
                              </w:rPr>
                              <w:t>competition</w:t>
                            </w:r>
                          </w:p>
                        </w:tc>
                        <w:tc>
                          <w:tcPr>
                            <w:tcW w:w="9165" w:type="dxa"/>
                            <w:tcBorders>
                              <w:top w:val="single" w:sz="8" w:space="0" w:color="ED7C30"/>
                              <w:bottom w:val="single" w:sz="8" w:space="0" w:color="ED7C30"/>
                              <w:right w:val="single" w:sz="8" w:space="0" w:color="ED7C30"/>
                            </w:tcBorders>
                            <w:tcMar>
                              <w:top w:w="160" w:type="dxa"/>
                              <w:bottom w:w="160" w:type="dxa"/>
                              <w:right w:w="18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18"/>
                              </w:rPr>
                              <w:t>We have zero tolerance for anti-competitive behaviors. Our Peruvian subsidiaries follow the Compliance Guide issued by Indecopi, the regulatory body under the Law for the Repression of Anti-Competitive Behavior. During the second half of 2023, we:</w:t>
                            </w:r>
                          </w:p>
                          <w:p>
                            <w:pPr>
                              <w:pStyle w:val="TableContents"/>
                              <w:bidi w:val="0"/>
                              <w:spacing w:before="0" w:after="0"/>
                              <w:ind w:left="648" w:right="0" w:hanging="648"/>
                              <w:jc w:val="both"/>
                              <w:rPr>
                                <w:caps w:val="false"/>
                                <w:smallCaps w:val="false"/>
                              </w:rPr>
                            </w:pPr>
                            <w:r>
                              <w:rPr>
                                <w:caps w:val="false"/>
                                <w:smallCaps w:val="false"/>
                              </w:rPr>
                              <w:t xml:space="preserve">●         </w:t>
                            </w:r>
                            <w:r>
                              <w:rPr>
                                <w:rFonts w:ascii="Arial" w:hAnsi="Arial"/>
                                <w:b w:val="false"/>
                                <w:i w:val="false"/>
                                <w:caps w:val="false"/>
                                <w:smallCaps w:val="false"/>
                                <w:sz w:val="18"/>
                              </w:rPr>
                              <w:t>Updated and published the Fair Competition Policy.</w:t>
                            </w:r>
                          </w:p>
                          <w:p>
                            <w:pPr>
                              <w:pStyle w:val="TableContents"/>
                              <w:bidi w:val="0"/>
                              <w:spacing w:before="0" w:after="0"/>
                              <w:ind w:left="648" w:right="0" w:hanging="648"/>
                              <w:jc w:val="both"/>
                              <w:rPr>
                                <w:caps w:val="false"/>
                                <w:smallCaps w:val="false"/>
                              </w:rPr>
                            </w:pPr>
                            <w:r>
                              <w:rPr>
                                <w:caps w:val="false"/>
                                <w:smallCaps w:val="false"/>
                              </w:rPr>
                              <w:t xml:space="preserve">●           </w:t>
                            </w:r>
                            <w:r>
                              <w:rPr>
                                <w:rFonts w:ascii="Arial" w:hAnsi="Arial"/>
                                <w:b w:val="false"/>
                                <w:i w:val="false"/>
                                <w:caps w:val="false"/>
                                <w:smallCaps w:val="false"/>
                                <w:sz w:val="18"/>
                              </w:rPr>
                              <w:t>Provided focused training on fair competition risks and concepts to the Yape sales teams, the SME Tribe, and the Digital Sales Tribe. </w:t>
                            </w:r>
                          </w:p>
                          <w:p>
                            <w:pPr>
                              <w:pStyle w:val="TableContents"/>
                              <w:bidi w:val="0"/>
                              <w:spacing w:before="0" w:after="0"/>
                              <w:ind w:left="648" w:right="0" w:hanging="648"/>
                              <w:jc w:val="both"/>
                              <w:rPr>
                                <w:caps w:val="false"/>
                                <w:smallCaps w:val="false"/>
                              </w:rPr>
                            </w:pPr>
                            <w:r>
                              <w:rPr>
                                <w:caps w:val="false"/>
                                <w:smallCaps w:val="false"/>
                              </w:rPr>
                              <w:t xml:space="preserve">●       </w:t>
                            </w:r>
                            <w:r>
                              <w:rPr>
                                <w:rFonts w:ascii="Arial" w:hAnsi="Arial"/>
                                <w:b w:val="false"/>
                                <w:i w:val="false"/>
                                <w:caps w:val="false"/>
                                <w:smallCaps w:val="false"/>
                                <w:sz w:val="18"/>
                              </w:rPr>
                              <w:t>Rolled out two information capsules containing concepts and guidelines for avoiding risks in fair competition.</w:t>
                            </w:r>
                          </w:p>
                          <w:p>
                            <w:pPr>
                              <w:pStyle w:val="TableContents"/>
                              <w:bidi w:val="0"/>
                              <w:spacing w:before="0" w:after="0"/>
                              <w:ind w:left="648" w:right="0" w:hanging="648"/>
                              <w:jc w:val="both"/>
                              <w:rPr>
                                <w:caps w:val="false"/>
                                <w:smallCaps w:val="false"/>
                              </w:rPr>
                            </w:pPr>
                            <w:r>
                              <w:rPr>
                                <w:caps w:val="false"/>
                                <w:smallCaps w:val="false"/>
                              </w:rPr>
                              <w:t xml:space="preserve">●          </w:t>
                            </w:r>
                            <w:r>
                              <w:rPr>
                                <w:rFonts w:ascii="Arial" w:hAnsi="Arial"/>
                                <w:b w:val="false"/>
                                <w:i w:val="false"/>
                                <w:caps w:val="false"/>
                                <w:smallCaps w:val="false"/>
                                <w:sz w:val="18"/>
                              </w:rPr>
                              <w:t>Developed for roll out in 2024 a fair competition communications workshop for teaching the guidelines on effective communication that avoids risks in fair competition.</w:t>
                            </w:r>
                          </w:p>
                          <w:p>
                            <w:pPr>
                              <w:pStyle w:val="TableContents"/>
                              <w:bidi w:val="0"/>
                              <w:spacing w:before="0" w:after="0"/>
                              <w:ind w:left="648" w:right="0" w:hanging="648"/>
                              <w:jc w:val="both"/>
                              <w:rPr>
                                <w:caps w:val="false"/>
                                <w:smallCaps w:val="false"/>
                              </w:rPr>
                            </w:pPr>
                            <w:r>
                              <w:rPr>
                                <w:caps w:val="false"/>
                                <w:smallCaps w:val="false"/>
                              </w:rPr>
                              <w:t xml:space="preserve">●          </w:t>
                            </w:r>
                            <w:r>
                              <w:rPr>
                                <w:rFonts w:ascii="Arial" w:hAnsi="Arial"/>
                                <w:b w:val="false"/>
                                <w:i w:val="false"/>
                                <w:caps w:val="false"/>
                                <w:smallCaps w:val="false"/>
                                <w:sz w:val="18"/>
                              </w:rPr>
                              <w:t>Monitored free risk analysis on the participation of BCP representatives on industry bodies and the company’s contracts with suppliers.</w:t>
                            </w:r>
                          </w:p>
                          <w:p>
                            <w:pPr>
                              <w:pStyle w:val="TableContents"/>
                              <w:bidi w:val="0"/>
                              <w:spacing w:before="0" w:after="0"/>
                              <w:ind w:left="648" w:right="0" w:hanging="648"/>
                              <w:jc w:val="both"/>
                              <w:rPr>
                                <w:caps w:val="false"/>
                                <w:smallCaps w:val="false"/>
                              </w:rPr>
                            </w:pPr>
                            <w:r>
                              <w:rPr>
                                <w:caps w:val="false"/>
                                <w:smallCaps w:val="false"/>
                              </w:rPr>
                              <w:t xml:space="preserve">●     </w:t>
                            </w:r>
                            <w:r>
                              <w:rPr>
                                <w:rFonts w:ascii="Arial" w:hAnsi="Arial"/>
                                <w:b w:val="false"/>
                                <w:i w:val="false"/>
                                <w:caps w:val="false"/>
                                <w:smallCaps w:val="false"/>
                                <w:sz w:val="18"/>
                              </w:rPr>
                              <w:t xml:space="preserve">Reduced two RAC items by activating a specific protocol on how to act when </w:t>
                            </w:r>
                            <w:r>
                              <w:rPr>
                                <w:rFonts w:ascii="Arial" w:hAnsi="Arial"/>
                                <w:b w:val="false"/>
                                <w:i/>
                                <w:caps w:val="false"/>
                                <w:smallCaps w:val="false"/>
                                <w:sz w:val="18"/>
                              </w:rPr>
                              <w:t xml:space="preserve">Indecopi </w:t>
                            </w:r>
                            <w:r>
                              <w:rPr>
                                <w:rFonts w:ascii="Arial" w:hAnsi="Arial"/>
                                <w:b w:val="false"/>
                                <w:i w:val="false"/>
                                <w:caps w:val="false"/>
                                <w:smallCaps w:val="false"/>
                                <w:sz w:val="18"/>
                              </w:rPr>
                              <w:t>conducts a fair competition inspection and another on third-party technology services contracting.</w:t>
                            </w:r>
                          </w:p>
                          <w:p>
                            <w:pPr>
                              <w:pStyle w:val="TableContents"/>
                              <w:bidi w:val="0"/>
                              <w:spacing w:before="0" w:after="0"/>
                              <w:ind w:left="648" w:right="0" w:hanging="648"/>
                              <w:jc w:val="both"/>
                              <w:rPr>
                                <w:caps w:val="false"/>
                                <w:smallCaps w:val="false"/>
                              </w:rPr>
                            </w:pPr>
                            <w:r>
                              <w:rPr>
                                <w:caps w:val="false"/>
                                <w:smallCaps w:val="false"/>
                              </w:rPr>
                              <w:t xml:space="preserve">●         </w:t>
                            </w:r>
                            <w:r>
                              <w:rPr>
                                <w:rFonts w:ascii="Arial" w:hAnsi="Arial"/>
                                <w:b w:val="false"/>
                                <w:i w:val="false"/>
                                <w:caps w:val="false"/>
                                <w:smallCaps w:val="false"/>
                                <w:sz w:val="18"/>
                              </w:rPr>
                              <w:t xml:space="preserve">Neither Credicorp nor any of its subsidiaries has a completed anti-competitive legal action.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13">
                <wp:simplePos x="0" y="0"/>
                <wp:positionH relativeFrom="column">
                  <wp:align>right</wp:align>
                </wp:positionH>
                <wp:positionV relativeFrom="line">
                  <wp:posOffset>635</wp:posOffset>
                </wp:positionV>
                <wp:extent cx="3175000" cy="4575810"/>
                <wp:effectExtent l="0" t="0" r="0" b="0"/>
                <wp:wrapSquare wrapText="left"/>
                <wp:docPr id="434" name="Frame129"/>
                <a:graphic xmlns:a="http://schemas.openxmlformats.org/drawingml/2006/main">
                  <a:graphicData uri="http://schemas.microsoft.com/office/word/2010/wordprocessingShape">
                    <wps:wsp>
                      <wps:cNvSpPr txBox="1"/>
                      <wps:spPr>
                        <a:xfrm>
                          <a:off x="0" y="0"/>
                          <a:ext cx="3175000" cy="457581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785"/>
                              <w:gridCol w:w="9420"/>
                            </w:tblGrid>
                            <w:tr>
                              <w:trPr/>
                              <w:tc>
                                <w:tcPr>
                                  <w:tcW w:w="785" w:type="dxa"/>
                                  <w:tcBorders/>
                                  <w:shd w:fill="FE7233" w:val="clear"/>
                                  <w:vAlign w:val="center"/>
                                </w:tcPr>
                                <w:p>
                                  <w:pPr>
                                    <w:pStyle w:val="TableContents"/>
                                    <w:bidi w:val="0"/>
                                    <w:spacing w:before="0" w:after="0"/>
                                    <w:ind w:left="0" w:right="0" w:hanging="0"/>
                                    <w:jc w:val="center"/>
                                    <w:rPr>
                                      <w:rFonts w:ascii="Arial" w:hAnsi="Arial"/>
                                      <w:b/>
                                      <w:i w:val="false"/>
                                      <w:caps w:val="false"/>
                                      <w:smallCaps w:val="false"/>
                                      <w:color w:val="FFFFFF"/>
                                      <w:sz w:val="20"/>
                                    </w:rPr>
                                  </w:pPr>
                                  <w:r>
                                    <w:rPr>
                                      <w:rFonts w:ascii="Arial" w:hAnsi="Arial"/>
                                      <w:b/>
                                      <w:i w:val="false"/>
                                      <w:caps w:val="false"/>
                                      <w:smallCaps w:val="false"/>
                                      <w:color w:val="FFFFFF"/>
                                      <w:sz w:val="20"/>
                                    </w:rPr>
                                    <w:t>Market</w:t>
                                  </w:r>
                                </w:p>
                                <w:p>
                                  <w:pPr>
                                    <w:pStyle w:val="TableContents"/>
                                    <w:bidi w:val="0"/>
                                    <w:spacing w:before="0" w:after="0"/>
                                    <w:ind w:left="0" w:right="0" w:hanging="0"/>
                                    <w:jc w:val="center"/>
                                    <w:rPr>
                                      <w:rFonts w:ascii="Arial" w:hAnsi="Arial"/>
                                      <w:b/>
                                      <w:i w:val="false"/>
                                      <w:caps w:val="false"/>
                                      <w:smallCaps w:val="false"/>
                                      <w:color w:val="FFFFFF"/>
                                      <w:sz w:val="20"/>
                                    </w:rPr>
                                  </w:pPr>
                                  <w:r>
                                    <w:rPr>
                                      <w:rFonts w:ascii="Arial" w:hAnsi="Arial"/>
                                      <w:b/>
                                      <w:i w:val="false"/>
                                      <w:caps w:val="false"/>
                                      <w:smallCaps w:val="false"/>
                                      <w:color w:val="FFFFFF"/>
                                      <w:sz w:val="20"/>
                                    </w:rPr>
                                    <w:t>conduct</w:t>
                                  </w:r>
                                </w:p>
                              </w:tc>
                              <w:tc>
                                <w:tcPr>
                                  <w:tcW w:w="9420" w:type="dxa"/>
                                  <w:tcBorders>
                                    <w:top w:val="single" w:sz="8" w:space="0" w:color="ED7C30"/>
                                    <w:bottom w:val="single" w:sz="8" w:space="0" w:color="ED7C30"/>
                                    <w:right w:val="single" w:sz="8" w:space="0" w:color="ED7C30"/>
                                  </w:tcBorders>
                                  <w:tcMar>
                                    <w:top w:w="160" w:type="dxa"/>
                                    <w:bottom w:w="160" w:type="dxa"/>
                                    <w:right w:w="180" w:type="dxa"/>
                                  </w:tcMar>
                                  <w:vAlign w:val="center"/>
                                </w:tcPr>
                                <w:p>
                                  <w:pPr>
                                    <w:pStyle w:val="TableContents"/>
                                    <w:bidi w:val="0"/>
                                    <w:spacing w:before="0" w:after="0"/>
                                    <w:ind w:left="0" w:right="0" w:hanging="0"/>
                                    <w:jc w:val="left"/>
                                    <w:rPr>
                                      <w:rFonts w:ascii="Arial" w:hAnsi="Arial"/>
                                      <w:b w:val="false"/>
                                      <w:i w:val="false"/>
                                      <w:caps w:val="false"/>
                                      <w:smallCaps w:val="false"/>
                                      <w:sz w:val="18"/>
                                    </w:rPr>
                                  </w:pPr>
                                  <w:r>
                                    <w:rPr>
                                      <w:rFonts w:ascii="Arial" w:hAnsi="Arial"/>
                                      <w:b w:val="false"/>
                                      <w:i w:val="false"/>
                                      <w:caps w:val="false"/>
                                      <w:smallCaps w:val="false"/>
                                      <w:sz w:val="18"/>
                                    </w:rPr>
                                    <w:t>During 2023, we sought to maintain commercial best practice, comply with the increased market conduct regulations, have our employees internalize the guidelines, and deliver our clients a product and service offer based on their real needs. </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18"/>
                                    </w:rPr>
                                    <w:t>Our employees complied with training in good sales practices and client service. We achieved 94% participation in the regulatory courses and an average score of 18 out of 20.</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18"/>
                                    </w:rPr>
                                    <w:t>Together with the Product Tribes and staff of the Division of Service Channels and Labor Relations, we defined changes in the unusual sales alerts and frequency of our Responsible Sales Monitoring Model for consumer products. We also delivered training and presented results to various committees with area, regional, and agency managers on the penalties applying to bad practices and the strengthened processes based on case studies.</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18"/>
                                    </w:rPr>
                                    <w:t>We increased the scope of program monitoring to identify non-compliance and/or eventualities in the processes and make timely corrections. By the end of 2023, we had undertaken 100% of the planned monitoring (28 activities) and obtained an average compliance of 88% (“regular”). We made 65 recommendations, of which 60% have now been implemented. </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18"/>
                                    </w:rPr>
                                    <w:t>We rolled out a strategic project (</w:t>
                                  </w:r>
                                  <w:r>
                                    <w:rPr>
                                      <w:rFonts w:ascii="Arial" w:hAnsi="Arial"/>
                                      <w:b w:val="false"/>
                                      <w:i/>
                                      <w:caps w:val="false"/>
                                      <w:smallCaps w:val="false"/>
                                      <w:sz w:val="18"/>
                                    </w:rPr>
                                    <w:t>Proyecto Estratégico de Gestión de Visita SBS</w:t>
                                  </w:r>
                                  <w:r>
                                    <w:rPr>
                                      <w:rFonts w:ascii="Arial" w:hAnsi="Arial"/>
                                      <w:b w:val="false"/>
                                      <w:i w:val="false"/>
                                      <w:caps w:val="false"/>
                                      <w:smallCaps w:val="false"/>
                                      <w:sz w:val="18"/>
                                    </w:rPr>
                                    <w:t xml:space="preserve">) to manage SBS inspection visits and generate efficiencies when meeting its requirements. </w:t>
                                  </w:r>
                                </w:p>
                              </w:tc>
                            </w:tr>
                          </w:tbl>
                          <w:p>
                            <w:pPr>
                              <w:pStyle w:val="TextBody"/>
                              <w:bidi w:val="0"/>
                              <w:spacing w:before="0" w:after="0"/>
                              <w:ind w:left="0" w:right="0" w:hanging="0"/>
                              <w:jc w:val="left"/>
                              <w:rPr>
                                <w:caps w:val="false"/>
                                <w:smallCaps w:val="false"/>
                                <w:color w:val="FE5000"/>
                              </w:rPr>
                            </w:pPr>
                            <w:r>
                              <w:rPr>
                                <w:caps w:val="false"/>
                                <w:smallCaps w:val="false"/>
                                <w:color w:val="FE5000"/>
                              </w:rPr>
                              <w:t> </w:t>
                            </w:r>
                          </w:p>
                          <w:tbl>
                            <w:tblPr>
                              <w:tblW w:w="10205" w:type="dxa"/>
                              <w:jc w:val="left"/>
                              <w:tblInd w:w="0" w:type="dxa"/>
                              <w:tblLayout w:type="fixed"/>
                              <w:tblCellMar>
                                <w:top w:w="0" w:type="dxa"/>
                                <w:left w:w="0" w:type="dxa"/>
                                <w:bottom w:w="0" w:type="dxa"/>
                                <w:right w:w="0" w:type="dxa"/>
                              </w:tblCellMar>
                            </w:tblPr>
                            <w:tblGrid>
                              <w:gridCol w:w="950"/>
                              <w:gridCol w:w="9255"/>
                            </w:tblGrid>
                            <w:tr>
                              <w:trPr/>
                              <w:tc>
                                <w:tcPr>
                                  <w:tcW w:w="950" w:type="dxa"/>
                                  <w:tcBorders/>
                                  <w:shd w:fill="FE7233" w:val="clear"/>
                                  <w:vAlign w:val="center"/>
                                </w:tcPr>
                                <w:p>
                                  <w:pPr>
                                    <w:pStyle w:val="TableContents"/>
                                    <w:bidi w:val="0"/>
                                    <w:spacing w:before="0" w:after="0"/>
                                    <w:ind w:left="0" w:right="0" w:hanging="0"/>
                                    <w:jc w:val="center"/>
                                    <w:rPr>
                                      <w:rFonts w:ascii="Arial" w:hAnsi="Arial"/>
                                      <w:b/>
                                      <w:i w:val="false"/>
                                      <w:caps w:val="false"/>
                                      <w:smallCaps w:val="false"/>
                                      <w:color w:val="FFFFFF"/>
                                      <w:sz w:val="18"/>
                                    </w:rPr>
                                  </w:pPr>
                                  <w:r>
                                    <w:rPr>
                                      <w:rFonts w:ascii="Arial" w:hAnsi="Arial"/>
                                      <w:b/>
                                      <w:i w:val="false"/>
                                      <w:caps w:val="false"/>
                                      <w:smallCaps w:val="false"/>
                                      <w:color w:val="FFFFFF"/>
                                      <w:sz w:val="18"/>
                                    </w:rPr>
                                    <w:t>Market</w:t>
                                  </w:r>
                                </w:p>
                                <w:p>
                                  <w:pPr>
                                    <w:pStyle w:val="TableContents"/>
                                    <w:bidi w:val="0"/>
                                    <w:spacing w:before="0" w:after="0"/>
                                    <w:ind w:left="0" w:right="0" w:hanging="0"/>
                                    <w:jc w:val="center"/>
                                    <w:rPr>
                                      <w:rFonts w:ascii="Arial" w:hAnsi="Arial"/>
                                      <w:b/>
                                      <w:i w:val="false"/>
                                      <w:caps w:val="false"/>
                                      <w:smallCaps w:val="false"/>
                                      <w:color w:val="FFFFFF"/>
                                      <w:sz w:val="18"/>
                                    </w:rPr>
                                  </w:pPr>
                                  <w:r>
                                    <w:rPr>
                                      <w:rFonts w:ascii="Arial" w:hAnsi="Arial"/>
                                      <w:b/>
                                      <w:i w:val="false"/>
                                      <w:caps w:val="false"/>
                                      <w:smallCaps w:val="false"/>
                                      <w:color w:val="FFFFFF"/>
                                      <w:sz w:val="18"/>
                                    </w:rPr>
                                    <w:t>abuse</w:t>
                                  </w:r>
                                </w:p>
                                <w:p>
                                  <w:pPr>
                                    <w:pStyle w:val="TableContents"/>
                                    <w:bidi w:val="0"/>
                                    <w:spacing w:before="0" w:after="0"/>
                                    <w:ind w:left="0" w:right="0" w:hanging="0"/>
                                    <w:jc w:val="center"/>
                                    <w:rPr>
                                      <w:rFonts w:ascii="Arial" w:hAnsi="Arial"/>
                                      <w:b/>
                                      <w:i w:val="false"/>
                                      <w:caps w:val="false"/>
                                      <w:smallCaps w:val="false"/>
                                      <w:color w:val="FFFFFF"/>
                                      <w:sz w:val="18"/>
                                    </w:rPr>
                                  </w:pPr>
                                  <w:r>
                                    <w:rPr>
                                      <w:rFonts w:ascii="Arial" w:hAnsi="Arial"/>
                                      <w:b/>
                                      <w:i w:val="false"/>
                                      <w:caps w:val="false"/>
                                      <w:smallCaps w:val="false"/>
                                      <w:color w:val="FFFFFF"/>
                                      <w:sz w:val="18"/>
                                    </w:rPr>
                                    <w:t>prevention</w:t>
                                  </w:r>
                                </w:p>
                              </w:tc>
                              <w:tc>
                                <w:tcPr>
                                  <w:tcW w:w="9255" w:type="dxa"/>
                                  <w:tcBorders>
                                    <w:top w:val="single" w:sz="8" w:space="0" w:color="ED7C30"/>
                                    <w:bottom w:val="single" w:sz="8" w:space="0" w:color="ED7C30"/>
                                    <w:right w:val="single" w:sz="8" w:space="0" w:color="ED7C30"/>
                                  </w:tcBorders>
                                  <w:tcMar>
                                    <w:top w:w="160" w:type="dxa"/>
                                    <w:bottom w:w="160" w:type="dxa"/>
                                    <w:right w:w="180" w:type="dxa"/>
                                  </w:tcMar>
                                  <w:vAlign w:val="center"/>
                                </w:tcPr>
                                <w:p>
                                  <w:pPr>
                                    <w:pStyle w:val="TableContents"/>
                                    <w:bidi w:val="0"/>
                                    <w:spacing w:before="0" w:after="0"/>
                                    <w:ind w:left="0" w:right="0" w:hanging="0"/>
                                    <w:jc w:val="left"/>
                                    <w:rPr>
                                      <w:rFonts w:ascii="Arial" w:hAnsi="Arial"/>
                                      <w:b w:val="false"/>
                                      <w:i w:val="false"/>
                                      <w:caps w:val="false"/>
                                      <w:smallCaps w:val="false"/>
                                      <w:sz w:val="18"/>
                                    </w:rPr>
                                  </w:pPr>
                                  <w:r>
                                    <w:rPr>
                                      <w:rFonts w:ascii="Arial" w:hAnsi="Arial"/>
                                      <w:b w:val="false"/>
                                      <w:i w:val="false"/>
                                      <w:caps w:val="false"/>
                                      <w:smallCaps w:val="false"/>
                                      <w:sz w:val="18"/>
                                    </w:rPr>
                                    <w:t>To encourage market and financial institution transparency, we prohibit the use of insider information and market manipulation. More specifically, during 2023:</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18"/>
                                    </w:rPr>
                                    <w:t>Prima AFP developed a specific Conflict of Interest Guide to enable the company to identify and manage potential conflict of interest scenarios.</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18"/>
                                    </w:rPr>
                                    <w:t>Credicorp Capital ratified its adherence to the Assets Manager Code of Conduct of the CFA Institute in Peru, Chile, and Colombia.</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18"/>
                                    </w:rPr>
                                    <w:t>In response to a new portfolio management regulation in Peru, we conducted a risk analysis and updated our policy and suitability guidelines.</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18"/>
                                    </w:rPr>
                                    <w:t>We assessed 192 cases of possible misuse of insider information and potential market manipulation. Suspicious transactions were identified in seven of those cases, and appropriate measures were taken.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60.3pt;mso-wrap-distance-left:0pt;mso-wrap-distance-right:0pt;mso-wrap-distance-top:0pt;mso-wrap-distance-bottom:0pt;margin-top:0pt;mso-position-vertical:top;mso-position-vertical-relative:text;margin-left:260.25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785"/>
                        <w:gridCol w:w="9420"/>
                      </w:tblGrid>
                      <w:tr>
                        <w:trPr/>
                        <w:tc>
                          <w:tcPr>
                            <w:tcW w:w="785" w:type="dxa"/>
                            <w:tcBorders/>
                            <w:shd w:fill="FE7233" w:val="clear"/>
                            <w:vAlign w:val="center"/>
                          </w:tcPr>
                          <w:p>
                            <w:pPr>
                              <w:pStyle w:val="TableContents"/>
                              <w:bidi w:val="0"/>
                              <w:spacing w:before="0" w:after="0"/>
                              <w:ind w:left="0" w:right="0" w:hanging="0"/>
                              <w:jc w:val="center"/>
                              <w:rPr>
                                <w:rFonts w:ascii="Arial" w:hAnsi="Arial"/>
                                <w:b/>
                                <w:i w:val="false"/>
                                <w:caps w:val="false"/>
                                <w:smallCaps w:val="false"/>
                                <w:color w:val="FFFFFF"/>
                                <w:sz w:val="20"/>
                              </w:rPr>
                            </w:pPr>
                            <w:r>
                              <w:rPr>
                                <w:rFonts w:ascii="Arial" w:hAnsi="Arial"/>
                                <w:b/>
                                <w:i w:val="false"/>
                                <w:caps w:val="false"/>
                                <w:smallCaps w:val="false"/>
                                <w:color w:val="FFFFFF"/>
                                <w:sz w:val="20"/>
                              </w:rPr>
                              <w:t>Market</w:t>
                            </w:r>
                          </w:p>
                          <w:p>
                            <w:pPr>
                              <w:pStyle w:val="TableContents"/>
                              <w:bidi w:val="0"/>
                              <w:spacing w:before="0" w:after="0"/>
                              <w:ind w:left="0" w:right="0" w:hanging="0"/>
                              <w:jc w:val="center"/>
                              <w:rPr>
                                <w:rFonts w:ascii="Arial" w:hAnsi="Arial"/>
                                <w:b/>
                                <w:i w:val="false"/>
                                <w:caps w:val="false"/>
                                <w:smallCaps w:val="false"/>
                                <w:color w:val="FFFFFF"/>
                                <w:sz w:val="20"/>
                              </w:rPr>
                            </w:pPr>
                            <w:r>
                              <w:rPr>
                                <w:rFonts w:ascii="Arial" w:hAnsi="Arial"/>
                                <w:b/>
                                <w:i w:val="false"/>
                                <w:caps w:val="false"/>
                                <w:smallCaps w:val="false"/>
                                <w:color w:val="FFFFFF"/>
                                <w:sz w:val="20"/>
                              </w:rPr>
                              <w:t>conduct</w:t>
                            </w:r>
                          </w:p>
                        </w:tc>
                        <w:tc>
                          <w:tcPr>
                            <w:tcW w:w="9420" w:type="dxa"/>
                            <w:tcBorders>
                              <w:top w:val="single" w:sz="8" w:space="0" w:color="ED7C30"/>
                              <w:bottom w:val="single" w:sz="8" w:space="0" w:color="ED7C30"/>
                              <w:right w:val="single" w:sz="8" w:space="0" w:color="ED7C30"/>
                            </w:tcBorders>
                            <w:tcMar>
                              <w:top w:w="160" w:type="dxa"/>
                              <w:bottom w:w="160" w:type="dxa"/>
                              <w:right w:w="180" w:type="dxa"/>
                            </w:tcMar>
                            <w:vAlign w:val="center"/>
                          </w:tcPr>
                          <w:p>
                            <w:pPr>
                              <w:pStyle w:val="TableContents"/>
                              <w:bidi w:val="0"/>
                              <w:spacing w:before="0" w:after="0"/>
                              <w:ind w:left="0" w:right="0" w:hanging="0"/>
                              <w:jc w:val="left"/>
                              <w:rPr>
                                <w:rFonts w:ascii="Arial" w:hAnsi="Arial"/>
                                <w:b w:val="false"/>
                                <w:i w:val="false"/>
                                <w:caps w:val="false"/>
                                <w:smallCaps w:val="false"/>
                                <w:sz w:val="18"/>
                              </w:rPr>
                            </w:pPr>
                            <w:r>
                              <w:rPr>
                                <w:rFonts w:ascii="Arial" w:hAnsi="Arial"/>
                                <w:b w:val="false"/>
                                <w:i w:val="false"/>
                                <w:caps w:val="false"/>
                                <w:smallCaps w:val="false"/>
                                <w:sz w:val="18"/>
                              </w:rPr>
                              <w:t>During 2023, we sought to maintain commercial best practice, comply with the increased market conduct regulations, have our employees internalize the guidelines, and deliver our clients a product and service offer based on their real needs. </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18"/>
                              </w:rPr>
                              <w:t>Our employees complied with training in good sales practices and client service. We achieved 94% participation in the regulatory courses and an average score of 18 out of 20.</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18"/>
                              </w:rPr>
                              <w:t>Together with the Product Tribes and staff of the Division of Service Channels and Labor Relations, we defined changes in the unusual sales alerts and frequency of our Responsible Sales Monitoring Model for consumer products. We also delivered training and presented results to various committees with area, regional, and agency managers on the penalties applying to bad practices and the strengthened processes based on case studies.</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18"/>
                              </w:rPr>
                              <w:t>We increased the scope of program monitoring to identify non-compliance and/or eventualities in the processes and make timely corrections. By the end of 2023, we had undertaken 100% of the planned monitoring (28 activities) and obtained an average compliance of 88% (“regular”). We made 65 recommendations, of which 60% have now been implemented. </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18"/>
                              </w:rPr>
                              <w:t>We rolled out a strategic project (</w:t>
                            </w:r>
                            <w:r>
                              <w:rPr>
                                <w:rFonts w:ascii="Arial" w:hAnsi="Arial"/>
                                <w:b w:val="false"/>
                                <w:i/>
                                <w:caps w:val="false"/>
                                <w:smallCaps w:val="false"/>
                                <w:sz w:val="18"/>
                              </w:rPr>
                              <w:t>Proyecto Estratégico de Gestión de Visita SBS</w:t>
                            </w:r>
                            <w:r>
                              <w:rPr>
                                <w:rFonts w:ascii="Arial" w:hAnsi="Arial"/>
                                <w:b w:val="false"/>
                                <w:i w:val="false"/>
                                <w:caps w:val="false"/>
                                <w:smallCaps w:val="false"/>
                                <w:sz w:val="18"/>
                              </w:rPr>
                              <w:t xml:space="preserve">) to manage SBS inspection visits and generate efficiencies when meeting its requirements. </w:t>
                            </w:r>
                          </w:p>
                        </w:tc>
                      </w:tr>
                    </w:tbl>
                    <w:p>
                      <w:pPr>
                        <w:pStyle w:val="TextBody"/>
                        <w:bidi w:val="0"/>
                        <w:spacing w:before="0" w:after="0"/>
                        <w:ind w:left="0" w:right="0" w:hanging="0"/>
                        <w:jc w:val="left"/>
                        <w:rPr>
                          <w:caps w:val="false"/>
                          <w:smallCaps w:val="false"/>
                          <w:color w:val="FE5000"/>
                        </w:rPr>
                      </w:pPr>
                      <w:r>
                        <w:rPr>
                          <w:caps w:val="false"/>
                          <w:smallCaps w:val="false"/>
                          <w:color w:val="FE5000"/>
                        </w:rPr>
                        <w:t> </w:t>
                      </w:r>
                    </w:p>
                    <w:tbl>
                      <w:tblPr>
                        <w:tblW w:w="10205" w:type="dxa"/>
                        <w:jc w:val="left"/>
                        <w:tblInd w:w="0" w:type="dxa"/>
                        <w:tblLayout w:type="fixed"/>
                        <w:tblCellMar>
                          <w:top w:w="0" w:type="dxa"/>
                          <w:left w:w="0" w:type="dxa"/>
                          <w:bottom w:w="0" w:type="dxa"/>
                          <w:right w:w="0" w:type="dxa"/>
                        </w:tblCellMar>
                      </w:tblPr>
                      <w:tblGrid>
                        <w:gridCol w:w="950"/>
                        <w:gridCol w:w="9255"/>
                      </w:tblGrid>
                      <w:tr>
                        <w:trPr/>
                        <w:tc>
                          <w:tcPr>
                            <w:tcW w:w="950" w:type="dxa"/>
                            <w:tcBorders/>
                            <w:shd w:fill="FE7233" w:val="clear"/>
                            <w:vAlign w:val="center"/>
                          </w:tcPr>
                          <w:p>
                            <w:pPr>
                              <w:pStyle w:val="TableContents"/>
                              <w:bidi w:val="0"/>
                              <w:spacing w:before="0" w:after="0"/>
                              <w:ind w:left="0" w:right="0" w:hanging="0"/>
                              <w:jc w:val="center"/>
                              <w:rPr>
                                <w:rFonts w:ascii="Arial" w:hAnsi="Arial"/>
                                <w:b/>
                                <w:i w:val="false"/>
                                <w:caps w:val="false"/>
                                <w:smallCaps w:val="false"/>
                                <w:color w:val="FFFFFF"/>
                                <w:sz w:val="18"/>
                              </w:rPr>
                            </w:pPr>
                            <w:r>
                              <w:rPr>
                                <w:rFonts w:ascii="Arial" w:hAnsi="Arial"/>
                                <w:b/>
                                <w:i w:val="false"/>
                                <w:caps w:val="false"/>
                                <w:smallCaps w:val="false"/>
                                <w:color w:val="FFFFFF"/>
                                <w:sz w:val="18"/>
                              </w:rPr>
                              <w:t>Market</w:t>
                            </w:r>
                          </w:p>
                          <w:p>
                            <w:pPr>
                              <w:pStyle w:val="TableContents"/>
                              <w:bidi w:val="0"/>
                              <w:spacing w:before="0" w:after="0"/>
                              <w:ind w:left="0" w:right="0" w:hanging="0"/>
                              <w:jc w:val="center"/>
                              <w:rPr>
                                <w:rFonts w:ascii="Arial" w:hAnsi="Arial"/>
                                <w:b/>
                                <w:i w:val="false"/>
                                <w:caps w:val="false"/>
                                <w:smallCaps w:val="false"/>
                                <w:color w:val="FFFFFF"/>
                                <w:sz w:val="18"/>
                              </w:rPr>
                            </w:pPr>
                            <w:r>
                              <w:rPr>
                                <w:rFonts w:ascii="Arial" w:hAnsi="Arial"/>
                                <w:b/>
                                <w:i w:val="false"/>
                                <w:caps w:val="false"/>
                                <w:smallCaps w:val="false"/>
                                <w:color w:val="FFFFFF"/>
                                <w:sz w:val="18"/>
                              </w:rPr>
                              <w:t>abuse</w:t>
                            </w:r>
                          </w:p>
                          <w:p>
                            <w:pPr>
                              <w:pStyle w:val="TableContents"/>
                              <w:bidi w:val="0"/>
                              <w:spacing w:before="0" w:after="0"/>
                              <w:ind w:left="0" w:right="0" w:hanging="0"/>
                              <w:jc w:val="center"/>
                              <w:rPr>
                                <w:rFonts w:ascii="Arial" w:hAnsi="Arial"/>
                                <w:b/>
                                <w:i w:val="false"/>
                                <w:caps w:val="false"/>
                                <w:smallCaps w:val="false"/>
                                <w:color w:val="FFFFFF"/>
                                <w:sz w:val="18"/>
                              </w:rPr>
                            </w:pPr>
                            <w:r>
                              <w:rPr>
                                <w:rFonts w:ascii="Arial" w:hAnsi="Arial"/>
                                <w:b/>
                                <w:i w:val="false"/>
                                <w:caps w:val="false"/>
                                <w:smallCaps w:val="false"/>
                                <w:color w:val="FFFFFF"/>
                                <w:sz w:val="18"/>
                              </w:rPr>
                              <w:t>prevention</w:t>
                            </w:r>
                          </w:p>
                        </w:tc>
                        <w:tc>
                          <w:tcPr>
                            <w:tcW w:w="9255" w:type="dxa"/>
                            <w:tcBorders>
                              <w:top w:val="single" w:sz="8" w:space="0" w:color="ED7C30"/>
                              <w:bottom w:val="single" w:sz="8" w:space="0" w:color="ED7C30"/>
                              <w:right w:val="single" w:sz="8" w:space="0" w:color="ED7C30"/>
                            </w:tcBorders>
                            <w:tcMar>
                              <w:top w:w="160" w:type="dxa"/>
                              <w:bottom w:w="160" w:type="dxa"/>
                              <w:right w:w="180" w:type="dxa"/>
                            </w:tcMar>
                            <w:vAlign w:val="center"/>
                          </w:tcPr>
                          <w:p>
                            <w:pPr>
                              <w:pStyle w:val="TableContents"/>
                              <w:bidi w:val="0"/>
                              <w:spacing w:before="0" w:after="0"/>
                              <w:ind w:left="0" w:right="0" w:hanging="0"/>
                              <w:jc w:val="left"/>
                              <w:rPr>
                                <w:rFonts w:ascii="Arial" w:hAnsi="Arial"/>
                                <w:b w:val="false"/>
                                <w:i w:val="false"/>
                                <w:caps w:val="false"/>
                                <w:smallCaps w:val="false"/>
                                <w:sz w:val="18"/>
                              </w:rPr>
                            </w:pPr>
                            <w:r>
                              <w:rPr>
                                <w:rFonts w:ascii="Arial" w:hAnsi="Arial"/>
                                <w:b w:val="false"/>
                                <w:i w:val="false"/>
                                <w:caps w:val="false"/>
                                <w:smallCaps w:val="false"/>
                                <w:sz w:val="18"/>
                              </w:rPr>
                              <w:t>To encourage market and financial institution transparency, we prohibit the use of insider information and market manipulation. More specifically, during 2023:</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18"/>
                              </w:rPr>
                              <w:t>Prima AFP developed a specific Conflict of Interest Guide to enable the company to identify and manage potential conflict of interest scenarios.</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18"/>
                              </w:rPr>
                              <w:t>Credicorp Capital ratified its adherence to the Assets Manager Code of Conduct of the CFA Institute in Peru, Chile, and Colombia.</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18"/>
                              </w:rPr>
                              <w:t>In response to a new portfolio management regulation in Peru, we conducted a risk analysis and updated our policy and suitability guidelines.</w:t>
                            </w:r>
                          </w:p>
                          <w:p>
                            <w:pPr>
                              <w:pStyle w:val="TableContents"/>
                              <w:bidi w:val="0"/>
                              <w:spacing w:before="0" w:after="0"/>
                              <w:ind w:left="360" w:right="0" w:hanging="360"/>
                              <w:jc w:val="left"/>
                              <w:rPr>
                                <w:caps w:val="false"/>
                                <w:smallCaps w:val="false"/>
                              </w:rPr>
                            </w:pPr>
                            <w:r>
                              <w:rPr>
                                <w:caps w:val="false"/>
                                <w:smallCaps w:val="false"/>
                              </w:rPr>
                              <w:t>       </w:t>
                            </w:r>
                            <w:r>
                              <w:rPr>
                                <w:rFonts w:ascii="Arial" w:hAnsi="Arial"/>
                                <w:b w:val="false"/>
                                <w:i w:val="false"/>
                                <w:caps w:val="false"/>
                                <w:smallCaps w:val="false"/>
                                <w:sz w:val="18"/>
                              </w:rPr>
                              <w:t>We assessed 192 cases of possible misuse of insider information and potential market manipulation. Suspicious transactions were identified in seven of those cases, and appropriate measures were taken.</w:t>
                            </w:r>
                          </w:p>
                        </w:tc>
                      </w:tr>
                    </w:tbl>
                    <w:p>
                      <w:pPr>
                        <w:pStyle w:val="TextBody"/>
                        <w:bidi w:val="0"/>
                        <w:spacing w:before="0" w:after="283"/>
                        <w:jc w:val="left"/>
                        <w:rPr/>
                      </w:pPr>
                      <w:r>
                        <w:rPr/>
                      </w:r>
                    </w:p>
                  </w:txbxContent>
                </v:textbox>
                <w10:wrap type="square" side="left"/>
              </v:rect>
            </w:pict>
          </mc:Fallback>
        </mc:AlternateConten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CIBERSECURITY, PRIVACY, AND ETHICAL DATA MANAGEMENT</w:t>
      </w:r>
    </w:p>
    <w:p>
      <w:pPr>
        <w:pStyle w:val="TextBody"/>
        <w:bidi w:val="0"/>
        <w:spacing w:before="60" w:after="6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i w:val="false"/>
          <w:caps w:val="false"/>
          <w:smallCaps w:val="false"/>
          <w:sz w:val="20"/>
        </w:rPr>
        <w:t>MATERIAL TOPICS CIBERSECURITY, PRIVACY, AND ETHICAL DATA MANAGEMENT</w:t>
      </w:r>
      <w:r>
        <w:rPr>
          <w:rFonts w:ascii="Arial" w:hAnsi="Arial"/>
          <w:b w:val="false"/>
          <w:i w:val="false"/>
          <w:caps w:val="false"/>
          <w:smallCaps w:val="false"/>
          <w:sz w:val="20"/>
        </w:rPr>
        <w:t> </w:t>
      </w:r>
    </w:p>
    <w:p>
      <w:pPr>
        <w:pStyle w:val="TextBody"/>
        <w:bidi w:val="0"/>
        <w:spacing w:before="0" w:after="0"/>
        <w:ind w:left="0" w:right="0" w:hanging="0"/>
        <w:jc w:val="left"/>
        <w:rPr>
          <w:rFonts w:ascii="Arial" w:hAnsi="Arial"/>
          <w:b w:val="false"/>
          <w:i w:val="false"/>
          <w:caps w:val="false"/>
          <w:smallCaps w:val="false"/>
          <w:sz w:val="16"/>
        </w:rPr>
      </w:pPr>
      <w:r>
        <w:rPr>
          <w:rFonts w:ascii="Arial" w:hAnsi="Arial"/>
          <w:b/>
          <w:i w:val="false"/>
          <w:caps w:val="false"/>
          <w:smallCaps w:val="false"/>
          <w:sz w:val="20"/>
        </w:rPr>
        <w:t xml:space="preserve">GRI </w:t>
      </w:r>
      <w:r>
        <w:rPr>
          <w:rFonts w:ascii="Arial" w:hAnsi="Arial"/>
          <w:b w:val="false"/>
          <w:i w:val="false"/>
          <w:caps w:val="false"/>
          <w:smallCaps w:val="false"/>
          <w:sz w:val="20"/>
        </w:rPr>
        <w:t>418-1</w:t>
      </w:r>
      <w:r>
        <w:rPr>
          <w:rFonts w:ascii="Arial" w:hAnsi="Arial"/>
          <w:b w:val="false"/>
          <w:i w:val="false"/>
          <w:caps w:val="false"/>
          <w:smallCaps w:val="false"/>
          <w:sz w:val="16"/>
        </w:rPr>
        <w:t> </w:t>
      </w:r>
    </w:p>
    <w:tbl>
      <w:tblPr>
        <w:tblW w:w="210" w:type="dxa"/>
        <w:jc w:val="left"/>
        <w:tblInd w:w="0" w:type="dxa"/>
        <w:tblLayout w:type="fixed"/>
        <w:tblCellMar>
          <w:top w:w="0" w:type="dxa"/>
          <w:left w:w="0" w:type="dxa"/>
          <w:bottom w:w="28" w:type="dxa"/>
          <w:right w:w="0" w:type="dxa"/>
        </w:tblCellMar>
      </w:tblPr>
      <w:tblGrid>
        <w:gridCol w:w="75"/>
        <w:gridCol w:w="60"/>
        <w:gridCol w:w="75"/>
      </w:tblGrid>
      <w:tr>
        <w:trPr/>
        <w:tc>
          <w:tcPr>
            <w:tcW w:w="75" w:type="dxa"/>
            <w:tcBorders>
              <w:bottom w:val="single" w:sz="8" w:space="0" w:color="5B9BD5"/>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5B9BD5"/>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5B9BD5"/>
            </w:tcBorders>
            <w:vAlign w:val="center"/>
          </w:tcPr>
          <w:p>
            <w:pPr>
              <w:pStyle w:val="TableContents"/>
              <w:bidi w:val="0"/>
              <w:spacing w:before="0" w:after="283"/>
              <w:jc w:val="left"/>
              <w:rPr>
                <w:caps w:val="false"/>
                <w:smallCaps w:val="false"/>
              </w:rPr>
            </w:pPr>
            <w:r>
              <w:rPr>
                <w:caps w:val="false"/>
                <w:smallCaps w:val="false"/>
              </w:rPr>
              <w:t> </w:t>
            </w:r>
          </w:p>
        </w:tc>
      </w:tr>
    </w:tbl>
    <w:tbl>
      <w:tblPr>
        <w:tblW w:w="9285" w:type="dxa"/>
        <w:jc w:val="left"/>
        <w:tblInd w:w="0" w:type="dxa"/>
        <w:tblLayout w:type="fixed"/>
        <w:tblCellMar>
          <w:top w:w="0" w:type="dxa"/>
          <w:left w:w="0" w:type="dxa"/>
          <w:bottom w:w="0" w:type="dxa"/>
          <w:right w:w="0" w:type="dxa"/>
        </w:tblCellMar>
      </w:tblPr>
      <w:tblGrid>
        <w:gridCol w:w="8510"/>
        <w:gridCol w:w="380"/>
        <w:gridCol w:w="395"/>
      </w:tblGrid>
      <w:tr>
        <w:trPr/>
        <w:tc>
          <w:tcPr>
            <w:tcW w:w="8510" w:type="dxa"/>
            <w:tcBorders/>
            <w:shd w:fill="000000" w:val="cle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GRI 418-1 Substantiated complaints concerning breaches of customer privacy and losses of customer data</w:t>
            </w:r>
          </w:p>
        </w:tc>
        <w:tc>
          <w:tcPr>
            <w:tcW w:w="380"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2023</w:t>
            </w:r>
          </w:p>
        </w:tc>
        <w:tc>
          <w:tcPr>
            <w:tcW w:w="395"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2022</w:t>
            </w:r>
          </w:p>
        </w:tc>
      </w:tr>
      <w:tr>
        <w:trPr/>
        <w:tc>
          <w:tcPr>
            <w:tcW w:w="8510" w:type="dxa"/>
            <w:tcBorders>
              <w:bottom w:val="single" w:sz="8" w:space="0" w:color="D0CECE"/>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single" w:sz="8" w:space="0" w:color="D0CECE"/>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single" w:sz="8" w:space="0" w:color="D0CECE"/>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510" w:type="dxa"/>
            <w:tcBorders>
              <w:bottom w:val="single" w:sz="8" w:space="0" w:color="BFBFBF"/>
            </w:tcBorders>
            <w:shd w:fill="FFFFFF" w:val="clear"/>
            <w:tcMar>
              <w:bottom w:w="28"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Total number of substantiated complaints</w:t>
            </w:r>
          </w:p>
        </w:tc>
        <w:tc>
          <w:tcPr>
            <w:tcW w:w="380" w:type="dxa"/>
            <w:tcBorders>
              <w:bottom w:val="single" w:sz="8" w:space="0" w:color="BFBFBF"/>
            </w:tcBorders>
            <w:shd w:fill="FFFFFF" w:val="clear"/>
            <w:tcMar>
              <w:bottom w:w="28" w:type="dxa"/>
            </w:tcMar>
            <w:vAlign w:val="center"/>
          </w:tcPr>
          <w:p>
            <w:pPr>
              <w:pStyle w:val="TableContents"/>
              <w:bidi w:val="0"/>
              <w:spacing w:before="0" w:after="283"/>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0</w:t>
            </w:r>
          </w:p>
        </w:tc>
        <w:tc>
          <w:tcPr>
            <w:tcW w:w="395" w:type="dxa"/>
            <w:tcBorders>
              <w:bottom w:val="single" w:sz="8" w:space="0" w:color="BFBFBF"/>
            </w:tcBorders>
            <w:tcMar>
              <w:bottom w:w="28" w:type="dxa"/>
            </w:tcMar>
            <w:vAlign w:val="center"/>
          </w:tcPr>
          <w:p>
            <w:pPr>
              <w:pStyle w:val="TableContents"/>
              <w:bidi w:val="0"/>
              <w:spacing w:before="0" w:after="283"/>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0</w:t>
            </w:r>
          </w:p>
        </w:tc>
      </w:tr>
    </w:tbl>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ECONOMIC AND FINANCIAL PERFORMANCE (IN ANNUAL REPORT)</w:t>
      </w:r>
    </w:p>
    <w:p>
      <w:pPr>
        <w:pStyle w:val="TextBody"/>
        <w:bidi w:val="0"/>
        <w:spacing w:before="60" w:after="6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left"/>
        <w:rPr>
          <w:rFonts w:ascii="Arial" w:hAnsi="Arial"/>
          <w:b w:val="false"/>
          <w:i w:val="false"/>
          <w:caps w:val="false"/>
          <w:smallCaps w:val="false"/>
          <w:sz w:val="20"/>
        </w:rPr>
      </w:pPr>
      <w:r>
        <w:rPr>
          <w:rFonts w:ascii="Arial" w:hAnsi="Arial"/>
          <w:b/>
          <w:i w:val="false"/>
          <w:caps w:val="false"/>
          <w:smallCaps w:val="false"/>
          <w:sz w:val="20"/>
        </w:rPr>
        <w:t>MATERIAL TOPIC ECONOMIC AND FINANCIAL PERFORMANCE</w:t>
      </w:r>
      <w:r>
        <w:rPr>
          <w:rFonts w:ascii="Arial" w:hAnsi="Arial"/>
          <w:b w:val="false"/>
          <w:i w:val="false"/>
          <w:caps w:val="false"/>
          <w:smallCaps w:val="false"/>
          <w:sz w:val="20"/>
        </w:rPr>
        <w:t> </w:t>
      </w:r>
    </w:p>
    <w:p>
      <w:pPr>
        <w:pStyle w:val="TextBody"/>
        <w:bidi w:val="0"/>
        <w:spacing w:before="0" w:after="0"/>
        <w:ind w:left="0" w:right="0" w:hanging="0"/>
        <w:jc w:val="left"/>
        <w:rPr>
          <w:rFonts w:ascii="Arial" w:hAnsi="Arial"/>
          <w:b w:val="false"/>
          <w:i w:val="false"/>
          <w:caps w:val="false"/>
          <w:smallCaps w:val="false"/>
          <w:sz w:val="16"/>
        </w:rPr>
      </w:pPr>
      <w:r>
        <w:rPr>
          <w:rFonts w:ascii="Arial" w:hAnsi="Arial"/>
          <w:b/>
          <w:i w:val="false"/>
          <w:caps w:val="false"/>
          <w:smallCaps w:val="false"/>
          <w:sz w:val="20"/>
        </w:rPr>
        <w:t xml:space="preserve">SASB </w:t>
      </w:r>
      <w:r>
        <w:rPr>
          <w:rFonts w:ascii="Arial" w:hAnsi="Arial"/>
          <w:b w:val="false"/>
          <w:i w:val="false"/>
          <w:caps w:val="false"/>
          <w:smallCaps w:val="false"/>
          <w:sz w:val="20"/>
        </w:rPr>
        <w:t>FN-CB-000.A, FB-CB-000.B</w:t>
      </w:r>
      <w:r>
        <w:rPr>
          <w:rFonts w:ascii="Arial" w:hAnsi="Arial"/>
          <w:b w:val="false"/>
          <w:i w:val="false"/>
          <w:caps w:val="false"/>
          <w:smallCaps w:val="false"/>
          <w:sz w:val="16"/>
        </w:rPr>
        <w:t> </w:t>
      </w:r>
    </w:p>
    <w:tbl>
      <w:tblPr>
        <w:tblW w:w="10205" w:type="dxa"/>
        <w:jc w:val="left"/>
        <w:tblInd w:w="0" w:type="dxa"/>
        <w:tblLayout w:type="fixed"/>
        <w:tblCellMar>
          <w:top w:w="0" w:type="dxa"/>
          <w:left w:w="0" w:type="dxa"/>
          <w:bottom w:w="0" w:type="dxa"/>
          <w:right w:w="0" w:type="dxa"/>
        </w:tblCellMar>
      </w:tblPr>
      <w:tblGrid>
        <w:gridCol w:w="4239"/>
        <w:gridCol w:w="1295"/>
        <w:gridCol w:w="976"/>
        <w:gridCol w:w="1055"/>
        <w:gridCol w:w="784"/>
        <w:gridCol w:w="1055"/>
        <w:gridCol w:w="801"/>
      </w:tblGrid>
      <w:tr>
        <w:trPr/>
        <w:tc>
          <w:tcPr>
            <w:tcW w:w="4239" w:type="dxa"/>
            <w:tcBorders/>
            <w:shd w:fill="000000" w:val="clear"/>
            <w:vAlign w:val="center"/>
          </w:tcPr>
          <w:p>
            <w:pPr>
              <w:pStyle w:val="TableContents"/>
              <w:bidi w:val="0"/>
              <w:spacing w:before="0" w:after="0"/>
              <w:ind w:left="0" w:right="0" w:hanging="0"/>
              <w:jc w:val="left"/>
              <w:rPr>
                <w:rFonts w:ascii="Arial" w:hAnsi="Arial"/>
                <w:b/>
                <w:i w:val="false"/>
                <w:caps w:val="false"/>
                <w:smallCaps w:val="false"/>
                <w:color w:val="FFFFFF"/>
                <w:sz w:val="16"/>
              </w:rPr>
            </w:pPr>
            <w:r>
              <w:rPr>
                <w:rFonts w:ascii="Arial" w:hAnsi="Arial"/>
                <w:b/>
                <w:i w:val="false"/>
                <w:caps w:val="false"/>
                <w:smallCaps w:val="false"/>
                <w:color w:val="FFFFFF"/>
                <w:sz w:val="16"/>
              </w:rPr>
              <w:t>SASB FN-CB-000. Number and value of checking and savings accounts</w:t>
            </w:r>
          </w:p>
          <w:p>
            <w:pPr>
              <w:pStyle w:val="TableContents"/>
              <w:bidi w:val="0"/>
              <w:spacing w:before="0" w:after="0"/>
              <w:ind w:left="0" w:right="0" w:hanging="0"/>
              <w:jc w:val="left"/>
              <w:rPr>
                <w:rFonts w:ascii="Arial" w:hAnsi="Arial"/>
                <w:b w:val="false"/>
                <w:i w:val="false"/>
                <w:caps w:val="false"/>
                <w:smallCaps w:val="false"/>
                <w:color w:val="FFFFFF"/>
                <w:sz w:val="16"/>
              </w:rPr>
            </w:pPr>
            <w:r>
              <w:rPr>
                <w:rFonts w:ascii="Arial" w:hAnsi="Arial"/>
                <w:b w:val="false"/>
                <w:i w:val="false"/>
                <w:caps w:val="false"/>
                <w:smallCaps w:val="false"/>
                <w:color w:val="FFFFFF"/>
                <w:sz w:val="16"/>
              </w:rPr>
              <w:br/>
            </w:r>
            <w:r>
              <w:rPr>
                <w:rFonts w:ascii="Arial" w:hAnsi="Arial"/>
                <w:b/>
                <w:i w:val="false"/>
                <w:caps w:val="false"/>
                <w:smallCaps w:val="false"/>
                <w:color w:val="FFFFFF"/>
                <w:sz w:val="16"/>
              </w:rPr>
              <w:t>by segment: (a) personal and (b) small business</w:t>
            </w:r>
          </w:p>
        </w:tc>
        <w:tc>
          <w:tcPr>
            <w:tcW w:w="2271" w:type="dxa"/>
            <w:gridSpan w:val="2"/>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2023*</w:t>
            </w:r>
          </w:p>
        </w:tc>
        <w:tc>
          <w:tcPr>
            <w:tcW w:w="1839" w:type="dxa"/>
            <w:gridSpan w:val="2"/>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2022*</w:t>
            </w:r>
          </w:p>
        </w:tc>
        <w:tc>
          <w:tcPr>
            <w:tcW w:w="1856" w:type="dxa"/>
            <w:gridSpan w:val="2"/>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2021*</w:t>
            </w:r>
          </w:p>
        </w:tc>
      </w:tr>
      <w:tr>
        <w:trPr/>
        <w:tc>
          <w:tcPr>
            <w:tcW w:w="4239" w:type="dxa"/>
            <w:tcBorders/>
            <w:shd w:fill="000000" w:val="clear"/>
            <w:vAlign w:val="center"/>
          </w:tcPr>
          <w:p>
            <w:pPr>
              <w:pStyle w:val="TableContents"/>
              <w:bidi w:val="0"/>
              <w:spacing w:before="0" w:after="283"/>
              <w:jc w:val="left"/>
              <w:rPr>
                <w:caps w:val="false"/>
                <w:smallCaps w:val="false"/>
              </w:rPr>
            </w:pPr>
            <w:r>
              <w:rPr>
                <w:caps w:val="false"/>
                <w:smallCaps w:val="false"/>
              </w:rPr>
              <w:t> </w:t>
            </w:r>
          </w:p>
        </w:tc>
        <w:tc>
          <w:tcPr>
            <w:tcW w:w="1295"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Number</w:t>
            </w:r>
          </w:p>
        </w:tc>
        <w:tc>
          <w:tcPr>
            <w:tcW w:w="976"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S/ millions</w:t>
            </w:r>
          </w:p>
        </w:tc>
        <w:tc>
          <w:tcPr>
            <w:tcW w:w="1055"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Number</w:t>
            </w:r>
          </w:p>
        </w:tc>
        <w:tc>
          <w:tcPr>
            <w:tcW w:w="784"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S/ millions</w:t>
            </w:r>
          </w:p>
        </w:tc>
        <w:tc>
          <w:tcPr>
            <w:tcW w:w="1055"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Number</w:t>
            </w:r>
          </w:p>
        </w:tc>
        <w:tc>
          <w:tcPr>
            <w:tcW w:w="801" w:type="dxa"/>
            <w:tcBorders/>
            <w:shd w:fill="000000" w:val="cle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S/ millions</w:t>
            </w:r>
          </w:p>
        </w:tc>
      </w:tr>
      <w:tr>
        <w:trPr/>
        <w:tc>
          <w:tcPr>
            <w:tcW w:w="4239" w:type="dxa"/>
            <w:tcBorders>
              <w:bottom w:val="single" w:sz="8" w:space="0" w:color="808080"/>
            </w:tcBorders>
            <w:shd w:fill="808080" w:val="clear"/>
            <w:tcMar>
              <w:bottom w:w="28" w:type="dxa"/>
            </w:tcM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Total</w:t>
            </w:r>
          </w:p>
        </w:tc>
        <w:tc>
          <w:tcPr>
            <w:tcW w:w="1295" w:type="dxa"/>
            <w:tcBorders>
              <w:bottom w:val="single" w:sz="8" w:space="0" w:color="808080"/>
            </w:tcBorders>
            <w:shd w:fill="808080" w:val="clear"/>
            <w:tcMar>
              <w:bottom w:w="28" w:type="dxa"/>
            </w:tcMar>
            <w:vAlign w:val="center"/>
          </w:tcPr>
          <w:p>
            <w:pPr>
              <w:pStyle w:val="TableContents"/>
              <w:bidi w:val="0"/>
              <w:spacing w:before="0" w:after="283"/>
              <w:jc w:val="center"/>
              <w:rPr>
                <w:rFonts w:ascii="Arial" w:hAnsi="Arial"/>
                <w:b w:val="false"/>
                <w:i w:val="false"/>
                <w:caps w:val="false"/>
                <w:smallCaps w:val="false"/>
                <w:color w:val="FFFFFF"/>
                <w:sz w:val="16"/>
              </w:rPr>
            </w:pPr>
            <w:r>
              <w:rPr>
                <w:rFonts w:ascii="Arial" w:hAnsi="Arial"/>
                <w:b w:val="false"/>
                <w:i w:val="false"/>
                <w:caps w:val="false"/>
                <w:smallCaps w:val="false"/>
                <w:color w:val="FFFFFF"/>
                <w:sz w:val="16"/>
              </w:rPr>
              <w:t>23,649,614.81</w:t>
            </w:r>
          </w:p>
        </w:tc>
        <w:tc>
          <w:tcPr>
            <w:tcW w:w="976" w:type="dxa"/>
            <w:tcBorders>
              <w:bottom w:val="single" w:sz="8" w:space="0" w:color="808080"/>
            </w:tcBorders>
            <w:shd w:fill="808080" w:val="clear"/>
            <w:tcMar>
              <w:bottom w:w="28" w:type="dxa"/>
            </w:tcMar>
            <w:vAlign w:val="center"/>
          </w:tcPr>
          <w:p>
            <w:pPr>
              <w:pStyle w:val="TableContents"/>
              <w:bidi w:val="0"/>
              <w:spacing w:before="0" w:after="283"/>
              <w:jc w:val="center"/>
              <w:rPr>
                <w:rFonts w:ascii="Arial" w:hAnsi="Arial"/>
                <w:b w:val="false"/>
                <w:i w:val="false"/>
                <w:caps w:val="false"/>
                <w:smallCaps w:val="false"/>
                <w:color w:val="FFFFFF"/>
                <w:sz w:val="16"/>
              </w:rPr>
            </w:pPr>
            <w:r>
              <w:rPr>
                <w:rFonts w:ascii="Arial" w:hAnsi="Arial"/>
                <w:b w:val="false"/>
                <w:i w:val="false"/>
                <w:caps w:val="false"/>
                <w:smallCaps w:val="false"/>
                <w:color w:val="FFFFFF"/>
                <w:sz w:val="16"/>
              </w:rPr>
              <w:t>63,064.06</w:t>
            </w:r>
          </w:p>
        </w:tc>
        <w:tc>
          <w:tcPr>
            <w:tcW w:w="1055" w:type="dxa"/>
            <w:tcBorders>
              <w:bottom w:val="single" w:sz="8" w:space="0" w:color="808080"/>
            </w:tcBorders>
            <w:shd w:fill="808080" w:val="clear"/>
            <w:tcMar>
              <w:bottom w:w="28" w:type="dxa"/>
            </w:tcMar>
            <w:vAlign w:val="center"/>
          </w:tcPr>
          <w:p>
            <w:pPr>
              <w:pStyle w:val="TableContents"/>
              <w:bidi w:val="0"/>
              <w:spacing w:before="0" w:after="283"/>
              <w:jc w:val="center"/>
              <w:rPr>
                <w:rFonts w:ascii="Arial" w:hAnsi="Arial"/>
                <w:b w:val="false"/>
                <w:i w:val="false"/>
                <w:caps w:val="false"/>
                <w:smallCaps w:val="false"/>
                <w:color w:val="FFFFFF"/>
                <w:sz w:val="16"/>
              </w:rPr>
            </w:pPr>
            <w:r>
              <w:rPr>
                <w:rFonts w:ascii="Arial" w:hAnsi="Arial"/>
                <w:b w:val="false"/>
                <w:i w:val="false"/>
                <w:caps w:val="false"/>
                <w:smallCaps w:val="false"/>
                <w:color w:val="FFFFFF"/>
                <w:sz w:val="16"/>
              </w:rPr>
              <w:t>19,816,207.00</w:t>
            </w:r>
          </w:p>
        </w:tc>
        <w:tc>
          <w:tcPr>
            <w:tcW w:w="784" w:type="dxa"/>
            <w:tcBorders>
              <w:bottom w:val="single" w:sz="8" w:space="0" w:color="808080"/>
            </w:tcBorders>
            <w:shd w:fill="808080" w:val="clear"/>
            <w:tcMar>
              <w:bottom w:w="28" w:type="dxa"/>
            </w:tcMar>
            <w:vAlign w:val="center"/>
          </w:tcPr>
          <w:p>
            <w:pPr>
              <w:pStyle w:val="TableContents"/>
              <w:bidi w:val="0"/>
              <w:spacing w:before="0" w:after="283"/>
              <w:jc w:val="center"/>
              <w:rPr>
                <w:rFonts w:ascii="Arial" w:hAnsi="Arial"/>
                <w:b w:val="false"/>
                <w:i w:val="false"/>
                <w:caps w:val="false"/>
                <w:smallCaps w:val="false"/>
                <w:color w:val="FFFFFF"/>
                <w:sz w:val="16"/>
              </w:rPr>
            </w:pPr>
            <w:r>
              <w:rPr>
                <w:rFonts w:ascii="Arial" w:hAnsi="Arial"/>
                <w:b w:val="false"/>
                <w:i w:val="false"/>
                <w:caps w:val="false"/>
                <w:smallCaps w:val="false"/>
                <w:color w:val="FFFFFF"/>
                <w:sz w:val="16"/>
              </w:rPr>
              <w:t>67,172.28</w:t>
            </w:r>
          </w:p>
        </w:tc>
        <w:tc>
          <w:tcPr>
            <w:tcW w:w="1055" w:type="dxa"/>
            <w:tcBorders>
              <w:bottom w:val="single" w:sz="8" w:space="0" w:color="808080"/>
            </w:tcBorders>
            <w:shd w:fill="808080" w:val="clear"/>
            <w:tcMar>
              <w:bottom w:w="28" w:type="dxa"/>
            </w:tcMar>
            <w:vAlign w:val="center"/>
          </w:tcPr>
          <w:p>
            <w:pPr>
              <w:pStyle w:val="TableContents"/>
              <w:bidi w:val="0"/>
              <w:spacing w:before="0" w:after="283"/>
              <w:jc w:val="center"/>
              <w:rPr>
                <w:rFonts w:ascii="Arial" w:hAnsi="Arial"/>
                <w:b w:val="false"/>
                <w:i w:val="false"/>
                <w:caps w:val="false"/>
                <w:smallCaps w:val="false"/>
                <w:color w:val="FFFFFF"/>
                <w:sz w:val="16"/>
              </w:rPr>
            </w:pPr>
            <w:r>
              <w:rPr>
                <w:rFonts w:ascii="Arial" w:hAnsi="Arial"/>
                <w:b w:val="false"/>
                <w:i w:val="false"/>
                <w:caps w:val="false"/>
                <w:smallCaps w:val="false"/>
                <w:color w:val="FFFFFF"/>
                <w:sz w:val="16"/>
              </w:rPr>
              <w:t>16,703,439.00</w:t>
            </w:r>
          </w:p>
        </w:tc>
        <w:tc>
          <w:tcPr>
            <w:tcW w:w="801" w:type="dxa"/>
            <w:tcBorders>
              <w:bottom w:val="single" w:sz="8" w:space="0" w:color="808080"/>
              <w:right w:val="single" w:sz="8" w:space="0" w:color="FFFFFF"/>
            </w:tcBorders>
            <w:shd w:fill="808080" w:val="clear"/>
            <w:tcMar>
              <w:bottom w:w="28" w:type="dxa"/>
              <w:right w:w="70" w:type="dxa"/>
            </w:tcMar>
            <w:vAlign w:val="center"/>
          </w:tcPr>
          <w:p>
            <w:pPr>
              <w:pStyle w:val="TableContents"/>
              <w:bidi w:val="0"/>
              <w:spacing w:before="0" w:after="283"/>
              <w:jc w:val="center"/>
              <w:rPr>
                <w:rFonts w:ascii="Arial" w:hAnsi="Arial"/>
                <w:b w:val="false"/>
                <w:i w:val="false"/>
                <w:caps w:val="false"/>
                <w:smallCaps w:val="false"/>
                <w:color w:val="FFFFFF"/>
                <w:sz w:val="16"/>
              </w:rPr>
            </w:pPr>
            <w:r>
              <w:rPr>
                <w:rFonts w:ascii="Arial" w:hAnsi="Arial"/>
                <w:b w:val="false"/>
                <w:i w:val="false"/>
                <w:caps w:val="false"/>
                <w:smallCaps w:val="false"/>
                <w:color w:val="FFFFFF"/>
                <w:sz w:val="16"/>
              </w:rPr>
              <w:t>63,613.11</w:t>
            </w:r>
          </w:p>
        </w:tc>
      </w:tr>
      <w:tr>
        <w:trPr/>
        <w:tc>
          <w:tcPr>
            <w:tcW w:w="4239" w:type="dxa"/>
            <w:tcBorders>
              <w:left w:val="single" w:sz="8" w:space="0" w:color="FFFFFF"/>
              <w:bottom w:val="single" w:sz="8" w:space="0" w:color="D0CECE"/>
            </w:tcBorders>
            <w:shd w:fill="D9D9D9" w:val="clear"/>
            <w:tcMar>
              <w:left w:w="70" w:type="dxa"/>
              <w:bottom w:w="28" w:type="dxa"/>
            </w:tcMar>
            <w:vAlign w:val="center"/>
          </w:tcPr>
          <w:p>
            <w:pPr>
              <w:pStyle w:val="TableContents"/>
              <w:bidi w:val="0"/>
              <w:spacing w:before="0" w:after="283"/>
              <w:jc w:val="left"/>
              <w:rPr>
                <w:rFonts w:ascii="Arial" w:hAnsi="Arial"/>
                <w:b/>
                <w:i w:val="false"/>
                <w:caps w:val="false"/>
                <w:smallCaps w:val="false"/>
                <w:color w:val="000000"/>
                <w:sz w:val="16"/>
              </w:rPr>
            </w:pPr>
            <w:r>
              <w:rPr>
                <w:rFonts w:ascii="Arial" w:hAnsi="Arial"/>
                <w:b/>
                <w:i w:val="false"/>
                <w:caps w:val="false"/>
                <w:smallCaps w:val="false"/>
                <w:color w:val="000000"/>
                <w:sz w:val="16"/>
              </w:rPr>
              <w:t>Personal</w:t>
            </w:r>
          </w:p>
        </w:tc>
        <w:tc>
          <w:tcPr>
            <w:tcW w:w="1295" w:type="dxa"/>
            <w:tcBorders>
              <w:bottom w:val="single" w:sz="8" w:space="0" w:color="D0CECE"/>
            </w:tcBorders>
            <w:shd w:fill="D9D9D9" w:val="clear"/>
            <w:tcMar>
              <w:bottom w:w="28" w:type="dxa"/>
            </w:tcMar>
            <w:vAlign w:val="center"/>
          </w:tcPr>
          <w:p>
            <w:pPr>
              <w:pStyle w:val="TableContents"/>
              <w:bidi w:val="0"/>
              <w:spacing w:before="0" w:after="283"/>
              <w:jc w:val="center"/>
              <w:rPr>
                <w:rFonts w:ascii="Arial" w:hAnsi="Arial"/>
                <w:b/>
                <w:i w:val="false"/>
                <w:caps w:val="false"/>
                <w:smallCaps w:val="false"/>
                <w:color w:val="000000"/>
                <w:sz w:val="16"/>
              </w:rPr>
            </w:pPr>
            <w:r>
              <w:rPr>
                <w:rFonts w:ascii="Arial" w:hAnsi="Arial"/>
                <w:b/>
                <w:i w:val="false"/>
                <w:caps w:val="false"/>
                <w:smallCaps w:val="false"/>
                <w:color w:val="000000"/>
                <w:sz w:val="16"/>
              </w:rPr>
              <w:t>19,412,221</w:t>
            </w:r>
          </w:p>
        </w:tc>
        <w:tc>
          <w:tcPr>
            <w:tcW w:w="976" w:type="dxa"/>
            <w:tcBorders>
              <w:bottom w:val="single" w:sz="8" w:space="0" w:color="D0CECE"/>
            </w:tcBorders>
            <w:shd w:fill="D9D9D9" w:val="clear"/>
            <w:tcMar>
              <w:bottom w:w="28" w:type="dxa"/>
            </w:tcMar>
            <w:vAlign w:val="center"/>
          </w:tcPr>
          <w:p>
            <w:pPr>
              <w:pStyle w:val="TableContents"/>
              <w:bidi w:val="0"/>
              <w:spacing w:before="0" w:after="283"/>
              <w:jc w:val="center"/>
              <w:rPr>
                <w:rFonts w:ascii="Arial" w:hAnsi="Arial"/>
                <w:b/>
                <w:i w:val="false"/>
                <w:caps w:val="false"/>
                <w:smallCaps w:val="false"/>
                <w:color w:val="000000"/>
                <w:sz w:val="16"/>
              </w:rPr>
            </w:pPr>
            <w:r>
              <w:rPr>
                <w:rFonts w:ascii="Arial" w:hAnsi="Arial"/>
                <w:b/>
                <w:i w:val="false"/>
                <w:caps w:val="false"/>
                <w:smallCaps w:val="false"/>
                <w:color w:val="000000"/>
                <w:sz w:val="16"/>
              </w:rPr>
              <w:t>42,714</w:t>
            </w:r>
          </w:p>
        </w:tc>
        <w:tc>
          <w:tcPr>
            <w:tcW w:w="1055" w:type="dxa"/>
            <w:tcBorders>
              <w:bottom w:val="single" w:sz="8" w:space="0" w:color="D0CECE"/>
            </w:tcBorders>
            <w:shd w:fill="D9D9D9" w:val="clear"/>
            <w:tcMar>
              <w:bottom w:w="28" w:type="dxa"/>
            </w:tcMar>
            <w:vAlign w:val="center"/>
          </w:tcPr>
          <w:p>
            <w:pPr>
              <w:pStyle w:val="TableContents"/>
              <w:bidi w:val="0"/>
              <w:spacing w:before="0" w:after="283"/>
              <w:jc w:val="center"/>
              <w:rPr>
                <w:rFonts w:ascii="Arial" w:hAnsi="Arial"/>
                <w:b/>
                <w:i w:val="false"/>
                <w:caps w:val="false"/>
                <w:smallCaps w:val="false"/>
                <w:color w:val="000000"/>
                <w:sz w:val="16"/>
              </w:rPr>
            </w:pPr>
            <w:r>
              <w:rPr>
                <w:rFonts w:ascii="Arial" w:hAnsi="Arial"/>
                <w:b/>
                <w:i w:val="false"/>
                <w:caps w:val="false"/>
                <w:smallCaps w:val="false"/>
                <w:color w:val="000000"/>
                <w:sz w:val="16"/>
              </w:rPr>
              <w:t>15,889,413</w:t>
            </w:r>
          </w:p>
        </w:tc>
        <w:tc>
          <w:tcPr>
            <w:tcW w:w="784" w:type="dxa"/>
            <w:tcBorders>
              <w:bottom w:val="single" w:sz="8" w:space="0" w:color="D0CECE"/>
            </w:tcBorders>
            <w:shd w:fill="D9D9D9" w:val="clear"/>
            <w:tcMar>
              <w:bottom w:w="28" w:type="dxa"/>
            </w:tcMar>
            <w:vAlign w:val="center"/>
          </w:tcPr>
          <w:p>
            <w:pPr>
              <w:pStyle w:val="TableContents"/>
              <w:bidi w:val="0"/>
              <w:spacing w:before="0" w:after="283"/>
              <w:jc w:val="center"/>
              <w:rPr>
                <w:rFonts w:ascii="Arial" w:hAnsi="Arial"/>
                <w:b/>
                <w:i w:val="false"/>
                <w:caps w:val="false"/>
                <w:smallCaps w:val="false"/>
                <w:color w:val="000000"/>
                <w:sz w:val="16"/>
              </w:rPr>
            </w:pPr>
            <w:r>
              <w:rPr>
                <w:rFonts w:ascii="Arial" w:hAnsi="Arial"/>
                <w:b/>
                <w:i w:val="false"/>
                <w:caps w:val="false"/>
                <w:smallCaps w:val="false"/>
                <w:color w:val="000000"/>
                <w:sz w:val="16"/>
              </w:rPr>
              <w:t>46,766</w:t>
            </w:r>
          </w:p>
        </w:tc>
        <w:tc>
          <w:tcPr>
            <w:tcW w:w="1055" w:type="dxa"/>
            <w:tcBorders>
              <w:bottom w:val="single" w:sz="8" w:space="0" w:color="D0CECE"/>
            </w:tcBorders>
            <w:shd w:fill="D9D9D9" w:val="clear"/>
            <w:tcMar>
              <w:bottom w:w="28" w:type="dxa"/>
            </w:tcMar>
            <w:vAlign w:val="center"/>
          </w:tcPr>
          <w:p>
            <w:pPr>
              <w:pStyle w:val="TableContents"/>
              <w:bidi w:val="0"/>
              <w:spacing w:before="0" w:after="283"/>
              <w:jc w:val="center"/>
              <w:rPr>
                <w:rFonts w:ascii="Arial" w:hAnsi="Arial"/>
                <w:b/>
                <w:i w:val="false"/>
                <w:caps w:val="false"/>
                <w:smallCaps w:val="false"/>
                <w:color w:val="000000"/>
                <w:sz w:val="16"/>
              </w:rPr>
            </w:pPr>
            <w:r>
              <w:rPr>
                <w:rFonts w:ascii="Arial" w:hAnsi="Arial"/>
                <w:b/>
                <w:i w:val="false"/>
                <w:caps w:val="false"/>
                <w:smallCaps w:val="false"/>
                <w:color w:val="000000"/>
                <w:sz w:val="16"/>
              </w:rPr>
              <w:t>14,791,802</w:t>
            </w:r>
          </w:p>
        </w:tc>
        <w:tc>
          <w:tcPr>
            <w:tcW w:w="801" w:type="dxa"/>
            <w:tcBorders>
              <w:bottom w:val="single" w:sz="8" w:space="0" w:color="D0CECE"/>
              <w:right w:val="single" w:sz="8" w:space="0" w:color="FFFFFF"/>
            </w:tcBorders>
            <w:shd w:fill="D9D9D9" w:val="clear"/>
            <w:tcMar>
              <w:bottom w:w="28" w:type="dxa"/>
              <w:right w:w="70" w:type="dxa"/>
            </w:tcMar>
            <w:vAlign w:val="center"/>
          </w:tcPr>
          <w:p>
            <w:pPr>
              <w:pStyle w:val="TableContents"/>
              <w:bidi w:val="0"/>
              <w:spacing w:before="0" w:after="283"/>
              <w:jc w:val="center"/>
              <w:rPr>
                <w:rFonts w:ascii="Arial" w:hAnsi="Arial"/>
                <w:b/>
                <w:i w:val="false"/>
                <w:caps w:val="false"/>
                <w:smallCaps w:val="false"/>
                <w:color w:val="000000"/>
                <w:sz w:val="16"/>
              </w:rPr>
            </w:pPr>
            <w:r>
              <w:rPr>
                <w:rFonts w:ascii="Arial" w:hAnsi="Arial"/>
                <w:b/>
                <w:i w:val="false"/>
                <w:caps w:val="false"/>
                <w:smallCaps w:val="false"/>
                <w:color w:val="000000"/>
                <w:sz w:val="16"/>
              </w:rPr>
              <w:t>47,737</w:t>
            </w:r>
          </w:p>
        </w:tc>
      </w:tr>
      <w:tr>
        <w:trPr/>
        <w:tc>
          <w:tcPr>
            <w:tcW w:w="4239" w:type="dxa"/>
            <w:tcBorders>
              <w:left w:val="single" w:sz="8" w:space="0" w:color="FFFFFF"/>
              <w:bottom w:val="single" w:sz="8" w:space="0" w:color="D0CECE"/>
            </w:tcBorders>
            <w:shd w:fill="FFFFFF" w:val="clear"/>
            <w:tcMar>
              <w:left w:w="70" w:type="dxa"/>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r>
              <w:rPr>
                <w:rFonts w:ascii="Arial" w:hAnsi="Arial"/>
                <w:b w:val="false"/>
                <w:i w:val="false"/>
                <w:caps w:val="false"/>
                <w:smallCaps w:val="false"/>
                <w:color w:val="000000"/>
                <w:sz w:val="16"/>
              </w:rPr>
              <w:t>Checking accounts</w:t>
            </w:r>
          </w:p>
        </w:tc>
        <w:tc>
          <w:tcPr>
            <w:tcW w:w="1295" w:type="dxa"/>
            <w:tcBorders>
              <w:bottom w:val="single" w:sz="8" w:space="0" w:color="D0CECE"/>
            </w:tcBorders>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1,031,957</w:t>
            </w:r>
          </w:p>
        </w:tc>
        <w:tc>
          <w:tcPr>
            <w:tcW w:w="976" w:type="dxa"/>
            <w:tcBorders>
              <w:bottom w:val="single" w:sz="8" w:space="0" w:color="D0CECE"/>
            </w:tcBorders>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1,452</w:t>
            </w:r>
          </w:p>
        </w:tc>
        <w:tc>
          <w:tcPr>
            <w:tcW w:w="1055" w:type="dxa"/>
            <w:tcBorders>
              <w:bottom w:val="single" w:sz="8" w:space="0" w:color="D0CECE"/>
            </w:tcBorders>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1,228,268</w:t>
            </w:r>
          </w:p>
        </w:tc>
        <w:tc>
          <w:tcPr>
            <w:tcW w:w="784" w:type="dxa"/>
            <w:tcBorders>
              <w:bottom w:val="single" w:sz="8" w:space="0" w:color="D0CECE"/>
            </w:tcBorders>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2,829</w:t>
            </w:r>
          </w:p>
        </w:tc>
        <w:tc>
          <w:tcPr>
            <w:tcW w:w="1055" w:type="dxa"/>
            <w:tcBorders>
              <w:bottom w:val="single" w:sz="8" w:space="0" w:color="D0CECE"/>
            </w:tcBorders>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1,261,375</w:t>
            </w:r>
          </w:p>
        </w:tc>
        <w:tc>
          <w:tcPr>
            <w:tcW w:w="801" w:type="dxa"/>
            <w:tcBorders>
              <w:bottom w:val="single" w:sz="8" w:space="0" w:color="D0CECE"/>
              <w:right w:val="single" w:sz="8" w:space="0" w:color="FFFFFF"/>
            </w:tcBorders>
            <w:tcMar>
              <w:bottom w:w="28" w:type="dxa"/>
              <w:right w:w="7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3,245</w:t>
            </w:r>
          </w:p>
        </w:tc>
      </w:tr>
      <w:tr>
        <w:trPr/>
        <w:tc>
          <w:tcPr>
            <w:tcW w:w="4239" w:type="dxa"/>
            <w:tcBorders>
              <w:left w:val="single" w:sz="8" w:space="0" w:color="FFFFFF"/>
              <w:bottom w:val="single" w:sz="8" w:space="0" w:color="FFFFFF"/>
            </w:tcBorders>
            <w:shd w:fill="FFFFFF" w:val="clear"/>
            <w:tcMar>
              <w:left w:w="70" w:type="dxa"/>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r>
              <w:rPr>
                <w:rFonts w:ascii="Arial" w:hAnsi="Arial"/>
                <w:b w:val="false"/>
                <w:i w:val="false"/>
                <w:caps w:val="false"/>
                <w:smallCaps w:val="false"/>
                <w:color w:val="000000"/>
                <w:sz w:val="16"/>
              </w:rPr>
              <w:t>Savings accounts</w:t>
            </w:r>
          </w:p>
        </w:tc>
        <w:tc>
          <w:tcPr>
            <w:tcW w:w="1295" w:type="dxa"/>
            <w:tcBorders>
              <w:bottom w:val="single" w:sz="8" w:space="0" w:color="FFFFFF"/>
            </w:tcBorders>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18,380,264</w:t>
            </w:r>
          </w:p>
        </w:tc>
        <w:tc>
          <w:tcPr>
            <w:tcW w:w="976" w:type="dxa"/>
            <w:tcBorders>
              <w:bottom w:val="single" w:sz="8" w:space="0" w:color="FFFFFF"/>
            </w:tcBorders>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41,262</w:t>
            </w:r>
          </w:p>
        </w:tc>
        <w:tc>
          <w:tcPr>
            <w:tcW w:w="1055" w:type="dxa"/>
            <w:tcBorders>
              <w:bottom w:val="single" w:sz="8" w:space="0" w:color="FFFFFF"/>
            </w:tcBorders>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14,661,145</w:t>
            </w:r>
          </w:p>
        </w:tc>
        <w:tc>
          <w:tcPr>
            <w:tcW w:w="784" w:type="dxa"/>
            <w:tcBorders>
              <w:bottom w:val="single" w:sz="8" w:space="0" w:color="FFFFFF"/>
            </w:tcBorders>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43,937</w:t>
            </w:r>
          </w:p>
        </w:tc>
        <w:tc>
          <w:tcPr>
            <w:tcW w:w="1055" w:type="dxa"/>
            <w:tcBorders>
              <w:bottom w:val="single" w:sz="8" w:space="0" w:color="FFFFFF"/>
            </w:tcBorders>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13,530,427</w:t>
            </w:r>
          </w:p>
        </w:tc>
        <w:tc>
          <w:tcPr>
            <w:tcW w:w="801" w:type="dxa"/>
            <w:tcBorders>
              <w:bottom w:val="single" w:sz="8" w:space="0" w:color="FFFFFF"/>
              <w:right w:val="single" w:sz="8" w:space="0" w:color="FFFFFF"/>
            </w:tcBorders>
            <w:tcMar>
              <w:bottom w:w="28" w:type="dxa"/>
              <w:right w:w="7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44,492</w:t>
            </w:r>
          </w:p>
        </w:tc>
      </w:tr>
      <w:tr>
        <w:trPr/>
        <w:tc>
          <w:tcPr>
            <w:tcW w:w="4239" w:type="dxa"/>
            <w:tcBorders>
              <w:left w:val="single" w:sz="8" w:space="0" w:color="FFFFFF"/>
              <w:bottom w:val="single" w:sz="8" w:space="0" w:color="FFFFFF"/>
            </w:tcBorders>
            <w:shd w:fill="D9D9D9" w:val="clear"/>
            <w:tcMar>
              <w:left w:w="70" w:type="dxa"/>
              <w:bottom w:w="28" w:type="dxa"/>
            </w:tcMar>
            <w:vAlign w:val="center"/>
          </w:tcPr>
          <w:p>
            <w:pPr>
              <w:pStyle w:val="TableContents"/>
              <w:bidi w:val="0"/>
              <w:spacing w:before="0" w:after="283"/>
              <w:jc w:val="left"/>
              <w:rPr>
                <w:rFonts w:ascii="Arial" w:hAnsi="Arial"/>
                <w:b/>
                <w:i w:val="false"/>
                <w:caps w:val="false"/>
                <w:smallCaps w:val="false"/>
                <w:color w:val="000000"/>
                <w:sz w:val="16"/>
              </w:rPr>
            </w:pPr>
            <w:r>
              <w:rPr>
                <w:rFonts w:ascii="Arial" w:hAnsi="Arial"/>
                <w:b/>
                <w:i w:val="false"/>
                <w:caps w:val="false"/>
                <w:smallCaps w:val="false"/>
                <w:color w:val="000000"/>
                <w:sz w:val="16"/>
              </w:rPr>
              <w:t>Small Businesses</w:t>
            </w:r>
          </w:p>
        </w:tc>
        <w:tc>
          <w:tcPr>
            <w:tcW w:w="1295" w:type="dxa"/>
            <w:tcBorders>
              <w:bottom w:val="single" w:sz="8" w:space="0" w:color="FFFFFF"/>
            </w:tcBorders>
            <w:shd w:fill="D9D9D9" w:val="clear"/>
            <w:tcMar>
              <w:bottom w:w="28" w:type="dxa"/>
            </w:tcMar>
            <w:vAlign w:val="center"/>
          </w:tcPr>
          <w:p>
            <w:pPr>
              <w:pStyle w:val="TableContents"/>
              <w:bidi w:val="0"/>
              <w:spacing w:before="0" w:after="283"/>
              <w:jc w:val="center"/>
              <w:rPr>
                <w:rFonts w:ascii="Arial" w:hAnsi="Arial"/>
                <w:b/>
                <w:i w:val="false"/>
                <w:caps w:val="false"/>
                <w:smallCaps w:val="false"/>
                <w:color w:val="000000"/>
                <w:sz w:val="16"/>
              </w:rPr>
            </w:pPr>
            <w:r>
              <w:rPr>
                <w:rFonts w:ascii="Arial" w:hAnsi="Arial"/>
                <w:b/>
                <w:i w:val="false"/>
                <w:caps w:val="false"/>
                <w:smallCaps w:val="false"/>
                <w:color w:val="000000"/>
                <w:sz w:val="16"/>
              </w:rPr>
              <w:t>4,237,394</w:t>
            </w:r>
          </w:p>
        </w:tc>
        <w:tc>
          <w:tcPr>
            <w:tcW w:w="976" w:type="dxa"/>
            <w:tcBorders>
              <w:bottom w:val="single" w:sz="8" w:space="0" w:color="FFFFFF"/>
            </w:tcBorders>
            <w:shd w:fill="D9D9D9" w:val="clear"/>
            <w:tcMar>
              <w:bottom w:w="28" w:type="dxa"/>
            </w:tcMar>
            <w:vAlign w:val="center"/>
          </w:tcPr>
          <w:p>
            <w:pPr>
              <w:pStyle w:val="TableContents"/>
              <w:bidi w:val="0"/>
              <w:spacing w:before="0" w:after="283"/>
              <w:jc w:val="center"/>
              <w:rPr>
                <w:rFonts w:ascii="Arial" w:hAnsi="Arial"/>
                <w:b/>
                <w:i w:val="false"/>
                <w:caps w:val="false"/>
                <w:smallCaps w:val="false"/>
                <w:color w:val="000000"/>
                <w:sz w:val="16"/>
              </w:rPr>
            </w:pPr>
            <w:r>
              <w:rPr>
                <w:rFonts w:ascii="Arial" w:hAnsi="Arial"/>
                <w:b/>
                <w:i w:val="false"/>
                <w:caps w:val="false"/>
                <w:smallCaps w:val="false"/>
                <w:color w:val="000000"/>
                <w:sz w:val="16"/>
              </w:rPr>
              <w:t>20.350</w:t>
            </w:r>
          </w:p>
        </w:tc>
        <w:tc>
          <w:tcPr>
            <w:tcW w:w="1055" w:type="dxa"/>
            <w:tcBorders>
              <w:bottom w:val="single" w:sz="8" w:space="0" w:color="FFFFFF"/>
            </w:tcBorders>
            <w:shd w:fill="D9D9D9" w:val="clear"/>
            <w:tcMar>
              <w:bottom w:w="28" w:type="dxa"/>
            </w:tcMar>
            <w:vAlign w:val="center"/>
          </w:tcPr>
          <w:p>
            <w:pPr>
              <w:pStyle w:val="TableContents"/>
              <w:bidi w:val="0"/>
              <w:spacing w:before="0" w:after="283"/>
              <w:jc w:val="center"/>
              <w:rPr>
                <w:rFonts w:ascii="Arial" w:hAnsi="Arial"/>
                <w:b/>
                <w:i w:val="false"/>
                <w:caps w:val="false"/>
                <w:smallCaps w:val="false"/>
                <w:color w:val="000000"/>
                <w:sz w:val="16"/>
              </w:rPr>
            </w:pPr>
            <w:r>
              <w:rPr>
                <w:rFonts w:ascii="Arial" w:hAnsi="Arial"/>
                <w:b/>
                <w:i w:val="false"/>
                <w:caps w:val="false"/>
                <w:smallCaps w:val="false"/>
                <w:color w:val="000000"/>
                <w:sz w:val="16"/>
              </w:rPr>
              <w:t>3,926,794</w:t>
            </w:r>
          </w:p>
        </w:tc>
        <w:tc>
          <w:tcPr>
            <w:tcW w:w="784" w:type="dxa"/>
            <w:tcBorders>
              <w:bottom w:val="single" w:sz="8" w:space="0" w:color="FFFFFF"/>
            </w:tcBorders>
            <w:shd w:fill="D9D9D9" w:val="clear"/>
            <w:tcMar>
              <w:bottom w:w="28" w:type="dxa"/>
            </w:tcMar>
            <w:vAlign w:val="center"/>
          </w:tcPr>
          <w:p>
            <w:pPr>
              <w:pStyle w:val="TableContents"/>
              <w:bidi w:val="0"/>
              <w:spacing w:before="0" w:after="283"/>
              <w:jc w:val="center"/>
              <w:rPr>
                <w:rFonts w:ascii="Arial" w:hAnsi="Arial"/>
                <w:b/>
                <w:i w:val="false"/>
                <w:caps w:val="false"/>
                <w:smallCaps w:val="false"/>
                <w:color w:val="000000"/>
                <w:sz w:val="16"/>
              </w:rPr>
            </w:pPr>
            <w:r>
              <w:rPr>
                <w:rFonts w:ascii="Arial" w:hAnsi="Arial"/>
                <w:b/>
                <w:i w:val="false"/>
                <w:caps w:val="false"/>
                <w:smallCaps w:val="false"/>
                <w:color w:val="000000"/>
                <w:sz w:val="16"/>
              </w:rPr>
              <w:t>20,406</w:t>
            </w:r>
          </w:p>
        </w:tc>
        <w:tc>
          <w:tcPr>
            <w:tcW w:w="1055" w:type="dxa"/>
            <w:tcBorders>
              <w:bottom w:val="single" w:sz="8" w:space="0" w:color="FFFFFF"/>
            </w:tcBorders>
            <w:shd w:fill="D9D9D9" w:val="clear"/>
            <w:tcMar>
              <w:bottom w:w="28" w:type="dxa"/>
            </w:tcMar>
            <w:vAlign w:val="center"/>
          </w:tcPr>
          <w:p>
            <w:pPr>
              <w:pStyle w:val="TableContents"/>
              <w:bidi w:val="0"/>
              <w:spacing w:before="0" w:after="283"/>
              <w:jc w:val="center"/>
              <w:rPr>
                <w:rFonts w:ascii="Arial" w:hAnsi="Arial"/>
                <w:b/>
                <w:i w:val="false"/>
                <w:caps w:val="false"/>
                <w:smallCaps w:val="false"/>
                <w:color w:val="000000"/>
                <w:sz w:val="16"/>
              </w:rPr>
            </w:pPr>
            <w:r>
              <w:rPr>
                <w:rFonts w:ascii="Arial" w:hAnsi="Arial"/>
                <w:b/>
                <w:i w:val="false"/>
                <w:caps w:val="false"/>
                <w:smallCaps w:val="false"/>
                <w:color w:val="000000"/>
                <w:sz w:val="16"/>
              </w:rPr>
              <w:t>1,911,637</w:t>
            </w:r>
          </w:p>
        </w:tc>
        <w:tc>
          <w:tcPr>
            <w:tcW w:w="801" w:type="dxa"/>
            <w:tcBorders>
              <w:bottom w:val="single" w:sz="8" w:space="0" w:color="FFFFFF"/>
              <w:right w:val="single" w:sz="8" w:space="0" w:color="FFFFFF"/>
            </w:tcBorders>
            <w:shd w:fill="D9D9D9" w:val="clear"/>
            <w:tcMar>
              <w:bottom w:w="28" w:type="dxa"/>
              <w:right w:w="70" w:type="dxa"/>
            </w:tcMar>
            <w:vAlign w:val="center"/>
          </w:tcPr>
          <w:p>
            <w:pPr>
              <w:pStyle w:val="TableContents"/>
              <w:bidi w:val="0"/>
              <w:spacing w:before="0" w:after="283"/>
              <w:jc w:val="center"/>
              <w:rPr>
                <w:rFonts w:ascii="Arial" w:hAnsi="Arial"/>
                <w:b/>
                <w:i w:val="false"/>
                <w:caps w:val="false"/>
                <w:smallCaps w:val="false"/>
                <w:color w:val="000000"/>
                <w:sz w:val="16"/>
              </w:rPr>
            </w:pPr>
            <w:r>
              <w:rPr>
                <w:rFonts w:ascii="Arial" w:hAnsi="Arial"/>
                <w:b/>
                <w:i w:val="false"/>
                <w:caps w:val="false"/>
                <w:smallCaps w:val="false"/>
                <w:color w:val="000000"/>
                <w:sz w:val="16"/>
              </w:rPr>
              <w:t>15,876</w:t>
            </w:r>
          </w:p>
        </w:tc>
      </w:tr>
      <w:tr>
        <w:trPr/>
        <w:tc>
          <w:tcPr>
            <w:tcW w:w="4239" w:type="dxa"/>
            <w:tcBorders>
              <w:left w:val="single" w:sz="8" w:space="0" w:color="FFFFFF"/>
              <w:bottom w:val="single" w:sz="8" w:space="0" w:color="D0CECE"/>
            </w:tcBorders>
            <w:shd w:fill="FFFFFF" w:val="clear"/>
            <w:tcMar>
              <w:left w:w="70" w:type="dxa"/>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r>
              <w:rPr>
                <w:rFonts w:ascii="Arial" w:hAnsi="Arial"/>
                <w:b w:val="false"/>
                <w:i w:val="false"/>
                <w:caps w:val="false"/>
                <w:smallCaps w:val="false"/>
                <w:color w:val="000000"/>
                <w:sz w:val="16"/>
              </w:rPr>
              <w:t>Checking accounts</w:t>
            </w:r>
          </w:p>
        </w:tc>
        <w:tc>
          <w:tcPr>
            <w:tcW w:w="1295" w:type="dxa"/>
            <w:tcBorders>
              <w:bottom w:val="single" w:sz="8" w:space="0" w:color="D0CECE"/>
            </w:tcBorders>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423,822</w:t>
            </w:r>
          </w:p>
        </w:tc>
        <w:tc>
          <w:tcPr>
            <w:tcW w:w="976" w:type="dxa"/>
            <w:tcBorders>
              <w:bottom w:val="single" w:sz="8" w:space="0" w:color="D0CECE"/>
            </w:tcBorders>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13,128</w:t>
            </w:r>
          </w:p>
        </w:tc>
        <w:tc>
          <w:tcPr>
            <w:tcW w:w="1055" w:type="dxa"/>
            <w:tcBorders>
              <w:bottom w:val="single" w:sz="8" w:space="0" w:color="D0CECE"/>
            </w:tcBorders>
            <w:tcMar>
              <w:bottom w:w="28" w:type="dxa"/>
            </w:tcMar>
            <w:vAlign w:val="center"/>
          </w:tcPr>
          <w:p>
            <w:pPr>
              <w:pStyle w:val="TableContents"/>
              <w:bidi w:val="0"/>
              <w:spacing w:before="0" w:after="283"/>
              <w:jc w:val="center"/>
              <w:rPr>
                <w:rFonts w:ascii="Arial" w:hAnsi="Arial"/>
                <w:b/>
                <w:i w:val="false"/>
                <w:caps w:val="false"/>
                <w:smallCaps w:val="false"/>
                <w:color w:val="000000"/>
                <w:sz w:val="16"/>
              </w:rPr>
            </w:pPr>
            <w:r>
              <w:rPr>
                <w:rFonts w:ascii="Arial" w:hAnsi="Arial"/>
                <w:b/>
                <w:i w:val="false"/>
                <w:caps w:val="false"/>
                <w:smallCaps w:val="false"/>
                <w:color w:val="000000"/>
                <w:sz w:val="16"/>
              </w:rPr>
              <w:t>445.157</w:t>
            </w:r>
          </w:p>
        </w:tc>
        <w:tc>
          <w:tcPr>
            <w:tcW w:w="784" w:type="dxa"/>
            <w:tcBorders>
              <w:bottom w:val="single" w:sz="8" w:space="0" w:color="D0CECE"/>
            </w:tcBorders>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13,013</w:t>
            </w:r>
          </w:p>
        </w:tc>
        <w:tc>
          <w:tcPr>
            <w:tcW w:w="1055" w:type="dxa"/>
            <w:tcBorders>
              <w:bottom w:val="single" w:sz="8" w:space="0" w:color="D0CECE"/>
            </w:tcBorders>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291,064</w:t>
            </w:r>
          </w:p>
        </w:tc>
        <w:tc>
          <w:tcPr>
            <w:tcW w:w="801" w:type="dxa"/>
            <w:tcBorders>
              <w:bottom w:val="single" w:sz="8" w:space="0" w:color="D0CECE"/>
              <w:right w:val="single" w:sz="8" w:space="0" w:color="FFFFFF"/>
            </w:tcBorders>
            <w:tcMar>
              <w:bottom w:w="28" w:type="dxa"/>
              <w:right w:w="7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11,966</w:t>
            </w:r>
          </w:p>
        </w:tc>
      </w:tr>
      <w:tr>
        <w:trPr/>
        <w:tc>
          <w:tcPr>
            <w:tcW w:w="4239" w:type="dxa"/>
            <w:tcBorders>
              <w:left w:val="single" w:sz="8" w:space="0" w:color="FFFFFF"/>
              <w:bottom w:val="single" w:sz="8" w:space="0" w:color="D0CECE"/>
            </w:tcBorders>
            <w:shd w:fill="FFFFFF" w:val="clear"/>
            <w:tcMar>
              <w:left w:w="70" w:type="dxa"/>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r>
              <w:rPr>
                <w:rFonts w:ascii="Arial" w:hAnsi="Arial"/>
                <w:b w:val="false"/>
                <w:i w:val="false"/>
                <w:caps w:val="false"/>
                <w:smallCaps w:val="false"/>
                <w:color w:val="000000"/>
                <w:sz w:val="16"/>
              </w:rPr>
              <w:t>Savings accounts</w:t>
            </w:r>
          </w:p>
        </w:tc>
        <w:tc>
          <w:tcPr>
            <w:tcW w:w="1295" w:type="dxa"/>
            <w:tcBorders>
              <w:bottom w:val="single" w:sz="8" w:space="0" w:color="D0CECE"/>
            </w:tcBorders>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3,813,572</w:t>
            </w:r>
          </w:p>
        </w:tc>
        <w:tc>
          <w:tcPr>
            <w:tcW w:w="976" w:type="dxa"/>
            <w:tcBorders>
              <w:bottom w:val="single" w:sz="8" w:space="0" w:color="D0CECE"/>
            </w:tcBorders>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7,221</w:t>
            </w:r>
          </w:p>
        </w:tc>
        <w:tc>
          <w:tcPr>
            <w:tcW w:w="1055" w:type="dxa"/>
            <w:tcBorders>
              <w:bottom w:val="single" w:sz="8" w:space="0" w:color="D0CECE"/>
            </w:tcBorders>
            <w:tcMar>
              <w:bottom w:w="28" w:type="dxa"/>
            </w:tcMar>
            <w:vAlign w:val="center"/>
          </w:tcPr>
          <w:p>
            <w:pPr>
              <w:pStyle w:val="TableContents"/>
              <w:bidi w:val="0"/>
              <w:spacing w:before="0" w:after="283"/>
              <w:jc w:val="center"/>
              <w:rPr>
                <w:rFonts w:ascii="Arial" w:hAnsi="Arial"/>
                <w:b/>
                <w:i w:val="false"/>
                <w:caps w:val="false"/>
                <w:smallCaps w:val="false"/>
                <w:color w:val="000000"/>
                <w:sz w:val="16"/>
              </w:rPr>
            </w:pPr>
            <w:r>
              <w:rPr>
                <w:rFonts w:ascii="Arial" w:hAnsi="Arial"/>
                <w:b/>
                <w:i w:val="false"/>
                <w:caps w:val="false"/>
                <w:smallCaps w:val="false"/>
                <w:color w:val="000000"/>
                <w:sz w:val="16"/>
              </w:rPr>
              <w:t>3,481,637</w:t>
            </w:r>
          </w:p>
        </w:tc>
        <w:tc>
          <w:tcPr>
            <w:tcW w:w="784" w:type="dxa"/>
            <w:tcBorders>
              <w:bottom w:val="single" w:sz="8" w:space="0" w:color="D0CECE"/>
            </w:tcBorders>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7,393</w:t>
            </w:r>
          </w:p>
        </w:tc>
        <w:tc>
          <w:tcPr>
            <w:tcW w:w="1055" w:type="dxa"/>
            <w:tcBorders>
              <w:bottom w:val="single" w:sz="8" w:space="0" w:color="D0CECE"/>
            </w:tcBorders>
            <w:tcMar>
              <w:bottom w:w="28"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1,620,573</w:t>
            </w:r>
          </w:p>
        </w:tc>
        <w:tc>
          <w:tcPr>
            <w:tcW w:w="801" w:type="dxa"/>
            <w:tcBorders>
              <w:bottom w:val="single" w:sz="8" w:space="0" w:color="D0CECE"/>
              <w:right w:val="single" w:sz="8" w:space="0" w:color="FFFFFF"/>
            </w:tcBorders>
            <w:tcMar>
              <w:bottom w:w="28" w:type="dxa"/>
              <w:right w:w="7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3,910</w:t>
            </w:r>
          </w:p>
        </w:tc>
      </w:tr>
      <w:tr>
        <w:trPr/>
        <w:tc>
          <w:tcPr>
            <w:tcW w:w="4239" w:type="dxa"/>
            <w:tcBorders>
              <w:left w:val="single" w:sz="8" w:space="0" w:color="FFFFFF"/>
            </w:tcBorders>
            <w:tcMar>
              <w:left w:w="70" w:type="dxa"/>
            </w:tcMar>
            <w:vAlign w:val="center"/>
          </w:tcPr>
          <w:p>
            <w:pPr>
              <w:pStyle w:val="TableContents"/>
              <w:bidi w:val="0"/>
              <w:spacing w:before="0" w:after="283"/>
              <w:jc w:val="left"/>
              <w:rPr>
                <w:caps w:val="false"/>
                <w:smallCaps w:val="false"/>
              </w:rPr>
            </w:pPr>
            <w:r>
              <w:rPr>
                <w:caps w:val="false"/>
                <w:smallCaps w:val="false"/>
              </w:rPr>
              <w:t> </w:t>
            </w:r>
          </w:p>
        </w:tc>
        <w:tc>
          <w:tcPr>
            <w:tcW w:w="1295" w:type="dxa"/>
            <w:tcBorders/>
            <w:vAlign w:val="center"/>
          </w:tcPr>
          <w:p>
            <w:pPr>
              <w:pStyle w:val="TableContents"/>
              <w:bidi w:val="0"/>
              <w:spacing w:before="0" w:after="283"/>
              <w:jc w:val="left"/>
              <w:rPr>
                <w:caps w:val="false"/>
                <w:smallCaps w:val="false"/>
              </w:rPr>
            </w:pPr>
            <w:r>
              <w:rPr>
                <w:caps w:val="false"/>
                <w:smallCaps w:val="false"/>
              </w:rPr>
              <w:t> </w:t>
            </w:r>
          </w:p>
        </w:tc>
        <w:tc>
          <w:tcPr>
            <w:tcW w:w="976" w:type="dxa"/>
            <w:tcBorders/>
            <w:vAlign w:val="center"/>
          </w:tcPr>
          <w:p>
            <w:pPr>
              <w:pStyle w:val="TableContents"/>
              <w:bidi w:val="0"/>
              <w:spacing w:before="0" w:after="283"/>
              <w:jc w:val="right"/>
              <w:rPr>
                <w:rFonts w:ascii="Arial" w:hAnsi="Arial"/>
                <w:b w:val="false"/>
                <w:i w:val="false"/>
                <w:caps w:val="false"/>
                <w:smallCaps w:val="false"/>
                <w:color w:val="FFFFFF"/>
                <w:sz w:val="16"/>
              </w:rPr>
            </w:pPr>
            <w:r>
              <w:rPr>
                <w:rFonts w:ascii="Arial" w:hAnsi="Arial"/>
                <w:b w:val="false"/>
                <w:i w:val="false"/>
                <w:caps w:val="false"/>
                <w:smallCaps w:val="false"/>
                <w:color w:val="FFFFFF"/>
                <w:sz w:val="16"/>
              </w:rPr>
              <w:t>1,000,000</w:t>
            </w:r>
          </w:p>
        </w:tc>
        <w:tc>
          <w:tcPr>
            <w:tcW w:w="1055" w:type="dxa"/>
            <w:tcBorders/>
            <w:vAlign w:val="center"/>
          </w:tcPr>
          <w:p>
            <w:pPr>
              <w:pStyle w:val="TableContents"/>
              <w:bidi w:val="0"/>
              <w:spacing w:before="0" w:after="283"/>
              <w:jc w:val="left"/>
              <w:rPr>
                <w:caps w:val="false"/>
                <w:smallCaps w:val="false"/>
              </w:rPr>
            </w:pPr>
            <w:r>
              <w:rPr>
                <w:caps w:val="false"/>
                <w:smallCaps w:val="false"/>
              </w:rPr>
              <w:t> </w:t>
            </w:r>
          </w:p>
        </w:tc>
        <w:tc>
          <w:tcPr>
            <w:tcW w:w="784"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tcBorders/>
            <w:vAlign w:val="center"/>
          </w:tcPr>
          <w:p>
            <w:pPr>
              <w:pStyle w:val="TableContents"/>
              <w:bidi w:val="0"/>
              <w:spacing w:before="0" w:after="283"/>
              <w:jc w:val="left"/>
              <w:rPr>
                <w:caps w:val="false"/>
                <w:smallCaps w:val="false"/>
              </w:rPr>
            </w:pPr>
            <w:r>
              <w:rPr>
                <w:caps w:val="false"/>
                <w:smallCaps w:val="false"/>
              </w:rPr>
              <w:t> </w:t>
            </w:r>
          </w:p>
        </w:tc>
        <w:tc>
          <w:tcPr>
            <w:tcW w:w="8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510" w:type="dxa"/>
            <w:gridSpan w:val="3"/>
            <w:tcBorders>
              <w:top w:val="single" w:sz="8" w:space="0" w:color="BFBFBF"/>
            </w:tcBorders>
            <w:tcMar>
              <w:top w:w="28"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 This indicator includes data for BCP Perú, BCP Bolivia, Mibanco Perú and Mibanco Colombia (except small businesses that Mibanco Colombia does not report)</w:t>
            </w:r>
          </w:p>
        </w:tc>
        <w:tc>
          <w:tcPr>
            <w:tcW w:w="1055" w:type="dxa"/>
            <w:tcBorders/>
            <w:vAlign w:val="center"/>
          </w:tcPr>
          <w:p>
            <w:pPr>
              <w:pStyle w:val="TableContents"/>
              <w:bidi w:val="0"/>
              <w:spacing w:before="0" w:after="283"/>
              <w:jc w:val="left"/>
              <w:rPr>
                <w:caps w:val="false"/>
                <w:smallCaps w:val="false"/>
              </w:rPr>
            </w:pPr>
            <w:r>
              <w:rPr>
                <w:caps w:val="false"/>
                <w:smallCaps w:val="false"/>
              </w:rPr>
              <w:t> </w:t>
            </w:r>
          </w:p>
        </w:tc>
        <w:tc>
          <w:tcPr>
            <w:tcW w:w="784"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tcBorders/>
            <w:vAlign w:val="center"/>
          </w:tcPr>
          <w:p>
            <w:pPr>
              <w:pStyle w:val="TableContents"/>
              <w:bidi w:val="0"/>
              <w:spacing w:before="0" w:after="283"/>
              <w:jc w:val="left"/>
              <w:rPr>
                <w:caps w:val="false"/>
                <w:smallCaps w:val="false"/>
              </w:rPr>
            </w:pPr>
            <w:r>
              <w:rPr>
                <w:caps w:val="false"/>
                <w:smallCaps w:val="false"/>
              </w:rPr>
              <w:t> </w:t>
            </w:r>
          </w:p>
        </w:tc>
        <w:tc>
          <w:tcPr>
            <w:tcW w:w="801"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color w:val="FE5000"/>
        </w:rPr>
      </w:pPr>
      <w:r>
        <w:rPr>
          <w:caps w:val="false"/>
          <w:smallCaps w:val="false"/>
          <w:color w:val="FE5000"/>
        </w:rPr>
        <w:t> </w:t>
      </w:r>
    </w:p>
    <w:tbl>
      <w:tblPr>
        <w:tblW w:w="10205" w:type="dxa"/>
        <w:jc w:val="left"/>
        <w:tblInd w:w="-10" w:type="dxa"/>
        <w:tblLayout w:type="fixed"/>
        <w:tblCellMar>
          <w:top w:w="28" w:type="dxa"/>
          <w:left w:w="70" w:type="dxa"/>
          <w:bottom w:w="28" w:type="dxa"/>
          <w:right w:w="0" w:type="dxa"/>
        </w:tblCellMar>
      </w:tblPr>
      <w:tblGrid>
        <w:gridCol w:w="5386"/>
        <w:gridCol w:w="881"/>
        <w:gridCol w:w="922"/>
        <w:gridCol w:w="740"/>
        <w:gridCol w:w="759"/>
        <w:gridCol w:w="740"/>
        <w:gridCol w:w="777"/>
      </w:tblGrid>
      <w:tr>
        <w:trPr/>
        <w:tc>
          <w:tcPr>
            <w:tcW w:w="5386" w:type="dxa"/>
            <w:vMerge w:val="restart"/>
            <w:tcBorders>
              <w:top w:val="single" w:sz="8" w:space="0" w:color="000000"/>
              <w:left w:val="single" w:sz="8" w:space="0" w:color="000000"/>
              <w:bottom w:val="single" w:sz="8" w:space="0" w:color="808080"/>
            </w:tcBorders>
            <w:shd w:fill="000000" w:val="clear"/>
            <w:vAlign w:val="center"/>
          </w:tcPr>
          <w:p>
            <w:pPr>
              <w:pStyle w:val="TableContents"/>
              <w:bidi w:val="0"/>
              <w:spacing w:before="0" w:after="0"/>
              <w:ind w:left="0" w:right="0" w:hanging="0"/>
              <w:jc w:val="left"/>
              <w:rPr>
                <w:rFonts w:ascii="Arial" w:hAnsi="Arial"/>
                <w:b/>
                <w:i w:val="false"/>
                <w:caps w:val="false"/>
                <w:smallCaps w:val="false"/>
                <w:color w:val="FFFFFF"/>
                <w:sz w:val="16"/>
              </w:rPr>
            </w:pPr>
            <w:r>
              <w:rPr>
                <w:rFonts w:ascii="Arial" w:hAnsi="Arial"/>
                <w:b/>
                <w:i w:val="false"/>
                <w:caps w:val="false"/>
                <w:smallCaps w:val="false"/>
                <w:color w:val="FFFFFF"/>
                <w:sz w:val="16"/>
              </w:rPr>
              <w:t>FN-CB-OOO.B Number and value of loans by segment: (a) personal,</w:t>
            </w:r>
          </w:p>
          <w:p>
            <w:pPr>
              <w:pStyle w:val="TableContents"/>
              <w:bidi w:val="0"/>
              <w:spacing w:before="0" w:after="0"/>
              <w:ind w:left="0" w:right="0" w:hanging="0"/>
              <w:jc w:val="left"/>
              <w:rPr>
                <w:rFonts w:ascii="Arial" w:hAnsi="Arial"/>
                <w:b/>
                <w:i w:val="false"/>
                <w:caps w:val="false"/>
                <w:smallCaps w:val="false"/>
                <w:color w:val="FFFFFF"/>
                <w:sz w:val="16"/>
              </w:rPr>
            </w:pPr>
            <w:r>
              <w:rPr>
                <w:rFonts w:ascii="Arial" w:hAnsi="Arial"/>
                <w:b/>
                <w:i w:val="false"/>
                <w:caps w:val="false"/>
                <w:smallCaps w:val="false"/>
                <w:color w:val="FFFFFF"/>
                <w:sz w:val="16"/>
              </w:rPr>
              <w:t>(b) small business, and (c) corporate</w:t>
            </w:r>
          </w:p>
        </w:tc>
        <w:tc>
          <w:tcPr>
            <w:tcW w:w="1803" w:type="dxa"/>
            <w:gridSpan w:val="2"/>
            <w:tcBorders>
              <w:top w:val="single" w:sz="8" w:space="0" w:color="000000"/>
            </w:tcBorders>
            <w:shd w:fill="000000" w:val="clear"/>
            <w:tcMar>
              <w:left w:w="0" w:type="dxa"/>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2023</w:t>
            </w:r>
          </w:p>
        </w:tc>
        <w:tc>
          <w:tcPr>
            <w:tcW w:w="1499" w:type="dxa"/>
            <w:gridSpan w:val="2"/>
            <w:tcBorders>
              <w:top w:val="single" w:sz="8" w:space="0" w:color="000000"/>
            </w:tcBorders>
            <w:shd w:fill="000000" w:val="clear"/>
            <w:tcMar>
              <w:left w:w="0" w:type="dxa"/>
              <w:bottom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2022</w:t>
            </w:r>
          </w:p>
        </w:tc>
        <w:tc>
          <w:tcPr>
            <w:tcW w:w="1517" w:type="dxa"/>
            <w:gridSpan w:val="2"/>
            <w:tcBorders>
              <w:top w:val="single" w:sz="8" w:space="0" w:color="000000"/>
              <w:right w:val="single" w:sz="8" w:space="0" w:color="000000"/>
            </w:tcBorders>
            <w:shd w:fill="000000" w:val="clear"/>
            <w:tcMar>
              <w:left w:w="0" w:type="dxa"/>
              <w:bottom w:w="0" w:type="dxa"/>
              <w:right w:w="7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2021</w:t>
            </w:r>
          </w:p>
        </w:tc>
      </w:tr>
      <w:tr>
        <w:trPr/>
        <w:tc>
          <w:tcPr>
            <w:tcW w:w="5386" w:type="dxa"/>
            <w:vMerge w:val="continue"/>
            <w:tcBorders>
              <w:top w:val="single" w:sz="8" w:space="0" w:color="000000"/>
              <w:left w:val="single" w:sz="8" w:space="0" w:color="000000"/>
              <w:bottom w:val="single" w:sz="8" w:space="0" w:color="808080"/>
            </w:tcBorders>
            <w:shd w:fill="000000" w:val="clear"/>
            <w:vAlign w:val="center"/>
          </w:tcPr>
          <w:p>
            <w:pPr>
              <w:pStyle w:val="Normal"/>
              <w:bidi w:val="0"/>
              <w:jc w:val="left"/>
              <w:rPr/>
            </w:pPr>
            <w:r>
              <w:rPr/>
            </w:r>
          </w:p>
        </w:tc>
        <w:tc>
          <w:tcPr>
            <w:tcW w:w="881" w:type="dxa"/>
            <w:tcBorders>
              <w:bottom w:val="single" w:sz="8" w:space="0" w:color="808080"/>
            </w:tcBorders>
            <w:shd w:fill="000000" w:val="clear"/>
            <w:tcMar>
              <w:top w:w="0" w:type="dxa"/>
              <w:left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Number</w:t>
            </w:r>
          </w:p>
        </w:tc>
        <w:tc>
          <w:tcPr>
            <w:tcW w:w="922" w:type="dxa"/>
            <w:tcBorders>
              <w:bottom w:val="single" w:sz="8" w:space="0" w:color="808080"/>
            </w:tcBorders>
            <w:shd w:fill="000000" w:val="clear"/>
            <w:tcMar>
              <w:top w:w="0" w:type="dxa"/>
              <w:left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S/ millions</w:t>
            </w:r>
          </w:p>
        </w:tc>
        <w:tc>
          <w:tcPr>
            <w:tcW w:w="740" w:type="dxa"/>
            <w:tcBorders>
              <w:bottom w:val="single" w:sz="8" w:space="0" w:color="808080"/>
            </w:tcBorders>
            <w:shd w:fill="000000" w:val="clear"/>
            <w:tcMar>
              <w:top w:w="0" w:type="dxa"/>
              <w:left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Number</w:t>
            </w:r>
          </w:p>
        </w:tc>
        <w:tc>
          <w:tcPr>
            <w:tcW w:w="759" w:type="dxa"/>
            <w:tcBorders>
              <w:bottom w:val="single" w:sz="8" w:space="0" w:color="808080"/>
            </w:tcBorders>
            <w:shd w:fill="000000" w:val="clear"/>
            <w:tcMar>
              <w:top w:w="0" w:type="dxa"/>
              <w:left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S/ millions</w:t>
            </w:r>
          </w:p>
        </w:tc>
        <w:tc>
          <w:tcPr>
            <w:tcW w:w="740" w:type="dxa"/>
            <w:tcBorders>
              <w:bottom w:val="single" w:sz="8" w:space="0" w:color="808080"/>
            </w:tcBorders>
            <w:shd w:fill="000000" w:val="clear"/>
            <w:tcMar>
              <w:top w:w="0" w:type="dxa"/>
              <w:left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Number</w:t>
            </w:r>
          </w:p>
        </w:tc>
        <w:tc>
          <w:tcPr>
            <w:tcW w:w="777" w:type="dxa"/>
            <w:tcBorders>
              <w:bottom w:val="single" w:sz="8" w:space="0" w:color="808080"/>
              <w:right w:val="single" w:sz="8" w:space="0" w:color="000000"/>
            </w:tcBorders>
            <w:shd w:fill="000000" w:val="clear"/>
            <w:tcMar>
              <w:top w:w="0" w:type="dxa"/>
              <w:left w:w="0" w:type="dxa"/>
              <w:right w:w="7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S/ millions</w:t>
            </w:r>
          </w:p>
        </w:tc>
      </w:tr>
      <w:tr>
        <w:trPr/>
        <w:tc>
          <w:tcPr>
            <w:tcW w:w="5386" w:type="dxa"/>
            <w:tcBorders>
              <w:left w:val="single" w:sz="8" w:space="0" w:color="FFFFFF"/>
              <w:bottom w:val="single" w:sz="8" w:space="0" w:color="808080"/>
            </w:tcBorders>
            <w:shd w:fill="808080" w:val="clear"/>
            <w:tcMar>
              <w:top w:w="0" w:type="dxa"/>
            </w:tcMar>
            <w:vAlign w:val="center"/>
          </w:tcPr>
          <w:p>
            <w:pPr>
              <w:pStyle w:val="TableContents"/>
              <w:bidi w:val="0"/>
              <w:spacing w:before="0" w:after="283"/>
              <w:jc w:val="left"/>
              <w:rPr>
                <w:rFonts w:ascii="Arial" w:hAnsi="Arial"/>
                <w:b/>
                <w:i w:val="false"/>
                <w:caps w:val="false"/>
                <w:smallCaps w:val="false"/>
                <w:color w:val="FFFFFF"/>
                <w:sz w:val="16"/>
              </w:rPr>
            </w:pPr>
            <w:r>
              <w:rPr>
                <w:rFonts w:ascii="Arial" w:hAnsi="Arial"/>
                <w:b/>
                <w:i w:val="false"/>
                <w:caps w:val="false"/>
                <w:smallCaps w:val="false"/>
                <w:color w:val="FFFFFF"/>
                <w:sz w:val="16"/>
              </w:rPr>
              <w:t>Total</w:t>
            </w:r>
          </w:p>
        </w:tc>
        <w:tc>
          <w:tcPr>
            <w:tcW w:w="881" w:type="dxa"/>
            <w:tcBorders>
              <w:bottom w:val="single" w:sz="8" w:space="0" w:color="808080"/>
            </w:tcBorders>
            <w:shd w:fill="808080" w:val="clear"/>
            <w:tcMar>
              <w:top w:w="0" w:type="dxa"/>
              <w:left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2,312,590</w:t>
            </w:r>
          </w:p>
        </w:tc>
        <w:tc>
          <w:tcPr>
            <w:tcW w:w="922" w:type="dxa"/>
            <w:tcBorders>
              <w:bottom w:val="single" w:sz="8" w:space="0" w:color="808080"/>
            </w:tcBorders>
            <w:shd w:fill="808080" w:val="clear"/>
            <w:tcMar>
              <w:top w:w="0" w:type="dxa"/>
              <w:left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97,542</w:t>
            </w:r>
          </w:p>
        </w:tc>
        <w:tc>
          <w:tcPr>
            <w:tcW w:w="740" w:type="dxa"/>
            <w:tcBorders>
              <w:bottom w:val="single" w:sz="8" w:space="0" w:color="808080"/>
            </w:tcBorders>
            <w:shd w:fill="808080" w:val="clear"/>
            <w:tcMar>
              <w:top w:w="0" w:type="dxa"/>
              <w:left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2,970,254</w:t>
            </w:r>
          </w:p>
        </w:tc>
        <w:tc>
          <w:tcPr>
            <w:tcW w:w="759" w:type="dxa"/>
            <w:tcBorders>
              <w:bottom w:val="single" w:sz="8" w:space="0" w:color="808080"/>
            </w:tcBorders>
            <w:shd w:fill="808080" w:val="clear"/>
            <w:tcMar>
              <w:top w:w="0" w:type="dxa"/>
              <w:left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21,667</w:t>
            </w:r>
          </w:p>
        </w:tc>
        <w:tc>
          <w:tcPr>
            <w:tcW w:w="740" w:type="dxa"/>
            <w:tcBorders>
              <w:bottom w:val="single" w:sz="8" w:space="0" w:color="808080"/>
            </w:tcBorders>
            <w:shd w:fill="808080" w:val="clear"/>
            <w:tcMar>
              <w:top w:w="0" w:type="dxa"/>
              <w:left w:w="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2,210,052</w:t>
            </w:r>
          </w:p>
        </w:tc>
        <w:tc>
          <w:tcPr>
            <w:tcW w:w="777" w:type="dxa"/>
            <w:tcBorders>
              <w:bottom w:val="single" w:sz="8" w:space="0" w:color="808080"/>
              <w:right w:val="single" w:sz="8" w:space="0" w:color="FFFFFF"/>
            </w:tcBorders>
            <w:shd w:fill="808080" w:val="clear"/>
            <w:tcMar>
              <w:top w:w="0" w:type="dxa"/>
              <w:left w:w="0" w:type="dxa"/>
              <w:right w:w="70" w:type="dxa"/>
            </w:tcMar>
            <w:vAlign w:val="center"/>
          </w:tcPr>
          <w:p>
            <w:pPr>
              <w:pStyle w:val="TableContents"/>
              <w:bidi w:val="0"/>
              <w:spacing w:before="0" w:after="283"/>
              <w:jc w:val="center"/>
              <w:rPr>
                <w:rFonts w:ascii="Arial" w:hAnsi="Arial"/>
                <w:b/>
                <w:i w:val="false"/>
                <w:caps w:val="false"/>
                <w:smallCaps w:val="false"/>
                <w:color w:val="FFFFFF"/>
                <w:sz w:val="16"/>
              </w:rPr>
            </w:pPr>
            <w:r>
              <w:rPr>
                <w:rFonts w:ascii="Arial" w:hAnsi="Arial"/>
                <w:b/>
                <w:i w:val="false"/>
                <w:caps w:val="false"/>
                <w:smallCaps w:val="false"/>
                <w:color w:val="FFFFFF"/>
                <w:sz w:val="16"/>
              </w:rPr>
              <w:t>93,051</w:t>
            </w:r>
          </w:p>
        </w:tc>
      </w:tr>
      <w:tr>
        <w:trPr/>
        <w:tc>
          <w:tcPr>
            <w:tcW w:w="5386" w:type="dxa"/>
            <w:tcBorders>
              <w:left w:val="single" w:sz="8" w:space="0" w:color="FFFFFF"/>
              <w:bottom w:val="single" w:sz="8" w:space="0" w:color="A6A6A6"/>
            </w:tcBorders>
            <w:tcMar>
              <w:top w:w="0"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Personal</w:t>
            </w:r>
          </w:p>
        </w:tc>
        <w:tc>
          <w:tcPr>
            <w:tcW w:w="881" w:type="dxa"/>
            <w:tcBorders>
              <w:bottom w:val="single" w:sz="8" w:space="0" w:color="A6A6A6"/>
            </w:tcBorders>
            <w:tcMar>
              <w:top w:w="0" w:type="dxa"/>
              <w:left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855,337</w:t>
            </w:r>
          </w:p>
        </w:tc>
        <w:tc>
          <w:tcPr>
            <w:tcW w:w="922" w:type="dxa"/>
            <w:tcBorders>
              <w:bottom w:val="single" w:sz="8" w:space="0" w:color="A6A6A6"/>
            </w:tcBorders>
            <w:tcMar>
              <w:top w:w="0" w:type="dxa"/>
              <w:left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13,847</w:t>
            </w:r>
          </w:p>
        </w:tc>
        <w:tc>
          <w:tcPr>
            <w:tcW w:w="740" w:type="dxa"/>
            <w:tcBorders>
              <w:bottom w:val="single" w:sz="8" w:space="0" w:color="A6A6A6"/>
            </w:tcBorders>
            <w:tcMar>
              <w:top w:w="0" w:type="dxa"/>
              <w:left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1,140,364</w:t>
            </w:r>
          </w:p>
        </w:tc>
        <w:tc>
          <w:tcPr>
            <w:tcW w:w="759" w:type="dxa"/>
            <w:tcBorders>
              <w:bottom w:val="single" w:sz="8" w:space="0" w:color="A6A6A6"/>
            </w:tcBorders>
            <w:tcMar>
              <w:top w:w="0" w:type="dxa"/>
              <w:left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2,328</w:t>
            </w:r>
          </w:p>
        </w:tc>
        <w:tc>
          <w:tcPr>
            <w:tcW w:w="740" w:type="dxa"/>
            <w:tcBorders>
              <w:bottom w:val="single" w:sz="8" w:space="0" w:color="A6A6A6"/>
            </w:tcBorders>
            <w:tcMar>
              <w:top w:w="0" w:type="dxa"/>
              <w:left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875,669</w:t>
            </w:r>
          </w:p>
        </w:tc>
        <w:tc>
          <w:tcPr>
            <w:tcW w:w="777" w:type="dxa"/>
            <w:tcBorders>
              <w:bottom w:val="single" w:sz="8" w:space="0" w:color="A6A6A6"/>
              <w:right w:val="single" w:sz="8" w:space="0" w:color="FFFFFF"/>
            </w:tcBorders>
            <w:tcMar>
              <w:top w:w="0" w:type="dxa"/>
              <w:left w:w="0" w:type="dxa"/>
              <w:right w:w="7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10,490</w:t>
            </w:r>
          </w:p>
        </w:tc>
      </w:tr>
      <w:tr>
        <w:trPr/>
        <w:tc>
          <w:tcPr>
            <w:tcW w:w="5386" w:type="dxa"/>
            <w:tcBorders>
              <w:left w:val="single" w:sz="8" w:space="0" w:color="FFFFFF"/>
              <w:bottom w:val="single" w:sz="8" w:space="0" w:color="A6A6A6"/>
            </w:tcBorders>
            <w:tcMar>
              <w:top w:w="0"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Small Businesses</w:t>
            </w:r>
          </w:p>
        </w:tc>
        <w:tc>
          <w:tcPr>
            <w:tcW w:w="881" w:type="dxa"/>
            <w:tcBorders>
              <w:bottom w:val="single" w:sz="8" w:space="0" w:color="A6A6A6"/>
            </w:tcBorders>
            <w:tcMar>
              <w:top w:w="0" w:type="dxa"/>
              <w:left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1,181,439</w:t>
            </w:r>
          </w:p>
        </w:tc>
        <w:tc>
          <w:tcPr>
            <w:tcW w:w="922" w:type="dxa"/>
            <w:tcBorders>
              <w:bottom w:val="single" w:sz="8" w:space="0" w:color="A6A6A6"/>
            </w:tcBorders>
            <w:tcMar>
              <w:top w:w="0" w:type="dxa"/>
              <w:left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26,611</w:t>
            </w:r>
          </w:p>
        </w:tc>
        <w:tc>
          <w:tcPr>
            <w:tcW w:w="740" w:type="dxa"/>
            <w:tcBorders>
              <w:bottom w:val="single" w:sz="8" w:space="0" w:color="A6A6A6"/>
            </w:tcBorders>
            <w:tcMar>
              <w:top w:w="0" w:type="dxa"/>
              <w:left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1,550,614</w:t>
            </w:r>
          </w:p>
        </w:tc>
        <w:tc>
          <w:tcPr>
            <w:tcW w:w="759" w:type="dxa"/>
            <w:tcBorders>
              <w:bottom w:val="single" w:sz="8" w:space="0" w:color="A6A6A6"/>
            </w:tcBorders>
            <w:tcMar>
              <w:top w:w="0" w:type="dxa"/>
              <w:left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14,874</w:t>
            </w:r>
          </w:p>
        </w:tc>
        <w:tc>
          <w:tcPr>
            <w:tcW w:w="740" w:type="dxa"/>
            <w:tcBorders>
              <w:bottom w:val="single" w:sz="8" w:space="0" w:color="A6A6A6"/>
            </w:tcBorders>
            <w:tcMar>
              <w:top w:w="0" w:type="dxa"/>
              <w:left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1,292,082</w:t>
            </w:r>
          </w:p>
        </w:tc>
        <w:tc>
          <w:tcPr>
            <w:tcW w:w="777" w:type="dxa"/>
            <w:tcBorders>
              <w:bottom w:val="single" w:sz="8" w:space="0" w:color="A6A6A6"/>
              <w:right w:val="single" w:sz="8" w:space="0" w:color="FFFFFF"/>
            </w:tcBorders>
            <w:tcMar>
              <w:top w:w="0" w:type="dxa"/>
              <w:left w:w="0" w:type="dxa"/>
              <w:right w:w="7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28,430</w:t>
            </w:r>
          </w:p>
        </w:tc>
      </w:tr>
      <w:tr>
        <w:trPr/>
        <w:tc>
          <w:tcPr>
            <w:tcW w:w="5386" w:type="dxa"/>
            <w:tcBorders>
              <w:left w:val="single" w:sz="8" w:space="0" w:color="FFFFFF"/>
              <w:bottom w:val="single" w:sz="8" w:space="0" w:color="A6A6A6"/>
            </w:tcBorders>
            <w:tcMar>
              <w:top w:w="0"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Corporate - Corporate Banking</w:t>
            </w:r>
          </w:p>
        </w:tc>
        <w:tc>
          <w:tcPr>
            <w:tcW w:w="881" w:type="dxa"/>
            <w:tcBorders>
              <w:bottom w:val="single" w:sz="8" w:space="0" w:color="A6A6A6"/>
            </w:tcBorders>
            <w:tcMar>
              <w:top w:w="0" w:type="dxa"/>
              <w:left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191,261</w:t>
            </w:r>
          </w:p>
        </w:tc>
        <w:tc>
          <w:tcPr>
            <w:tcW w:w="922" w:type="dxa"/>
            <w:tcBorders>
              <w:bottom w:val="single" w:sz="8" w:space="0" w:color="A6A6A6"/>
            </w:tcBorders>
            <w:tcMar>
              <w:top w:w="0" w:type="dxa"/>
              <w:left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35,759</w:t>
            </w:r>
          </w:p>
        </w:tc>
        <w:tc>
          <w:tcPr>
            <w:tcW w:w="740" w:type="dxa"/>
            <w:tcBorders>
              <w:bottom w:val="single" w:sz="8" w:space="0" w:color="A6A6A6"/>
            </w:tcBorders>
            <w:tcMar>
              <w:top w:w="0" w:type="dxa"/>
              <w:left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201,314</w:t>
            </w:r>
          </w:p>
        </w:tc>
        <w:tc>
          <w:tcPr>
            <w:tcW w:w="759" w:type="dxa"/>
            <w:tcBorders>
              <w:bottom w:val="single" w:sz="8" w:space="0" w:color="A6A6A6"/>
            </w:tcBorders>
            <w:tcMar>
              <w:top w:w="0" w:type="dxa"/>
              <w:left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4,466</w:t>
            </w:r>
          </w:p>
        </w:tc>
        <w:tc>
          <w:tcPr>
            <w:tcW w:w="740" w:type="dxa"/>
            <w:tcBorders>
              <w:bottom w:val="single" w:sz="8" w:space="0" w:color="A6A6A6"/>
            </w:tcBorders>
            <w:tcMar>
              <w:top w:w="0" w:type="dxa"/>
              <w:left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8,653</w:t>
            </w:r>
          </w:p>
        </w:tc>
        <w:tc>
          <w:tcPr>
            <w:tcW w:w="777" w:type="dxa"/>
            <w:tcBorders>
              <w:bottom w:val="single" w:sz="8" w:space="0" w:color="A6A6A6"/>
              <w:right w:val="single" w:sz="8" w:space="0" w:color="FFFFFF"/>
            </w:tcBorders>
            <w:tcMar>
              <w:top w:w="0" w:type="dxa"/>
              <w:left w:w="0" w:type="dxa"/>
              <w:right w:w="7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30,875</w:t>
            </w:r>
          </w:p>
        </w:tc>
      </w:tr>
      <w:tr>
        <w:trPr/>
        <w:tc>
          <w:tcPr>
            <w:tcW w:w="5386" w:type="dxa"/>
            <w:tcBorders>
              <w:left w:val="single" w:sz="8" w:space="0" w:color="FFFFFF"/>
              <w:bottom w:val="single" w:sz="8" w:space="0" w:color="A6A6A6"/>
            </w:tcBorders>
            <w:shd w:fill="FFFFFF" w:val="clear"/>
            <w:tcMar>
              <w:top w:w="0" w:type="dxa"/>
            </w:tcMar>
            <w:vAlign w:val="center"/>
          </w:tcPr>
          <w:p>
            <w:pPr>
              <w:pStyle w:val="TableContents"/>
              <w:bidi w:val="0"/>
              <w:spacing w:before="0" w:after="283"/>
              <w:jc w:val="lef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Corporate - Business Banking *</w:t>
            </w:r>
          </w:p>
        </w:tc>
        <w:tc>
          <w:tcPr>
            <w:tcW w:w="881" w:type="dxa"/>
            <w:tcBorders>
              <w:bottom w:val="single" w:sz="8" w:space="0" w:color="A6A6A6"/>
            </w:tcBorders>
            <w:tcMar>
              <w:top w:w="0" w:type="dxa"/>
              <w:left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84,553</w:t>
            </w:r>
          </w:p>
        </w:tc>
        <w:tc>
          <w:tcPr>
            <w:tcW w:w="922" w:type="dxa"/>
            <w:tcBorders>
              <w:bottom w:val="single" w:sz="8" w:space="0" w:color="A6A6A6"/>
            </w:tcBorders>
            <w:tcMar>
              <w:top w:w="0" w:type="dxa"/>
              <w:left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21,325</w:t>
            </w:r>
          </w:p>
        </w:tc>
        <w:tc>
          <w:tcPr>
            <w:tcW w:w="740" w:type="dxa"/>
            <w:tcBorders>
              <w:bottom w:val="single" w:sz="8" w:space="0" w:color="A6A6A6"/>
            </w:tcBorders>
            <w:tcMar>
              <w:top w:w="0" w:type="dxa"/>
              <w:left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77,962</w:t>
            </w:r>
          </w:p>
        </w:tc>
        <w:tc>
          <w:tcPr>
            <w:tcW w:w="759" w:type="dxa"/>
            <w:tcBorders>
              <w:bottom w:val="single" w:sz="8" w:space="0" w:color="A6A6A6"/>
            </w:tcBorders>
            <w:tcMar>
              <w:top w:w="0" w:type="dxa"/>
              <w:left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0.023</w:t>
            </w:r>
          </w:p>
        </w:tc>
        <w:tc>
          <w:tcPr>
            <w:tcW w:w="740" w:type="dxa"/>
            <w:tcBorders>
              <w:bottom w:val="single" w:sz="8" w:space="0" w:color="A6A6A6"/>
            </w:tcBorders>
            <w:tcMar>
              <w:top w:w="0" w:type="dxa"/>
              <w:left w:w="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33,648</w:t>
            </w:r>
          </w:p>
        </w:tc>
        <w:tc>
          <w:tcPr>
            <w:tcW w:w="777" w:type="dxa"/>
            <w:tcBorders>
              <w:bottom w:val="single" w:sz="8" w:space="0" w:color="A6A6A6"/>
              <w:right w:val="single" w:sz="8" w:space="0" w:color="FFFFFF"/>
            </w:tcBorders>
            <w:tcMar>
              <w:top w:w="0" w:type="dxa"/>
              <w:left w:w="0" w:type="dxa"/>
              <w:right w:w="70" w:type="dxa"/>
            </w:tcMar>
            <w:vAlign w:val="center"/>
          </w:tcPr>
          <w:p>
            <w:pPr>
              <w:pStyle w:val="TableContents"/>
              <w:bidi w:val="0"/>
              <w:spacing w:before="0" w:after="283"/>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23,256</w:t>
            </w:r>
          </w:p>
        </w:tc>
      </w:tr>
      <w:tr>
        <w:trPr/>
        <w:tc>
          <w:tcPr>
            <w:tcW w:w="7189" w:type="dxa"/>
            <w:gridSpan w:val="3"/>
            <w:tcBorders/>
            <w:tcMar>
              <w:top w:w="0" w:type="dxa"/>
              <w:left w:w="0" w:type="dxa"/>
              <w:bottom w:w="0" w:type="dxa"/>
            </w:tcMar>
            <w:vAlign w:val="center"/>
          </w:tcPr>
          <w:p>
            <w:pPr>
              <w:pStyle w:val="TableContents"/>
              <w:bidi w:val="0"/>
              <w:spacing w:before="0" w:after="283"/>
              <w:jc w:val="left"/>
              <w:rPr>
                <w:rFonts w:ascii="Arial" w:hAnsi="Arial"/>
                <w:b w:val="false"/>
                <w:i w:val="false"/>
                <w:caps w:val="false"/>
                <w:smallCaps w:val="false"/>
                <w:color w:val="404040"/>
                <w:sz w:val="16"/>
              </w:rPr>
            </w:pPr>
            <w:r>
              <w:rPr>
                <w:rFonts w:ascii="Arial" w:hAnsi="Arial"/>
                <w:b w:val="false"/>
                <w:i w:val="false"/>
                <w:caps w:val="false"/>
                <w:smallCaps w:val="false"/>
                <w:color w:val="404040"/>
                <w:sz w:val="16"/>
              </w:rPr>
              <w:t>This indicator includes figures for Mibanco Perú, Mibanco Colombia, BCP Perú and BCP Bolivia. * Includes only BCP Perú</w:t>
            </w:r>
          </w:p>
        </w:tc>
        <w:tc>
          <w:tcPr>
            <w:tcW w:w="740" w:type="dxa"/>
            <w:tcBorders/>
            <w:tcMar>
              <w:top w:w="0" w:type="dxa"/>
              <w:left w:w="0" w:type="dxa"/>
              <w:bottom w:w="0" w:type="dxa"/>
            </w:tcMar>
            <w:vAlign w:val="center"/>
          </w:tcPr>
          <w:p>
            <w:pPr>
              <w:pStyle w:val="TableContents"/>
              <w:bidi w:val="0"/>
              <w:spacing w:before="0" w:after="283"/>
              <w:jc w:val="center"/>
              <w:rPr>
                <w:caps w:val="false"/>
                <w:smallCaps w:val="false"/>
              </w:rPr>
            </w:pPr>
            <w:r>
              <w:rPr>
                <w:caps w:val="false"/>
                <w:smallCaps w:val="false"/>
              </w:rPr>
              <w:t> </w:t>
            </w:r>
          </w:p>
        </w:tc>
        <w:tc>
          <w:tcPr>
            <w:tcW w:w="759" w:type="dxa"/>
            <w:tcBorders/>
            <w:tcMar>
              <w:top w:w="0" w:type="dxa"/>
              <w:left w:w="0" w:type="dxa"/>
              <w:bottom w:w="0" w:type="dxa"/>
            </w:tcMar>
            <w:vAlign w:val="center"/>
          </w:tcPr>
          <w:p>
            <w:pPr>
              <w:pStyle w:val="TableContents"/>
              <w:bidi w:val="0"/>
              <w:spacing w:before="0" w:after="283"/>
              <w:jc w:val="center"/>
              <w:rPr>
                <w:caps w:val="false"/>
                <w:smallCaps w:val="false"/>
              </w:rPr>
            </w:pPr>
            <w:r>
              <w:rPr>
                <w:caps w:val="false"/>
                <w:smallCaps w:val="false"/>
              </w:rPr>
              <w:t> </w:t>
            </w:r>
          </w:p>
        </w:tc>
        <w:tc>
          <w:tcPr>
            <w:tcW w:w="740" w:type="dxa"/>
            <w:tcBorders/>
            <w:tcMar>
              <w:top w:w="0" w:type="dxa"/>
              <w:left w:w="0" w:type="dxa"/>
              <w:bottom w:w="0" w:type="dxa"/>
            </w:tcMar>
            <w:vAlign w:val="center"/>
          </w:tcPr>
          <w:p>
            <w:pPr>
              <w:pStyle w:val="TableContents"/>
              <w:bidi w:val="0"/>
              <w:spacing w:before="0" w:after="283"/>
              <w:jc w:val="center"/>
              <w:rPr>
                <w:caps w:val="false"/>
                <w:smallCaps w:val="false"/>
              </w:rPr>
            </w:pPr>
            <w:r>
              <w:rPr>
                <w:caps w:val="false"/>
                <w:smallCaps w:val="false"/>
              </w:rPr>
              <w:t> </w:t>
            </w:r>
          </w:p>
        </w:tc>
        <w:tc>
          <w:tcPr>
            <w:tcW w:w="777" w:type="dxa"/>
            <w:tcBorders/>
            <w:tcMar>
              <w:top w:w="0" w:type="dxa"/>
              <w:left w:w="0" w:type="dxa"/>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90</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GRI and SASB content index</w:t>
      </w:r>
    </w:p>
    <w:p>
      <w:pPr>
        <w:pStyle w:val="TextBody"/>
        <w:bidi w:val="0"/>
        <w:spacing w:before="0" w:after="0"/>
        <w:ind w:left="0" w:right="0" w:hanging="0"/>
        <w:jc w:val="left"/>
        <w:rPr>
          <w:caps w:val="false"/>
          <w:smallCaps w:val="false"/>
          <w:color w:val="FE5000"/>
        </w:rPr>
      </w:pPr>
      <w:r>
        <w:rPr>
          <w:caps w:val="false"/>
          <w:smallCaps w:val="false"/>
          <w:color w:val="FE5000"/>
        </w:rPr>
        <w:t> </w:t>
      </w:r>
    </w:p>
    <w:tbl>
      <w:tblPr>
        <w:tblW w:w="10205" w:type="dxa"/>
        <w:jc w:val="left"/>
        <w:tblInd w:w="-10" w:type="dxa"/>
        <w:tblLayout w:type="fixed"/>
        <w:tblCellMar>
          <w:top w:w="28" w:type="dxa"/>
          <w:left w:w="70" w:type="dxa"/>
          <w:bottom w:w="28" w:type="dxa"/>
          <w:right w:w="70" w:type="dxa"/>
        </w:tblCellMar>
      </w:tblPr>
      <w:tblGrid>
        <w:gridCol w:w="2475"/>
        <w:gridCol w:w="7730"/>
      </w:tblGrid>
      <w:tr>
        <w:trPr/>
        <w:tc>
          <w:tcPr>
            <w:tcW w:w="2475" w:type="dxa"/>
            <w:tcBorders>
              <w:top w:val="single" w:sz="8" w:space="0" w:color="000000"/>
              <w:left w:val="single" w:sz="8" w:space="0" w:color="000000"/>
              <w:bottom w:val="single" w:sz="8" w:space="0" w:color="000000"/>
              <w:right w:val="single" w:sz="8" w:space="0" w:color="000000"/>
            </w:tcBorders>
            <w:shd w:fill="BFBFBF" w:val="clear"/>
            <w:vAlign w:val="center"/>
          </w:tcPr>
          <w:p>
            <w:pPr>
              <w:pStyle w:val="TableContents"/>
              <w:bidi w:val="0"/>
              <w:spacing w:before="0" w:after="283"/>
              <w:jc w:val="left"/>
              <w:rPr>
                <w:b/>
                <w:sz w:val="16"/>
              </w:rPr>
            </w:pPr>
            <w:r>
              <w:rPr>
                <w:b/>
                <w:sz w:val="16"/>
              </w:rPr>
              <w:t>Statement of use</w:t>
            </w:r>
          </w:p>
        </w:tc>
        <w:tc>
          <w:tcPr>
            <w:tcW w:w="77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CREDICORP has prepared the report according to GRI standards for the period from 01/01/2023 To 31/12/2023.</w:t>
            </w:r>
          </w:p>
        </w:tc>
      </w:tr>
      <w:tr>
        <w:trPr/>
        <w:tc>
          <w:tcPr>
            <w:tcW w:w="2475" w:type="dxa"/>
            <w:tcBorders>
              <w:left w:val="single" w:sz="8" w:space="0" w:color="000000"/>
              <w:bottom w:val="single" w:sz="8" w:space="0" w:color="000000"/>
              <w:right w:val="single" w:sz="8" w:space="0" w:color="000000"/>
            </w:tcBorders>
            <w:shd w:fill="BFBFBF" w:val="clear"/>
            <w:tcMar>
              <w:top w:w="0" w:type="dxa"/>
            </w:tcMar>
            <w:vAlign w:val="center"/>
          </w:tcPr>
          <w:p>
            <w:pPr>
              <w:pStyle w:val="TableContents"/>
              <w:bidi w:val="0"/>
              <w:spacing w:before="0" w:after="283"/>
              <w:jc w:val="left"/>
              <w:rPr>
                <w:b/>
                <w:sz w:val="16"/>
              </w:rPr>
            </w:pPr>
            <w:r>
              <w:rPr>
                <w:b/>
                <w:sz w:val="16"/>
              </w:rPr>
              <w:t>GRI used</w:t>
            </w:r>
          </w:p>
        </w:tc>
        <w:tc>
          <w:tcPr>
            <w:tcW w:w="77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16"/>
              </w:rPr>
            </w:pPr>
            <w:r>
              <w:rPr>
                <w:sz w:val="16"/>
              </w:rPr>
              <w:t>GRI 1- Foundation 2021</w:t>
            </w:r>
          </w:p>
        </w:tc>
      </w:tr>
      <w:tr>
        <w:trPr/>
        <w:tc>
          <w:tcPr>
            <w:tcW w:w="2475" w:type="dxa"/>
            <w:tcBorders>
              <w:left w:val="single" w:sz="8" w:space="0" w:color="000000"/>
              <w:bottom w:val="single" w:sz="8" w:space="0" w:color="000000"/>
              <w:right w:val="single" w:sz="8" w:space="0" w:color="000000"/>
            </w:tcBorders>
            <w:shd w:fill="BFBFBF" w:val="clear"/>
            <w:tcMar>
              <w:top w:w="0" w:type="dxa"/>
            </w:tcMar>
            <w:vAlign w:val="center"/>
          </w:tcPr>
          <w:p>
            <w:pPr>
              <w:pStyle w:val="TableContents"/>
              <w:bidi w:val="0"/>
              <w:spacing w:before="0" w:after="283"/>
              <w:jc w:val="left"/>
              <w:rPr>
                <w:b/>
                <w:sz w:val="16"/>
              </w:rPr>
            </w:pPr>
            <w:r>
              <w:rPr>
                <w:b/>
                <w:sz w:val="16"/>
              </w:rPr>
              <w:t>Applicable GRI sectoral standards</w:t>
            </w:r>
          </w:p>
        </w:tc>
        <w:tc>
          <w:tcPr>
            <w:tcW w:w="77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16"/>
              </w:rPr>
            </w:pPr>
            <w:r>
              <w:rPr>
                <w:sz w:val="16"/>
              </w:rPr>
              <w:t>N/A</w:t>
            </w:r>
          </w:p>
        </w:tc>
      </w:tr>
      <w:tr>
        <w:trPr/>
        <w:tc>
          <w:tcPr>
            <w:tcW w:w="2475" w:type="dxa"/>
            <w:tcBorders>
              <w:left w:val="single" w:sz="8" w:space="0" w:color="000000"/>
              <w:bottom w:val="single" w:sz="8" w:space="0" w:color="000000"/>
              <w:right w:val="single" w:sz="8" w:space="0" w:color="000000"/>
            </w:tcBorders>
            <w:shd w:fill="BFBFBF" w:val="clear"/>
            <w:tcMar>
              <w:top w:w="0" w:type="dxa"/>
            </w:tcMar>
            <w:vAlign w:val="center"/>
          </w:tcPr>
          <w:p>
            <w:pPr>
              <w:pStyle w:val="TableContents"/>
              <w:bidi w:val="0"/>
              <w:spacing w:before="0" w:after="283"/>
              <w:jc w:val="left"/>
              <w:rPr>
                <w:b/>
                <w:sz w:val="16"/>
              </w:rPr>
            </w:pPr>
            <w:r>
              <w:rPr>
                <w:b/>
                <w:sz w:val="16"/>
              </w:rPr>
              <w:t>SASB standards used</w:t>
            </w:r>
          </w:p>
        </w:tc>
        <w:tc>
          <w:tcPr>
            <w:tcW w:w="77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16"/>
              </w:rPr>
            </w:pPr>
            <w:r>
              <w:rPr>
                <w:sz w:val="16"/>
              </w:rPr>
              <w:t>COMMERCIAL BANKS</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70" w:type="dxa"/>
          <w:bottom w:w="28" w:type="dxa"/>
          <w:right w:w="70" w:type="dxa"/>
        </w:tblCellMar>
      </w:tblPr>
      <w:tblGrid>
        <w:gridCol w:w="1154"/>
        <w:gridCol w:w="1362"/>
        <w:gridCol w:w="3318"/>
        <w:gridCol w:w="1430"/>
        <w:gridCol w:w="710"/>
        <w:gridCol w:w="1235"/>
        <w:gridCol w:w="464"/>
        <w:gridCol w:w="532"/>
      </w:tblGrid>
      <w:tr>
        <w:trPr/>
        <w:tc>
          <w:tcPr>
            <w:tcW w:w="1154" w:type="dxa"/>
            <w:vMerge w:val="restart"/>
            <w:tcBorders>
              <w:top w:val="single" w:sz="8" w:space="0" w:color="000000"/>
              <w:left w:val="single" w:sz="8" w:space="0" w:color="000000"/>
              <w:bottom w:val="single" w:sz="8" w:space="0" w:color="000000"/>
              <w:right w:val="single" w:sz="8" w:space="0" w:color="000000"/>
            </w:tcBorders>
            <w:shd w:fill="808080" w:val="clear"/>
            <w:vAlign w:val="center"/>
          </w:tcPr>
          <w:p>
            <w:pPr>
              <w:pStyle w:val="TableContents"/>
              <w:bidi w:val="0"/>
              <w:spacing w:before="0" w:after="283"/>
              <w:jc w:val="center"/>
              <w:rPr>
                <w:b/>
                <w:color w:val="000000"/>
                <w:sz w:val="16"/>
              </w:rPr>
            </w:pPr>
            <w:r>
              <w:rPr>
                <w:b/>
                <w:color w:val="000000"/>
                <w:sz w:val="16"/>
              </w:rPr>
              <w:t>GRI STANDARD/ OTHER SOURCE</w:t>
            </w:r>
          </w:p>
        </w:tc>
        <w:tc>
          <w:tcPr>
            <w:tcW w:w="1362" w:type="dxa"/>
            <w:vMerge w:val="restart"/>
            <w:tcBorders>
              <w:top w:val="single" w:sz="8" w:space="0" w:color="000000"/>
              <w:bottom w:val="single" w:sz="8" w:space="0" w:color="000000"/>
              <w:right w:val="single" w:sz="8" w:space="0" w:color="000000"/>
            </w:tcBorders>
            <w:shd w:fill="808080" w:val="clear"/>
            <w:tcMar>
              <w:left w:w="0" w:type="dxa"/>
            </w:tcMar>
            <w:vAlign w:val="center"/>
          </w:tcPr>
          <w:p>
            <w:pPr>
              <w:pStyle w:val="TableContents"/>
              <w:bidi w:val="0"/>
              <w:spacing w:before="0" w:after="283"/>
              <w:jc w:val="center"/>
              <w:rPr>
                <w:b/>
                <w:color w:val="000000"/>
                <w:sz w:val="16"/>
              </w:rPr>
            </w:pPr>
            <w:r>
              <w:rPr>
                <w:b/>
                <w:color w:val="000000"/>
                <w:sz w:val="16"/>
              </w:rPr>
              <w:t>CONTENTS</w:t>
            </w:r>
          </w:p>
        </w:tc>
        <w:tc>
          <w:tcPr>
            <w:tcW w:w="3318" w:type="dxa"/>
            <w:vMerge w:val="restart"/>
            <w:tcBorders>
              <w:top w:val="single" w:sz="8" w:space="0" w:color="000000"/>
              <w:bottom w:val="single" w:sz="8" w:space="0" w:color="000000"/>
              <w:right w:val="single" w:sz="8" w:space="0" w:color="000000"/>
            </w:tcBorders>
            <w:shd w:fill="808080" w:val="clear"/>
            <w:tcMar>
              <w:left w:w="0" w:type="dxa"/>
            </w:tcMar>
            <w:vAlign w:val="center"/>
          </w:tcPr>
          <w:p>
            <w:pPr>
              <w:pStyle w:val="TableContents"/>
              <w:bidi w:val="0"/>
              <w:spacing w:before="0" w:after="283"/>
              <w:jc w:val="center"/>
              <w:rPr>
                <w:b/>
                <w:color w:val="000000"/>
                <w:sz w:val="16"/>
              </w:rPr>
            </w:pPr>
            <w:r>
              <w:rPr>
                <w:b/>
                <w:color w:val="000000"/>
                <w:sz w:val="16"/>
              </w:rPr>
              <w:t>LOCATION</w:t>
            </w:r>
          </w:p>
        </w:tc>
        <w:tc>
          <w:tcPr>
            <w:tcW w:w="3375" w:type="dxa"/>
            <w:gridSpan w:val="3"/>
            <w:tcBorders>
              <w:top w:val="single" w:sz="8" w:space="0" w:color="000000"/>
              <w:bottom w:val="single" w:sz="8" w:space="0" w:color="000000"/>
              <w:right w:val="single" w:sz="8" w:space="0" w:color="000000"/>
            </w:tcBorders>
            <w:shd w:fill="808080" w:val="clear"/>
            <w:tcMar>
              <w:left w:w="0" w:type="dxa"/>
            </w:tcMar>
            <w:vAlign w:val="center"/>
          </w:tcPr>
          <w:p>
            <w:pPr>
              <w:pStyle w:val="TableContents"/>
              <w:bidi w:val="0"/>
              <w:spacing w:before="0" w:after="283"/>
              <w:jc w:val="center"/>
              <w:rPr>
                <w:b/>
                <w:color w:val="000000"/>
                <w:sz w:val="16"/>
              </w:rPr>
            </w:pPr>
            <w:r>
              <w:rPr>
                <w:b/>
                <w:color w:val="000000"/>
                <w:sz w:val="16"/>
              </w:rPr>
              <w:t>OMISSION</w:t>
            </w:r>
          </w:p>
        </w:tc>
        <w:tc>
          <w:tcPr>
            <w:tcW w:w="464" w:type="dxa"/>
            <w:vMerge w:val="restart"/>
            <w:tcBorders>
              <w:top w:val="single" w:sz="8" w:space="0" w:color="000000"/>
              <w:bottom w:val="single" w:sz="8" w:space="0" w:color="000000"/>
              <w:right w:val="single" w:sz="8" w:space="0" w:color="000000"/>
            </w:tcBorders>
            <w:shd w:fill="808080" w:val="clear"/>
            <w:tcMar>
              <w:left w:w="0" w:type="dxa"/>
            </w:tcMar>
            <w:vAlign w:val="center"/>
          </w:tcPr>
          <w:p>
            <w:pPr>
              <w:pStyle w:val="TableContents"/>
              <w:bidi w:val="0"/>
              <w:spacing w:before="0" w:after="283"/>
              <w:jc w:val="center"/>
              <w:rPr>
                <w:b/>
                <w:color w:val="000000"/>
                <w:sz w:val="16"/>
              </w:rPr>
            </w:pPr>
            <w:r>
              <w:rPr>
                <w:b/>
                <w:color w:val="000000"/>
                <w:sz w:val="16"/>
              </w:rPr>
              <w:t>SDG</w:t>
            </w:r>
          </w:p>
        </w:tc>
        <w:tc>
          <w:tcPr>
            <w:tcW w:w="532" w:type="dxa"/>
            <w:vMerge w:val="restart"/>
            <w:tcBorders>
              <w:top w:val="single" w:sz="8" w:space="0" w:color="000000"/>
              <w:bottom w:val="single" w:sz="8" w:space="0" w:color="000000"/>
              <w:right w:val="single" w:sz="8" w:space="0" w:color="000000"/>
            </w:tcBorders>
            <w:shd w:fill="808080" w:val="clear"/>
            <w:tcMar>
              <w:left w:w="0" w:type="dxa"/>
            </w:tcMar>
            <w:vAlign w:val="center"/>
          </w:tcPr>
          <w:p>
            <w:pPr>
              <w:pStyle w:val="TableContents"/>
              <w:bidi w:val="0"/>
              <w:spacing w:before="0" w:after="283"/>
              <w:jc w:val="center"/>
              <w:rPr>
                <w:b/>
                <w:color w:val="000000"/>
                <w:sz w:val="16"/>
              </w:rPr>
            </w:pPr>
            <w:r>
              <w:rPr>
                <w:b/>
                <w:color w:val="000000"/>
                <w:sz w:val="16"/>
              </w:rPr>
              <w:t>UNGC</w:t>
            </w:r>
          </w:p>
        </w:tc>
      </w:tr>
      <w:tr>
        <w:trPr/>
        <w:tc>
          <w:tcPr>
            <w:tcW w:w="1154" w:type="dxa"/>
            <w:vMerge w:val="continue"/>
            <w:tcBorders>
              <w:top w:val="single" w:sz="8" w:space="0" w:color="000000"/>
              <w:left w:val="single" w:sz="8" w:space="0" w:color="000000"/>
              <w:bottom w:val="single" w:sz="8" w:space="0" w:color="000000"/>
              <w:right w:val="single" w:sz="8" w:space="0" w:color="000000"/>
            </w:tcBorders>
            <w:shd w:fill="808080" w:val="clear"/>
            <w:vAlign w:val="center"/>
          </w:tcPr>
          <w:p>
            <w:pPr>
              <w:pStyle w:val="Normal"/>
              <w:bidi w:val="0"/>
              <w:jc w:val="left"/>
              <w:rPr/>
            </w:pPr>
            <w:r>
              <w:rPr/>
            </w:r>
          </w:p>
        </w:tc>
        <w:tc>
          <w:tcPr>
            <w:tcW w:w="1362" w:type="dxa"/>
            <w:vMerge w:val="continue"/>
            <w:tcBorders>
              <w:top w:val="single" w:sz="8" w:space="0" w:color="000000"/>
              <w:bottom w:val="single" w:sz="8" w:space="0" w:color="000000"/>
              <w:right w:val="single" w:sz="8" w:space="0" w:color="000000"/>
            </w:tcBorders>
            <w:shd w:fill="808080" w:val="clear"/>
            <w:tcMar>
              <w:left w:w="0" w:type="dxa"/>
            </w:tcMar>
            <w:vAlign w:val="center"/>
          </w:tcPr>
          <w:p>
            <w:pPr>
              <w:pStyle w:val="Normal"/>
              <w:bidi w:val="0"/>
              <w:jc w:val="left"/>
              <w:rPr/>
            </w:pPr>
            <w:r>
              <w:rPr/>
            </w:r>
          </w:p>
        </w:tc>
        <w:tc>
          <w:tcPr>
            <w:tcW w:w="3318" w:type="dxa"/>
            <w:vMerge w:val="continue"/>
            <w:tcBorders>
              <w:top w:val="single" w:sz="8" w:space="0" w:color="000000"/>
              <w:bottom w:val="single" w:sz="8" w:space="0" w:color="000000"/>
              <w:right w:val="single" w:sz="8" w:space="0" w:color="000000"/>
            </w:tcBorders>
            <w:shd w:fill="808080" w:val="clear"/>
            <w:tcMar>
              <w:left w:w="0" w:type="dxa"/>
            </w:tcMar>
            <w:vAlign w:val="center"/>
          </w:tcPr>
          <w:p>
            <w:pPr>
              <w:pStyle w:val="Normal"/>
              <w:bidi w:val="0"/>
              <w:jc w:val="left"/>
              <w:rPr/>
            </w:pPr>
            <w:r>
              <w:rPr/>
            </w:r>
          </w:p>
        </w:tc>
        <w:tc>
          <w:tcPr>
            <w:tcW w:w="1430" w:type="dxa"/>
            <w:tcBorders>
              <w:bottom w:val="single" w:sz="8" w:space="0" w:color="000000"/>
              <w:right w:val="single" w:sz="8" w:space="0" w:color="000000"/>
            </w:tcBorders>
            <w:shd w:fill="808080" w:val="clear"/>
            <w:tcMar>
              <w:top w:w="0" w:type="dxa"/>
              <w:left w:w="0" w:type="dxa"/>
            </w:tcMar>
            <w:vAlign w:val="center"/>
          </w:tcPr>
          <w:p>
            <w:pPr>
              <w:pStyle w:val="TableContents"/>
              <w:bidi w:val="0"/>
              <w:spacing w:before="0" w:after="283"/>
              <w:jc w:val="center"/>
              <w:rPr>
                <w:b/>
                <w:color w:val="000000"/>
                <w:sz w:val="16"/>
              </w:rPr>
            </w:pPr>
            <w:r>
              <w:rPr>
                <w:b/>
                <w:color w:val="000000"/>
                <w:sz w:val="16"/>
              </w:rPr>
              <w:t>REQUIREMENTS OMITTED</w:t>
            </w:r>
          </w:p>
        </w:tc>
        <w:tc>
          <w:tcPr>
            <w:tcW w:w="710" w:type="dxa"/>
            <w:tcBorders>
              <w:bottom w:val="single" w:sz="8" w:space="0" w:color="000000"/>
              <w:right w:val="single" w:sz="8" w:space="0" w:color="000000"/>
            </w:tcBorders>
            <w:shd w:fill="808080" w:val="clear"/>
            <w:tcMar>
              <w:top w:w="0" w:type="dxa"/>
              <w:left w:w="0" w:type="dxa"/>
            </w:tcMar>
            <w:vAlign w:val="center"/>
          </w:tcPr>
          <w:p>
            <w:pPr>
              <w:pStyle w:val="TableContents"/>
              <w:bidi w:val="0"/>
              <w:spacing w:before="0" w:after="283"/>
              <w:jc w:val="center"/>
              <w:rPr>
                <w:b/>
                <w:color w:val="000000"/>
                <w:sz w:val="16"/>
              </w:rPr>
            </w:pPr>
            <w:r>
              <w:rPr>
                <w:b/>
                <w:color w:val="000000"/>
                <w:sz w:val="16"/>
              </w:rPr>
              <w:t>REASON</w:t>
            </w:r>
          </w:p>
        </w:tc>
        <w:tc>
          <w:tcPr>
            <w:tcW w:w="1235" w:type="dxa"/>
            <w:tcBorders>
              <w:bottom w:val="single" w:sz="8" w:space="0" w:color="000000"/>
              <w:right w:val="single" w:sz="8" w:space="0" w:color="000000"/>
            </w:tcBorders>
            <w:shd w:fill="808080" w:val="clear"/>
            <w:tcMar>
              <w:top w:w="0" w:type="dxa"/>
              <w:left w:w="0" w:type="dxa"/>
            </w:tcMar>
            <w:vAlign w:val="center"/>
          </w:tcPr>
          <w:p>
            <w:pPr>
              <w:pStyle w:val="TableContents"/>
              <w:bidi w:val="0"/>
              <w:spacing w:before="0" w:after="283"/>
              <w:jc w:val="center"/>
              <w:rPr>
                <w:b/>
                <w:color w:val="000000"/>
                <w:sz w:val="16"/>
              </w:rPr>
            </w:pPr>
            <w:r>
              <w:rPr>
                <w:b/>
                <w:color w:val="000000"/>
                <w:sz w:val="16"/>
              </w:rPr>
              <w:t>EXPLANATION</w:t>
            </w:r>
          </w:p>
        </w:tc>
        <w:tc>
          <w:tcPr>
            <w:tcW w:w="464" w:type="dxa"/>
            <w:vMerge w:val="continue"/>
            <w:tcBorders>
              <w:top w:val="single" w:sz="8" w:space="0" w:color="000000"/>
              <w:bottom w:val="single" w:sz="8" w:space="0" w:color="000000"/>
              <w:right w:val="single" w:sz="8" w:space="0" w:color="000000"/>
            </w:tcBorders>
            <w:shd w:fill="808080" w:val="clear"/>
            <w:tcMar>
              <w:left w:w="0" w:type="dxa"/>
            </w:tcMar>
            <w:vAlign w:val="center"/>
          </w:tcPr>
          <w:p>
            <w:pPr>
              <w:pStyle w:val="Normal"/>
              <w:bidi w:val="0"/>
              <w:jc w:val="left"/>
              <w:rPr/>
            </w:pPr>
            <w:r>
              <w:rPr/>
            </w:r>
          </w:p>
        </w:tc>
        <w:tc>
          <w:tcPr>
            <w:tcW w:w="532" w:type="dxa"/>
            <w:vMerge w:val="continue"/>
            <w:tcBorders>
              <w:top w:val="single" w:sz="8" w:space="0" w:color="000000"/>
              <w:bottom w:val="single" w:sz="8" w:space="0" w:color="000000"/>
              <w:right w:val="single" w:sz="8" w:space="0" w:color="000000"/>
            </w:tcBorders>
            <w:shd w:fill="808080" w:val="clear"/>
            <w:tcMar>
              <w:left w:w="0" w:type="dxa"/>
            </w:tcMar>
            <w:vAlign w:val="center"/>
          </w:tcPr>
          <w:p>
            <w:pPr>
              <w:pStyle w:val="Normal"/>
              <w:bidi w:val="0"/>
              <w:jc w:val="left"/>
              <w:rPr/>
            </w:pPr>
            <w:r>
              <w:rPr/>
            </w:r>
          </w:p>
        </w:tc>
      </w:tr>
      <w:tr>
        <w:trPr/>
        <w:tc>
          <w:tcPr>
            <w:tcW w:w="1154" w:type="dxa"/>
            <w:tcBorders>
              <w:left w:val="single" w:sz="8" w:space="0" w:color="000000"/>
              <w:bottom w:val="single" w:sz="8" w:space="0" w:color="000000"/>
              <w:right w:val="single" w:sz="8" w:space="0" w:color="000000"/>
            </w:tcBorders>
            <w:shd w:fill="A6A6A6" w:val="clear"/>
            <w:tcMar>
              <w:top w:w="0" w:type="dxa"/>
            </w:tcMar>
            <w:vAlign w:val="center"/>
          </w:tcPr>
          <w:p>
            <w:pPr>
              <w:pStyle w:val="TableContents"/>
              <w:bidi w:val="0"/>
              <w:spacing w:before="0" w:after="283"/>
              <w:jc w:val="left"/>
              <w:rPr>
                <w:b/>
                <w:color w:val="000000"/>
                <w:sz w:val="16"/>
              </w:rPr>
            </w:pPr>
            <w:r>
              <w:rPr>
                <w:b/>
                <w:color w:val="000000"/>
                <w:sz w:val="16"/>
              </w:rPr>
              <w:t>General Disclosures</w:t>
            </w:r>
          </w:p>
        </w:tc>
        <w:tc>
          <w:tcPr>
            <w:tcW w:w="1362" w:type="dxa"/>
            <w:tcBorders>
              <w:bottom w:val="single" w:sz="8" w:space="0" w:color="000000"/>
              <w:right w:val="single" w:sz="8" w:space="0" w:color="000000"/>
            </w:tcBorders>
            <w:shd w:fill="A6A6A6" w:val="clear"/>
            <w:tcMar>
              <w:top w:w="0" w:type="dxa"/>
              <w:left w:w="0" w:type="dxa"/>
            </w:tcMar>
            <w:vAlign w:val="center"/>
          </w:tcPr>
          <w:p>
            <w:pPr>
              <w:pStyle w:val="TableContents"/>
              <w:bidi w:val="0"/>
              <w:spacing w:before="0" w:after="283"/>
              <w:jc w:val="left"/>
              <w:rPr/>
            </w:pPr>
            <w:r>
              <w:rPr/>
              <w:t> </w:t>
            </w:r>
          </w:p>
        </w:tc>
        <w:tc>
          <w:tcPr>
            <w:tcW w:w="3318" w:type="dxa"/>
            <w:tcBorders>
              <w:bottom w:val="single" w:sz="8" w:space="0" w:color="000000"/>
              <w:right w:val="single" w:sz="8" w:space="0" w:color="000000"/>
            </w:tcBorders>
            <w:shd w:fill="A6A6A6" w:val="clear"/>
            <w:tcMar>
              <w:top w:w="0" w:type="dxa"/>
              <w:left w:w="0" w:type="dxa"/>
            </w:tcMar>
            <w:vAlign w:val="center"/>
          </w:tcPr>
          <w:p>
            <w:pPr>
              <w:pStyle w:val="TableContents"/>
              <w:bidi w:val="0"/>
              <w:spacing w:before="0" w:after="283"/>
              <w:jc w:val="center"/>
              <w:rPr/>
            </w:pPr>
            <w:r>
              <w:rPr/>
              <w:t> </w:t>
            </w:r>
          </w:p>
        </w:tc>
        <w:tc>
          <w:tcPr>
            <w:tcW w:w="1430" w:type="dxa"/>
            <w:tcBorders>
              <w:bottom w:val="single" w:sz="8" w:space="0" w:color="000000"/>
              <w:right w:val="single" w:sz="8" w:space="0" w:color="000000"/>
            </w:tcBorders>
            <w:shd w:fill="A6A6A6" w:val="clear"/>
            <w:tcMar>
              <w:top w:w="0" w:type="dxa"/>
              <w:left w:w="0" w:type="dxa"/>
            </w:tcMar>
            <w:vAlign w:val="center"/>
          </w:tcPr>
          <w:p>
            <w:pPr>
              <w:pStyle w:val="TableContents"/>
              <w:bidi w:val="0"/>
              <w:spacing w:before="0" w:after="283"/>
              <w:jc w:val="center"/>
              <w:rPr/>
            </w:pPr>
            <w:r>
              <w:rPr/>
              <w:t> </w:t>
            </w:r>
          </w:p>
        </w:tc>
        <w:tc>
          <w:tcPr>
            <w:tcW w:w="710" w:type="dxa"/>
            <w:tcBorders>
              <w:bottom w:val="single" w:sz="8" w:space="0" w:color="000000"/>
              <w:right w:val="single" w:sz="8" w:space="0" w:color="000000"/>
            </w:tcBorders>
            <w:shd w:fill="A6A6A6" w:val="clear"/>
            <w:tcMar>
              <w:top w:w="0" w:type="dxa"/>
              <w:left w:w="0" w:type="dxa"/>
            </w:tcMar>
            <w:vAlign w:val="center"/>
          </w:tcPr>
          <w:p>
            <w:pPr>
              <w:pStyle w:val="TableContents"/>
              <w:bidi w:val="0"/>
              <w:spacing w:before="0" w:after="283"/>
              <w:jc w:val="center"/>
              <w:rPr/>
            </w:pPr>
            <w:r>
              <w:rPr/>
              <w:t> </w:t>
            </w:r>
          </w:p>
        </w:tc>
        <w:tc>
          <w:tcPr>
            <w:tcW w:w="1235" w:type="dxa"/>
            <w:tcBorders>
              <w:bottom w:val="single" w:sz="8" w:space="0" w:color="000000"/>
              <w:right w:val="single" w:sz="8" w:space="0" w:color="000000"/>
            </w:tcBorders>
            <w:shd w:fill="A6A6A6" w:val="clear"/>
            <w:tcMar>
              <w:top w:w="0" w:type="dxa"/>
              <w:left w:w="0" w:type="dxa"/>
            </w:tcMar>
            <w:vAlign w:val="center"/>
          </w:tcPr>
          <w:p>
            <w:pPr>
              <w:pStyle w:val="TableContents"/>
              <w:bidi w:val="0"/>
              <w:spacing w:before="0" w:after="283"/>
              <w:jc w:val="center"/>
              <w:rPr/>
            </w:pPr>
            <w:r>
              <w:rPr/>
              <w:t> </w:t>
            </w:r>
          </w:p>
        </w:tc>
        <w:tc>
          <w:tcPr>
            <w:tcW w:w="464" w:type="dxa"/>
            <w:tcBorders>
              <w:bottom w:val="single" w:sz="8" w:space="0" w:color="000000"/>
              <w:right w:val="single" w:sz="8" w:space="0" w:color="000000"/>
            </w:tcBorders>
            <w:shd w:fill="A6A6A6" w:val="clear"/>
            <w:tcMar>
              <w:top w:w="0" w:type="dxa"/>
              <w:left w:w="0" w:type="dxa"/>
            </w:tcMar>
            <w:vAlign w:val="center"/>
          </w:tcPr>
          <w:p>
            <w:pPr>
              <w:pStyle w:val="TableContents"/>
              <w:bidi w:val="0"/>
              <w:spacing w:before="0" w:after="283"/>
              <w:jc w:val="center"/>
              <w:rPr/>
            </w:pPr>
            <w:r>
              <w:rPr/>
              <w:t> </w:t>
            </w:r>
          </w:p>
        </w:tc>
        <w:tc>
          <w:tcPr>
            <w:tcW w:w="532" w:type="dxa"/>
            <w:tcBorders>
              <w:bottom w:val="single" w:sz="8" w:space="0" w:color="000000"/>
              <w:right w:val="single" w:sz="8" w:space="0" w:color="000000"/>
            </w:tcBorders>
            <w:shd w:fill="A6A6A6" w:val="clear"/>
            <w:tcMar>
              <w:top w:w="0" w:type="dxa"/>
              <w:left w:w="0" w:type="dxa"/>
            </w:tcMar>
            <w:vAlign w:val="center"/>
          </w:tcPr>
          <w:p>
            <w:pPr>
              <w:pStyle w:val="TableContents"/>
              <w:bidi w:val="0"/>
              <w:spacing w:before="0" w:after="283"/>
              <w:jc w:val="center"/>
              <w:rPr/>
            </w:pPr>
            <w:r>
              <w:rPr/>
              <w:t> </w:t>
            </w:r>
          </w:p>
        </w:tc>
      </w:tr>
      <w:tr>
        <w:trPr/>
        <w:tc>
          <w:tcPr>
            <w:tcW w:w="1154" w:type="dxa"/>
            <w:vMerge w:val="restart"/>
            <w:tcBorders>
              <w:left w:val="single" w:sz="8" w:space="0" w:color="000000"/>
              <w:bottom w:val="single" w:sz="8" w:space="0" w:color="000000"/>
              <w:right w:val="single" w:sz="8" w:space="0" w:color="000000"/>
            </w:tcBorders>
            <w:shd w:fill="D9D9D9" w:val="clear"/>
            <w:tcMar>
              <w:top w:w="0" w:type="dxa"/>
            </w:tcMar>
            <w:vAlign w:val="center"/>
          </w:tcPr>
          <w:p>
            <w:pPr>
              <w:pStyle w:val="TableContents"/>
              <w:bidi w:val="0"/>
              <w:spacing w:before="0" w:after="283"/>
              <w:jc w:val="left"/>
              <w:rPr>
                <w:b/>
                <w:color w:val="000000"/>
                <w:sz w:val="16"/>
              </w:rPr>
            </w:pPr>
            <w:r>
              <w:rPr>
                <w:b/>
                <w:color w:val="000000"/>
                <w:sz w:val="16"/>
              </w:rPr>
              <w:t>GRI 2- General disclosures 2021</w:t>
            </w:r>
          </w:p>
        </w:tc>
        <w:tc>
          <w:tcPr>
            <w:tcW w:w="1362" w:type="dxa"/>
            <w:tcBorders>
              <w:bottom w:val="single" w:sz="8" w:space="0" w:color="000000"/>
              <w:right w:val="single" w:sz="8" w:space="0" w:color="000000"/>
            </w:tcBorders>
            <w:shd w:fill="D9D9D9" w:val="clear"/>
            <w:tcMar>
              <w:top w:w="0" w:type="dxa"/>
              <w:left w:w="0" w:type="dxa"/>
            </w:tcMar>
            <w:vAlign w:val="center"/>
          </w:tcPr>
          <w:p>
            <w:pPr>
              <w:pStyle w:val="TableContents"/>
              <w:bidi w:val="0"/>
              <w:spacing w:before="0" w:after="283"/>
              <w:jc w:val="left"/>
              <w:rPr>
                <w:b/>
                <w:color w:val="000000"/>
                <w:sz w:val="16"/>
              </w:rPr>
            </w:pPr>
            <w:r>
              <w:rPr>
                <w:b/>
                <w:color w:val="000000"/>
                <w:sz w:val="16"/>
              </w:rPr>
              <w:t>1. The organization and its reporting practices</w:t>
            </w:r>
          </w:p>
        </w:tc>
        <w:tc>
          <w:tcPr>
            <w:tcW w:w="3318" w:type="dxa"/>
            <w:tcBorders>
              <w:bottom w:val="single" w:sz="8" w:space="0" w:color="000000"/>
              <w:right w:val="single" w:sz="8" w:space="0" w:color="000000"/>
            </w:tcBorders>
            <w:shd w:fill="D9D9D9" w:val="clear"/>
            <w:tcMar>
              <w:top w:w="0" w:type="dxa"/>
              <w:left w:w="0" w:type="dxa"/>
            </w:tcMar>
            <w:vAlign w:val="center"/>
          </w:tcPr>
          <w:p>
            <w:pPr>
              <w:pStyle w:val="TableContents"/>
              <w:bidi w:val="0"/>
              <w:spacing w:before="0" w:after="283"/>
              <w:jc w:val="center"/>
              <w:rPr/>
            </w:pPr>
            <w:r>
              <w:rPr/>
              <w:t> </w:t>
            </w:r>
          </w:p>
        </w:tc>
        <w:tc>
          <w:tcPr>
            <w:tcW w:w="1430" w:type="dxa"/>
            <w:tcBorders>
              <w:bottom w:val="single" w:sz="8" w:space="0" w:color="000000"/>
              <w:right w:val="single" w:sz="8" w:space="0" w:color="000000"/>
            </w:tcBorders>
            <w:shd w:fill="D9D9D9" w:val="clear"/>
            <w:tcMar>
              <w:top w:w="0" w:type="dxa"/>
              <w:left w:w="0" w:type="dxa"/>
            </w:tcMar>
            <w:vAlign w:val="center"/>
          </w:tcPr>
          <w:p>
            <w:pPr>
              <w:pStyle w:val="TableContents"/>
              <w:bidi w:val="0"/>
              <w:spacing w:before="0" w:after="283"/>
              <w:jc w:val="center"/>
              <w:rPr/>
            </w:pPr>
            <w:r>
              <w:rPr/>
              <w:t> </w:t>
            </w:r>
          </w:p>
        </w:tc>
        <w:tc>
          <w:tcPr>
            <w:tcW w:w="710" w:type="dxa"/>
            <w:tcBorders>
              <w:bottom w:val="single" w:sz="8" w:space="0" w:color="000000"/>
              <w:right w:val="single" w:sz="8" w:space="0" w:color="000000"/>
            </w:tcBorders>
            <w:shd w:fill="D9D9D9" w:val="clear"/>
            <w:tcMar>
              <w:top w:w="0" w:type="dxa"/>
              <w:left w:w="0" w:type="dxa"/>
            </w:tcMar>
            <w:vAlign w:val="center"/>
          </w:tcPr>
          <w:p>
            <w:pPr>
              <w:pStyle w:val="TableContents"/>
              <w:bidi w:val="0"/>
              <w:spacing w:before="0" w:after="283"/>
              <w:jc w:val="center"/>
              <w:rPr/>
            </w:pPr>
            <w:r>
              <w:rPr/>
              <w:t> </w:t>
            </w:r>
          </w:p>
        </w:tc>
        <w:tc>
          <w:tcPr>
            <w:tcW w:w="1235" w:type="dxa"/>
            <w:tcBorders>
              <w:bottom w:val="single" w:sz="8" w:space="0" w:color="000000"/>
              <w:right w:val="single" w:sz="8" w:space="0" w:color="000000"/>
            </w:tcBorders>
            <w:shd w:fill="D9D9D9" w:val="clear"/>
            <w:tcMar>
              <w:top w:w="0" w:type="dxa"/>
              <w:left w:w="0" w:type="dxa"/>
            </w:tcMar>
            <w:vAlign w:val="center"/>
          </w:tcPr>
          <w:p>
            <w:pPr>
              <w:pStyle w:val="TableContents"/>
              <w:bidi w:val="0"/>
              <w:spacing w:before="0" w:after="283"/>
              <w:jc w:val="center"/>
              <w:rPr/>
            </w:pPr>
            <w:r>
              <w:rPr/>
              <w:t> </w:t>
            </w:r>
          </w:p>
        </w:tc>
        <w:tc>
          <w:tcPr>
            <w:tcW w:w="464" w:type="dxa"/>
            <w:tcBorders>
              <w:bottom w:val="single" w:sz="8" w:space="0" w:color="000000"/>
              <w:right w:val="single" w:sz="8" w:space="0" w:color="000000"/>
            </w:tcBorders>
            <w:shd w:fill="D9D9D9" w:val="clear"/>
            <w:tcMar>
              <w:top w:w="0" w:type="dxa"/>
              <w:left w:w="0" w:type="dxa"/>
            </w:tcMar>
            <w:vAlign w:val="center"/>
          </w:tcPr>
          <w:p>
            <w:pPr>
              <w:pStyle w:val="TableContents"/>
              <w:bidi w:val="0"/>
              <w:spacing w:before="0" w:after="283"/>
              <w:jc w:val="center"/>
              <w:rPr/>
            </w:pPr>
            <w:r>
              <w:rPr/>
              <w:t> </w:t>
            </w:r>
          </w:p>
        </w:tc>
        <w:tc>
          <w:tcPr>
            <w:tcW w:w="532" w:type="dxa"/>
            <w:tcBorders>
              <w:bottom w:val="single" w:sz="8" w:space="0" w:color="000000"/>
              <w:right w:val="single" w:sz="8" w:space="0" w:color="000000"/>
            </w:tcBorders>
            <w:shd w:fill="D9D9D9" w:val="clear"/>
            <w:tcMar>
              <w:top w:w="0" w:type="dxa"/>
              <w:left w:w="0" w:type="dxa"/>
            </w:tcMar>
            <w:vAlign w:val="center"/>
          </w:tcPr>
          <w:p>
            <w:pPr>
              <w:pStyle w:val="TableContents"/>
              <w:bidi w:val="0"/>
              <w:spacing w:before="0" w:after="283"/>
              <w:jc w:val="center"/>
              <w:rPr/>
            </w:pPr>
            <w:r>
              <w:rPr/>
              <w:t> </w:t>
            </w:r>
          </w:p>
        </w:tc>
      </w:tr>
      <w:tr>
        <w:trPr/>
        <w:tc>
          <w:tcPr>
            <w:tcW w:w="1154"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13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000000"/>
                <w:sz w:val="16"/>
              </w:rPr>
            </w:pPr>
            <w:r>
              <w:rPr>
                <w:color w:val="000000"/>
                <w:sz w:val="16"/>
              </w:rPr>
              <w:t>2-1 Organizational details</w:t>
            </w:r>
          </w:p>
        </w:tc>
        <w:tc>
          <w:tcPr>
            <w:tcW w:w="33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olor w:val="000000"/>
                <w:sz w:val="16"/>
              </w:rPr>
            </w:pPr>
            <w:r>
              <w:rPr>
                <w:color w:val="000000"/>
                <w:sz w:val="16"/>
              </w:rPr>
              <w:t>ANNUAL REPORT- Credicorp at a glance / ANNUAL REPORT- Company Description Annexes / ANNUAL REPORT- ANNEX A. Economic Groups</w:t>
            </w:r>
          </w:p>
        </w:tc>
        <w:tc>
          <w:tcPr>
            <w:tcW w:w="143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71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123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4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5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154"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13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000000"/>
                <w:sz w:val="16"/>
              </w:rPr>
            </w:pPr>
            <w:r>
              <w:rPr>
                <w:color w:val="000000"/>
                <w:sz w:val="16"/>
              </w:rPr>
              <w:t>2-2 Entities included in the organization’s sustainability reporting</w:t>
            </w:r>
          </w:p>
        </w:tc>
        <w:tc>
          <w:tcPr>
            <w:tcW w:w="33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olor w:val="000000"/>
                <w:sz w:val="16"/>
              </w:rPr>
            </w:pPr>
            <w:r>
              <w:rPr>
                <w:color w:val="000000"/>
                <w:sz w:val="16"/>
              </w:rPr>
              <w:t>SUSTAINABILITY REPORT- 1.3. EXECUTIVE SUMMARY</w:t>
            </w:r>
          </w:p>
        </w:tc>
        <w:tc>
          <w:tcPr>
            <w:tcW w:w="143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71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123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4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5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154"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13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000000"/>
                <w:sz w:val="16"/>
              </w:rPr>
            </w:pPr>
            <w:r>
              <w:rPr>
                <w:color w:val="000000"/>
                <w:sz w:val="16"/>
              </w:rPr>
              <w:t>2-3 Reporting period, frequency, and contact point</w:t>
            </w:r>
          </w:p>
        </w:tc>
        <w:tc>
          <w:tcPr>
            <w:tcW w:w="33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olor w:val="000000"/>
                <w:sz w:val="16"/>
              </w:rPr>
            </w:pPr>
            <w:r>
              <w:rPr>
                <w:color w:val="000000"/>
                <w:sz w:val="16"/>
              </w:rPr>
              <w:t>ANNUAL REPORT- ANNEX E- CONTACTS / SUSTAINABILITY REPORT- 1.3. EXECUTIVE SUMMARY</w:t>
            </w:r>
          </w:p>
        </w:tc>
        <w:tc>
          <w:tcPr>
            <w:tcW w:w="143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71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123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4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5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154"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13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000000"/>
                <w:sz w:val="16"/>
              </w:rPr>
            </w:pPr>
            <w:r>
              <w:rPr>
                <w:color w:val="000000"/>
                <w:sz w:val="16"/>
              </w:rPr>
              <w:t>2-4 Restatements of information</w:t>
            </w:r>
          </w:p>
        </w:tc>
        <w:tc>
          <w:tcPr>
            <w:tcW w:w="33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olor w:val="000000"/>
                <w:sz w:val="16"/>
              </w:rPr>
            </w:pPr>
            <w:r>
              <w:rPr>
                <w:color w:val="000000"/>
                <w:sz w:val="16"/>
              </w:rPr>
              <w:t>There is no re-statement of information presented in previous reports, except where indicated.</w:t>
            </w:r>
          </w:p>
        </w:tc>
        <w:tc>
          <w:tcPr>
            <w:tcW w:w="143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71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123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4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5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154"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13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000000"/>
                <w:sz w:val="16"/>
              </w:rPr>
            </w:pPr>
            <w:r>
              <w:rPr>
                <w:color w:val="000000"/>
                <w:sz w:val="16"/>
              </w:rPr>
              <w:t>2-5 External assurance</w:t>
            </w:r>
          </w:p>
        </w:tc>
        <w:tc>
          <w:tcPr>
            <w:tcW w:w="33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olor w:val="000000"/>
                <w:sz w:val="16"/>
              </w:rPr>
            </w:pPr>
            <w:r>
              <w:rPr>
                <w:color w:val="000000"/>
                <w:sz w:val="16"/>
              </w:rPr>
              <w:t>SUSTAINABILITY REPORT- 1.3. EXECUTIVE SUMMARY</w:t>
            </w:r>
          </w:p>
        </w:tc>
        <w:tc>
          <w:tcPr>
            <w:tcW w:w="143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71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123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pPr>
            <w:r>
              <w:rPr/>
              <w:t> </w:t>
            </w:r>
          </w:p>
        </w:tc>
        <w:tc>
          <w:tcPr>
            <w:tcW w:w="4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5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olor w:val="000000"/>
                <w:sz w:val="16"/>
              </w:rPr>
            </w:pPr>
            <w:r>
              <w:rPr>
                <w:color w:val="000000"/>
                <w:sz w:val="16"/>
              </w:rPr>
              <w:t>10</w:t>
            </w:r>
          </w:p>
        </w:tc>
      </w:tr>
      <w:tr>
        <w:trPr/>
        <w:tc>
          <w:tcPr>
            <w:tcW w:w="1154" w:type="dxa"/>
            <w:vMerge w:val="continue"/>
            <w:tcBorders>
              <w:left w:val="single" w:sz="8" w:space="0" w:color="000000"/>
              <w:bottom w:val="single" w:sz="8" w:space="0" w:color="000000"/>
              <w:right w:val="single" w:sz="8" w:space="0" w:color="000000"/>
            </w:tcBorders>
            <w:shd w:fill="D9D9D9" w:val="clear"/>
            <w:tcMar>
              <w:top w:w="0" w:type="dxa"/>
            </w:tcMar>
            <w:vAlign w:val="center"/>
          </w:tcPr>
          <w:p>
            <w:pPr>
              <w:pStyle w:val="Normal"/>
              <w:bidi w:val="0"/>
              <w:jc w:val="left"/>
              <w:rPr/>
            </w:pPr>
            <w:r>
              <w:rPr/>
            </w:r>
          </w:p>
        </w:tc>
        <w:tc>
          <w:tcPr>
            <w:tcW w:w="1362" w:type="dxa"/>
            <w:tcBorders>
              <w:bottom w:val="single" w:sz="8" w:space="0" w:color="000000"/>
              <w:right w:val="single" w:sz="8" w:space="0" w:color="000000"/>
            </w:tcBorders>
            <w:shd w:fill="D9D9D9" w:val="clear"/>
            <w:tcMar>
              <w:top w:w="0" w:type="dxa"/>
              <w:left w:w="0" w:type="dxa"/>
            </w:tcMar>
            <w:vAlign w:val="center"/>
          </w:tcPr>
          <w:p>
            <w:pPr>
              <w:pStyle w:val="TableContents"/>
              <w:bidi w:val="0"/>
              <w:spacing w:before="0" w:after="283"/>
              <w:jc w:val="left"/>
              <w:rPr>
                <w:b/>
                <w:color w:val="000000"/>
                <w:sz w:val="16"/>
              </w:rPr>
            </w:pPr>
            <w:r>
              <w:rPr>
                <w:b/>
                <w:color w:val="000000"/>
                <w:sz w:val="16"/>
              </w:rPr>
              <w:t>2. Activities and workers</w:t>
            </w:r>
          </w:p>
        </w:tc>
        <w:tc>
          <w:tcPr>
            <w:tcW w:w="3318" w:type="dxa"/>
            <w:tcBorders>
              <w:bottom w:val="single" w:sz="8" w:space="0" w:color="000000"/>
              <w:right w:val="single" w:sz="8" w:space="0" w:color="000000"/>
            </w:tcBorders>
            <w:shd w:fill="D9D9D9" w:val="clear"/>
            <w:tcMar>
              <w:top w:w="0" w:type="dxa"/>
              <w:left w:w="0" w:type="dxa"/>
            </w:tcMar>
            <w:vAlign w:val="center"/>
          </w:tcPr>
          <w:p>
            <w:pPr>
              <w:pStyle w:val="TableContents"/>
              <w:bidi w:val="0"/>
              <w:spacing w:before="0" w:after="283"/>
              <w:jc w:val="center"/>
              <w:rPr/>
            </w:pPr>
            <w:r>
              <w:rPr/>
              <w:t> </w:t>
            </w:r>
          </w:p>
        </w:tc>
        <w:tc>
          <w:tcPr>
            <w:tcW w:w="1430" w:type="dxa"/>
            <w:tcBorders>
              <w:bottom w:val="single" w:sz="8" w:space="0" w:color="000000"/>
              <w:right w:val="single" w:sz="8" w:space="0" w:color="000000"/>
            </w:tcBorders>
            <w:shd w:fill="D9D9D9" w:val="clear"/>
            <w:tcMar>
              <w:top w:w="0" w:type="dxa"/>
              <w:left w:w="0" w:type="dxa"/>
            </w:tcMar>
            <w:vAlign w:val="center"/>
          </w:tcPr>
          <w:p>
            <w:pPr>
              <w:pStyle w:val="TableContents"/>
              <w:bidi w:val="0"/>
              <w:spacing w:before="0" w:after="283"/>
              <w:jc w:val="center"/>
              <w:rPr/>
            </w:pPr>
            <w:r>
              <w:rPr/>
              <w:t> </w:t>
            </w:r>
          </w:p>
        </w:tc>
        <w:tc>
          <w:tcPr>
            <w:tcW w:w="710" w:type="dxa"/>
            <w:tcBorders>
              <w:bottom w:val="single" w:sz="8" w:space="0" w:color="000000"/>
              <w:right w:val="single" w:sz="8" w:space="0" w:color="000000"/>
            </w:tcBorders>
            <w:shd w:fill="D9D9D9" w:val="clear"/>
            <w:tcMar>
              <w:top w:w="0" w:type="dxa"/>
              <w:left w:w="0" w:type="dxa"/>
            </w:tcMar>
            <w:vAlign w:val="center"/>
          </w:tcPr>
          <w:p>
            <w:pPr>
              <w:pStyle w:val="TableContents"/>
              <w:bidi w:val="0"/>
              <w:spacing w:before="0" w:after="283"/>
              <w:jc w:val="center"/>
              <w:rPr/>
            </w:pPr>
            <w:r>
              <w:rPr/>
              <w:t> </w:t>
            </w:r>
          </w:p>
        </w:tc>
        <w:tc>
          <w:tcPr>
            <w:tcW w:w="1235" w:type="dxa"/>
            <w:tcBorders>
              <w:bottom w:val="single" w:sz="8" w:space="0" w:color="000000"/>
              <w:right w:val="single" w:sz="8" w:space="0" w:color="000000"/>
            </w:tcBorders>
            <w:shd w:fill="D9D9D9" w:val="clear"/>
            <w:tcMar>
              <w:top w:w="0" w:type="dxa"/>
              <w:left w:w="0" w:type="dxa"/>
            </w:tcMar>
            <w:vAlign w:val="center"/>
          </w:tcPr>
          <w:p>
            <w:pPr>
              <w:pStyle w:val="TableContents"/>
              <w:bidi w:val="0"/>
              <w:spacing w:before="0" w:after="283"/>
              <w:jc w:val="center"/>
              <w:rPr/>
            </w:pPr>
            <w:r>
              <w:rPr/>
              <w:t> </w:t>
            </w:r>
          </w:p>
        </w:tc>
        <w:tc>
          <w:tcPr>
            <w:tcW w:w="464" w:type="dxa"/>
            <w:tcBorders>
              <w:bottom w:val="single" w:sz="8" w:space="0" w:color="000000"/>
              <w:right w:val="single" w:sz="8" w:space="0" w:color="000000"/>
            </w:tcBorders>
            <w:shd w:fill="D9D9D9" w:val="clear"/>
            <w:tcMar>
              <w:top w:w="0" w:type="dxa"/>
              <w:left w:w="0" w:type="dxa"/>
            </w:tcMar>
            <w:vAlign w:val="center"/>
          </w:tcPr>
          <w:p>
            <w:pPr>
              <w:pStyle w:val="TableContents"/>
              <w:bidi w:val="0"/>
              <w:spacing w:before="0" w:after="283"/>
              <w:jc w:val="center"/>
              <w:rPr/>
            </w:pPr>
            <w:r>
              <w:rPr/>
              <w:t> </w:t>
            </w:r>
          </w:p>
        </w:tc>
        <w:tc>
          <w:tcPr>
            <w:tcW w:w="532" w:type="dxa"/>
            <w:tcBorders>
              <w:bottom w:val="single" w:sz="8" w:space="0" w:color="000000"/>
              <w:right w:val="single" w:sz="8" w:space="0" w:color="000000"/>
            </w:tcBorders>
            <w:shd w:fill="D9D9D9" w:val="clear"/>
            <w:tcMar>
              <w:top w:w="0" w:type="dxa"/>
              <w:left w:w="0" w:type="dxa"/>
            </w:tcMar>
            <w:vAlign w:val="center"/>
          </w:tcPr>
          <w:p>
            <w:pPr>
              <w:pStyle w:val="TableContents"/>
              <w:bidi w:val="0"/>
              <w:spacing w:before="0" w:after="283"/>
              <w:jc w:val="center"/>
              <w:rPr/>
            </w:pPr>
            <w:r>
              <w:rPr/>
              <w:t> </w:t>
            </w:r>
          </w:p>
        </w:tc>
      </w:tr>
      <w:tr>
        <w:trPr/>
        <w:tc>
          <w:tcPr>
            <w:tcW w:w="1154"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13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000000"/>
                <w:sz w:val="16"/>
              </w:rPr>
            </w:pPr>
            <w:r>
              <w:rPr>
                <w:color w:val="000000"/>
                <w:sz w:val="16"/>
              </w:rPr>
              <w:t>2-6 Activities, value chain and other business relationships</w:t>
            </w:r>
          </w:p>
        </w:tc>
        <w:tc>
          <w:tcPr>
            <w:tcW w:w="33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olor w:val="000000"/>
                <w:sz w:val="16"/>
              </w:rPr>
            </w:pPr>
            <w:r>
              <w:rPr>
                <w:color w:val="000000"/>
                <w:sz w:val="16"/>
              </w:rPr>
              <w:t>ANNUAL REPORT- Credicorp at a glance / ANNUAL REPORT- Company Description Annexes / ANNUAL REPORT- Chapter 2. Economic Groups Our Business in 2023 / ANNUAL REPORT- ANNEX A. Economic Groups / SUSTAINABILITY REPORT- 2.3. SUSTAINABLE SUPPLIER MANAGEMENT</w:t>
            </w:r>
          </w:p>
        </w:tc>
        <w:tc>
          <w:tcPr>
            <w:tcW w:w="1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5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154"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13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000000"/>
                <w:sz w:val="16"/>
              </w:rPr>
            </w:pPr>
            <w:r>
              <w:rPr>
                <w:color w:val="000000"/>
                <w:sz w:val="16"/>
              </w:rPr>
              <w:t>2-7 employees</w:t>
            </w:r>
          </w:p>
        </w:tc>
        <w:tc>
          <w:tcPr>
            <w:tcW w:w="33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olor w:val="000000"/>
                <w:sz w:val="16"/>
              </w:rPr>
            </w:pPr>
            <w:r>
              <w:rPr>
                <w:color w:val="000000"/>
                <w:sz w:val="16"/>
              </w:rPr>
              <w:t>SUSTAINABILITY REPORT- ANNEX 2.2. THE SOCIAL IMPACT OF OUR OPERATIONS: EMPLOYEE MANAGEMENT</w:t>
            </w:r>
          </w:p>
        </w:tc>
        <w:tc>
          <w:tcPr>
            <w:tcW w:w="1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olor w:val="000000"/>
                <w:sz w:val="16"/>
              </w:rPr>
            </w:pPr>
            <w:r>
              <w:rPr>
                <w:color w:val="000000"/>
                <w:sz w:val="16"/>
              </w:rPr>
              <w:t>8.5 - 10.3</w:t>
            </w:r>
          </w:p>
        </w:tc>
        <w:tc>
          <w:tcPr>
            <w:tcW w:w="5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91</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0" w:type="dxa"/>
          <w:left w:w="70" w:type="dxa"/>
          <w:bottom w:w="28" w:type="dxa"/>
          <w:right w:w="70" w:type="dxa"/>
        </w:tblCellMar>
      </w:tblPr>
      <w:tblGrid>
        <w:gridCol w:w="75"/>
        <w:gridCol w:w="2241"/>
        <w:gridCol w:w="2988"/>
        <w:gridCol w:w="392"/>
        <w:gridCol w:w="1461"/>
        <w:gridCol w:w="2235"/>
        <w:gridCol w:w="503"/>
        <w:gridCol w:w="310"/>
      </w:tblGrid>
      <w:tr>
        <w:trPr/>
        <w:tc>
          <w:tcPr>
            <w:tcW w:w="75" w:type="dxa"/>
            <w:vMerge w:val="restart"/>
            <w:tcBorders>
              <w:left w:val="single" w:sz="8" w:space="0" w:color="000000"/>
              <w:bottom w:val="single" w:sz="8" w:space="0" w:color="000000"/>
              <w:right w:val="single" w:sz="8" w:space="0" w:color="000000"/>
            </w:tcBorders>
            <w:shd w:fill="D9D9D9" w:val="clear"/>
            <w:vAlign w:val="center"/>
          </w:tcPr>
          <w:p>
            <w:pPr>
              <w:pStyle w:val="TableContents"/>
              <w:bidi w:val="0"/>
              <w:spacing w:before="0" w:after="283"/>
              <w:jc w:val="left"/>
              <w:rPr/>
            </w:pPr>
            <w:r>
              <w:rPr/>
              <w:t> </w:t>
            </w:r>
          </w:p>
        </w:tc>
        <w:tc>
          <w:tcPr>
            <w:tcW w:w="2241"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2-8 workers who are not employees</w:t>
            </w:r>
          </w:p>
        </w:tc>
        <w:tc>
          <w:tcPr>
            <w:tcW w:w="2988"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_</w:t>
            </w:r>
          </w:p>
        </w:tc>
        <w:tc>
          <w:tcPr>
            <w:tcW w:w="392"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GRI 2-8</w:t>
            </w:r>
          </w:p>
        </w:tc>
        <w:tc>
          <w:tcPr>
            <w:tcW w:w="1461"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Information not available or incomplete</w:t>
            </w:r>
          </w:p>
        </w:tc>
        <w:tc>
          <w:tcPr>
            <w:tcW w:w="2235"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No data is available and consolidated. We are working to be able to respond in future reports.</w:t>
            </w:r>
          </w:p>
        </w:tc>
        <w:tc>
          <w:tcPr>
            <w:tcW w:w="503"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8.5</w:t>
            </w:r>
          </w:p>
        </w:tc>
        <w:tc>
          <w:tcPr>
            <w:tcW w:w="31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r>
        <w:trPr/>
        <w:tc>
          <w:tcPr>
            <w:tcW w:w="75" w:type="dxa"/>
            <w:vMerge w:val="continue"/>
            <w:tcBorders>
              <w:left w:val="single" w:sz="8" w:space="0" w:color="000000"/>
              <w:bottom w:val="single" w:sz="8" w:space="0" w:color="000000"/>
              <w:right w:val="single" w:sz="8" w:space="0" w:color="000000"/>
            </w:tcBorders>
            <w:shd w:fill="D9D9D9" w:val="clear"/>
            <w:vAlign w:val="center"/>
          </w:tcPr>
          <w:p>
            <w:pPr>
              <w:pStyle w:val="Normal"/>
              <w:bidi w:val="0"/>
              <w:jc w:val="left"/>
              <w:rPr/>
            </w:pPr>
            <w:r>
              <w:rPr/>
            </w:r>
          </w:p>
        </w:tc>
        <w:tc>
          <w:tcPr>
            <w:tcW w:w="2241" w:type="dxa"/>
            <w:tcBorders>
              <w:bottom w:val="single" w:sz="8" w:space="0" w:color="000000"/>
              <w:right w:val="single" w:sz="8" w:space="0" w:color="000000"/>
            </w:tcBorders>
            <w:shd w:fill="D9D9D9" w:val="clear"/>
            <w:tcMar>
              <w:left w:w="0" w:type="dxa"/>
            </w:tcMar>
            <w:vAlign w:val="center"/>
          </w:tcPr>
          <w:p>
            <w:pPr>
              <w:pStyle w:val="TableContents"/>
              <w:bidi w:val="0"/>
              <w:spacing w:before="0" w:after="283"/>
              <w:jc w:val="left"/>
              <w:rPr>
                <w:b/>
                <w:sz w:val="16"/>
              </w:rPr>
            </w:pPr>
            <w:r>
              <w:rPr>
                <w:b/>
                <w:sz w:val="16"/>
              </w:rPr>
              <w:t>3. Governance</w:t>
            </w:r>
          </w:p>
        </w:tc>
        <w:tc>
          <w:tcPr>
            <w:tcW w:w="2988" w:type="dxa"/>
            <w:tcBorders>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pPr>
            <w:r>
              <w:rPr/>
              <w:t> </w:t>
            </w:r>
          </w:p>
        </w:tc>
        <w:tc>
          <w:tcPr>
            <w:tcW w:w="392" w:type="dxa"/>
            <w:tcBorders>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pPr>
            <w:r>
              <w:rPr/>
              <w:t> </w:t>
            </w:r>
          </w:p>
        </w:tc>
        <w:tc>
          <w:tcPr>
            <w:tcW w:w="1461" w:type="dxa"/>
            <w:tcBorders>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pPr>
            <w:r>
              <w:rPr/>
              <w:t> </w:t>
            </w:r>
          </w:p>
        </w:tc>
        <w:tc>
          <w:tcPr>
            <w:tcW w:w="2235" w:type="dxa"/>
            <w:tcBorders>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pPr>
            <w:r>
              <w:rPr/>
              <w:t> </w:t>
            </w:r>
          </w:p>
        </w:tc>
        <w:tc>
          <w:tcPr>
            <w:tcW w:w="503" w:type="dxa"/>
            <w:tcBorders>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pPr>
            <w:r>
              <w:rPr/>
              <w:t> </w:t>
            </w:r>
          </w:p>
        </w:tc>
        <w:tc>
          <w:tcPr>
            <w:tcW w:w="310" w:type="dxa"/>
            <w:tcBorders>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pPr>
            <w:r>
              <w:rPr/>
              <w:t> </w:t>
            </w:r>
          </w:p>
        </w:tc>
      </w:tr>
      <w:tr>
        <w:trPr/>
        <w:tc>
          <w:tcPr>
            <w:tcW w:w="75" w:type="dxa"/>
            <w:vMerge w:val="continue"/>
            <w:tcBorders>
              <w:left w:val="single" w:sz="8" w:space="0" w:color="000000"/>
              <w:bottom w:val="single" w:sz="8" w:space="0" w:color="000000"/>
              <w:right w:val="single" w:sz="8" w:space="0" w:color="000000"/>
            </w:tcBorders>
            <w:shd w:fill="D9D9D9" w:val="clear"/>
            <w:vAlign w:val="center"/>
          </w:tcPr>
          <w:p>
            <w:pPr>
              <w:pStyle w:val="Normal"/>
              <w:bidi w:val="0"/>
              <w:jc w:val="left"/>
              <w:rPr/>
            </w:pPr>
            <w:r>
              <w:rPr/>
            </w:r>
          </w:p>
        </w:tc>
        <w:tc>
          <w:tcPr>
            <w:tcW w:w="2241"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2-9 Governance structure and composition</w:t>
            </w:r>
          </w:p>
        </w:tc>
        <w:tc>
          <w:tcPr>
            <w:tcW w:w="2988"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REPORT- 4.1. OUR CORPORATE GOVERNANCE</w:t>
            </w:r>
          </w:p>
        </w:tc>
        <w:tc>
          <w:tcPr>
            <w:tcW w:w="392"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461"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2235"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503"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5.5 - 16.7</w:t>
            </w:r>
          </w:p>
        </w:tc>
        <w:tc>
          <w:tcPr>
            <w:tcW w:w="31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1, 6, 7, 10</w:t>
            </w:r>
          </w:p>
        </w:tc>
      </w:tr>
      <w:tr>
        <w:trPr/>
        <w:tc>
          <w:tcPr>
            <w:tcW w:w="75" w:type="dxa"/>
            <w:vMerge w:val="continue"/>
            <w:tcBorders>
              <w:left w:val="single" w:sz="8" w:space="0" w:color="000000"/>
              <w:bottom w:val="single" w:sz="8" w:space="0" w:color="000000"/>
              <w:right w:val="single" w:sz="8" w:space="0" w:color="000000"/>
            </w:tcBorders>
            <w:shd w:fill="D9D9D9" w:val="clear"/>
            <w:vAlign w:val="center"/>
          </w:tcPr>
          <w:p>
            <w:pPr>
              <w:pStyle w:val="Normal"/>
              <w:bidi w:val="0"/>
              <w:jc w:val="left"/>
              <w:rPr/>
            </w:pPr>
            <w:r>
              <w:rPr/>
            </w:r>
          </w:p>
        </w:tc>
        <w:tc>
          <w:tcPr>
            <w:tcW w:w="2241"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2-10 Nomination and selection of the highest governance body</w:t>
            </w:r>
          </w:p>
        </w:tc>
        <w:tc>
          <w:tcPr>
            <w:tcW w:w="2988"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REPORT- 4.1. OUR CORPORATE GOVERNANCE</w:t>
            </w:r>
          </w:p>
        </w:tc>
        <w:tc>
          <w:tcPr>
            <w:tcW w:w="392"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461"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2235"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503"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5.5 - 16.7</w:t>
            </w:r>
          </w:p>
        </w:tc>
        <w:tc>
          <w:tcPr>
            <w:tcW w:w="31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r>
        <w:trPr/>
        <w:tc>
          <w:tcPr>
            <w:tcW w:w="75" w:type="dxa"/>
            <w:vMerge w:val="continue"/>
            <w:tcBorders>
              <w:left w:val="single" w:sz="8" w:space="0" w:color="000000"/>
              <w:bottom w:val="single" w:sz="8" w:space="0" w:color="000000"/>
              <w:right w:val="single" w:sz="8" w:space="0" w:color="000000"/>
            </w:tcBorders>
            <w:shd w:fill="D9D9D9" w:val="clear"/>
            <w:vAlign w:val="center"/>
          </w:tcPr>
          <w:p>
            <w:pPr>
              <w:pStyle w:val="Normal"/>
              <w:bidi w:val="0"/>
              <w:jc w:val="left"/>
              <w:rPr/>
            </w:pPr>
            <w:r>
              <w:rPr/>
            </w:r>
          </w:p>
        </w:tc>
        <w:tc>
          <w:tcPr>
            <w:tcW w:w="2241"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2-11 Chair of the highest governance body</w:t>
            </w:r>
          </w:p>
        </w:tc>
        <w:tc>
          <w:tcPr>
            <w:tcW w:w="2988"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REPORT- 4.1. OUR CORPORATE GOVERNANCE</w:t>
            </w:r>
          </w:p>
        </w:tc>
        <w:tc>
          <w:tcPr>
            <w:tcW w:w="392"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461"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2235"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503"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16.6</w:t>
            </w:r>
          </w:p>
        </w:tc>
        <w:tc>
          <w:tcPr>
            <w:tcW w:w="31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r>
        <w:trPr/>
        <w:tc>
          <w:tcPr>
            <w:tcW w:w="75" w:type="dxa"/>
            <w:vMerge w:val="continue"/>
            <w:tcBorders>
              <w:left w:val="single" w:sz="8" w:space="0" w:color="000000"/>
              <w:bottom w:val="single" w:sz="8" w:space="0" w:color="000000"/>
              <w:right w:val="single" w:sz="8" w:space="0" w:color="000000"/>
            </w:tcBorders>
            <w:shd w:fill="D9D9D9" w:val="clear"/>
            <w:vAlign w:val="center"/>
          </w:tcPr>
          <w:p>
            <w:pPr>
              <w:pStyle w:val="Normal"/>
              <w:bidi w:val="0"/>
              <w:jc w:val="left"/>
              <w:rPr/>
            </w:pPr>
            <w:r>
              <w:rPr/>
            </w:r>
          </w:p>
        </w:tc>
        <w:tc>
          <w:tcPr>
            <w:tcW w:w="2241"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2-12 Role of the highest governance body in overseeing the management of impacts</w:t>
            </w:r>
          </w:p>
        </w:tc>
        <w:tc>
          <w:tcPr>
            <w:tcW w:w="2988"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REPORT- 4.1. OUR CORPORATE GOVERNANCE</w:t>
              <w:br/>
              <w:t>See Corporate Governance Policy</w:t>
            </w:r>
          </w:p>
        </w:tc>
        <w:tc>
          <w:tcPr>
            <w:tcW w:w="392"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461"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2235"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503"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16.7</w:t>
            </w:r>
          </w:p>
        </w:tc>
        <w:tc>
          <w:tcPr>
            <w:tcW w:w="31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1, 7, 10</w:t>
            </w:r>
          </w:p>
        </w:tc>
      </w:tr>
      <w:tr>
        <w:trPr/>
        <w:tc>
          <w:tcPr>
            <w:tcW w:w="75" w:type="dxa"/>
            <w:vMerge w:val="continue"/>
            <w:tcBorders>
              <w:left w:val="single" w:sz="8" w:space="0" w:color="000000"/>
              <w:bottom w:val="single" w:sz="8" w:space="0" w:color="000000"/>
              <w:right w:val="single" w:sz="8" w:space="0" w:color="000000"/>
            </w:tcBorders>
            <w:shd w:fill="D9D9D9" w:val="clear"/>
            <w:vAlign w:val="center"/>
          </w:tcPr>
          <w:p>
            <w:pPr>
              <w:pStyle w:val="Normal"/>
              <w:bidi w:val="0"/>
              <w:jc w:val="left"/>
              <w:rPr/>
            </w:pPr>
            <w:r>
              <w:rPr/>
            </w:r>
          </w:p>
        </w:tc>
        <w:tc>
          <w:tcPr>
            <w:tcW w:w="2241"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2-13 Delegation of responsibility for managing impacts</w:t>
            </w:r>
          </w:p>
        </w:tc>
        <w:tc>
          <w:tcPr>
            <w:tcW w:w="2988"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REPORT- 4.1. OUR CORPORATE GOVERNANCE</w:t>
              <w:br/>
              <w:t>See Corporate Governance Policy</w:t>
            </w:r>
          </w:p>
        </w:tc>
        <w:tc>
          <w:tcPr>
            <w:tcW w:w="392"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461"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2235"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503"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31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1, 7, 10</w:t>
            </w:r>
          </w:p>
        </w:tc>
      </w:tr>
      <w:tr>
        <w:trPr/>
        <w:tc>
          <w:tcPr>
            <w:tcW w:w="75" w:type="dxa"/>
            <w:vMerge w:val="continue"/>
            <w:tcBorders>
              <w:left w:val="single" w:sz="8" w:space="0" w:color="000000"/>
              <w:bottom w:val="single" w:sz="8" w:space="0" w:color="000000"/>
              <w:right w:val="single" w:sz="8" w:space="0" w:color="000000"/>
            </w:tcBorders>
            <w:shd w:fill="D9D9D9" w:val="clear"/>
            <w:vAlign w:val="center"/>
          </w:tcPr>
          <w:p>
            <w:pPr>
              <w:pStyle w:val="Normal"/>
              <w:bidi w:val="0"/>
              <w:jc w:val="left"/>
              <w:rPr/>
            </w:pPr>
            <w:r>
              <w:rPr/>
            </w:r>
          </w:p>
        </w:tc>
        <w:tc>
          <w:tcPr>
            <w:tcW w:w="2241"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2-14 Role of the highest governance body in sustainability reporting</w:t>
            </w:r>
          </w:p>
        </w:tc>
        <w:tc>
          <w:tcPr>
            <w:tcW w:w="2988"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REPORT- 1.3. EXECUTIVE SUMMARY</w:t>
            </w:r>
          </w:p>
        </w:tc>
        <w:tc>
          <w:tcPr>
            <w:tcW w:w="392"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461"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2235"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503"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31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1, 7</w:t>
            </w:r>
          </w:p>
        </w:tc>
      </w:tr>
      <w:tr>
        <w:trPr/>
        <w:tc>
          <w:tcPr>
            <w:tcW w:w="75" w:type="dxa"/>
            <w:vMerge w:val="continue"/>
            <w:tcBorders>
              <w:left w:val="single" w:sz="8" w:space="0" w:color="000000"/>
              <w:bottom w:val="single" w:sz="8" w:space="0" w:color="000000"/>
              <w:right w:val="single" w:sz="8" w:space="0" w:color="000000"/>
            </w:tcBorders>
            <w:shd w:fill="D9D9D9" w:val="clear"/>
            <w:vAlign w:val="center"/>
          </w:tcPr>
          <w:p>
            <w:pPr>
              <w:pStyle w:val="Normal"/>
              <w:bidi w:val="0"/>
              <w:jc w:val="left"/>
              <w:rPr/>
            </w:pPr>
            <w:r>
              <w:rPr/>
            </w:r>
          </w:p>
        </w:tc>
        <w:tc>
          <w:tcPr>
            <w:tcW w:w="2241"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2-15 Conflicts of interest</w:t>
            </w:r>
          </w:p>
        </w:tc>
        <w:tc>
          <w:tcPr>
            <w:tcW w:w="2988"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REPORT- 4.1. OUR CORPORATE GOVERNANCE</w:t>
              <w:br/>
              <w:t>See Corporate Governance Policy</w:t>
            </w:r>
          </w:p>
        </w:tc>
        <w:tc>
          <w:tcPr>
            <w:tcW w:w="392"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461"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2235"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503"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16.6</w:t>
            </w:r>
          </w:p>
        </w:tc>
        <w:tc>
          <w:tcPr>
            <w:tcW w:w="31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r>
        <w:trPr/>
        <w:tc>
          <w:tcPr>
            <w:tcW w:w="75" w:type="dxa"/>
            <w:vMerge w:val="continue"/>
            <w:tcBorders>
              <w:left w:val="single" w:sz="8" w:space="0" w:color="000000"/>
              <w:bottom w:val="single" w:sz="8" w:space="0" w:color="000000"/>
              <w:right w:val="single" w:sz="8" w:space="0" w:color="000000"/>
            </w:tcBorders>
            <w:shd w:fill="D9D9D9" w:val="clear"/>
            <w:vAlign w:val="center"/>
          </w:tcPr>
          <w:p>
            <w:pPr>
              <w:pStyle w:val="Normal"/>
              <w:bidi w:val="0"/>
              <w:jc w:val="left"/>
              <w:rPr/>
            </w:pPr>
            <w:r>
              <w:rPr/>
            </w:r>
          </w:p>
        </w:tc>
        <w:tc>
          <w:tcPr>
            <w:tcW w:w="2241"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2-16 Communication of critical concerns</w:t>
            </w:r>
          </w:p>
        </w:tc>
        <w:tc>
          <w:tcPr>
            <w:tcW w:w="2988"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REPORT- 4.1. OUR CORPORATE GOVERNANCE</w:t>
              <w:br/>
              <w:t>See Corporate Governance Policy</w:t>
            </w:r>
          </w:p>
        </w:tc>
        <w:tc>
          <w:tcPr>
            <w:tcW w:w="392"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461"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2235"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503"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31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r>
        <w:trPr/>
        <w:tc>
          <w:tcPr>
            <w:tcW w:w="75" w:type="dxa"/>
            <w:vMerge w:val="continue"/>
            <w:tcBorders>
              <w:left w:val="single" w:sz="8" w:space="0" w:color="000000"/>
              <w:bottom w:val="single" w:sz="8" w:space="0" w:color="000000"/>
              <w:right w:val="single" w:sz="8" w:space="0" w:color="000000"/>
            </w:tcBorders>
            <w:shd w:fill="D9D9D9" w:val="clear"/>
            <w:vAlign w:val="center"/>
          </w:tcPr>
          <w:p>
            <w:pPr>
              <w:pStyle w:val="Normal"/>
              <w:bidi w:val="0"/>
              <w:jc w:val="left"/>
              <w:rPr/>
            </w:pPr>
            <w:r>
              <w:rPr/>
            </w:r>
          </w:p>
        </w:tc>
        <w:tc>
          <w:tcPr>
            <w:tcW w:w="2241"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2-17 Collective knowledge of the highest governance body</w:t>
            </w:r>
          </w:p>
        </w:tc>
        <w:tc>
          <w:tcPr>
            <w:tcW w:w="2988"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REPORT- 4.1. OUR CORPORATE GOVERNANCE</w:t>
            </w:r>
          </w:p>
        </w:tc>
        <w:tc>
          <w:tcPr>
            <w:tcW w:w="392"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461"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2235"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503"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31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r>
        <w:trPr/>
        <w:tc>
          <w:tcPr>
            <w:tcW w:w="75" w:type="dxa"/>
            <w:vMerge w:val="continue"/>
            <w:tcBorders>
              <w:left w:val="single" w:sz="8" w:space="0" w:color="000000"/>
              <w:bottom w:val="single" w:sz="8" w:space="0" w:color="000000"/>
              <w:right w:val="single" w:sz="8" w:space="0" w:color="000000"/>
            </w:tcBorders>
            <w:shd w:fill="D9D9D9" w:val="clear"/>
            <w:vAlign w:val="center"/>
          </w:tcPr>
          <w:p>
            <w:pPr>
              <w:pStyle w:val="Normal"/>
              <w:bidi w:val="0"/>
              <w:jc w:val="left"/>
              <w:rPr/>
            </w:pPr>
            <w:r>
              <w:rPr/>
            </w:r>
          </w:p>
        </w:tc>
        <w:tc>
          <w:tcPr>
            <w:tcW w:w="2241"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2-18 Evaluation of the performance of the highest governance body</w:t>
            </w:r>
          </w:p>
        </w:tc>
        <w:tc>
          <w:tcPr>
            <w:tcW w:w="2988"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REPORT- 4.1. OUR CORPORATE GOVERNANCE</w:t>
            </w:r>
          </w:p>
        </w:tc>
        <w:tc>
          <w:tcPr>
            <w:tcW w:w="392"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461"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2235"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503"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31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r>
        <w:trPr/>
        <w:tc>
          <w:tcPr>
            <w:tcW w:w="75" w:type="dxa"/>
            <w:vMerge w:val="continue"/>
            <w:tcBorders>
              <w:left w:val="single" w:sz="8" w:space="0" w:color="000000"/>
              <w:bottom w:val="single" w:sz="8" w:space="0" w:color="000000"/>
              <w:right w:val="single" w:sz="8" w:space="0" w:color="000000"/>
            </w:tcBorders>
            <w:shd w:fill="D9D9D9" w:val="clear"/>
            <w:vAlign w:val="center"/>
          </w:tcPr>
          <w:p>
            <w:pPr>
              <w:pStyle w:val="Normal"/>
              <w:bidi w:val="0"/>
              <w:jc w:val="left"/>
              <w:rPr/>
            </w:pPr>
            <w:r>
              <w:rPr/>
            </w:r>
          </w:p>
        </w:tc>
        <w:tc>
          <w:tcPr>
            <w:tcW w:w="2241"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2-19 Remuneration policies</w:t>
            </w:r>
          </w:p>
        </w:tc>
        <w:tc>
          <w:tcPr>
            <w:tcW w:w="2988"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REPORT- 4.2. THE REMUERATION MODEL FOR THE BOARD AND EXECUTIVE STREAM</w:t>
            </w:r>
          </w:p>
        </w:tc>
        <w:tc>
          <w:tcPr>
            <w:tcW w:w="392"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461"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2235"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503"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31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1, 7, 10</w:t>
            </w:r>
          </w:p>
        </w:tc>
      </w:tr>
      <w:tr>
        <w:trPr/>
        <w:tc>
          <w:tcPr>
            <w:tcW w:w="75" w:type="dxa"/>
            <w:vMerge w:val="continue"/>
            <w:tcBorders>
              <w:left w:val="single" w:sz="8" w:space="0" w:color="000000"/>
              <w:bottom w:val="single" w:sz="8" w:space="0" w:color="000000"/>
              <w:right w:val="single" w:sz="8" w:space="0" w:color="000000"/>
            </w:tcBorders>
            <w:shd w:fill="D9D9D9" w:val="clear"/>
            <w:vAlign w:val="center"/>
          </w:tcPr>
          <w:p>
            <w:pPr>
              <w:pStyle w:val="Normal"/>
              <w:bidi w:val="0"/>
              <w:jc w:val="left"/>
              <w:rPr/>
            </w:pPr>
            <w:r>
              <w:rPr/>
            </w:r>
          </w:p>
        </w:tc>
        <w:tc>
          <w:tcPr>
            <w:tcW w:w="2241"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2-20 Process to determine remuneration</w:t>
            </w:r>
          </w:p>
        </w:tc>
        <w:tc>
          <w:tcPr>
            <w:tcW w:w="2988"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REPORT- 4.2. THE REMUERATION MODEL FOR THE BOARD AND EXECUTIVE STREAM</w:t>
            </w:r>
          </w:p>
        </w:tc>
        <w:tc>
          <w:tcPr>
            <w:tcW w:w="392"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461"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2235"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503"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31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r>
        <w:trPr/>
        <w:tc>
          <w:tcPr>
            <w:tcW w:w="75" w:type="dxa"/>
            <w:vMerge w:val="continue"/>
            <w:tcBorders>
              <w:left w:val="single" w:sz="8" w:space="0" w:color="000000"/>
              <w:bottom w:val="single" w:sz="8" w:space="0" w:color="000000"/>
              <w:right w:val="single" w:sz="8" w:space="0" w:color="000000"/>
            </w:tcBorders>
            <w:shd w:fill="D9D9D9" w:val="clear"/>
            <w:vAlign w:val="center"/>
          </w:tcPr>
          <w:p>
            <w:pPr>
              <w:pStyle w:val="Normal"/>
              <w:bidi w:val="0"/>
              <w:jc w:val="left"/>
              <w:rPr/>
            </w:pPr>
            <w:r>
              <w:rPr/>
            </w:r>
          </w:p>
        </w:tc>
        <w:tc>
          <w:tcPr>
            <w:tcW w:w="2241"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2-21 Annual total compensation ratio</w:t>
            </w:r>
          </w:p>
        </w:tc>
        <w:tc>
          <w:tcPr>
            <w:tcW w:w="2988"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_</w:t>
            </w:r>
          </w:p>
        </w:tc>
        <w:tc>
          <w:tcPr>
            <w:tcW w:w="392"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GRI 2-21</w:t>
            </w:r>
          </w:p>
        </w:tc>
        <w:tc>
          <w:tcPr>
            <w:tcW w:w="1461"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Confidentiality issues</w:t>
            </w:r>
          </w:p>
        </w:tc>
        <w:tc>
          <w:tcPr>
            <w:tcW w:w="2235"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 xml:space="preserve">Given the local context, the information is confidential to safeguard the personal safety of </w:t>
            </w:r>
          </w:p>
        </w:tc>
        <w:tc>
          <w:tcPr>
            <w:tcW w:w="503"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31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92</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0" w:type="dxa"/>
          <w:left w:w="70" w:type="dxa"/>
          <w:bottom w:w="28" w:type="dxa"/>
          <w:right w:w="70" w:type="dxa"/>
        </w:tblCellMar>
      </w:tblPr>
      <w:tblGrid>
        <w:gridCol w:w="1855"/>
        <w:gridCol w:w="1622"/>
        <w:gridCol w:w="4430"/>
        <w:gridCol w:w="60"/>
        <w:gridCol w:w="60"/>
        <w:gridCol w:w="1348"/>
        <w:gridCol w:w="335"/>
        <w:gridCol w:w="495"/>
      </w:tblGrid>
      <w:tr>
        <w:trPr/>
        <w:tc>
          <w:tcPr>
            <w:tcW w:w="1855" w:type="dxa"/>
            <w:vMerge w:val="restart"/>
            <w:tcBorders>
              <w:left w:val="single" w:sz="8" w:space="0" w:color="000000"/>
              <w:bottom w:val="single" w:sz="8" w:space="0" w:color="000000"/>
              <w:right w:val="single" w:sz="8" w:space="0" w:color="000000"/>
            </w:tcBorders>
            <w:shd w:fill="D9D9D9" w:val="clear"/>
            <w:vAlign w:val="center"/>
          </w:tcPr>
          <w:p>
            <w:pPr>
              <w:pStyle w:val="TableContents"/>
              <w:bidi w:val="0"/>
              <w:spacing w:before="0" w:after="283"/>
              <w:jc w:val="left"/>
              <w:rPr/>
            </w:pPr>
            <w:r>
              <w:rPr/>
              <w:t> </w:t>
            </w:r>
          </w:p>
        </w:tc>
        <w:tc>
          <w:tcPr>
            <w:tcW w:w="1622"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443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348"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our employees and senior management.</w:t>
            </w:r>
          </w:p>
        </w:tc>
        <w:tc>
          <w:tcPr>
            <w:tcW w:w="335"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495"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r>
        <w:trPr/>
        <w:tc>
          <w:tcPr>
            <w:tcW w:w="1855" w:type="dxa"/>
            <w:vMerge w:val="continue"/>
            <w:tcBorders>
              <w:left w:val="single" w:sz="8" w:space="0" w:color="000000"/>
              <w:bottom w:val="single" w:sz="8" w:space="0" w:color="000000"/>
              <w:right w:val="single" w:sz="8" w:space="0" w:color="000000"/>
            </w:tcBorders>
            <w:shd w:fill="D9D9D9" w:val="clear"/>
            <w:vAlign w:val="center"/>
          </w:tcPr>
          <w:p>
            <w:pPr>
              <w:pStyle w:val="Normal"/>
              <w:bidi w:val="0"/>
              <w:jc w:val="left"/>
              <w:rPr/>
            </w:pPr>
            <w:r>
              <w:rPr/>
            </w:r>
          </w:p>
        </w:tc>
        <w:tc>
          <w:tcPr>
            <w:tcW w:w="1622" w:type="dxa"/>
            <w:tcBorders>
              <w:bottom w:val="single" w:sz="8" w:space="0" w:color="000000"/>
              <w:right w:val="single" w:sz="8" w:space="0" w:color="000000"/>
            </w:tcBorders>
            <w:shd w:fill="D9D9D9" w:val="clear"/>
            <w:tcMar>
              <w:left w:w="0" w:type="dxa"/>
            </w:tcMar>
            <w:vAlign w:val="center"/>
          </w:tcPr>
          <w:p>
            <w:pPr>
              <w:pStyle w:val="TableContents"/>
              <w:bidi w:val="0"/>
              <w:spacing w:before="0" w:after="283"/>
              <w:jc w:val="left"/>
              <w:rPr>
                <w:b/>
                <w:sz w:val="16"/>
              </w:rPr>
            </w:pPr>
            <w:r>
              <w:rPr>
                <w:b/>
                <w:sz w:val="16"/>
              </w:rPr>
              <w:t>4. Strategy, policies and practices</w:t>
            </w:r>
          </w:p>
        </w:tc>
        <w:tc>
          <w:tcPr>
            <w:tcW w:w="4430" w:type="dxa"/>
            <w:tcBorders>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pPr>
            <w:r>
              <w:rPr/>
              <w:t> </w:t>
            </w:r>
          </w:p>
        </w:tc>
        <w:tc>
          <w:tcPr>
            <w:tcW w:w="1348" w:type="dxa"/>
            <w:tcBorders>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pPr>
            <w:r>
              <w:rPr/>
              <w:t> </w:t>
            </w:r>
          </w:p>
        </w:tc>
        <w:tc>
          <w:tcPr>
            <w:tcW w:w="335" w:type="dxa"/>
            <w:tcBorders>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pPr>
            <w:r>
              <w:rPr/>
              <w:t> </w:t>
            </w:r>
          </w:p>
        </w:tc>
        <w:tc>
          <w:tcPr>
            <w:tcW w:w="495" w:type="dxa"/>
            <w:tcBorders>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pPr>
            <w:r>
              <w:rPr/>
              <w:t> </w:t>
            </w:r>
          </w:p>
        </w:tc>
      </w:tr>
      <w:tr>
        <w:trPr/>
        <w:tc>
          <w:tcPr>
            <w:tcW w:w="1855" w:type="dxa"/>
            <w:vMerge w:val="continue"/>
            <w:tcBorders>
              <w:left w:val="single" w:sz="8" w:space="0" w:color="000000"/>
              <w:bottom w:val="single" w:sz="8" w:space="0" w:color="000000"/>
              <w:right w:val="single" w:sz="8" w:space="0" w:color="000000"/>
            </w:tcBorders>
            <w:shd w:fill="D9D9D9" w:val="clear"/>
            <w:vAlign w:val="center"/>
          </w:tcPr>
          <w:p>
            <w:pPr>
              <w:pStyle w:val="Normal"/>
              <w:bidi w:val="0"/>
              <w:jc w:val="left"/>
              <w:rPr/>
            </w:pPr>
            <w:r>
              <w:rPr/>
            </w:r>
          </w:p>
        </w:tc>
        <w:tc>
          <w:tcPr>
            <w:tcW w:w="1622"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2-22 Declaration on sustainable development strategy</w:t>
            </w:r>
          </w:p>
        </w:tc>
        <w:tc>
          <w:tcPr>
            <w:tcW w:w="443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ANNUAL REPORT- Letter from the Chair / SUSTAINABILITY REPORT- 1.2. LETTER FROM THE PRESIDENT OF THE SUSTAINABILITY COMMITTEE</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348"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335"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495"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r>
        <w:trPr/>
        <w:tc>
          <w:tcPr>
            <w:tcW w:w="1855" w:type="dxa"/>
            <w:vMerge w:val="continue"/>
            <w:tcBorders>
              <w:left w:val="single" w:sz="8" w:space="0" w:color="000000"/>
              <w:bottom w:val="single" w:sz="8" w:space="0" w:color="000000"/>
              <w:right w:val="single" w:sz="8" w:space="0" w:color="000000"/>
            </w:tcBorders>
            <w:shd w:fill="D9D9D9" w:val="clear"/>
            <w:vAlign w:val="center"/>
          </w:tcPr>
          <w:p>
            <w:pPr>
              <w:pStyle w:val="Normal"/>
              <w:bidi w:val="0"/>
              <w:jc w:val="left"/>
              <w:rPr/>
            </w:pPr>
            <w:r>
              <w:rPr/>
            </w:r>
          </w:p>
        </w:tc>
        <w:tc>
          <w:tcPr>
            <w:tcW w:w="1622"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2-23 Policy commitments</w:t>
            </w:r>
          </w:p>
        </w:tc>
        <w:tc>
          <w:tcPr>
            <w:tcW w:w="443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ANNUAL REPORT- Our purpose, vision, and values / SUSTAINABILITY REPORT- 4.4. ETHICS, COMPLIANCE, AND HUMAN RIGHTS</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348"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335"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16.3</w:t>
            </w:r>
          </w:p>
        </w:tc>
        <w:tc>
          <w:tcPr>
            <w:tcW w:w="495"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1, 2, 3, 4, 5, 6, 7, 8, 10</w:t>
            </w:r>
          </w:p>
        </w:tc>
      </w:tr>
      <w:tr>
        <w:trPr/>
        <w:tc>
          <w:tcPr>
            <w:tcW w:w="1855" w:type="dxa"/>
            <w:vMerge w:val="continue"/>
            <w:tcBorders>
              <w:left w:val="single" w:sz="8" w:space="0" w:color="000000"/>
              <w:bottom w:val="single" w:sz="8" w:space="0" w:color="000000"/>
              <w:right w:val="single" w:sz="8" w:space="0" w:color="000000"/>
            </w:tcBorders>
            <w:shd w:fill="D9D9D9" w:val="clear"/>
            <w:vAlign w:val="center"/>
          </w:tcPr>
          <w:p>
            <w:pPr>
              <w:pStyle w:val="Normal"/>
              <w:bidi w:val="0"/>
              <w:jc w:val="left"/>
              <w:rPr/>
            </w:pPr>
            <w:r>
              <w:rPr/>
            </w:r>
          </w:p>
        </w:tc>
        <w:tc>
          <w:tcPr>
            <w:tcW w:w="1622"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2-24 Embedding policy commitments</w:t>
            </w:r>
          </w:p>
        </w:tc>
        <w:tc>
          <w:tcPr>
            <w:tcW w:w="443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REPORT- 4.4. ETHICS, COMPLIANCE, AND HUMAN RIGHTS</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348"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335"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495"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1, 7</w:t>
            </w:r>
          </w:p>
        </w:tc>
      </w:tr>
      <w:tr>
        <w:trPr/>
        <w:tc>
          <w:tcPr>
            <w:tcW w:w="1855" w:type="dxa"/>
            <w:vMerge w:val="continue"/>
            <w:tcBorders>
              <w:left w:val="single" w:sz="8" w:space="0" w:color="000000"/>
              <w:bottom w:val="single" w:sz="8" w:space="0" w:color="000000"/>
              <w:right w:val="single" w:sz="8" w:space="0" w:color="000000"/>
            </w:tcBorders>
            <w:shd w:fill="D9D9D9" w:val="clear"/>
            <w:vAlign w:val="center"/>
          </w:tcPr>
          <w:p>
            <w:pPr>
              <w:pStyle w:val="Normal"/>
              <w:bidi w:val="0"/>
              <w:jc w:val="left"/>
              <w:rPr/>
            </w:pPr>
            <w:r>
              <w:rPr/>
            </w:r>
          </w:p>
        </w:tc>
        <w:tc>
          <w:tcPr>
            <w:tcW w:w="1622"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2-25 Processes to remediate negative impacts</w:t>
            </w:r>
          </w:p>
        </w:tc>
        <w:tc>
          <w:tcPr>
            <w:tcW w:w="443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REPORT- 4.4. ETHICS, COMPLIANCE, AND HUMAN RIGHTS</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348"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335"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495"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1, 7, 10</w:t>
            </w:r>
          </w:p>
        </w:tc>
      </w:tr>
      <w:tr>
        <w:trPr/>
        <w:tc>
          <w:tcPr>
            <w:tcW w:w="1855" w:type="dxa"/>
            <w:vMerge w:val="continue"/>
            <w:tcBorders>
              <w:left w:val="single" w:sz="8" w:space="0" w:color="000000"/>
              <w:bottom w:val="single" w:sz="8" w:space="0" w:color="000000"/>
              <w:right w:val="single" w:sz="8" w:space="0" w:color="000000"/>
            </w:tcBorders>
            <w:shd w:fill="D9D9D9" w:val="clear"/>
            <w:vAlign w:val="center"/>
          </w:tcPr>
          <w:p>
            <w:pPr>
              <w:pStyle w:val="Normal"/>
              <w:bidi w:val="0"/>
              <w:jc w:val="left"/>
              <w:rPr/>
            </w:pPr>
            <w:r>
              <w:rPr/>
            </w:r>
          </w:p>
        </w:tc>
        <w:tc>
          <w:tcPr>
            <w:tcW w:w="1622"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2-26 Mechanisms for seeking advice and raising concerns</w:t>
            </w:r>
          </w:p>
        </w:tc>
        <w:tc>
          <w:tcPr>
            <w:tcW w:w="443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REPORT- 4.4. ETHICS, COMPLIANCE, AND HUMAN RIGHTS</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348"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335"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16.3</w:t>
            </w:r>
          </w:p>
        </w:tc>
        <w:tc>
          <w:tcPr>
            <w:tcW w:w="495"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1, 3, 7, 10</w:t>
            </w:r>
          </w:p>
        </w:tc>
      </w:tr>
      <w:tr>
        <w:trPr/>
        <w:tc>
          <w:tcPr>
            <w:tcW w:w="1855" w:type="dxa"/>
            <w:vMerge w:val="continue"/>
            <w:tcBorders>
              <w:left w:val="single" w:sz="8" w:space="0" w:color="000000"/>
              <w:bottom w:val="single" w:sz="8" w:space="0" w:color="000000"/>
              <w:right w:val="single" w:sz="8" w:space="0" w:color="000000"/>
            </w:tcBorders>
            <w:shd w:fill="D9D9D9" w:val="clear"/>
            <w:vAlign w:val="center"/>
          </w:tcPr>
          <w:p>
            <w:pPr>
              <w:pStyle w:val="Normal"/>
              <w:bidi w:val="0"/>
              <w:jc w:val="left"/>
              <w:rPr/>
            </w:pPr>
            <w:r>
              <w:rPr/>
            </w:r>
          </w:p>
        </w:tc>
        <w:tc>
          <w:tcPr>
            <w:tcW w:w="1622"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2-27 Compliance with laws and regulations</w:t>
            </w:r>
          </w:p>
        </w:tc>
        <w:tc>
          <w:tcPr>
            <w:tcW w:w="443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ANNUAL REPORT- ANNEX B. Penalties imposed by regulators / ANNUAL REPORT- ANNEX C. Legal proceedings / SUSTAINABILITY REPORT- ANNEX 4.4. ETHICS, COMPLIANCE, AND HUMAN RIGHTS</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348"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335"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495"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r>
        <w:trPr/>
        <w:tc>
          <w:tcPr>
            <w:tcW w:w="1855" w:type="dxa"/>
            <w:vMerge w:val="continue"/>
            <w:tcBorders>
              <w:left w:val="single" w:sz="8" w:space="0" w:color="000000"/>
              <w:bottom w:val="single" w:sz="8" w:space="0" w:color="000000"/>
              <w:right w:val="single" w:sz="8" w:space="0" w:color="000000"/>
            </w:tcBorders>
            <w:shd w:fill="D9D9D9" w:val="clear"/>
            <w:vAlign w:val="center"/>
          </w:tcPr>
          <w:p>
            <w:pPr>
              <w:pStyle w:val="Normal"/>
              <w:bidi w:val="0"/>
              <w:jc w:val="left"/>
              <w:rPr/>
            </w:pPr>
            <w:r>
              <w:rPr/>
            </w:r>
          </w:p>
        </w:tc>
        <w:tc>
          <w:tcPr>
            <w:tcW w:w="1622"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2- 28 Membership associations</w:t>
            </w:r>
          </w:p>
        </w:tc>
        <w:tc>
          <w:tcPr>
            <w:tcW w:w="443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ANNEX 1.5. OUR SUSTAINABILITY STRATEGY</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348"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335"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495"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r>
        <w:trPr/>
        <w:tc>
          <w:tcPr>
            <w:tcW w:w="1855" w:type="dxa"/>
            <w:vMerge w:val="continue"/>
            <w:tcBorders>
              <w:left w:val="single" w:sz="8" w:space="0" w:color="000000"/>
              <w:bottom w:val="single" w:sz="8" w:space="0" w:color="000000"/>
              <w:right w:val="single" w:sz="8" w:space="0" w:color="000000"/>
            </w:tcBorders>
            <w:shd w:fill="D9D9D9" w:val="clear"/>
            <w:vAlign w:val="center"/>
          </w:tcPr>
          <w:p>
            <w:pPr>
              <w:pStyle w:val="Normal"/>
              <w:bidi w:val="0"/>
              <w:jc w:val="left"/>
              <w:rPr/>
            </w:pPr>
            <w:r>
              <w:rPr/>
            </w:r>
          </w:p>
        </w:tc>
        <w:tc>
          <w:tcPr>
            <w:tcW w:w="1622" w:type="dxa"/>
            <w:tcBorders>
              <w:bottom w:val="single" w:sz="8" w:space="0" w:color="000000"/>
              <w:right w:val="single" w:sz="8" w:space="0" w:color="000000"/>
            </w:tcBorders>
            <w:shd w:fill="D9D9D9" w:val="clear"/>
            <w:tcMar>
              <w:left w:w="0" w:type="dxa"/>
            </w:tcMar>
            <w:vAlign w:val="center"/>
          </w:tcPr>
          <w:p>
            <w:pPr>
              <w:pStyle w:val="TableContents"/>
              <w:bidi w:val="0"/>
              <w:spacing w:before="0" w:after="283"/>
              <w:jc w:val="left"/>
              <w:rPr>
                <w:b/>
                <w:sz w:val="16"/>
              </w:rPr>
            </w:pPr>
            <w:r>
              <w:rPr>
                <w:b/>
                <w:sz w:val="16"/>
              </w:rPr>
              <w:t>5. Stakeholder engagement</w:t>
            </w:r>
          </w:p>
        </w:tc>
        <w:tc>
          <w:tcPr>
            <w:tcW w:w="4430" w:type="dxa"/>
            <w:tcBorders>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pPr>
            <w:r>
              <w:rPr/>
              <w:t> </w:t>
            </w:r>
          </w:p>
        </w:tc>
        <w:tc>
          <w:tcPr>
            <w:tcW w:w="1348" w:type="dxa"/>
            <w:tcBorders>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pPr>
            <w:r>
              <w:rPr/>
              <w:t> </w:t>
            </w:r>
          </w:p>
        </w:tc>
        <w:tc>
          <w:tcPr>
            <w:tcW w:w="335" w:type="dxa"/>
            <w:tcBorders>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pPr>
            <w:r>
              <w:rPr/>
              <w:t> </w:t>
            </w:r>
          </w:p>
        </w:tc>
        <w:tc>
          <w:tcPr>
            <w:tcW w:w="495" w:type="dxa"/>
            <w:tcBorders>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pPr>
            <w:r>
              <w:rPr/>
              <w:t> </w:t>
            </w:r>
          </w:p>
        </w:tc>
      </w:tr>
      <w:tr>
        <w:trPr/>
        <w:tc>
          <w:tcPr>
            <w:tcW w:w="1855" w:type="dxa"/>
            <w:vMerge w:val="continue"/>
            <w:tcBorders>
              <w:left w:val="single" w:sz="8" w:space="0" w:color="000000"/>
              <w:bottom w:val="single" w:sz="8" w:space="0" w:color="000000"/>
              <w:right w:val="single" w:sz="8" w:space="0" w:color="000000"/>
            </w:tcBorders>
            <w:shd w:fill="D9D9D9" w:val="clear"/>
            <w:vAlign w:val="center"/>
          </w:tcPr>
          <w:p>
            <w:pPr>
              <w:pStyle w:val="Normal"/>
              <w:bidi w:val="0"/>
              <w:jc w:val="left"/>
              <w:rPr/>
            </w:pPr>
            <w:r>
              <w:rPr/>
            </w:r>
          </w:p>
        </w:tc>
        <w:tc>
          <w:tcPr>
            <w:tcW w:w="1622"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2-29 Approach to stakeholder engagement</w:t>
            </w:r>
          </w:p>
        </w:tc>
        <w:tc>
          <w:tcPr>
            <w:tcW w:w="443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REPORT- 1.5. OUR SUSTAINABILITY STRATEGY / SUSTAINABILITY REPORT - ANNEX 1.5. OUR SUSTAINABILITY STRATEGY</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348"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335"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495"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r>
        <w:trPr/>
        <w:tc>
          <w:tcPr>
            <w:tcW w:w="1855" w:type="dxa"/>
            <w:vMerge w:val="continue"/>
            <w:tcBorders>
              <w:left w:val="single" w:sz="8" w:space="0" w:color="000000"/>
              <w:bottom w:val="single" w:sz="8" w:space="0" w:color="000000"/>
              <w:right w:val="single" w:sz="8" w:space="0" w:color="000000"/>
            </w:tcBorders>
            <w:shd w:fill="D9D9D9" w:val="clear"/>
            <w:vAlign w:val="center"/>
          </w:tcPr>
          <w:p>
            <w:pPr>
              <w:pStyle w:val="Normal"/>
              <w:bidi w:val="0"/>
              <w:jc w:val="left"/>
              <w:rPr/>
            </w:pPr>
            <w:r>
              <w:rPr/>
            </w:r>
          </w:p>
        </w:tc>
        <w:tc>
          <w:tcPr>
            <w:tcW w:w="1622"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2-30 Collective bargaining agreements</w:t>
            </w:r>
          </w:p>
        </w:tc>
        <w:tc>
          <w:tcPr>
            <w:tcW w:w="443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ANNEX 2.2. THE SOCIAL IMPACT OF OUR OPERATIONS: EMPLOYEE MANAGEMENT</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348"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335"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8.8</w:t>
            </w:r>
          </w:p>
        </w:tc>
        <w:tc>
          <w:tcPr>
            <w:tcW w:w="495"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3</w:t>
            </w:r>
          </w:p>
        </w:tc>
      </w:tr>
      <w:tr>
        <w:trPr/>
        <w:tc>
          <w:tcPr>
            <w:tcW w:w="1855" w:type="dxa"/>
            <w:tcBorders>
              <w:left w:val="single" w:sz="8" w:space="0" w:color="000000"/>
              <w:bottom w:val="single" w:sz="8" w:space="0" w:color="000000"/>
              <w:right w:val="single" w:sz="8" w:space="0" w:color="000000"/>
            </w:tcBorders>
            <w:shd w:fill="A6A6A6" w:val="clear"/>
            <w:vAlign w:val="center"/>
          </w:tcPr>
          <w:p>
            <w:pPr>
              <w:pStyle w:val="TableContents"/>
              <w:bidi w:val="0"/>
              <w:spacing w:before="0" w:after="283"/>
              <w:jc w:val="left"/>
              <w:rPr>
                <w:b/>
                <w:sz w:val="16"/>
              </w:rPr>
            </w:pPr>
            <w:r>
              <w:rPr>
                <w:b/>
                <w:sz w:val="16"/>
              </w:rPr>
              <w:t>Material topics</w:t>
            </w:r>
          </w:p>
        </w:tc>
        <w:tc>
          <w:tcPr>
            <w:tcW w:w="1622"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left"/>
              <w:rPr/>
            </w:pPr>
            <w:r>
              <w:rPr/>
              <w:t> </w:t>
            </w:r>
          </w:p>
        </w:tc>
        <w:tc>
          <w:tcPr>
            <w:tcW w:w="4430"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1348"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335"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495"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r>
      <w:tr>
        <w:trPr/>
        <w:tc>
          <w:tcPr>
            <w:tcW w:w="1855" w:type="dxa"/>
            <w:vMerge w:val="restart"/>
            <w:tcBorders>
              <w:left w:val="single" w:sz="8" w:space="0" w:color="000000"/>
              <w:bottom w:val="single" w:sz="8" w:space="0" w:color="000000"/>
              <w:right w:val="single" w:sz="8" w:space="0" w:color="000000"/>
            </w:tcBorders>
            <w:shd w:fill="D9D9D9" w:val="clear"/>
            <w:vAlign w:val="center"/>
          </w:tcPr>
          <w:p>
            <w:pPr>
              <w:pStyle w:val="TableContents"/>
              <w:bidi w:val="0"/>
              <w:spacing w:before="0" w:after="283"/>
              <w:jc w:val="left"/>
              <w:rPr>
                <w:b/>
                <w:sz w:val="16"/>
              </w:rPr>
            </w:pPr>
            <w:r>
              <w:rPr>
                <w:b/>
                <w:sz w:val="16"/>
              </w:rPr>
              <w:t>GRI 3- Material Topics 2021</w:t>
            </w:r>
          </w:p>
        </w:tc>
        <w:tc>
          <w:tcPr>
            <w:tcW w:w="1622"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3-1 Process to determine material topics</w:t>
            </w:r>
          </w:p>
        </w:tc>
        <w:tc>
          <w:tcPr>
            <w:tcW w:w="443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REPORT- 1.6. PRIORITIZED MATERIAL AND SDG TOPICS</w:t>
            </w:r>
          </w:p>
        </w:tc>
        <w:tc>
          <w:tcPr>
            <w:tcW w:w="60" w:type="dxa"/>
            <w:tcBorders>
              <w:bottom w:val="single" w:sz="8" w:space="0" w:color="000000"/>
              <w:right w:val="single" w:sz="8" w:space="0" w:color="000000"/>
            </w:tcBorders>
            <w:shd w:fill="F2F2F2" w:val="clear"/>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shd w:fill="F2F2F2" w:val="clear"/>
            <w:tcMar>
              <w:left w:w="0" w:type="dxa"/>
            </w:tcMar>
            <w:vAlign w:val="center"/>
          </w:tcPr>
          <w:p>
            <w:pPr>
              <w:pStyle w:val="TableContents"/>
              <w:bidi w:val="0"/>
              <w:spacing w:before="0" w:after="283"/>
              <w:jc w:val="center"/>
              <w:rPr/>
            </w:pPr>
            <w:r>
              <w:rPr/>
              <w:t> </w:t>
            </w:r>
          </w:p>
        </w:tc>
        <w:tc>
          <w:tcPr>
            <w:tcW w:w="1348" w:type="dxa"/>
            <w:tcBorders>
              <w:bottom w:val="single" w:sz="8" w:space="0" w:color="000000"/>
              <w:right w:val="single" w:sz="8" w:space="0" w:color="000000"/>
            </w:tcBorders>
            <w:shd w:fill="F2F2F2" w:val="clear"/>
            <w:tcMar>
              <w:left w:w="0" w:type="dxa"/>
            </w:tcMar>
            <w:vAlign w:val="center"/>
          </w:tcPr>
          <w:p>
            <w:pPr>
              <w:pStyle w:val="TableContents"/>
              <w:bidi w:val="0"/>
              <w:spacing w:before="0" w:after="283"/>
              <w:jc w:val="center"/>
              <w:rPr/>
            </w:pPr>
            <w:r>
              <w:rPr/>
              <w:t> </w:t>
            </w:r>
          </w:p>
        </w:tc>
        <w:tc>
          <w:tcPr>
            <w:tcW w:w="335"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495"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1, 2, 3, 4, 5, 6, 7, 8, 10</w:t>
            </w:r>
          </w:p>
        </w:tc>
      </w:tr>
      <w:tr>
        <w:trPr/>
        <w:tc>
          <w:tcPr>
            <w:tcW w:w="1855" w:type="dxa"/>
            <w:vMerge w:val="continue"/>
            <w:tcBorders>
              <w:left w:val="single" w:sz="8" w:space="0" w:color="000000"/>
              <w:bottom w:val="single" w:sz="8" w:space="0" w:color="000000"/>
              <w:right w:val="single" w:sz="8" w:space="0" w:color="000000"/>
            </w:tcBorders>
            <w:shd w:fill="D9D9D9" w:val="clear"/>
            <w:vAlign w:val="center"/>
          </w:tcPr>
          <w:p>
            <w:pPr>
              <w:pStyle w:val="Normal"/>
              <w:bidi w:val="0"/>
              <w:jc w:val="left"/>
              <w:rPr/>
            </w:pPr>
            <w:r>
              <w:rPr/>
            </w:r>
          </w:p>
        </w:tc>
        <w:tc>
          <w:tcPr>
            <w:tcW w:w="1622"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3-2 List of material topics</w:t>
            </w:r>
          </w:p>
        </w:tc>
        <w:tc>
          <w:tcPr>
            <w:tcW w:w="443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REPORT- 1.6. MATERIAL ISSUES AND PRIORITIZED SDGS / SUSTAINABILITY REPORT - ANNEX 1.7. PRIORITIZED MATERIAL AND SDG TOPICS</w:t>
            </w:r>
          </w:p>
        </w:tc>
        <w:tc>
          <w:tcPr>
            <w:tcW w:w="60" w:type="dxa"/>
            <w:tcBorders>
              <w:bottom w:val="single" w:sz="8" w:space="0" w:color="000000"/>
              <w:right w:val="single" w:sz="8" w:space="0" w:color="000000"/>
            </w:tcBorders>
            <w:shd w:fill="F2F2F2" w:val="clear"/>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shd w:fill="F2F2F2" w:val="clear"/>
            <w:tcMar>
              <w:left w:w="0" w:type="dxa"/>
            </w:tcMar>
            <w:vAlign w:val="center"/>
          </w:tcPr>
          <w:p>
            <w:pPr>
              <w:pStyle w:val="TableContents"/>
              <w:bidi w:val="0"/>
              <w:spacing w:before="0" w:after="283"/>
              <w:jc w:val="center"/>
              <w:rPr/>
            </w:pPr>
            <w:r>
              <w:rPr/>
              <w:t> </w:t>
            </w:r>
          </w:p>
        </w:tc>
        <w:tc>
          <w:tcPr>
            <w:tcW w:w="1348" w:type="dxa"/>
            <w:tcBorders>
              <w:bottom w:val="single" w:sz="8" w:space="0" w:color="000000"/>
              <w:right w:val="single" w:sz="8" w:space="0" w:color="000000"/>
            </w:tcBorders>
            <w:shd w:fill="F2F2F2" w:val="clear"/>
            <w:tcMar>
              <w:left w:w="0" w:type="dxa"/>
            </w:tcMar>
            <w:vAlign w:val="center"/>
          </w:tcPr>
          <w:p>
            <w:pPr>
              <w:pStyle w:val="TableContents"/>
              <w:bidi w:val="0"/>
              <w:spacing w:before="0" w:after="283"/>
              <w:jc w:val="center"/>
              <w:rPr/>
            </w:pPr>
            <w:r>
              <w:rPr/>
              <w:t> </w:t>
            </w:r>
          </w:p>
        </w:tc>
        <w:tc>
          <w:tcPr>
            <w:tcW w:w="335"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495"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1, 2</w:t>
            </w:r>
          </w:p>
        </w:tc>
      </w:tr>
      <w:tr>
        <w:trPr/>
        <w:tc>
          <w:tcPr>
            <w:tcW w:w="1855" w:type="dxa"/>
            <w:tcBorders>
              <w:left w:val="single" w:sz="8" w:space="0" w:color="000000"/>
              <w:bottom w:val="single" w:sz="8" w:space="0" w:color="000000"/>
              <w:right w:val="single" w:sz="8" w:space="0" w:color="000000"/>
            </w:tcBorders>
            <w:shd w:fill="A6A6A6" w:val="clear"/>
            <w:vAlign w:val="center"/>
          </w:tcPr>
          <w:p>
            <w:pPr>
              <w:pStyle w:val="TableContents"/>
              <w:bidi w:val="0"/>
              <w:spacing w:before="0" w:after="283"/>
              <w:jc w:val="left"/>
              <w:rPr>
                <w:b/>
                <w:sz w:val="16"/>
              </w:rPr>
            </w:pPr>
            <w:r>
              <w:rPr>
                <w:b/>
                <w:sz w:val="16"/>
              </w:rPr>
              <w:t>FINANCIAL AND ECONOMIC PERFORMANCE</w:t>
            </w:r>
          </w:p>
        </w:tc>
        <w:tc>
          <w:tcPr>
            <w:tcW w:w="1622"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left"/>
              <w:rPr/>
            </w:pPr>
            <w:r>
              <w:rPr/>
              <w:t> </w:t>
            </w:r>
          </w:p>
        </w:tc>
        <w:tc>
          <w:tcPr>
            <w:tcW w:w="4430"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1348"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335"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495"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93</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0" w:type="dxa"/>
          <w:left w:w="70" w:type="dxa"/>
          <w:bottom w:w="28" w:type="dxa"/>
          <w:right w:w="70" w:type="dxa"/>
        </w:tblCellMar>
      </w:tblPr>
      <w:tblGrid>
        <w:gridCol w:w="2141"/>
        <w:gridCol w:w="2834"/>
        <w:gridCol w:w="4051"/>
        <w:gridCol w:w="60"/>
        <w:gridCol w:w="60"/>
        <w:gridCol w:w="60"/>
        <w:gridCol w:w="687"/>
        <w:gridCol w:w="312"/>
      </w:tblGrid>
      <w:tr>
        <w:trPr/>
        <w:tc>
          <w:tcPr>
            <w:tcW w:w="2141"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sz w:val="16"/>
              </w:rPr>
            </w:pPr>
            <w:r>
              <w:rPr>
                <w:sz w:val="16"/>
              </w:rPr>
              <w:t>GRI 3- Material Topics 2021</w:t>
            </w:r>
          </w:p>
        </w:tc>
        <w:tc>
          <w:tcPr>
            <w:tcW w:w="2834"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3-3 Management of material topics</w:t>
            </w:r>
          </w:p>
        </w:tc>
        <w:tc>
          <w:tcPr>
            <w:tcW w:w="4051"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ANNUAL REPORT- Chapter 4: Economic and Financial Performance / SUSTAINABILITY REPORT- 3.4. ESG RISK MANAGEMENT</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87"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312"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1, 2, 7, 8, 9, 10</w:t>
            </w:r>
          </w:p>
        </w:tc>
      </w:tr>
      <w:tr>
        <w:trPr/>
        <w:tc>
          <w:tcPr>
            <w:tcW w:w="2141" w:type="dxa"/>
            <w:vMerge w:val="restart"/>
            <w:tcBorders>
              <w:left w:val="single" w:sz="8" w:space="0" w:color="000000"/>
              <w:bottom w:val="single" w:sz="8" w:space="0" w:color="000000"/>
              <w:right w:val="single" w:sz="8" w:space="0" w:color="000000"/>
            </w:tcBorders>
            <w:vAlign w:val="center"/>
          </w:tcPr>
          <w:p>
            <w:pPr>
              <w:pStyle w:val="TableContents"/>
              <w:bidi w:val="0"/>
              <w:spacing w:before="0" w:after="283"/>
              <w:jc w:val="left"/>
              <w:rPr>
                <w:sz w:val="16"/>
              </w:rPr>
            </w:pPr>
            <w:r>
              <w:rPr>
                <w:sz w:val="16"/>
              </w:rPr>
              <w:t>GRI 201- 2016 ECONOMIC PERFORMANCE</w:t>
            </w:r>
          </w:p>
        </w:tc>
        <w:tc>
          <w:tcPr>
            <w:tcW w:w="2834"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201-1 Direct economic value generated and distributed</w:t>
            </w:r>
          </w:p>
        </w:tc>
        <w:tc>
          <w:tcPr>
            <w:tcW w:w="4051"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ANNUAL REPORT- Chapter 4: Financial and Economic Performance</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87"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8.1 - 8.2 - 9.1 - 9.4 - 9.5</w:t>
            </w:r>
          </w:p>
        </w:tc>
        <w:tc>
          <w:tcPr>
            <w:tcW w:w="312"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r>
        <w:trPr/>
        <w:tc>
          <w:tcPr>
            <w:tcW w:w="2141" w:type="dxa"/>
            <w:vMerge w:val="continue"/>
            <w:tcBorders>
              <w:left w:val="single" w:sz="8" w:space="0" w:color="000000"/>
              <w:bottom w:val="single" w:sz="8" w:space="0" w:color="000000"/>
              <w:right w:val="single" w:sz="8" w:space="0" w:color="000000"/>
            </w:tcBorders>
            <w:vAlign w:val="center"/>
          </w:tcPr>
          <w:p>
            <w:pPr>
              <w:pStyle w:val="Normal"/>
              <w:bidi w:val="0"/>
              <w:jc w:val="left"/>
              <w:rPr/>
            </w:pPr>
            <w:r>
              <w:rPr/>
            </w:r>
          </w:p>
        </w:tc>
        <w:tc>
          <w:tcPr>
            <w:tcW w:w="2834"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201-2 Financial implications and other risks and opportunities due to climate change</w:t>
            </w:r>
          </w:p>
        </w:tc>
        <w:tc>
          <w:tcPr>
            <w:tcW w:w="4051"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REPORT- 3.4. ESG RISK MANAGEMENT</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87"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13.1</w:t>
            </w:r>
          </w:p>
        </w:tc>
        <w:tc>
          <w:tcPr>
            <w:tcW w:w="312"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7, 8, 9</w:t>
            </w:r>
          </w:p>
        </w:tc>
      </w:tr>
      <w:tr>
        <w:trPr/>
        <w:tc>
          <w:tcPr>
            <w:tcW w:w="2141" w:type="dxa"/>
            <w:vMerge w:val="continue"/>
            <w:tcBorders>
              <w:left w:val="single" w:sz="8" w:space="0" w:color="000000"/>
              <w:bottom w:val="single" w:sz="8" w:space="0" w:color="000000"/>
              <w:right w:val="single" w:sz="8" w:space="0" w:color="000000"/>
            </w:tcBorders>
            <w:vAlign w:val="center"/>
          </w:tcPr>
          <w:p>
            <w:pPr>
              <w:pStyle w:val="Normal"/>
              <w:bidi w:val="0"/>
              <w:jc w:val="left"/>
              <w:rPr/>
            </w:pPr>
            <w:r>
              <w:rPr/>
            </w:r>
          </w:p>
        </w:tc>
        <w:tc>
          <w:tcPr>
            <w:tcW w:w="2834"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201-3 Defined benefit plan obligations and other retirement plans</w:t>
            </w:r>
          </w:p>
        </w:tc>
        <w:tc>
          <w:tcPr>
            <w:tcW w:w="4051"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Neither Credicorp nor any of its subsidiaries has these plans implemented for its employees</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87"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312"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r>
        <w:trPr/>
        <w:tc>
          <w:tcPr>
            <w:tcW w:w="2141" w:type="dxa"/>
            <w:vMerge w:val="continue"/>
            <w:tcBorders>
              <w:left w:val="single" w:sz="8" w:space="0" w:color="000000"/>
              <w:bottom w:val="single" w:sz="8" w:space="0" w:color="000000"/>
              <w:right w:val="single" w:sz="8" w:space="0" w:color="000000"/>
            </w:tcBorders>
            <w:vAlign w:val="center"/>
          </w:tcPr>
          <w:p>
            <w:pPr>
              <w:pStyle w:val="Normal"/>
              <w:bidi w:val="0"/>
              <w:jc w:val="left"/>
              <w:rPr/>
            </w:pPr>
            <w:r>
              <w:rPr/>
            </w:r>
          </w:p>
        </w:tc>
        <w:tc>
          <w:tcPr>
            <w:tcW w:w="2834"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201-4 Financial assistance received from government</w:t>
            </w:r>
          </w:p>
        </w:tc>
        <w:tc>
          <w:tcPr>
            <w:tcW w:w="4051"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We have received no assistance from any of the governments in the countries in which we operate.</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87"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312"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r>
        <w:trPr/>
        <w:tc>
          <w:tcPr>
            <w:tcW w:w="2141" w:type="dxa"/>
            <w:vMerge w:val="restart"/>
            <w:tcBorders>
              <w:left w:val="single" w:sz="8" w:space="0" w:color="000000"/>
              <w:bottom w:val="single" w:sz="8" w:space="0" w:color="000000"/>
              <w:right w:val="single" w:sz="8" w:space="0" w:color="000000"/>
            </w:tcBorders>
            <w:vAlign w:val="center"/>
          </w:tcPr>
          <w:p>
            <w:pPr>
              <w:pStyle w:val="TableContents"/>
              <w:bidi w:val="0"/>
              <w:spacing w:before="0" w:after="283"/>
              <w:jc w:val="left"/>
              <w:rPr>
                <w:sz w:val="16"/>
              </w:rPr>
            </w:pPr>
            <w:r>
              <w:rPr>
                <w:sz w:val="16"/>
              </w:rPr>
              <w:t>SASB- ACTIVITY METRICS</w:t>
            </w:r>
          </w:p>
        </w:tc>
        <w:tc>
          <w:tcPr>
            <w:tcW w:w="2834" w:type="dxa"/>
            <w:tcBorders>
              <w:bottom w:val="single" w:sz="8" w:space="0" w:color="000000"/>
              <w:right w:val="single" w:sz="8" w:space="0" w:color="000000"/>
            </w:tcBorders>
            <w:tcMar>
              <w:left w:w="0" w:type="dxa"/>
            </w:tcMar>
            <w:vAlign w:val="center"/>
          </w:tcPr>
          <w:p>
            <w:pPr>
              <w:pStyle w:val="TableContents"/>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FN-CB-000.A Number and value of checking and savings accounts </w:t>
            </w:r>
          </w:p>
          <w:p>
            <w:pPr>
              <w:pStyle w:val="TableContents"/>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br/>
              <w:t>by segment: (a) personal and (b) small businesses</w:t>
            </w:r>
          </w:p>
          <w:p>
            <w:pPr>
              <w:pStyle w:val="TableContents"/>
              <w:bidi w:val="0"/>
              <w:spacing w:before="0" w:after="0"/>
              <w:ind w:left="0" w:right="0" w:hanging="0"/>
              <w:jc w:val="left"/>
              <w:rPr>
                <w:caps w:val="false"/>
                <w:smallCaps w:val="false"/>
              </w:rPr>
            </w:pPr>
            <w:r>
              <w:rPr>
                <w:caps w:val="false"/>
                <w:smallCaps w:val="false"/>
              </w:rPr>
              <w:t> </w:t>
            </w:r>
          </w:p>
        </w:tc>
        <w:tc>
          <w:tcPr>
            <w:tcW w:w="4051"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ANNEX 4.4. ETHICS, COMPLIANCE, AND HUMAN RIGHTS</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87"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312"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r>
        <w:trPr/>
        <w:tc>
          <w:tcPr>
            <w:tcW w:w="2141" w:type="dxa"/>
            <w:vMerge w:val="continue"/>
            <w:tcBorders>
              <w:left w:val="single" w:sz="8" w:space="0" w:color="000000"/>
              <w:bottom w:val="single" w:sz="8" w:space="0" w:color="000000"/>
              <w:right w:val="single" w:sz="8" w:space="0" w:color="000000"/>
            </w:tcBorders>
            <w:vAlign w:val="center"/>
          </w:tcPr>
          <w:p>
            <w:pPr>
              <w:pStyle w:val="Normal"/>
              <w:bidi w:val="0"/>
              <w:jc w:val="left"/>
              <w:rPr/>
            </w:pPr>
            <w:r>
              <w:rPr/>
            </w:r>
          </w:p>
        </w:tc>
        <w:tc>
          <w:tcPr>
            <w:tcW w:w="2834"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FN-CB-000.B (1) Number and (2) value of loans by segment: (a) personal, (b) small businesses, and (c) corporate</w:t>
            </w:r>
          </w:p>
        </w:tc>
        <w:tc>
          <w:tcPr>
            <w:tcW w:w="4051"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ANNEX 4.4. ETHICS, COMPLIANCE, AND HUMAN RIGHTS</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87"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312"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r>
        <w:trPr/>
        <w:tc>
          <w:tcPr>
            <w:tcW w:w="2141" w:type="dxa"/>
            <w:tcBorders>
              <w:left w:val="single" w:sz="8" w:space="0" w:color="000000"/>
              <w:bottom w:val="single" w:sz="8" w:space="0" w:color="000000"/>
              <w:right w:val="single" w:sz="8" w:space="0" w:color="000000"/>
            </w:tcBorders>
            <w:shd w:fill="A6A6A6" w:val="clear"/>
            <w:vAlign w:val="center"/>
          </w:tcPr>
          <w:p>
            <w:pPr>
              <w:pStyle w:val="TableContents"/>
              <w:bidi w:val="0"/>
              <w:spacing w:before="0" w:after="283"/>
              <w:jc w:val="left"/>
              <w:rPr>
                <w:b/>
                <w:sz w:val="16"/>
              </w:rPr>
            </w:pPr>
            <w:r>
              <w:rPr>
                <w:b/>
                <w:sz w:val="16"/>
              </w:rPr>
              <w:t>FINANCIAL INCLUSION AND EDUCATION</w:t>
            </w:r>
          </w:p>
        </w:tc>
        <w:tc>
          <w:tcPr>
            <w:tcW w:w="2834"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left"/>
              <w:rPr/>
            </w:pPr>
            <w:r>
              <w:rPr/>
              <w:t> </w:t>
            </w:r>
          </w:p>
        </w:tc>
        <w:tc>
          <w:tcPr>
            <w:tcW w:w="4051"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687"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312"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r>
      <w:tr>
        <w:trPr/>
        <w:tc>
          <w:tcPr>
            <w:tcW w:w="2141"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sz w:val="16"/>
              </w:rPr>
            </w:pPr>
            <w:r>
              <w:rPr>
                <w:sz w:val="16"/>
              </w:rPr>
              <w:t>GRI 3- Material Topics 2021</w:t>
            </w:r>
          </w:p>
        </w:tc>
        <w:tc>
          <w:tcPr>
            <w:tcW w:w="2834"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3-3 Management of material topics</w:t>
            </w:r>
          </w:p>
        </w:tc>
        <w:tc>
          <w:tcPr>
            <w:tcW w:w="4051"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87"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312"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1, 2, 7, 8, 9, 10</w:t>
            </w:r>
          </w:p>
        </w:tc>
      </w:tr>
      <w:tr>
        <w:trPr/>
        <w:tc>
          <w:tcPr>
            <w:tcW w:w="2141" w:type="dxa"/>
            <w:vMerge w:val="restart"/>
            <w:tcBorders>
              <w:left w:val="single" w:sz="8" w:space="0" w:color="000000"/>
              <w:bottom w:val="single" w:sz="8" w:space="0" w:color="000000"/>
              <w:right w:val="single" w:sz="8" w:space="0" w:color="000000"/>
            </w:tcBorders>
            <w:vAlign w:val="center"/>
          </w:tcPr>
          <w:p>
            <w:pPr>
              <w:pStyle w:val="TableContents"/>
              <w:bidi w:val="0"/>
              <w:spacing w:before="0" w:after="283"/>
              <w:jc w:val="left"/>
              <w:rPr>
                <w:sz w:val="16"/>
              </w:rPr>
            </w:pPr>
            <w:r>
              <w:rPr>
                <w:sz w:val="16"/>
              </w:rPr>
              <w:t>GRI 203- INDIRECT ECONOMIC IMPACTS 2016</w:t>
            </w:r>
          </w:p>
        </w:tc>
        <w:tc>
          <w:tcPr>
            <w:tcW w:w="2834"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203-1 Infrastructure investments and services supported</w:t>
            </w:r>
          </w:p>
        </w:tc>
        <w:tc>
          <w:tcPr>
            <w:tcW w:w="4051"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REPORT- 2.1. THE SOCIAL IMPACT OF OUR BUSINESS</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87"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5.4 - 9.1 - 9.4 - 11.2</w:t>
            </w:r>
          </w:p>
        </w:tc>
        <w:tc>
          <w:tcPr>
            <w:tcW w:w="312"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r>
        <w:trPr/>
        <w:tc>
          <w:tcPr>
            <w:tcW w:w="2141" w:type="dxa"/>
            <w:vMerge w:val="continue"/>
            <w:tcBorders>
              <w:left w:val="single" w:sz="8" w:space="0" w:color="000000"/>
              <w:bottom w:val="single" w:sz="8" w:space="0" w:color="000000"/>
              <w:right w:val="single" w:sz="8" w:space="0" w:color="000000"/>
            </w:tcBorders>
            <w:vAlign w:val="center"/>
          </w:tcPr>
          <w:p>
            <w:pPr>
              <w:pStyle w:val="Normal"/>
              <w:bidi w:val="0"/>
              <w:jc w:val="left"/>
              <w:rPr/>
            </w:pPr>
            <w:r>
              <w:rPr/>
            </w:r>
          </w:p>
        </w:tc>
        <w:tc>
          <w:tcPr>
            <w:tcW w:w="2834"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203-2 Significant indirect economic impacts</w:t>
            </w:r>
          </w:p>
        </w:tc>
        <w:tc>
          <w:tcPr>
            <w:tcW w:w="4051"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REPORT- 2.1. THE SOCIAL IMPACT OF OUR BUSINESS</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87"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1.2 - 1.4 - 3.8 - 8.2 - 8.3 - 8.5</w:t>
            </w:r>
          </w:p>
        </w:tc>
        <w:tc>
          <w:tcPr>
            <w:tcW w:w="312"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r>
        <w:trPr/>
        <w:tc>
          <w:tcPr>
            <w:tcW w:w="2141" w:type="dxa"/>
            <w:vMerge w:val="restart"/>
            <w:tcBorders>
              <w:left w:val="single" w:sz="8" w:space="0" w:color="000000"/>
              <w:bottom w:val="single" w:sz="8" w:space="0" w:color="000000"/>
              <w:right w:val="single" w:sz="8" w:space="0" w:color="000000"/>
            </w:tcBorders>
            <w:vAlign w:val="center"/>
          </w:tcPr>
          <w:p>
            <w:pPr>
              <w:pStyle w:val="TableContents"/>
              <w:bidi w:val="0"/>
              <w:spacing w:before="0" w:after="283"/>
              <w:jc w:val="left"/>
              <w:rPr>
                <w:sz w:val="16"/>
              </w:rPr>
            </w:pPr>
            <w:r>
              <w:rPr>
                <w:sz w:val="16"/>
              </w:rPr>
              <w:t>SASB- GENERATION OF INCLUSION AND FINANCIAL CAPACITY</w:t>
            </w:r>
          </w:p>
        </w:tc>
        <w:tc>
          <w:tcPr>
            <w:tcW w:w="2834"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FN-CB-240a.1 Number and (2) amount of loans outstanding that qualify for programs designed to promote small business and community development</w:t>
            </w:r>
          </w:p>
        </w:tc>
        <w:tc>
          <w:tcPr>
            <w:tcW w:w="4051"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ANNEX 2.1. THE SOCIAL IMPACT OF OUR BUSINESS</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87"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312"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r>
        <w:trPr/>
        <w:tc>
          <w:tcPr>
            <w:tcW w:w="2141" w:type="dxa"/>
            <w:vMerge w:val="continue"/>
            <w:tcBorders>
              <w:left w:val="single" w:sz="8" w:space="0" w:color="000000"/>
              <w:bottom w:val="single" w:sz="8" w:space="0" w:color="000000"/>
              <w:right w:val="single" w:sz="8" w:space="0" w:color="000000"/>
            </w:tcBorders>
            <w:vAlign w:val="center"/>
          </w:tcPr>
          <w:p>
            <w:pPr>
              <w:pStyle w:val="Normal"/>
              <w:bidi w:val="0"/>
              <w:jc w:val="left"/>
              <w:rPr/>
            </w:pPr>
            <w:r>
              <w:rPr/>
            </w:r>
          </w:p>
        </w:tc>
        <w:tc>
          <w:tcPr>
            <w:tcW w:w="2834"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FN-CB-240a.2 Number and (2) amount of past due and nonaccrual loans or loans subject to forbearance that qualify for programs designed to promote small business and community development</w:t>
            </w:r>
          </w:p>
        </w:tc>
        <w:tc>
          <w:tcPr>
            <w:tcW w:w="4051"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ANNEX 2.1. THE SOCIAL IMPACT OF OUR BUSINESS</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87"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312"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r>
        <w:trPr/>
        <w:tc>
          <w:tcPr>
            <w:tcW w:w="2141" w:type="dxa"/>
            <w:vMerge w:val="continue"/>
            <w:tcBorders>
              <w:left w:val="single" w:sz="8" w:space="0" w:color="000000"/>
              <w:bottom w:val="single" w:sz="8" w:space="0" w:color="000000"/>
              <w:right w:val="single" w:sz="8" w:space="0" w:color="000000"/>
            </w:tcBorders>
            <w:vAlign w:val="center"/>
          </w:tcPr>
          <w:p>
            <w:pPr>
              <w:pStyle w:val="Normal"/>
              <w:bidi w:val="0"/>
              <w:jc w:val="left"/>
              <w:rPr/>
            </w:pPr>
            <w:r>
              <w:rPr/>
            </w:r>
          </w:p>
        </w:tc>
        <w:tc>
          <w:tcPr>
            <w:tcW w:w="2834"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SASB FN-CB-240a.3 Number of no-cost retail checking accounts provided to previously unbanked or underbanked customers</w:t>
            </w:r>
          </w:p>
        </w:tc>
        <w:tc>
          <w:tcPr>
            <w:tcW w:w="4051"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ANNEX 2.1. THE SOCIAL IMPACT OF OUR BUSINESS</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87"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312"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r>
        <w:trPr/>
        <w:tc>
          <w:tcPr>
            <w:tcW w:w="2141" w:type="dxa"/>
            <w:vMerge w:val="continue"/>
            <w:tcBorders>
              <w:left w:val="single" w:sz="8" w:space="0" w:color="000000"/>
              <w:bottom w:val="single" w:sz="8" w:space="0" w:color="000000"/>
              <w:right w:val="single" w:sz="8" w:space="0" w:color="000000"/>
            </w:tcBorders>
            <w:vAlign w:val="center"/>
          </w:tcPr>
          <w:p>
            <w:pPr>
              <w:pStyle w:val="Normal"/>
              <w:bidi w:val="0"/>
              <w:jc w:val="left"/>
              <w:rPr/>
            </w:pPr>
            <w:r>
              <w:rPr/>
            </w:r>
          </w:p>
        </w:tc>
        <w:tc>
          <w:tcPr>
            <w:tcW w:w="2834"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FN-CB-240a.4 Number of participants in financial literacy initiatives for unbanked, underbanked, or underserved customers</w:t>
            </w:r>
          </w:p>
        </w:tc>
        <w:tc>
          <w:tcPr>
            <w:tcW w:w="4051" w:type="dxa"/>
            <w:tcBorders>
              <w:bottom w:val="single" w:sz="8" w:space="0" w:color="000000"/>
              <w:right w:val="single" w:sz="8" w:space="0" w:color="000000"/>
            </w:tcBorders>
            <w:tcMar>
              <w:left w:w="0" w:type="dxa"/>
              <w:bottom w:w="160" w:type="dxa"/>
            </w:tcMar>
            <w:vAlign w:val="center"/>
          </w:tcPr>
          <w:p>
            <w:pPr>
              <w:pStyle w:val="TableContents"/>
              <w:bidi w:val="0"/>
              <w:spacing w:before="0" w:after="283"/>
              <w:jc w:val="left"/>
              <w:rPr>
                <w:sz w:val="16"/>
              </w:rPr>
            </w:pPr>
            <w:r>
              <w:rPr>
                <w:sz w:val="16"/>
              </w:rPr>
              <w:t>SUSTAINABILITY REPORT - 2.1. THE SOCIAL IMPACT OF OUR BUSINESS The Integrated Sustainability Strategy</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87"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312"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r>
        <w:trPr/>
        <w:tc>
          <w:tcPr>
            <w:tcW w:w="2141" w:type="dxa"/>
            <w:tcBorders>
              <w:left w:val="single" w:sz="8" w:space="0" w:color="000000"/>
              <w:bottom w:val="single" w:sz="8" w:space="0" w:color="000000"/>
              <w:right w:val="single" w:sz="8" w:space="0" w:color="000000"/>
            </w:tcBorders>
            <w:shd w:fill="A6A6A6" w:val="clear"/>
            <w:vAlign w:val="center"/>
          </w:tcPr>
          <w:p>
            <w:pPr>
              <w:pStyle w:val="TableContents"/>
              <w:bidi w:val="0"/>
              <w:spacing w:before="0" w:after="283"/>
              <w:jc w:val="left"/>
              <w:rPr>
                <w:b/>
                <w:sz w:val="16"/>
              </w:rPr>
            </w:pPr>
            <w:r>
              <w:rPr>
                <w:b/>
                <w:sz w:val="16"/>
              </w:rPr>
              <w:t>GOVERNANCE, ETHICS, AND ANTI-CORRUPTION</w:t>
            </w:r>
          </w:p>
        </w:tc>
        <w:tc>
          <w:tcPr>
            <w:tcW w:w="2834"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left"/>
              <w:rPr/>
            </w:pPr>
            <w:r>
              <w:rPr/>
              <w:t> </w:t>
            </w:r>
          </w:p>
        </w:tc>
        <w:tc>
          <w:tcPr>
            <w:tcW w:w="4051"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687"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312"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r>
      <w:tr>
        <w:trPr/>
        <w:tc>
          <w:tcPr>
            <w:tcW w:w="2141"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sz w:val="16"/>
              </w:rPr>
            </w:pPr>
            <w:r>
              <w:rPr>
                <w:sz w:val="16"/>
              </w:rPr>
              <w:t>GRI 3- Material Topics 2021</w:t>
            </w:r>
          </w:p>
        </w:tc>
        <w:tc>
          <w:tcPr>
            <w:tcW w:w="2834"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3-3 Management of material topics</w:t>
            </w:r>
          </w:p>
        </w:tc>
        <w:tc>
          <w:tcPr>
            <w:tcW w:w="4051"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 xml:space="preserve">ANNUAL REPORT- ANNEX B. Penalties imposed by regulators / ANNUAL REPORT- 4.1. OUR CORPORATE GOVERNANCE / SUSTAINABILITY REPORT- 4.2. THE REMUERATION MODEL FOR THE BOARD AND EXECUTIVE STREAM / SUSTAINABILITY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87"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312"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1, 2, 7, 8, 9, 10</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94</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0" w:type="dxa"/>
          <w:left w:w="70" w:type="dxa"/>
          <w:bottom w:w="28" w:type="dxa"/>
          <w:right w:w="70" w:type="dxa"/>
        </w:tblCellMar>
      </w:tblPr>
      <w:tblGrid>
        <w:gridCol w:w="1558"/>
        <w:gridCol w:w="3095"/>
        <w:gridCol w:w="4337"/>
        <w:gridCol w:w="60"/>
        <w:gridCol w:w="60"/>
        <w:gridCol w:w="60"/>
        <w:gridCol w:w="706"/>
        <w:gridCol w:w="329"/>
      </w:tblGrid>
      <w:tr>
        <w:trPr/>
        <w:tc>
          <w:tcPr>
            <w:tcW w:w="1558"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3095"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4337"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REPORT- 4.4. ETHICS, COMPLIANCE, AND HUMAN RIGHTS / SUSTAINABILITY REPORT - ANNEX 4.4. ETHICS, COMPLIANCE, AND HUMAN RIGHTS</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706"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329"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r>
        <w:trPr/>
        <w:tc>
          <w:tcPr>
            <w:tcW w:w="1558" w:type="dxa"/>
            <w:vMerge w:val="restart"/>
            <w:tcBorders>
              <w:left w:val="single" w:sz="8" w:space="0" w:color="000000"/>
              <w:bottom w:val="single" w:sz="8" w:space="0" w:color="000000"/>
              <w:right w:val="single" w:sz="8" w:space="0" w:color="000000"/>
            </w:tcBorders>
            <w:vAlign w:val="center"/>
          </w:tcPr>
          <w:p>
            <w:pPr>
              <w:pStyle w:val="TableContents"/>
              <w:bidi w:val="0"/>
              <w:spacing w:before="0" w:after="283"/>
              <w:jc w:val="left"/>
              <w:rPr>
                <w:sz w:val="16"/>
              </w:rPr>
            </w:pPr>
            <w:r>
              <w:rPr>
                <w:sz w:val="16"/>
              </w:rPr>
              <w:t>GRI 205- ANTI-CORRUPTION 2016</w:t>
            </w:r>
          </w:p>
        </w:tc>
        <w:tc>
          <w:tcPr>
            <w:tcW w:w="3095"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205-1 Operations assessed for risks related to corruption</w:t>
            </w:r>
          </w:p>
        </w:tc>
        <w:tc>
          <w:tcPr>
            <w:tcW w:w="4337"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ANNEX 4.4. ETHICS, COMPLIANCE, AND HUMAN RIGHTS</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706"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16.5</w:t>
            </w:r>
          </w:p>
        </w:tc>
        <w:tc>
          <w:tcPr>
            <w:tcW w:w="329"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1, 7, 10</w:t>
            </w:r>
          </w:p>
        </w:tc>
      </w:tr>
      <w:tr>
        <w:trPr/>
        <w:tc>
          <w:tcPr>
            <w:tcW w:w="1558" w:type="dxa"/>
            <w:vMerge w:val="continue"/>
            <w:tcBorders>
              <w:left w:val="single" w:sz="8" w:space="0" w:color="000000"/>
              <w:bottom w:val="single" w:sz="8" w:space="0" w:color="000000"/>
              <w:right w:val="single" w:sz="8" w:space="0" w:color="000000"/>
            </w:tcBorders>
            <w:vAlign w:val="center"/>
          </w:tcPr>
          <w:p>
            <w:pPr>
              <w:pStyle w:val="Normal"/>
              <w:bidi w:val="0"/>
              <w:jc w:val="left"/>
              <w:rPr/>
            </w:pPr>
            <w:r>
              <w:rPr/>
            </w:r>
          </w:p>
        </w:tc>
        <w:tc>
          <w:tcPr>
            <w:tcW w:w="3095"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205-2 Communication and training about anti-corruption policies and procedures</w:t>
            </w:r>
          </w:p>
        </w:tc>
        <w:tc>
          <w:tcPr>
            <w:tcW w:w="4337"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ANNEX 4.4. ETHICS, COMPLIANCE, AND HUMAN RIGHTS</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706"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16.5</w:t>
            </w:r>
          </w:p>
        </w:tc>
        <w:tc>
          <w:tcPr>
            <w:tcW w:w="329"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10</w:t>
            </w:r>
          </w:p>
        </w:tc>
      </w:tr>
      <w:tr>
        <w:trPr/>
        <w:tc>
          <w:tcPr>
            <w:tcW w:w="1558" w:type="dxa"/>
            <w:vMerge w:val="continue"/>
            <w:tcBorders>
              <w:left w:val="single" w:sz="8" w:space="0" w:color="000000"/>
              <w:bottom w:val="single" w:sz="8" w:space="0" w:color="000000"/>
              <w:right w:val="single" w:sz="8" w:space="0" w:color="000000"/>
            </w:tcBorders>
            <w:vAlign w:val="center"/>
          </w:tcPr>
          <w:p>
            <w:pPr>
              <w:pStyle w:val="Normal"/>
              <w:bidi w:val="0"/>
              <w:jc w:val="left"/>
              <w:rPr/>
            </w:pPr>
            <w:r>
              <w:rPr/>
            </w:r>
          </w:p>
        </w:tc>
        <w:tc>
          <w:tcPr>
            <w:tcW w:w="3095"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205-3 Confirmed incidents of corruption and actions taken</w:t>
            </w:r>
          </w:p>
        </w:tc>
        <w:tc>
          <w:tcPr>
            <w:tcW w:w="4337"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ANNEX 4.4. ETHICS, COMPLIANCE, AND HUMAN RIGHTS</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706"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16.5</w:t>
            </w:r>
          </w:p>
        </w:tc>
        <w:tc>
          <w:tcPr>
            <w:tcW w:w="329"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10</w:t>
            </w:r>
          </w:p>
        </w:tc>
      </w:tr>
      <w:tr>
        <w:trPr/>
        <w:tc>
          <w:tcPr>
            <w:tcW w:w="1558"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sz w:val="16"/>
              </w:rPr>
            </w:pPr>
            <w:r>
              <w:rPr>
                <w:sz w:val="16"/>
              </w:rPr>
              <w:t>GRI 206: ANTI-COMPETITIVE BEHAVIOR 2016</w:t>
            </w:r>
          </w:p>
        </w:tc>
        <w:tc>
          <w:tcPr>
            <w:tcW w:w="3095"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206-1 Legal actions for anti-competitive behavior, anti-trust, and monopoly practices</w:t>
            </w:r>
          </w:p>
        </w:tc>
        <w:tc>
          <w:tcPr>
            <w:tcW w:w="4337"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ANNEX 4.4. ETHICS, COMPLIANCE, AND HUMAN RIGHTS</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706"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16.3</w:t>
            </w:r>
          </w:p>
        </w:tc>
        <w:tc>
          <w:tcPr>
            <w:tcW w:w="329"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r>
        <w:trPr/>
        <w:tc>
          <w:tcPr>
            <w:tcW w:w="1558" w:type="dxa"/>
            <w:vMerge w:val="restart"/>
            <w:tcBorders>
              <w:left w:val="single" w:sz="8" w:space="0" w:color="000000"/>
              <w:bottom w:val="single" w:sz="8" w:space="0" w:color="000000"/>
              <w:right w:val="single" w:sz="8" w:space="0" w:color="000000"/>
            </w:tcBorders>
            <w:vAlign w:val="center"/>
          </w:tcPr>
          <w:p>
            <w:pPr>
              <w:pStyle w:val="TableContents"/>
              <w:bidi w:val="0"/>
              <w:spacing w:before="0" w:after="283"/>
              <w:jc w:val="left"/>
              <w:rPr>
                <w:sz w:val="16"/>
              </w:rPr>
            </w:pPr>
            <w:r>
              <w:rPr>
                <w:sz w:val="16"/>
              </w:rPr>
              <w:t>SASB- BUSINESS ETHICS</w:t>
            </w:r>
          </w:p>
        </w:tc>
        <w:tc>
          <w:tcPr>
            <w:tcW w:w="3095"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FN-CB-510a.1 Total amount of monetary losses as a result of legal proceedings associated with fraud, insider trading, antitrust, anti-competitive behavior, market manipulation, malpractice, or other related financial industry laws or regulations</w:t>
            </w:r>
          </w:p>
        </w:tc>
        <w:tc>
          <w:tcPr>
            <w:tcW w:w="4337"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ANNUAL REPORT- ANNEX B. Penalties imposed by regulators / ANNUAL REPORT- ANNEX C. Legal proceedings</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706"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329"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r>
        <w:trPr/>
        <w:tc>
          <w:tcPr>
            <w:tcW w:w="1558" w:type="dxa"/>
            <w:vMerge w:val="continue"/>
            <w:tcBorders>
              <w:left w:val="single" w:sz="8" w:space="0" w:color="000000"/>
              <w:bottom w:val="single" w:sz="8" w:space="0" w:color="000000"/>
              <w:right w:val="single" w:sz="8" w:space="0" w:color="000000"/>
            </w:tcBorders>
            <w:vAlign w:val="center"/>
          </w:tcPr>
          <w:p>
            <w:pPr>
              <w:pStyle w:val="Normal"/>
              <w:bidi w:val="0"/>
              <w:jc w:val="left"/>
              <w:rPr/>
            </w:pPr>
            <w:r>
              <w:rPr/>
            </w:r>
          </w:p>
        </w:tc>
        <w:tc>
          <w:tcPr>
            <w:tcW w:w="3095"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FN-CB-510a.2 Description of whistleblower policies and procedures</w:t>
            </w:r>
          </w:p>
        </w:tc>
        <w:tc>
          <w:tcPr>
            <w:tcW w:w="4337"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REPORT- 4.4. ETHICS, COMPLIANCE, AND HUMAN RIGHTS</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706"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329"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r>
        <w:trPr/>
        <w:tc>
          <w:tcPr>
            <w:tcW w:w="1558" w:type="dxa"/>
            <w:tcBorders>
              <w:left w:val="single" w:sz="8" w:space="0" w:color="000000"/>
              <w:bottom w:val="single" w:sz="8" w:space="0" w:color="000000"/>
              <w:right w:val="single" w:sz="8" w:space="0" w:color="000000"/>
            </w:tcBorders>
            <w:shd w:fill="A6A6A6" w:val="clear"/>
            <w:vAlign w:val="center"/>
          </w:tcPr>
          <w:p>
            <w:pPr>
              <w:pStyle w:val="TableContents"/>
              <w:bidi w:val="0"/>
              <w:spacing w:before="0" w:after="283"/>
              <w:jc w:val="left"/>
              <w:rPr>
                <w:b/>
                <w:sz w:val="16"/>
              </w:rPr>
            </w:pPr>
            <w:r>
              <w:rPr>
                <w:b/>
                <w:sz w:val="16"/>
              </w:rPr>
              <w:t>EMPLOYMENT AND TALENT MANAGEMENT</w:t>
            </w:r>
          </w:p>
        </w:tc>
        <w:tc>
          <w:tcPr>
            <w:tcW w:w="3095"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left"/>
              <w:rPr/>
            </w:pPr>
            <w:r>
              <w:rPr/>
              <w:t> </w:t>
            </w:r>
          </w:p>
        </w:tc>
        <w:tc>
          <w:tcPr>
            <w:tcW w:w="4337"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706"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329"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r>
      <w:tr>
        <w:trPr/>
        <w:tc>
          <w:tcPr>
            <w:tcW w:w="1558"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sz w:val="16"/>
              </w:rPr>
            </w:pPr>
            <w:r>
              <w:rPr>
                <w:sz w:val="16"/>
              </w:rPr>
              <w:t>GRI 3- Material Topics 2021</w:t>
            </w:r>
          </w:p>
        </w:tc>
        <w:tc>
          <w:tcPr>
            <w:tcW w:w="3095"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3-3 Management of material topics</w:t>
            </w:r>
          </w:p>
        </w:tc>
        <w:tc>
          <w:tcPr>
            <w:tcW w:w="4337"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REPORT- 2.2. THE SOCIAL IMPACT OF OUR OPERATIONS: EMPLOYEE MANAGEMENT</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706"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329"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1, 2, 7, 8, 9, 10</w:t>
            </w:r>
          </w:p>
        </w:tc>
      </w:tr>
      <w:tr>
        <w:trPr/>
        <w:tc>
          <w:tcPr>
            <w:tcW w:w="1558" w:type="dxa"/>
            <w:vMerge w:val="restart"/>
            <w:tcBorders>
              <w:left w:val="single" w:sz="8" w:space="0" w:color="000000"/>
              <w:bottom w:val="single" w:sz="8" w:space="0" w:color="000000"/>
              <w:right w:val="single" w:sz="8" w:space="0" w:color="000000"/>
            </w:tcBorders>
            <w:vAlign w:val="center"/>
          </w:tcPr>
          <w:p>
            <w:pPr>
              <w:pStyle w:val="TableContents"/>
              <w:bidi w:val="0"/>
              <w:spacing w:before="0" w:after="283"/>
              <w:jc w:val="left"/>
              <w:rPr>
                <w:sz w:val="16"/>
              </w:rPr>
            </w:pPr>
            <w:r>
              <w:rPr>
                <w:sz w:val="16"/>
              </w:rPr>
              <w:t>GRI 401: EMPLOYMENT 2016</w:t>
            </w:r>
          </w:p>
        </w:tc>
        <w:tc>
          <w:tcPr>
            <w:tcW w:w="3095"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401-1 New employee hires and employee turnover</w:t>
            </w:r>
          </w:p>
        </w:tc>
        <w:tc>
          <w:tcPr>
            <w:tcW w:w="4337"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ANNEX 2.2. THE SOCIAL IMPACT OF OUR OPERATIONS: EMPLOYEE MANAGEMENT</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706"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5.1 - 8.5 - 8.6 - 10.3</w:t>
            </w:r>
          </w:p>
        </w:tc>
        <w:tc>
          <w:tcPr>
            <w:tcW w:w="329"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r>
        <w:trPr/>
        <w:tc>
          <w:tcPr>
            <w:tcW w:w="1558" w:type="dxa"/>
            <w:vMerge w:val="continue"/>
            <w:tcBorders>
              <w:left w:val="single" w:sz="8" w:space="0" w:color="000000"/>
              <w:bottom w:val="single" w:sz="8" w:space="0" w:color="000000"/>
              <w:right w:val="single" w:sz="8" w:space="0" w:color="000000"/>
            </w:tcBorders>
            <w:vAlign w:val="center"/>
          </w:tcPr>
          <w:p>
            <w:pPr>
              <w:pStyle w:val="Normal"/>
              <w:bidi w:val="0"/>
              <w:jc w:val="left"/>
              <w:rPr/>
            </w:pPr>
            <w:r>
              <w:rPr/>
            </w:r>
          </w:p>
        </w:tc>
        <w:tc>
          <w:tcPr>
            <w:tcW w:w="3095"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401-2 Benefits provided to full-time employees that are not provided to temporary or part-time employees</w:t>
            </w:r>
          </w:p>
        </w:tc>
        <w:tc>
          <w:tcPr>
            <w:tcW w:w="4337"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ANNEX 2.2. THE SOCIAL IMPACT OF OUR OPERATIONS: EMPLOYEE MANAGEMENT</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706"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3.2 - 5.4 - 8.5</w:t>
            </w:r>
          </w:p>
        </w:tc>
        <w:tc>
          <w:tcPr>
            <w:tcW w:w="329"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r>
        <w:trPr/>
        <w:tc>
          <w:tcPr>
            <w:tcW w:w="1558" w:type="dxa"/>
            <w:vMerge w:val="continue"/>
            <w:tcBorders>
              <w:left w:val="single" w:sz="8" w:space="0" w:color="000000"/>
              <w:bottom w:val="single" w:sz="8" w:space="0" w:color="000000"/>
              <w:right w:val="single" w:sz="8" w:space="0" w:color="000000"/>
            </w:tcBorders>
            <w:vAlign w:val="center"/>
          </w:tcPr>
          <w:p>
            <w:pPr>
              <w:pStyle w:val="Normal"/>
              <w:bidi w:val="0"/>
              <w:jc w:val="left"/>
              <w:rPr/>
            </w:pPr>
            <w:r>
              <w:rPr/>
            </w:r>
          </w:p>
        </w:tc>
        <w:tc>
          <w:tcPr>
            <w:tcW w:w="3095"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401-3 Parental Leave</w:t>
            </w:r>
          </w:p>
        </w:tc>
        <w:tc>
          <w:tcPr>
            <w:tcW w:w="4337"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ANNEX 2.2. THE SOCIAL IMPACT OF OUR OPERATIONS: EMPLOYEE MANAGEMENT</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706"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5.1 - 5.4 - 8.5</w:t>
            </w:r>
          </w:p>
        </w:tc>
        <w:tc>
          <w:tcPr>
            <w:tcW w:w="329"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r>
        <w:trPr/>
        <w:tc>
          <w:tcPr>
            <w:tcW w:w="1558" w:type="dxa"/>
            <w:vMerge w:val="restart"/>
            <w:tcBorders>
              <w:left w:val="single" w:sz="8" w:space="0" w:color="000000"/>
              <w:bottom w:val="single" w:sz="8" w:space="0" w:color="000000"/>
              <w:right w:val="single" w:sz="8" w:space="0" w:color="000000"/>
            </w:tcBorders>
            <w:vAlign w:val="center"/>
          </w:tcPr>
          <w:p>
            <w:pPr>
              <w:pStyle w:val="TableContents"/>
              <w:bidi w:val="0"/>
              <w:spacing w:before="0" w:after="283"/>
              <w:jc w:val="left"/>
              <w:rPr>
                <w:sz w:val="16"/>
              </w:rPr>
            </w:pPr>
            <w:r>
              <w:rPr>
                <w:sz w:val="16"/>
              </w:rPr>
              <w:t>GRI 404: TRAINING AND EDUCATION 2016</w:t>
            </w:r>
          </w:p>
        </w:tc>
        <w:tc>
          <w:tcPr>
            <w:tcW w:w="3095"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404-1 Average hours of training per year per employee</w:t>
            </w:r>
          </w:p>
        </w:tc>
        <w:tc>
          <w:tcPr>
            <w:tcW w:w="4337"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ANNEX 2.2. THE SOCIAL IMPACT OF OUR OPERATIONS: EMPLOYEE MANAGEMENT</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706"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4.3 - 4.4 - 4.5 - 5.1 - 8.2 - 8.5 - 10.3</w:t>
            </w:r>
          </w:p>
        </w:tc>
        <w:tc>
          <w:tcPr>
            <w:tcW w:w="329"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r>
        <w:trPr/>
        <w:tc>
          <w:tcPr>
            <w:tcW w:w="1558" w:type="dxa"/>
            <w:vMerge w:val="continue"/>
            <w:tcBorders>
              <w:left w:val="single" w:sz="8" w:space="0" w:color="000000"/>
              <w:bottom w:val="single" w:sz="8" w:space="0" w:color="000000"/>
              <w:right w:val="single" w:sz="8" w:space="0" w:color="000000"/>
            </w:tcBorders>
            <w:vAlign w:val="center"/>
          </w:tcPr>
          <w:p>
            <w:pPr>
              <w:pStyle w:val="Normal"/>
              <w:bidi w:val="0"/>
              <w:jc w:val="left"/>
              <w:rPr/>
            </w:pPr>
            <w:r>
              <w:rPr/>
            </w:r>
          </w:p>
        </w:tc>
        <w:tc>
          <w:tcPr>
            <w:tcW w:w="3095"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GRI 404-2 Programs for upgrading employee skills and transition assistance</w:t>
            </w:r>
          </w:p>
        </w:tc>
        <w:tc>
          <w:tcPr>
            <w:tcW w:w="4337" w:type="dxa"/>
            <w:tcBorders>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Arial" w:hAnsi="Arial"/>
                <w:b w:val="false"/>
                <w:i w:val="false"/>
                <w:caps w:val="false"/>
                <w:smallCaps w:val="false"/>
                <w:sz w:val="16"/>
              </w:rPr>
            </w:pPr>
            <w:r>
              <w:rPr>
                <w:rFonts w:ascii="Arial" w:hAnsi="Arial"/>
                <w:b w:val="false"/>
                <w:i w:val="false"/>
                <w:caps w:val="false"/>
                <w:smallCaps w:val="false"/>
                <w:sz w:val="16"/>
              </w:rPr>
              <w:t>SUSTAINABILITY REPORT- 2.2. THE SOCIAL IMPACT OF OUR OPERATIONS: EMPLOYEE MANAGEMENT/ SUSTAINABILITY REPORT - ANNEX 1.6. THE KEY ENABLERS OF SUSTAINABILITY INTEGRATION / SUSTAINABILITY REPORTING - 2.2. THE SOCIAL IMPACT OF OUR OPERATIONS: EMPLOYEE MANAGEMENT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706"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8.2 - 8.5</w:t>
            </w:r>
          </w:p>
        </w:tc>
        <w:tc>
          <w:tcPr>
            <w:tcW w:w="329"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95</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0" w:type="dxa"/>
          <w:left w:w="70" w:type="dxa"/>
          <w:bottom w:w="28" w:type="dxa"/>
          <w:right w:w="70" w:type="dxa"/>
        </w:tblCellMar>
      </w:tblPr>
      <w:tblGrid>
        <w:gridCol w:w="1797"/>
        <w:gridCol w:w="1662"/>
        <w:gridCol w:w="3090"/>
        <w:gridCol w:w="386"/>
        <w:gridCol w:w="1030"/>
        <w:gridCol w:w="1424"/>
        <w:gridCol w:w="496"/>
        <w:gridCol w:w="320"/>
      </w:tblGrid>
      <w:tr>
        <w:trPr/>
        <w:tc>
          <w:tcPr>
            <w:tcW w:w="1797"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662" w:type="dxa"/>
            <w:tcBorders>
              <w:bottom w:val="single" w:sz="8" w:space="0" w:color="000000"/>
              <w:right w:val="single" w:sz="8" w:space="0" w:color="000000"/>
            </w:tcBorders>
            <w:tcMar>
              <w:left w:w="0" w:type="dxa"/>
            </w:tcMar>
            <w:vAlign w:val="center"/>
          </w:tcPr>
          <w:p>
            <w:pPr>
              <w:pStyle w:val="TableContents"/>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GRI 404-3 Percentage of employees receiving regular performance and </w:t>
            </w:r>
          </w:p>
          <w:p>
            <w:pPr>
              <w:pStyle w:val="TableContents"/>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br/>
              <w:t>career development reviews</w:t>
            </w:r>
          </w:p>
          <w:p>
            <w:pPr>
              <w:pStyle w:val="TableContents"/>
              <w:bidi w:val="0"/>
              <w:spacing w:before="0" w:after="0"/>
              <w:ind w:left="0" w:right="0" w:hanging="0"/>
              <w:jc w:val="left"/>
              <w:rPr>
                <w:caps w:val="false"/>
                <w:smallCaps w:val="false"/>
              </w:rPr>
            </w:pPr>
            <w:r>
              <w:rPr>
                <w:caps w:val="false"/>
                <w:smallCaps w:val="false"/>
              </w:rPr>
              <w:t> </w:t>
            </w:r>
          </w:p>
        </w:tc>
        <w:tc>
          <w:tcPr>
            <w:tcW w:w="309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ANNEX 2.2. THE SOCIAL IMPACT OF OUR OPERATIONS: EMPLOYEE MANAGEMENT</w:t>
            </w:r>
          </w:p>
        </w:tc>
        <w:tc>
          <w:tcPr>
            <w:tcW w:w="386"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03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424"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496"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5.1 - 8.5 - 10.3</w:t>
            </w:r>
          </w:p>
        </w:tc>
        <w:tc>
          <w:tcPr>
            <w:tcW w:w="32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r>
        <w:trPr/>
        <w:tc>
          <w:tcPr>
            <w:tcW w:w="1797" w:type="dxa"/>
            <w:tcBorders>
              <w:left w:val="single" w:sz="8" w:space="0" w:color="000000"/>
              <w:bottom w:val="single" w:sz="8" w:space="0" w:color="000000"/>
              <w:right w:val="single" w:sz="8" w:space="0" w:color="000000"/>
            </w:tcBorders>
            <w:shd w:fill="A6A6A6" w:val="clear"/>
            <w:vAlign w:val="center"/>
          </w:tcPr>
          <w:p>
            <w:pPr>
              <w:pStyle w:val="TableContents"/>
              <w:bidi w:val="0"/>
              <w:spacing w:before="0" w:after="283"/>
              <w:jc w:val="left"/>
              <w:rPr>
                <w:b/>
                <w:sz w:val="16"/>
              </w:rPr>
            </w:pPr>
            <w:r>
              <w:rPr>
                <w:b/>
                <w:sz w:val="16"/>
              </w:rPr>
              <w:t>INCLUSION OF DIVERSITY AND EQUAL OPPORTUNITIES</w:t>
            </w:r>
          </w:p>
        </w:tc>
        <w:tc>
          <w:tcPr>
            <w:tcW w:w="1662"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left"/>
              <w:rPr/>
            </w:pPr>
            <w:r>
              <w:rPr/>
              <w:t> </w:t>
            </w:r>
          </w:p>
        </w:tc>
        <w:tc>
          <w:tcPr>
            <w:tcW w:w="3090"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386"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1030"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1424"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496"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320"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r>
      <w:tr>
        <w:trPr/>
        <w:tc>
          <w:tcPr>
            <w:tcW w:w="1797"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sz w:val="16"/>
              </w:rPr>
            </w:pPr>
            <w:r>
              <w:rPr>
                <w:sz w:val="16"/>
              </w:rPr>
              <w:t>GRI 3: Material Topics 2021</w:t>
            </w:r>
          </w:p>
        </w:tc>
        <w:tc>
          <w:tcPr>
            <w:tcW w:w="1662"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3-3 Management of material topics</w:t>
            </w:r>
          </w:p>
        </w:tc>
        <w:tc>
          <w:tcPr>
            <w:tcW w:w="309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REPORT- 2.1. THE SOCIAL IMPACT OF OUR BUSINESS / SUSTAINABILITY REPORT - 2.1. THE SOCIAL IMPACT OF OUR BUSINESS / SUSTAINABILITY REPORT - 2.2. THE SOCIAL IMPACT OF OUR OPERATIONS: EMPLOYEE MANAGEMENT</w:t>
            </w:r>
          </w:p>
        </w:tc>
        <w:tc>
          <w:tcPr>
            <w:tcW w:w="386"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03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424"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496"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32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1, 2, 7, 8, 9, 10</w:t>
            </w:r>
          </w:p>
        </w:tc>
      </w:tr>
      <w:tr>
        <w:trPr/>
        <w:tc>
          <w:tcPr>
            <w:tcW w:w="1797" w:type="dxa"/>
            <w:vMerge w:val="restart"/>
            <w:tcBorders>
              <w:left w:val="single" w:sz="8" w:space="0" w:color="000000"/>
              <w:bottom w:val="single" w:sz="8" w:space="0" w:color="000000"/>
              <w:right w:val="single" w:sz="8" w:space="0" w:color="000000"/>
            </w:tcBorders>
            <w:vAlign w:val="center"/>
          </w:tcPr>
          <w:p>
            <w:pPr>
              <w:pStyle w:val="TableContents"/>
              <w:bidi w:val="0"/>
              <w:spacing w:before="0" w:after="283"/>
              <w:jc w:val="left"/>
              <w:rPr>
                <w:sz w:val="16"/>
              </w:rPr>
            </w:pPr>
            <w:r>
              <w:rPr>
                <w:sz w:val="16"/>
              </w:rPr>
              <w:t>GRI 405: DIVERSITY AND EQUAL OPPORTUNITIES 2016</w:t>
            </w:r>
          </w:p>
        </w:tc>
        <w:tc>
          <w:tcPr>
            <w:tcW w:w="1662"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405-1 Diversity of governance bodies and employees</w:t>
            </w:r>
          </w:p>
        </w:tc>
        <w:tc>
          <w:tcPr>
            <w:tcW w:w="309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REPORT- 2.2. THE SOCIAL IMPACT OF OUR OPERATIONS: EMPLOYEE MANAGEMENT/ SUSTAINABILITY REPORT - ANNEX 2.2. THE SOCIAL IMPACT OF OUR OPERATIONS: EMPLOYEE MANAGEMENT</w:t>
            </w:r>
          </w:p>
        </w:tc>
        <w:tc>
          <w:tcPr>
            <w:tcW w:w="386"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03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424"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496"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5.1 - 5.5 - 8.5</w:t>
            </w:r>
          </w:p>
        </w:tc>
        <w:tc>
          <w:tcPr>
            <w:tcW w:w="32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1, 6</w:t>
            </w:r>
          </w:p>
        </w:tc>
      </w:tr>
      <w:tr>
        <w:trPr/>
        <w:tc>
          <w:tcPr>
            <w:tcW w:w="1797" w:type="dxa"/>
            <w:vMerge w:val="continue"/>
            <w:tcBorders>
              <w:left w:val="single" w:sz="8" w:space="0" w:color="000000"/>
              <w:bottom w:val="single" w:sz="8" w:space="0" w:color="000000"/>
              <w:right w:val="single" w:sz="8" w:space="0" w:color="000000"/>
            </w:tcBorders>
            <w:vAlign w:val="center"/>
          </w:tcPr>
          <w:p>
            <w:pPr>
              <w:pStyle w:val="Normal"/>
              <w:bidi w:val="0"/>
              <w:jc w:val="left"/>
              <w:rPr/>
            </w:pPr>
            <w:r>
              <w:rPr/>
            </w:r>
          </w:p>
        </w:tc>
        <w:tc>
          <w:tcPr>
            <w:tcW w:w="1662"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405-2 Ratio of basic salary and remuneration of women to men</w:t>
            </w:r>
          </w:p>
        </w:tc>
        <w:tc>
          <w:tcPr>
            <w:tcW w:w="309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REPORT- 2.2. THE SOCIAL IMPACT OF OUR OPERATIONS: EMPLOYEE MANAGEMENT</w:t>
            </w:r>
          </w:p>
        </w:tc>
        <w:tc>
          <w:tcPr>
            <w:tcW w:w="386"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03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424"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496"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5.1 - 8.5 - 10.3</w:t>
            </w:r>
          </w:p>
        </w:tc>
        <w:tc>
          <w:tcPr>
            <w:tcW w:w="32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6</w:t>
            </w:r>
          </w:p>
        </w:tc>
      </w:tr>
      <w:tr>
        <w:trPr/>
        <w:tc>
          <w:tcPr>
            <w:tcW w:w="1797"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sz w:val="16"/>
              </w:rPr>
            </w:pPr>
            <w:r>
              <w:rPr>
                <w:sz w:val="16"/>
              </w:rPr>
              <w:t>GRI 406: NON-DISCRIMINATION 2016</w:t>
            </w:r>
          </w:p>
        </w:tc>
        <w:tc>
          <w:tcPr>
            <w:tcW w:w="1662"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406-1 Incidents of discrimination and corrective actions taken</w:t>
            </w:r>
          </w:p>
        </w:tc>
        <w:tc>
          <w:tcPr>
            <w:tcW w:w="309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ANNEX 4.4. ETHICS, COMPLIANCE, AND HUMAN RIGHTS</w:t>
            </w:r>
          </w:p>
        </w:tc>
        <w:tc>
          <w:tcPr>
            <w:tcW w:w="386"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03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424"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496"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5.1 - 8.8</w:t>
            </w:r>
          </w:p>
        </w:tc>
        <w:tc>
          <w:tcPr>
            <w:tcW w:w="32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r>
        <w:trPr/>
        <w:tc>
          <w:tcPr>
            <w:tcW w:w="1797" w:type="dxa"/>
            <w:tcBorders>
              <w:left w:val="single" w:sz="8" w:space="0" w:color="000000"/>
              <w:bottom w:val="single" w:sz="8" w:space="0" w:color="000000"/>
              <w:right w:val="single" w:sz="8" w:space="0" w:color="000000"/>
            </w:tcBorders>
            <w:shd w:fill="A6A6A6" w:val="clear"/>
            <w:vAlign w:val="center"/>
          </w:tcPr>
          <w:p>
            <w:pPr>
              <w:pStyle w:val="TableContents"/>
              <w:bidi w:val="0"/>
              <w:spacing w:before="0" w:after="283"/>
              <w:jc w:val="left"/>
              <w:rPr>
                <w:b/>
                <w:sz w:val="16"/>
              </w:rPr>
            </w:pPr>
            <w:r>
              <w:rPr>
                <w:b/>
                <w:sz w:val="16"/>
              </w:rPr>
              <w:t>HUMAN RIGHTS</w:t>
            </w:r>
          </w:p>
        </w:tc>
        <w:tc>
          <w:tcPr>
            <w:tcW w:w="1662"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left"/>
              <w:rPr/>
            </w:pPr>
            <w:r>
              <w:rPr/>
              <w:t> </w:t>
            </w:r>
          </w:p>
        </w:tc>
        <w:tc>
          <w:tcPr>
            <w:tcW w:w="3090"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386"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1030"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1424"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496"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320"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r>
      <w:tr>
        <w:trPr/>
        <w:tc>
          <w:tcPr>
            <w:tcW w:w="1797"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sz w:val="16"/>
              </w:rPr>
            </w:pPr>
            <w:r>
              <w:rPr>
                <w:sz w:val="16"/>
              </w:rPr>
              <w:t>GRI 3: Material Topics 2021</w:t>
            </w:r>
          </w:p>
        </w:tc>
        <w:tc>
          <w:tcPr>
            <w:tcW w:w="1662"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3-3 Management of material topics</w:t>
            </w:r>
          </w:p>
        </w:tc>
        <w:tc>
          <w:tcPr>
            <w:tcW w:w="309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REPORT- 2.3. SUSTAINABLE SUPPLIER MANAGEMENT / SUSTAINABILITY REPORT - 4.4. ETHICS, COMPLIANCE, AND HUMAN RIGHTS</w:t>
            </w:r>
          </w:p>
        </w:tc>
        <w:tc>
          <w:tcPr>
            <w:tcW w:w="386"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03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424"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496"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32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1, 2, 3, 4, 5, 6, 7, 8, 9, 10</w:t>
            </w:r>
          </w:p>
        </w:tc>
      </w:tr>
      <w:tr>
        <w:trPr/>
        <w:tc>
          <w:tcPr>
            <w:tcW w:w="1797"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sz w:val="16"/>
              </w:rPr>
            </w:pPr>
            <w:r>
              <w:rPr>
                <w:sz w:val="16"/>
              </w:rPr>
              <w:t>GRI 407: FREEDOM OF ASSOCIATION AND COLLECTIVE BARGAINING 2016</w:t>
            </w:r>
          </w:p>
        </w:tc>
        <w:tc>
          <w:tcPr>
            <w:tcW w:w="1662"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GRI 407-1 Operations and suppliers in which the right to freedom of association and collective bargaining may be at risk</w:t>
            </w:r>
          </w:p>
        </w:tc>
        <w:tc>
          <w:tcPr>
            <w:tcW w:w="309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w:t>
            </w:r>
          </w:p>
        </w:tc>
        <w:tc>
          <w:tcPr>
            <w:tcW w:w="386"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GRI 407-1</w:t>
            </w:r>
          </w:p>
        </w:tc>
        <w:tc>
          <w:tcPr>
            <w:tcW w:w="103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Information not available or incomplete</w:t>
            </w:r>
          </w:p>
        </w:tc>
        <w:tc>
          <w:tcPr>
            <w:tcW w:w="1424"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No data is available and consolidated. We are working to be able to respond in future reports.</w:t>
            </w:r>
          </w:p>
        </w:tc>
        <w:tc>
          <w:tcPr>
            <w:tcW w:w="496"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8.8</w:t>
            </w:r>
          </w:p>
        </w:tc>
        <w:tc>
          <w:tcPr>
            <w:tcW w:w="32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r>
        <w:trPr/>
        <w:tc>
          <w:tcPr>
            <w:tcW w:w="1797"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sz w:val="16"/>
              </w:rPr>
            </w:pPr>
            <w:r>
              <w:rPr>
                <w:sz w:val="16"/>
              </w:rPr>
              <w:t>GRI 408: CHILD LABOR 2016</w:t>
            </w:r>
          </w:p>
        </w:tc>
        <w:tc>
          <w:tcPr>
            <w:tcW w:w="1662"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GRI 408-1 Operations and suppliers at significant risk for incidents of child labor</w:t>
            </w:r>
          </w:p>
        </w:tc>
        <w:tc>
          <w:tcPr>
            <w:tcW w:w="309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ANNEX 4.4. ETHICS, COMPLIANCE, AND HUMAN RIGHTS</w:t>
            </w:r>
          </w:p>
        </w:tc>
        <w:tc>
          <w:tcPr>
            <w:tcW w:w="386"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03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424"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496"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5.2 - 8.7 - 16.2</w:t>
            </w:r>
          </w:p>
        </w:tc>
        <w:tc>
          <w:tcPr>
            <w:tcW w:w="32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r>
        <w:trPr/>
        <w:tc>
          <w:tcPr>
            <w:tcW w:w="1797"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sz w:val="16"/>
              </w:rPr>
            </w:pPr>
            <w:r>
              <w:rPr>
                <w:sz w:val="16"/>
              </w:rPr>
              <w:t>GRI 409: FORCED OFR COMPULSORY LABOR 2016</w:t>
            </w:r>
          </w:p>
        </w:tc>
        <w:tc>
          <w:tcPr>
            <w:tcW w:w="1662"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GRI 409-1 Operations and suppliers at significant risk for incidents of forced or compulsory labor</w:t>
            </w:r>
          </w:p>
        </w:tc>
        <w:tc>
          <w:tcPr>
            <w:tcW w:w="309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ANNEX 4.4. ETHICS, COMPLIANCE, AND HUMAN RIGHTS</w:t>
            </w:r>
          </w:p>
        </w:tc>
        <w:tc>
          <w:tcPr>
            <w:tcW w:w="386"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03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424"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496"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5.2 - 8.7</w:t>
            </w:r>
          </w:p>
        </w:tc>
        <w:tc>
          <w:tcPr>
            <w:tcW w:w="32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96</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0" w:type="dxa"/>
          <w:left w:w="70" w:type="dxa"/>
          <w:bottom w:w="28" w:type="dxa"/>
          <w:right w:w="70" w:type="dxa"/>
        </w:tblCellMar>
      </w:tblPr>
      <w:tblGrid>
        <w:gridCol w:w="1845"/>
        <w:gridCol w:w="1904"/>
        <w:gridCol w:w="2756"/>
        <w:gridCol w:w="388"/>
        <w:gridCol w:w="1039"/>
        <w:gridCol w:w="1450"/>
        <w:gridCol w:w="563"/>
        <w:gridCol w:w="260"/>
      </w:tblGrid>
      <w:tr>
        <w:trPr/>
        <w:tc>
          <w:tcPr>
            <w:tcW w:w="1845" w:type="dxa"/>
            <w:tcBorders>
              <w:left w:val="single" w:sz="8" w:space="0" w:color="000000"/>
              <w:bottom w:val="single" w:sz="8" w:space="0" w:color="000000"/>
              <w:right w:val="single" w:sz="8" w:space="0" w:color="000000"/>
            </w:tcBorders>
            <w:shd w:fill="A6A6A6" w:val="clear"/>
            <w:vAlign w:val="center"/>
          </w:tcPr>
          <w:p>
            <w:pPr>
              <w:pStyle w:val="TableContents"/>
              <w:bidi w:val="0"/>
              <w:spacing w:before="0" w:after="283"/>
              <w:jc w:val="left"/>
              <w:rPr>
                <w:b/>
                <w:sz w:val="16"/>
              </w:rPr>
            </w:pPr>
            <w:r>
              <w:rPr>
                <w:b/>
                <w:sz w:val="16"/>
              </w:rPr>
              <w:t>COMMITMENT TO SOCIETY</w:t>
            </w:r>
          </w:p>
        </w:tc>
        <w:tc>
          <w:tcPr>
            <w:tcW w:w="1904"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left"/>
              <w:rPr/>
            </w:pPr>
            <w:r>
              <w:rPr/>
              <w:t> </w:t>
            </w:r>
          </w:p>
        </w:tc>
        <w:tc>
          <w:tcPr>
            <w:tcW w:w="2756"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388"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1039"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1450"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563"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260"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r>
      <w:tr>
        <w:trPr/>
        <w:tc>
          <w:tcPr>
            <w:tcW w:w="184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sz w:val="16"/>
              </w:rPr>
            </w:pPr>
            <w:r>
              <w:rPr>
                <w:sz w:val="16"/>
              </w:rPr>
              <w:t>GRI 3: Material Topics 2021</w:t>
            </w:r>
          </w:p>
        </w:tc>
        <w:tc>
          <w:tcPr>
            <w:tcW w:w="1904"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3-3 Management of material topics</w:t>
            </w:r>
          </w:p>
        </w:tc>
        <w:tc>
          <w:tcPr>
            <w:tcW w:w="2756"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REPORT- 2.4. THE SOCIAL IMPACT IN OUR COMMUNITIES</w:t>
            </w:r>
          </w:p>
        </w:tc>
        <w:tc>
          <w:tcPr>
            <w:tcW w:w="388"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039"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45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563"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26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1, 2, 7, 8, 9, 10</w:t>
            </w:r>
          </w:p>
        </w:tc>
      </w:tr>
      <w:tr>
        <w:trPr/>
        <w:tc>
          <w:tcPr>
            <w:tcW w:w="1845" w:type="dxa"/>
            <w:vMerge w:val="restart"/>
            <w:tcBorders>
              <w:left w:val="single" w:sz="8" w:space="0" w:color="000000"/>
              <w:bottom w:val="single" w:sz="8" w:space="0" w:color="000000"/>
              <w:right w:val="single" w:sz="8" w:space="0" w:color="000000"/>
            </w:tcBorders>
            <w:vAlign w:val="center"/>
          </w:tcPr>
          <w:p>
            <w:pPr>
              <w:pStyle w:val="TableContents"/>
              <w:bidi w:val="0"/>
              <w:spacing w:before="0" w:after="283"/>
              <w:jc w:val="left"/>
              <w:rPr>
                <w:sz w:val="16"/>
              </w:rPr>
            </w:pPr>
            <w:r>
              <w:rPr>
                <w:sz w:val="16"/>
              </w:rPr>
              <w:t>GRI 413: LOCAL COMMUNITIES 2016</w:t>
            </w:r>
          </w:p>
        </w:tc>
        <w:tc>
          <w:tcPr>
            <w:tcW w:w="1904"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413-1 Operations with local community engagement, impact assessments, and development programs</w:t>
            </w:r>
          </w:p>
        </w:tc>
        <w:tc>
          <w:tcPr>
            <w:tcW w:w="2756"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REPORT- 2.4. THE SOCIAL IMPACT IN OUR COMMUNITIES</w:t>
            </w:r>
          </w:p>
        </w:tc>
        <w:tc>
          <w:tcPr>
            <w:tcW w:w="388"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039"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45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563"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2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r>
        <w:trPr/>
        <w:tc>
          <w:tcPr>
            <w:tcW w:w="1845" w:type="dxa"/>
            <w:vMerge w:val="continue"/>
            <w:tcBorders>
              <w:left w:val="single" w:sz="8" w:space="0" w:color="000000"/>
              <w:bottom w:val="single" w:sz="8" w:space="0" w:color="000000"/>
              <w:right w:val="single" w:sz="8" w:space="0" w:color="000000"/>
            </w:tcBorders>
            <w:vAlign w:val="center"/>
          </w:tcPr>
          <w:p>
            <w:pPr>
              <w:pStyle w:val="Normal"/>
              <w:bidi w:val="0"/>
              <w:jc w:val="left"/>
              <w:rPr/>
            </w:pPr>
            <w:r>
              <w:rPr/>
            </w:r>
          </w:p>
        </w:tc>
        <w:tc>
          <w:tcPr>
            <w:tcW w:w="1904"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413-2 Operations with significant actual and potential negative impacts on local communities</w:t>
            </w:r>
          </w:p>
        </w:tc>
        <w:tc>
          <w:tcPr>
            <w:tcW w:w="2756"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w:t>
            </w:r>
          </w:p>
        </w:tc>
        <w:tc>
          <w:tcPr>
            <w:tcW w:w="388"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GRI 413-2</w:t>
            </w:r>
          </w:p>
        </w:tc>
        <w:tc>
          <w:tcPr>
            <w:tcW w:w="1039"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Information not available or incomplete</w:t>
            </w:r>
          </w:p>
        </w:tc>
        <w:tc>
          <w:tcPr>
            <w:tcW w:w="145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No data is available and consolidated. We are working to be able to respond in future reports.</w:t>
            </w:r>
          </w:p>
        </w:tc>
        <w:tc>
          <w:tcPr>
            <w:tcW w:w="563"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1.4 - 2.3</w:t>
            </w:r>
          </w:p>
        </w:tc>
        <w:tc>
          <w:tcPr>
            <w:tcW w:w="2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r>
        <w:trPr/>
        <w:tc>
          <w:tcPr>
            <w:tcW w:w="1845" w:type="dxa"/>
            <w:tcBorders>
              <w:left w:val="single" w:sz="8" w:space="0" w:color="000000"/>
              <w:bottom w:val="single" w:sz="8" w:space="0" w:color="000000"/>
              <w:right w:val="single" w:sz="8" w:space="0" w:color="000000"/>
            </w:tcBorders>
            <w:shd w:fill="A6A6A6" w:val="clear"/>
            <w:vAlign w:val="center"/>
          </w:tcPr>
          <w:p>
            <w:pPr>
              <w:pStyle w:val="TableContents"/>
              <w:bidi w:val="0"/>
              <w:spacing w:before="0" w:after="283"/>
              <w:jc w:val="left"/>
              <w:rPr>
                <w:b/>
                <w:sz w:val="16"/>
              </w:rPr>
            </w:pPr>
            <w:r>
              <w:rPr>
                <w:b/>
                <w:sz w:val="16"/>
              </w:rPr>
              <w:t>SIMPLICITY, TRANSPARENCY, AND CLIENT EXPERIENCE</w:t>
            </w:r>
          </w:p>
        </w:tc>
        <w:tc>
          <w:tcPr>
            <w:tcW w:w="1904"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left"/>
              <w:rPr/>
            </w:pPr>
            <w:r>
              <w:rPr/>
              <w:t> </w:t>
            </w:r>
          </w:p>
        </w:tc>
        <w:tc>
          <w:tcPr>
            <w:tcW w:w="2756"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388"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1039"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1450"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563"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260"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r>
      <w:tr>
        <w:trPr/>
        <w:tc>
          <w:tcPr>
            <w:tcW w:w="184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sz w:val="16"/>
              </w:rPr>
            </w:pPr>
            <w:r>
              <w:rPr>
                <w:sz w:val="16"/>
              </w:rPr>
              <w:t>GRI 3: Material Topics 2021</w:t>
            </w:r>
          </w:p>
        </w:tc>
        <w:tc>
          <w:tcPr>
            <w:tcW w:w="1904"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3-3 Management of material topics</w:t>
            </w:r>
          </w:p>
        </w:tc>
        <w:tc>
          <w:tcPr>
            <w:tcW w:w="2756"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REPORT- 2.1. THE SOCIAL IMPACT OF OUR BUSINESS</w:t>
            </w:r>
          </w:p>
        </w:tc>
        <w:tc>
          <w:tcPr>
            <w:tcW w:w="388"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039"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45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563"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26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1, 2, 7, 8, 9, 10</w:t>
            </w:r>
          </w:p>
        </w:tc>
      </w:tr>
      <w:tr>
        <w:trPr/>
        <w:tc>
          <w:tcPr>
            <w:tcW w:w="1845" w:type="dxa"/>
            <w:vMerge w:val="restart"/>
            <w:tcBorders>
              <w:left w:val="single" w:sz="8" w:space="0" w:color="000000"/>
              <w:bottom w:val="single" w:sz="8" w:space="0" w:color="000000"/>
              <w:right w:val="single" w:sz="8" w:space="0" w:color="000000"/>
            </w:tcBorders>
            <w:vAlign w:val="center"/>
          </w:tcPr>
          <w:p>
            <w:pPr>
              <w:pStyle w:val="TableContents"/>
              <w:bidi w:val="0"/>
              <w:spacing w:before="0" w:after="283"/>
              <w:jc w:val="left"/>
              <w:rPr>
                <w:sz w:val="16"/>
              </w:rPr>
            </w:pPr>
            <w:r>
              <w:rPr>
                <w:sz w:val="16"/>
              </w:rPr>
              <w:t>GRI 417: MARKETING AND LABELING 2016</w:t>
            </w:r>
          </w:p>
        </w:tc>
        <w:tc>
          <w:tcPr>
            <w:tcW w:w="1904"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417-1 Requirements for product and service information and labeling</w:t>
            </w:r>
          </w:p>
        </w:tc>
        <w:tc>
          <w:tcPr>
            <w:tcW w:w="2756"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REPORT- 2.1. THE SOCIAL IMPACT OF OUR BUSINESS</w:t>
            </w:r>
          </w:p>
        </w:tc>
        <w:tc>
          <w:tcPr>
            <w:tcW w:w="388"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039"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45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563"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12.8</w:t>
            </w:r>
          </w:p>
        </w:tc>
        <w:tc>
          <w:tcPr>
            <w:tcW w:w="2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r>
        <w:trPr/>
        <w:tc>
          <w:tcPr>
            <w:tcW w:w="1845" w:type="dxa"/>
            <w:vMerge w:val="continue"/>
            <w:tcBorders>
              <w:left w:val="single" w:sz="8" w:space="0" w:color="000000"/>
              <w:bottom w:val="single" w:sz="8" w:space="0" w:color="000000"/>
              <w:right w:val="single" w:sz="8" w:space="0" w:color="000000"/>
            </w:tcBorders>
            <w:vAlign w:val="center"/>
          </w:tcPr>
          <w:p>
            <w:pPr>
              <w:pStyle w:val="Normal"/>
              <w:bidi w:val="0"/>
              <w:jc w:val="left"/>
              <w:rPr/>
            </w:pPr>
            <w:r>
              <w:rPr/>
            </w:r>
          </w:p>
        </w:tc>
        <w:tc>
          <w:tcPr>
            <w:tcW w:w="1904"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417-2 Incidents of non-compliance concerning product and service information and labeling</w:t>
            </w:r>
          </w:p>
        </w:tc>
        <w:tc>
          <w:tcPr>
            <w:tcW w:w="2756"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ANNEX 2.1. THE SOCIAL IMPACT OF OUR BUSINESS</w:t>
            </w:r>
          </w:p>
        </w:tc>
        <w:tc>
          <w:tcPr>
            <w:tcW w:w="388"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039"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45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563"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16.3</w:t>
            </w:r>
          </w:p>
        </w:tc>
        <w:tc>
          <w:tcPr>
            <w:tcW w:w="2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r>
        <w:trPr/>
        <w:tc>
          <w:tcPr>
            <w:tcW w:w="1845" w:type="dxa"/>
            <w:vMerge w:val="continue"/>
            <w:tcBorders>
              <w:left w:val="single" w:sz="8" w:space="0" w:color="000000"/>
              <w:bottom w:val="single" w:sz="8" w:space="0" w:color="000000"/>
              <w:right w:val="single" w:sz="8" w:space="0" w:color="000000"/>
            </w:tcBorders>
            <w:vAlign w:val="center"/>
          </w:tcPr>
          <w:p>
            <w:pPr>
              <w:pStyle w:val="Normal"/>
              <w:bidi w:val="0"/>
              <w:jc w:val="left"/>
              <w:rPr/>
            </w:pPr>
            <w:r>
              <w:rPr/>
            </w:r>
          </w:p>
        </w:tc>
        <w:tc>
          <w:tcPr>
            <w:tcW w:w="1904"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417-3 Incidence of non-compliance concerning marketing and communications</w:t>
            </w:r>
          </w:p>
        </w:tc>
        <w:tc>
          <w:tcPr>
            <w:tcW w:w="2756"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ANNEX 2.1. THE SOCIAL IMPACT OF OUR BUSINESS</w:t>
            </w:r>
          </w:p>
        </w:tc>
        <w:tc>
          <w:tcPr>
            <w:tcW w:w="388"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039"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45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563"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16.3</w:t>
            </w:r>
          </w:p>
        </w:tc>
        <w:tc>
          <w:tcPr>
            <w:tcW w:w="2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r>
        <w:trPr/>
        <w:tc>
          <w:tcPr>
            <w:tcW w:w="1845" w:type="dxa"/>
            <w:tcBorders>
              <w:left w:val="single" w:sz="8" w:space="0" w:color="000000"/>
              <w:bottom w:val="single" w:sz="8" w:space="0" w:color="000000"/>
              <w:right w:val="single" w:sz="8" w:space="0" w:color="000000"/>
            </w:tcBorders>
            <w:shd w:fill="A6A6A6" w:val="clear"/>
            <w:vAlign w:val="center"/>
          </w:tcPr>
          <w:p>
            <w:pPr>
              <w:pStyle w:val="TableContents"/>
              <w:bidi w:val="0"/>
              <w:spacing w:before="0" w:after="283"/>
              <w:jc w:val="left"/>
              <w:rPr>
                <w:b/>
                <w:sz w:val="16"/>
              </w:rPr>
            </w:pPr>
            <w:r>
              <w:rPr>
                <w:b/>
                <w:sz w:val="16"/>
              </w:rPr>
              <w:t>CYBERSECURITY, PRIVACY, AND ETHICAL DATA MANAGEMENT</w:t>
            </w:r>
          </w:p>
        </w:tc>
        <w:tc>
          <w:tcPr>
            <w:tcW w:w="1904"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left"/>
              <w:rPr/>
            </w:pPr>
            <w:r>
              <w:rPr/>
              <w:t> </w:t>
            </w:r>
          </w:p>
        </w:tc>
        <w:tc>
          <w:tcPr>
            <w:tcW w:w="2756"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388"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1039"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1450"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563"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260"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r>
      <w:tr>
        <w:trPr/>
        <w:tc>
          <w:tcPr>
            <w:tcW w:w="184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sz w:val="16"/>
              </w:rPr>
            </w:pPr>
            <w:r>
              <w:rPr>
                <w:sz w:val="16"/>
              </w:rPr>
              <w:t>GRI 3: Material Topics 2021</w:t>
            </w:r>
          </w:p>
        </w:tc>
        <w:tc>
          <w:tcPr>
            <w:tcW w:w="1904"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3-3 Management of material topics</w:t>
            </w:r>
          </w:p>
        </w:tc>
        <w:tc>
          <w:tcPr>
            <w:tcW w:w="2756"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ANNUAL REPORT- Chapter 5: Risk Management / SUSTAINABILITY REPORT- 4.4. ETHICS, COMPLIANCE, AND HUMAN RIGHTS</w:t>
            </w:r>
          </w:p>
        </w:tc>
        <w:tc>
          <w:tcPr>
            <w:tcW w:w="388"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039"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45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563"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26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1, 2, 7, 8, 9, 10</w:t>
            </w:r>
          </w:p>
        </w:tc>
      </w:tr>
      <w:tr>
        <w:trPr/>
        <w:tc>
          <w:tcPr>
            <w:tcW w:w="184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sz w:val="16"/>
              </w:rPr>
            </w:pPr>
            <w:r>
              <w:rPr>
                <w:sz w:val="16"/>
              </w:rPr>
              <w:t>GRI 418: CUSTOMER PRIVACY 2016</w:t>
            </w:r>
          </w:p>
        </w:tc>
        <w:tc>
          <w:tcPr>
            <w:tcW w:w="1904"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418-1 Substantiated complaints concerning breaches of customer privacy and losses of customer data</w:t>
            </w:r>
          </w:p>
        </w:tc>
        <w:tc>
          <w:tcPr>
            <w:tcW w:w="2756" w:type="dxa"/>
            <w:tcBorders>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Arial" w:hAnsi="Arial"/>
                <w:b w:val="false"/>
                <w:i w:val="false"/>
                <w:caps w:val="false"/>
                <w:smallCaps w:val="false"/>
                <w:sz w:val="16"/>
              </w:rPr>
            </w:pPr>
            <w:r>
              <w:rPr>
                <w:rFonts w:ascii="Arial" w:hAnsi="Arial"/>
                <w:b w:val="false"/>
                <w:i w:val="false"/>
                <w:caps w:val="false"/>
                <w:smallCaps w:val="false"/>
                <w:sz w:val="16"/>
              </w:rPr>
              <w:t>ANNUAL REPORT- Chapter 5: Risk Management / SUSTAINABILITY REPORT- ANEXO 4.4. ETHICS, COMPLIANCE, AND HUMAN RIGHTS</w:t>
            </w:r>
          </w:p>
          <w:p>
            <w:pPr>
              <w:pStyle w:val="TableContents"/>
              <w:bidi w:val="0"/>
              <w:spacing w:before="0" w:after="0"/>
              <w:ind w:left="0" w:right="0" w:hanging="0"/>
              <w:jc w:val="center"/>
              <w:rPr>
                <w:caps w:val="false"/>
                <w:smallCaps w:val="false"/>
              </w:rPr>
            </w:pPr>
            <w:r>
              <w:rPr>
                <w:caps w:val="false"/>
                <w:smallCaps w:val="false"/>
              </w:rPr>
              <w:t> </w:t>
            </w:r>
          </w:p>
        </w:tc>
        <w:tc>
          <w:tcPr>
            <w:tcW w:w="388"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039"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45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563"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16.3 - 16.10</w:t>
            </w:r>
          </w:p>
        </w:tc>
        <w:tc>
          <w:tcPr>
            <w:tcW w:w="2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r>
        <w:trPr/>
        <w:tc>
          <w:tcPr>
            <w:tcW w:w="1845" w:type="dxa"/>
            <w:vMerge w:val="restart"/>
            <w:tcBorders>
              <w:left w:val="single" w:sz="8" w:space="0" w:color="000000"/>
              <w:bottom w:val="single" w:sz="8" w:space="0" w:color="000000"/>
              <w:right w:val="single" w:sz="8" w:space="0" w:color="000000"/>
            </w:tcBorders>
            <w:vAlign w:val="center"/>
          </w:tcPr>
          <w:p>
            <w:pPr>
              <w:pStyle w:val="TableContents"/>
              <w:bidi w:val="0"/>
              <w:spacing w:before="0" w:after="283"/>
              <w:jc w:val="left"/>
              <w:rPr>
                <w:sz w:val="16"/>
              </w:rPr>
            </w:pPr>
            <w:r>
              <w:rPr>
                <w:sz w:val="16"/>
              </w:rPr>
              <w:t>SASB- DATA SECURITY</w:t>
            </w:r>
          </w:p>
        </w:tc>
        <w:tc>
          <w:tcPr>
            <w:tcW w:w="1904"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FN-CB-230a.1. (1) Number of data breaches, (2) percentage that are personal data breaches, (3) number of account holders affected</w:t>
            </w:r>
          </w:p>
        </w:tc>
        <w:tc>
          <w:tcPr>
            <w:tcW w:w="2756"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ANNUAL REPORT- Chapter 5: Risk Management</w:t>
            </w:r>
          </w:p>
        </w:tc>
        <w:tc>
          <w:tcPr>
            <w:tcW w:w="388"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039"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45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563"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26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1845" w:type="dxa"/>
            <w:vMerge w:val="continue"/>
            <w:tcBorders>
              <w:left w:val="single" w:sz="8" w:space="0" w:color="000000"/>
              <w:bottom w:val="single" w:sz="8" w:space="0" w:color="000000"/>
              <w:right w:val="single" w:sz="8" w:space="0" w:color="000000"/>
            </w:tcBorders>
            <w:vAlign w:val="center"/>
          </w:tcPr>
          <w:p>
            <w:pPr>
              <w:pStyle w:val="Normal"/>
              <w:bidi w:val="0"/>
              <w:jc w:val="left"/>
              <w:rPr/>
            </w:pPr>
            <w:r>
              <w:rPr/>
            </w:r>
          </w:p>
        </w:tc>
        <w:tc>
          <w:tcPr>
            <w:tcW w:w="1904"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FN-CB-230a.2 Description of approach to identifying and addressing data security risks</w:t>
            </w:r>
          </w:p>
        </w:tc>
        <w:tc>
          <w:tcPr>
            <w:tcW w:w="2756"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ANNUAL REPORT- Chapter 5: Risk Management</w:t>
            </w:r>
          </w:p>
        </w:tc>
        <w:tc>
          <w:tcPr>
            <w:tcW w:w="388"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039"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45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563"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26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1845" w:type="dxa"/>
            <w:tcBorders>
              <w:left w:val="single" w:sz="8" w:space="0" w:color="000000"/>
              <w:bottom w:val="single" w:sz="8" w:space="0" w:color="000000"/>
              <w:right w:val="single" w:sz="8" w:space="0" w:color="000000"/>
            </w:tcBorders>
            <w:shd w:fill="A6A6A6" w:val="clear"/>
            <w:vAlign w:val="center"/>
          </w:tcPr>
          <w:p>
            <w:pPr>
              <w:pStyle w:val="TableContents"/>
              <w:bidi w:val="0"/>
              <w:spacing w:before="0" w:after="283"/>
              <w:jc w:val="left"/>
              <w:rPr>
                <w:b/>
                <w:sz w:val="16"/>
              </w:rPr>
            </w:pPr>
            <w:r>
              <w:rPr>
                <w:b/>
                <w:sz w:val="16"/>
              </w:rPr>
              <w:t>RESPONSIBLE AND SUSTAINABLE FINANCE AND INVESTMENT</w:t>
            </w:r>
          </w:p>
        </w:tc>
        <w:tc>
          <w:tcPr>
            <w:tcW w:w="1904"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left"/>
              <w:rPr/>
            </w:pPr>
            <w:r>
              <w:rPr/>
              <w:t> </w:t>
            </w:r>
          </w:p>
        </w:tc>
        <w:tc>
          <w:tcPr>
            <w:tcW w:w="2756"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388"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1039"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1450"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563"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260"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r>
      <w:tr>
        <w:trPr/>
        <w:tc>
          <w:tcPr>
            <w:tcW w:w="184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sz w:val="16"/>
              </w:rPr>
            </w:pPr>
            <w:r>
              <w:rPr>
                <w:sz w:val="16"/>
              </w:rPr>
              <w:t>GRI 3: Material Topics 2021</w:t>
            </w:r>
          </w:p>
        </w:tc>
        <w:tc>
          <w:tcPr>
            <w:tcW w:w="1904"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3-3 Management of material topics</w:t>
            </w:r>
          </w:p>
        </w:tc>
        <w:tc>
          <w:tcPr>
            <w:tcW w:w="2756"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ANNUAL REPORT- Chapter 4: Economic and Financial Performance / SUSTAINABILITY REPORT- 2.1. THE SOCIAL IMPACT OF OUR BUSINESS / SUSTAINABILITY REPORT - 3.2. SUSTAINABLE FINANCE</w:t>
            </w:r>
          </w:p>
        </w:tc>
        <w:tc>
          <w:tcPr>
            <w:tcW w:w="388"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039"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45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563"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26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1, 2, 7, 8, 9, 10</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97</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0" w:type="dxa"/>
          <w:left w:w="70" w:type="dxa"/>
          <w:bottom w:w="28" w:type="dxa"/>
          <w:right w:w="70" w:type="dxa"/>
        </w:tblCellMar>
      </w:tblPr>
      <w:tblGrid>
        <w:gridCol w:w="2772"/>
        <w:gridCol w:w="3052"/>
        <w:gridCol w:w="3814"/>
        <w:gridCol w:w="60"/>
        <w:gridCol w:w="60"/>
        <w:gridCol w:w="60"/>
        <w:gridCol w:w="60"/>
        <w:gridCol w:w="327"/>
      </w:tblGrid>
      <w:tr>
        <w:trPr/>
        <w:tc>
          <w:tcPr>
            <w:tcW w:w="2772" w:type="dxa"/>
            <w:vMerge w:val="restart"/>
            <w:tcBorders>
              <w:left w:val="single" w:sz="8" w:space="0" w:color="000000"/>
              <w:bottom w:val="single" w:sz="8" w:space="0" w:color="000000"/>
              <w:right w:val="single" w:sz="8" w:space="0" w:color="000000"/>
            </w:tcBorders>
            <w:vAlign w:val="center"/>
          </w:tcPr>
          <w:p>
            <w:pPr>
              <w:pStyle w:val="TableContents"/>
              <w:bidi w:val="0"/>
              <w:spacing w:before="0" w:after="283"/>
              <w:jc w:val="left"/>
              <w:rPr>
                <w:sz w:val="16"/>
              </w:rPr>
            </w:pPr>
            <w:r>
              <w:rPr>
                <w:sz w:val="16"/>
              </w:rPr>
              <w:t>SASB- INCORPORATION OF ENVIRONMENTAL, SOCIAL, AND GOVERNANCE FACTORS IN CREDIT ANALYSIS</w:t>
            </w:r>
          </w:p>
        </w:tc>
        <w:tc>
          <w:tcPr>
            <w:tcW w:w="3052"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FN-CB-410a.1 Commercial and industrial credit exposure, by industry.</w:t>
            </w:r>
          </w:p>
        </w:tc>
        <w:tc>
          <w:tcPr>
            <w:tcW w:w="3814"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ANNUAL REPORT- Chapter 4: Financial and Economic Performance</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327"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2772" w:type="dxa"/>
            <w:vMerge w:val="continue"/>
            <w:tcBorders>
              <w:left w:val="single" w:sz="8" w:space="0" w:color="000000"/>
              <w:bottom w:val="single" w:sz="8" w:space="0" w:color="000000"/>
              <w:right w:val="single" w:sz="8" w:space="0" w:color="000000"/>
            </w:tcBorders>
            <w:vAlign w:val="center"/>
          </w:tcPr>
          <w:p>
            <w:pPr>
              <w:pStyle w:val="Normal"/>
              <w:bidi w:val="0"/>
              <w:jc w:val="left"/>
              <w:rPr/>
            </w:pPr>
            <w:r>
              <w:rPr/>
            </w:r>
          </w:p>
        </w:tc>
        <w:tc>
          <w:tcPr>
            <w:tcW w:w="3052"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FN-CB-410a.2 Description of approach to incorporation of environmental, social and governance (ESG) factors in credit analysis</w:t>
            </w:r>
          </w:p>
        </w:tc>
        <w:tc>
          <w:tcPr>
            <w:tcW w:w="3814"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REPORT- 2.1. THE SOCIAL IMPACT OF OUR BUSINESS</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327"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2772" w:type="dxa"/>
            <w:tcBorders>
              <w:left w:val="single" w:sz="8" w:space="0" w:color="000000"/>
              <w:bottom w:val="single" w:sz="8" w:space="0" w:color="000000"/>
              <w:right w:val="single" w:sz="8" w:space="0" w:color="000000"/>
            </w:tcBorders>
            <w:shd w:fill="A6A6A6" w:val="clear"/>
            <w:vAlign w:val="center"/>
          </w:tcPr>
          <w:p>
            <w:pPr>
              <w:pStyle w:val="TableContents"/>
              <w:bidi w:val="0"/>
              <w:spacing w:before="0" w:after="283"/>
              <w:jc w:val="left"/>
              <w:rPr>
                <w:b/>
                <w:sz w:val="16"/>
              </w:rPr>
            </w:pPr>
            <w:r>
              <w:rPr>
                <w:b/>
                <w:sz w:val="16"/>
              </w:rPr>
              <w:t>COMPREHENSIVE RISK MANAGEMENT</w:t>
            </w:r>
          </w:p>
        </w:tc>
        <w:tc>
          <w:tcPr>
            <w:tcW w:w="3052"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left"/>
              <w:rPr/>
            </w:pPr>
            <w:r>
              <w:rPr/>
              <w:t> </w:t>
            </w:r>
          </w:p>
        </w:tc>
        <w:tc>
          <w:tcPr>
            <w:tcW w:w="3814"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327"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r>
      <w:tr>
        <w:trPr/>
        <w:tc>
          <w:tcPr>
            <w:tcW w:w="2772"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sz w:val="16"/>
              </w:rPr>
            </w:pPr>
            <w:r>
              <w:rPr>
                <w:sz w:val="16"/>
              </w:rPr>
              <w:t>GRI 3: Material Topics 2021</w:t>
            </w:r>
          </w:p>
        </w:tc>
        <w:tc>
          <w:tcPr>
            <w:tcW w:w="3052"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3-3 Management of material topics</w:t>
            </w:r>
          </w:p>
        </w:tc>
        <w:tc>
          <w:tcPr>
            <w:tcW w:w="3814"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ANNUAL REPORT- Chapter 5: Risk Management / SUSTAINABILITY REPORT- 1.7. THE KEY ENABLERS OF SUSTAINABILITY INTEGRATION / SUSTAINABILITY REPORTING - 3.4. ESG RISK MANAGEMENT</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327"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1, 2, 7, 8, 9, 10</w:t>
            </w:r>
          </w:p>
        </w:tc>
      </w:tr>
      <w:tr>
        <w:trPr/>
        <w:tc>
          <w:tcPr>
            <w:tcW w:w="2772" w:type="dxa"/>
            <w:vMerge w:val="restart"/>
            <w:tcBorders>
              <w:left w:val="single" w:sz="8" w:space="0" w:color="000000"/>
              <w:bottom w:val="single" w:sz="8" w:space="0" w:color="000000"/>
              <w:right w:val="single" w:sz="8" w:space="0" w:color="000000"/>
            </w:tcBorders>
            <w:vAlign w:val="center"/>
          </w:tcPr>
          <w:p>
            <w:pPr>
              <w:pStyle w:val="TableContents"/>
              <w:bidi w:val="0"/>
              <w:spacing w:before="0" w:after="283"/>
              <w:jc w:val="left"/>
              <w:rPr>
                <w:sz w:val="16"/>
              </w:rPr>
            </w:pPr>
            <w:r>
              <w:rPr>
                <w:sz w:val="16"/>
              </w:rPr>
              <w:t>SASB- SYSTEMIC RISK MANAGEMENT</w:t>
            </w:r>
          </w:p>
        </w:tc>
        <w:tc>
          <w:tcPr>
            <w:tcW w:w="3052"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FN-CB-550a.1 Global Systemically Important Bank (G-SIB) score, by category</w:t>
            </w:r>
          </w:p>
        </w:tc>
        <w:tc>
          <w:tcPr>
            <w:tcW w:w="3814"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The organization is not a G-SIB bank</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327"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2772" w:type="dxa"/>
            <w:vMerge w:val="continue"/>
            <w:tcBorders>
              <w:left w:val="single" w:sz="8" w:space="0" w:color="000000"/>
              <w:bottom w:val="single" w:sz="8" w:space="0" w:color="000000"/>
              <w:right w:val="single" w:sz="8" w:space="0" w:color="000000"/>
            </w:tcBorders>
            <w:vAlign w:val="center"/>
          </w:tcPr>
          <w:p>
            <w:pPr>
              <w:pStyle w:val="Normal"/>
              <w:bidi w:val="0"/>
              <w:jc w:val="left"/>
              <w:rPr/>
            </w:pPr>
            <w:r>
              <w:rPr/>
            </w:r>
          </w:p>
        </w:tc>
        <w:tc>
          <w:tcPr>
            <w:tcW w:w="3052"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FN-CB-550a.2 Description of approach to integrate results of mandatory and voluntary stress tests into capital adequacy planning, long-term corporate strategy, and other business activities</w:t>
            </w:r>
          </w:p>
        </w:tc>
        <w:tc>
          <w:tcPr>
            <w:tcW w:w="3814"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ANNUAL REPORT- Chapter 5: Risk Management</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327"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2772" w:type="dxa"/>
            <w:tcBorders>
              <w:left w:val="single" w:sz="8" w:space="0" w:color="000000"/>
              <w:bottom w:val="single" w:sz="8" w:space="0" w:color="000000"/>
              <w:right w:val="single" w:sz="8" w:space="0" w:color="000000"/>
            </w:tcBorders>
            <w:shd w:fill="A6A6A6" w:val="clear"/>
            <w:vAlign w:val="center"/>
          </w:tcPr>
          <w:p>
            <w:pPr>
              <w:pStyle w:val="TableContents"/>
              <w:bidi w:val="0"/>
              <w:spacing w:before="0" w:after="283"/>
              <w:jc w:val="left"/>
              <w:rPr>
                <w:b/>
                <w:sz w:val="16"/>
              </w:rPr>
            </w:pPr>
            <w:r>
              <w:rPr>
                <w:b/>
                <w:sz w:val="16"/>
              </w:rPr>
              <w:t>INNOVATION AND THE DIGITAL TRANSFORMATION</w:t>
            </w:r>
          </w:p>
        </w:tc>
        <w:tc>
          <w:tcPr>
            <w:tcW w:w="3052"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left"/>
              <w:rPr/>
            </w:pPr>
            <w:r>
              <w:rPr/>
              <w:t> </w:t>
            </w:r>
          </w:p>
        </w:tc>
        <w:tc>
          <w:tcPr>
            <w:tcW w:w="3814"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c>
          <w:tcPr>
            <w:tcW w:w="327" w:type="dxa"/>
            <w:tcBorders>
              <w:bottom w:val="single" w:sz="8" w:space="0" w:color="000000"/>
              <w:right w:val="single" w:sz="8" w:space="0" w:color="000000"/>
            </w:tcBorders>
            <w:shd w:fill="A6A6A6" w:val="clear"/>
            <w:tcMar>
              <w:left w:w="0" w:type="dxa"/>
            </w:tcMar>
            <w:vAlign w:val="center"/>
          </w:tcPr>
          <w:p>
            <w:pPr>
              <w:pStyle w:val="TableContents"/>
              <w:bidi w:val="0"/>
              <w:spacing w:before="0" w:after="283"/>
              <w:jc w:val="center"/>
              <w:rPr/>
            </w:pPr>
            <w:r>
              <w:rPr/>
              <w:t> </w:t>
            </w:r>
          </w:p>
        </w:tc>
      </w:tr>
      <w:tr>
        <w:trPr/>
        <w:tc>
          <w:tcPr>
            <w:tcW w:w="2772"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sz w:val="16"/>
              </w:rPr>
            </w:pPr>
            <w:r>
              <w:rPr>
                <w:sz w:val="16"/>
              </w:rPr>
              <w:t>GRI 3: Material Topics 2021</w:t>
            </w:r>
          </w:p>
        </w:tc>
        <w:tc>
          <w:tcPr>
            <w:tcW w:w="3052"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3-3 Management of material topics</w:t>
            </w:r>
          </w:p>
        </w:tc>
        <w:tc>
          <w:tcPr>
            <w:tcW w:w="3814"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ANNUAL REPORT- Chapter 2: Our business in 2023 / SUSTAINABILITY REPORT- 1.7. KEY SUSTAINABILITY INTEGRATION ENABLERS</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327"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1, 2, 7, 8, 9, 10</w:t>
            </w:r>
          </w:p>
        </w:tc>
      </w:tr>
    </w:tbl>
    <w:p>
      <w:pPr>
        <w:pStyle w:val="TextBody"/>
        <w:bidi w:val="0"/>
        <w:spacing w:before="0" w:after="0"/>
        <w:ind w:left="0" w:right="0" w:hanging="0"/>
        <w:jc w:val="left"/>
        <w:rPr>
          <w:caps w:val="false"/>
          <w:smallCaps w:val="false"/>
          <w:color w:val="FE5000"/>
        </w:rPr>
      </w:pPr>
      <w:r>
        <w:rPr>
          <w:caps w:val="false"/>
          <w:smallCaps w:val="false"/>
          <w:color w:val="FE5000"/>
        </w:rPr>
        <w:t> </w:t>
      </w:r>
    </w:p>
    <w:p>
      <w:pPr>
        <w:pStyle w:val="TextBody"/>
        <w:bidi w:val="0"/>
        <w:spacing w:before="0" w:after="0"/>
        <w:ind w:left="0" w:right="0" w:hanging="0"/>
        <w:jc w:val="left"/>
        <w:rPr>
          <w:rFonts w:ascii="Arial" w:hAnsi="Arial"/>
          <w:b/>
          <w:i w:val="false"/>
          <w:caps w:val="false"/>
          <w:smallCaps w:val="false"/>
          <w:color w:val="FE5000"/>
          <w:sz w:val="28"/>
        </w:rPr>
      </w:pPr>
      <w:r>
        <w:rPr>
          <w:rFonts w:ascii="Arial" w:hAnsi="Arial"/>
          <w:b/>
          <w:i w:val="false"/>
          <w:caps w:val="false"/>
          <w:smallCaps w:val="false"/>
          <w:color w:val="FE5000"/>
          <w:sz w:val="28"/>
        </w:rPr>
        <w:t>Contents of GRI standards not identified as material according to materiality results but are reported by Credicorp</w:t>
      </w:r>
    </w:p>
    <w:p>
      <w:pPr>
        <w:pStyle w:val="TextBody"/>
        <w:bidi w:val="0"/>
        <w:spacing w:before="0" w:after="0"/>
        <w:ind w:left="0" w:right="0" w:hanging="0"/>
        <w:jc w:val="left"/>
        <w:rPr>
          <w:caps w:val="false"/>
          <w:smallCaps w:val="false"/>
          <w:color w:val="FE5000"/>
        </w:rPr>
      </w:pPr>
      <w:r>
        <w:rPr>
          <w:caps w:val="false"/>
          <w:smallCaps w:val="false"/>
          <w:color w:val="FE5000"/>
        </w:rPr>
        <w:t> </w:t>
      </w:r>
    </w:p>
    <w:tbl>
      <w:tblPr>
        <w:tblW w:w="10205" w:type="dxa"/>
        <w:jc w:val="left"/>
        <w:tblInd w:w="-10" w:type="dxa"/>
        <w:tblLayout w:type="fixed"/>
        <w:tblCellMar>
          <w:top w:w="28" w:type="dxa"/>
          <w:left w:w="70" w:type="dxa"/>
          <w:bottom w:w="28" w:type="dxa"/>
          <w:right w:w="70" w:type="dxa"/>
        </w:tblCellMar>
      </w:tblPr>
      <w:tblGrid>
        <w:gridCol w:w="1422"/>
        <w:gridCol w:w="1865"/>
        <w:gridCol w:w="2201"/>
        <w:gridCol w:w="1508"/>
        <w:gridCol w:w="710"/>
        <w:gridCol w:w="1235"/>
        <w:gridCol w:w="733"/>
        <w:gridCol w:w="531"/>
      </w:tblGrid>
      <w:tr>
        <w:trPr/>
        <w:tc>
          <w:tcPr>
            <w:tcW w:w="1422" w:type="dxa"/>
            <w:vMerge w:val="restart"/>
            <w:tcBorders>
              <w:top w:val="single" w:sz="8" w:space="0" w:color="000000"/>
              <w:left w:val="single" w:sz="8" w:space="0" w:color="000000"/>
              <w:bottom w:val="single" w:sz="8" w:space="0" w:color="000000"/>
              <w:right w:val="single" w:sz="8" w:space="0" w:color="000000"/>
            </w:tcBorders>
            <w:shd w:fill="808080" w:val="clear"/>
            <w:vAlign w:val="center"/>
          </w:tcPr>
          <w:p>
            <w:pPr>
              <w:pStyle w:val="TableContents"/>
              <w:bidi w:val="0"/>
              <w:spacing w:before="0" w:after="283"/>
              <w:jc w:val="center"/>
              <w:rPr>
                <w:b/>
                <w:color w:val="000000"/>
                <w:sz w:val="16"/>
              </w:rPr>
            </w:pPr>
            <w:r>
              <w:rPr>
                <w:b/>
                <w:color w:val="000000"/>
                <w:sz w:val="16"/>
              </w:rPr>
              <w:t>GRI STANDARD/ OTHER SOURCE</w:t>
            </w:r>
          </w:p>
        </w:tc>
        <w:tc>
          <w:tcPr>
            <w:tcW w:w="1865" w:type="dxa"/>
            <w:vMerge w:val="restart"/>
            <w:tcBorders>
              <w:top w:val="single" w:sz="8" w:space="0" w:color="000000"/>
              <w:bottom w:val="single" w:sz="8" w:space="0" w:color="000000"/>
              <w:right w:val="single" w:sz="8" w:space="0" w:color="000000"/>
            </w:tcBorders>
            <w:shd w:fill="808080" w:val="clear"/>
            <w:tcMar>
              <w:left w:w="0" w:type="dxa"/>
            </w:tcMar>
            <w:vAlign w:val="center"/>
          </w:tcPr>
          <w:p>
            <w:pPr>
              <w:pStyle w:val="TableContents"/>
              <w:bidi w:val="0"/>
              <w:spacing w:before="0" w:after="283"/>
              <w:jc w:val="center"/>
              <w:rPr>
                <w:b/>
                <w:color w:val="000000"/>
                <w:sz w:val="16"/>
              </w:rPr>
            </w:pPr>
            <w:r>
              <w:rPr>
                <w:b/>
                <w:color w:val="000000"/>
                <w:sz w:val="16"/>
              </w:rPr>
              <w:t>CONTENTS</w:t>
            </w:r>
          </w:p>
        </w:tc>
        <w:tc>
          <w:tcPr>
            <w:tcW w:w="2201" w:type="dxa"/>
            <w:vMerge w:val="restart"/>
            <w:tcBorders>
              <w:top w:val="single" w:sz="8" w:space="0" w:color="000000"/>
              <w:bottom w:val="single" w:sz="8" w:space="0" w:color="000000"/>
              <w:right w:val="single" w:sz="8" w:space="0" w:color="000000"/>
            </w:tcBorders>
            <w:shd w:fill="808080" w:val="clear"/>
            <w:tcMar>
              <w:left w:w="0" w:type="dxa"/>
            </w:tcMar>
            <w:vAlign w:val="center"/>
          </w:tcPr>
          <w:p>
            <w:pPr>
              <w:pStyle w:val="TableContents"/>
              <w:bidi w:val="0"/>
              <w:spacing w:before="0" w:after="283"/>
              <w:jc w:val="center"/>
              <w:rPr>
                <w:b/>
                <w:color w:val="000000"/>
                <w:sz w:val="16"/>
              </w:rPr>
            </w:pPr>
            <w:r>
              <w:rPr>
                <w:b/>
                <w:color w:val="000000"/>
                <w:sz w:val="16"/>
              </w:rPr>
              <w:t>LOCATION</w:t>
            </w:r>
          </w:p>
        </w:tc>
        <w:tc>
          <w:tcPr>
            <w:tcW w:w="3453" w:type="dxa"/>
            <w:gridSpan w:val="3"/>
            <w:tcBorders>
              <w:top w:val="single" w:sz="8" w:space="0" w:color="000000"/>
              <w:bottom w:val="single" w:sz="8" w:space="0" w:color="000000"/>
              <w:right w:val="single" w:sz="8" w:space="0" w:color="000000"/>
            </w:tcBorders>
            <w:shd w:fill="808080" w:val="clear"/>
            <w:tcMar>
              <w:left w:w="0" w:type="dxa"/>
            </w:tcMar>
            <w:vAlign w:val="center"/>
          </w:tcPr>
          <w:p>
            <w:pPr>
              <w:pStyle w:val="TableContents"/>
              <w:bidi w:val="0"/>
              <w:spacing w:before="0" w:after="283"/>
              <w:jc w:val="center"/>
              <w:rPr>
                <w:b/>
                <w:color w:val="000000"/>
                <w:sz w:val="16"/>
              </w:rPr>
            </w:pPr>
            <w:r>
              <w:rPr>
                <w:b/>
                <w:color w:val="000000"/>
                <w:sz w:val="16"/>
              </w:rPr>
              <w:t>OMISSION</w:t>
            </w:r>
          </w:p>
        </w:tc>
        <w:tc>
          <w:tcPr>
            <w:tcW w:w="733" w:type="dxa"/>
            <w:vMerge w:val="restart"/>
            <w:tcBorders>
              <w:top w:val="single" w:sz="8" w:space="0" w:color="000000"/>
              <w:bottom w:val="single" w:sz="8" w:space="0" w:color="000000"/>
              <w:right w:val="single" w:sz="8" w:space="0" w:color="000000"/>
            </w:tcBorders>
            <w:shd w:fill="808080" w:val="clear"/>
            <w:tcMar>
              <w:left w:w="0" w:type="dxa"/>
            </w:tcMar>
            <w:vAlign w:val="center"/>
          </w:tcPr>
          <w:p>
            <w:pPr>
              <w:pStyle w:val="TableContents"/>
              <w:bidi w:val="0"/>
              <w:spacing w:before="0" w:after="283"/>
              <w:jc w:val="center"/>
              <w:rPr>
                <w:b/>
                <w:color w:val="000000"/>
                <w:sz w:val="16"/>
              </w:rPr>
            </w:pPr>
            <w:r>
              <w:rPr>
                <w:b/>
                <w:color w:val="000000"/>
                <w:sz w:val="16"/>
              </w:rPr>
              <w:t>SDG</w:t>
            </w:r>
          </w:p>
        </w:tc>
        <w:tc>
          <w:tcPr>
            <w:tcW w:w="531" w:type="dxa"/>
            <w:vMerge w:val="restart"/>
            <w:tcBorders>
              <w:top w:val="single" w:sz="8" w:space="0" w:color="000000"/>
              <w:bottom w:val="single" w:sz="8" w:space="0" w:color="000000"/>
              <w:right w:val="single" w:sz="8" w:space="0" w:color="000000"/>
            </w:tcBorders>
            <w:shd w:fill="808080" w:val="clear"/>
            <w:tcMar>
              <w:left w:w="0" w:type="dxa"/>
            </w:tcMar>
            <w:vAlign w:val="center"/>
          </w:tcPr>
          <w:p>
            <w:pPr>
              <w:pStyle w:val="TableContents"/>
              <w:bidi w:val="0"/>
              <w:spacing w:before="0" w:after="283"/>
              <w:jc w:val="center"/>
              <w:rPr>
                <w:b/>
                <w:color w:val="000000"/>
                <w:sz w:val="16"/>
              </w:rPr>
            </w:pPr>
            <w:r>
              <w:rPr>
                <w:b/>
                <w:color w:val="000000"/>
                <w:sz w:val="16"/>
              </w:rPr>
              <w:t>UNGC</w:t>
            </w:r>
          </w:p>
        </w:tc>
      </w:tr>
      <w:tr>
        <w:trPr/>
        <w:tc>
          <w:tcPr>
            <w:tcW w:w="1422" w:type="dxa"/>
            <w:vMerge w:val="continue"/>
            <w:tcBorders>
              <w:top w:val="single" w:sz="8" w:space="0" w:color="000000"/>
              <w:left w:val="single" w:sz="8" w:space="0" w:color="000000"/>
              <w:bottom w:val="single" w:sz="8" w:space="0" w:color="000000"/>
              <w:right w:val="single" w:sz="8" w:space="0" w:color="000000"/>
            </w:tcBorders>
            <w:shd w:fill="808080" w:val="clear"/>
            <w:vAlign w:val="center"/>
          </w:tcPr>
          <w:p>
            <w:pPr>
              <w:pStyle w:val="Normal"/>
              <w:bidi w:val="0"/>
              <w:jc w:val="left"/>
              <w:rPr/>
            </w:pPr>
            <w:r>
              <w:rPr/>
            </w:r>
          </w:p>
        </w:tc>
        <w:tc>
          <w:tcPr>
            <w:tcW w:w="1865" w:type="dxa"/>
            <w:vMerge w:val="continue"/>
            <w:tcBorders>
              <w:top w:val="single" w:sz="8" w:space="0" w:color="000000"/>
              <w:bottom w:val="single" w:sz="8" w:space="0" w:color="000000"/>
              <w:right w:val="single" w:sz="8" w:space="0" w:color="000000"/>
            </w:tcBorders>
            <w:shd w:fill="808080" w:val="clear"/>
            <w:tcMar>
              <w:left w:w="0" w:type="dxa"/>
            </w:tcMar>
            <w:vAlign w:val="center"/>
          </w:tcPr>
          <w:p>
            <w:pPr>
              <w:pStyle w:val="Normal"/>
              <w:bidi w:val="0"/>
              <w:jc w:val="left"/>
              <w:rPr/>
            </w:pPr>
            <w:r>
              <w:rPr/>
            </w:r>
          </w:p>
        </w:tc>
        <w:tc>
          <w:tcPr>
            <w:tcW w:w="2201" w:type="dxa"/>
            <w:vMerge w:val="continue"/>
            <w:tcBorders>
              <w:top w:val="single" w:sz="8" w:space="0" w:color="000000"/>
              <w:bottom w:val="single" w:sz="8" w:space="0" w:color="000000"/>
              <w:right w:val="single" w:sz="8" w:space="0" w:color="000000"/>
            </w:tcBorders>
            <w:shd w:fill="808080" w:val="clear"/>
            <w:tcMar>
              <w:left w:w="0" w:type="dxa"/>
            </w:tcMar>
            <w:vAlign w:val="center"/>
          </w:tcPr>
          <w:p>
            <w:pPr>
              <w:pStyle w:val="Normal"/>
              <w:bidi w:val="0"/>
              <w:jc w:val="left"/>
              <w:rPr/>
            </w:pPr>
            <w:r>
              <w:rPr/>
            </w:r>
          </w:p>
        </w:tc>
        <w:tc>
          <w:tcPr>
            <w:tcW w:w="1508" w:type="dxa"/>
            <w:tcBorders>
              <w:bottom w:val="single" w:sz="8" w:space="0" w:color="000000"/>
              <w:right w:val="single" w:sz="8" w:space="0" w:color="000000"/>
            </w:tcBorders>
            <w:shd w:fill="808080" w:val="clear"/>
            <w:tcMar>
              <w:top w:w="0" w:type="dxa"/>
              <w:left w:w="0" w:type="dxa"/>
            </w:tcMar>
            <w:vAlign w:val="center"/>
          </w:tcPr>
          <w:p>
            <w:pPr>
              <w:pStyle w:val="TableContents"/>
              <w:bidi w:val="0"/>
              <w:spacing w:before="0" w:after="283"/>
              <w:jc w:val="center"/>
              <w:rPr>
                <w:b/>
                <w:color w:val="000000"/>
                <w:sz w:val="16"/>
              </w:rPr>
            </w:pPr>
            <w:r>
              <w:rPr>
                <w:b/>
                <w:color w:val="000000"/>
                <w:sz w:val="16"/>
              </w:rPr>
              <w:t>REQUIREMENTS OMITTED</w:t>
            </w:r>
          </w:p>
        </w:tc>
        <w:tc>
          <w:tcPr>
            <w:tcW w:w="710" w:type="dxa"/>
            <w:tcBorders>
              <w:bottom w:val="single" w:sz="8" w:space="0" w:color="000000"/>
              <w:right w:val="single" w:sz="8" w:space="0" w:color="000000"/>
            </w:tcBorders>
            <w:shd w:fill="808080" w:val="clear"/>
            <w:tcMar>
              <w:top w:w="0" w:type="dxa"/>
              <w:left w:w="0" w:type="dxa"/>
            </w:tcMar>
            <w:vAlign w:val="center"/>
          </w:tcPr>
          <w:p>
            <w:pPr>
              <w:pStyle w:val="TableContents"/>
              <w:bidi w:val="0"/>
              <w:spacing w:before="0" w:after="283"/>
              <w:jc w:val="center"/>
              <w:rPr>
                <w:b/>
                <w:color w:val="000000"/>
                <w:sz w:val="16"/>
              </w:rPr>
            </w:pPr>
            <w:r>
              <w:rPr>
                <w:b/>
                <w:color w:val="000000"/>
                <w:sz w:val="16"/>
              </w:rPr>
              <w:t>REASON</w:t>
            </w:r>
          </w:p>
        </w:tc>
        <w:tc>
          <w:tcPr>
            <w:tcW w:w="1235" w:type="dxa"/>
            <w:tcBorders>
              <w:bottom w:val="single" w:sz="8" w:space="0" w:color="000000"/>
              <w:right w:val="single" w:sz="8" w:space="0" w:color="000000"/>
            </w:tcBorders>
            <w:shd w:fill="808080" w:val="clear"/>
            <w:tcMar>
              <w:top w:w="0" w:type="dxa"/>
              <w:left w:w="0" w:type="dxa"/>
            </w:tcMar>
            <w:vAlign w:val="center"/>
          </w:tcPr>
          <w:p>
            <w:pPr>
              <w:pStyle w:val="TableContents"/>
              <w:bidi w:val="0"/>
              <w:spacing w:before="0" w:after="283"/>
              <w:jc w:val="center"/>
              <w:rPr>
                <w:b/>
                <w:color w:val="000000"/>
                <w:sz w:val="16"/>
              </w:rPr>
            </w:pPr>
            <w:r>
              <w:rPr>
                <w:b/>
                <w:color w:val="000000"/>
                <w:sz w:val="16"/>
              </w:rPr>
              <w:t>EXPLANATION</w:t>
            </w:r>
          </w:p>
        </w:tc>
        <w:tc>
          <w:tcPr>
            <w:tcW w:w="733" w:type="dxa"/>
            <w:vMerge w:val="continue"/>
            <w:tcBorders>
              <w:top w:val="single" w:sz="8" w:space="0" w:color="000000"/>
              <w:bottom w:val="single" w:sz="8" w:space="0" w:color="000000"/>
              <w:right w:val="single" w:sz="8" w:space="0" w:color="000000"/>
            </w:tcBorders>
            <w:shd w:fill="808080" w:val="clear"/>
            <w:tcMar>
              <w:left w:w="0" w:type="dxa"/>
            </w:tcMar>
            <w:vAlign w:val="center"/>
          </w:tcPr>
          <w:p>
            <w:pPr>
              <w:pStyle w:val="Normal"/>
              <w:bidi w:val="0"/>
              <w:jc w:val="left"/>
              <w:rPr/>
            </w:pPr>
            <w:r>
              <w:rPr/>
            </w:r>
          </w:p>
        </w:tc>
        <w:tc>
          <w:tcPr>
            <w:tcW w:w="531" w:type="dxa"/>
            <w:vMerge w:val="continue"/>
            <w:tcBorders>
              <w:top w:val="single" w:sz="8" w:space="0" w:color="000000"/>
              <w:bottom w:val="single" w:sz="8" w:space="0" w:color="000000"/>
              <w:right w:val="single" w:sz="8" w:space="0" w:color="000000"/>
            </w:tcBorders>
            <w:shd w:fill="808080" w:val="clear"/>
            <w:tcMar>
              <w:left w:w="0" w:type="dxa"/>
            </w:tcMar>
            <w:vAlign w:val="center"/>
          </w:tcPr>
          <w:p>
            <w:pPr>
              <w:pStyle w:val="Normal"/>
              <w:bidi w:val="0"/>
              <w:jc w:val="left"/>
              <w:rPr/>
            </w:pPr>
            <w:r>
              <w:rPr/>
            </w:r>
          </w:p>
        </w:tc>
      </w:tr>
      <w:tr>
        <w:trPr/>
        <w:tc>
          <w:tcPr>
            <w:tcW w:w="10205" w:type="dxa"/>
            <w:gridSpan w:val="8"/>
            <w:tcBorders>
              <w:left w:val="single" w:sz="8" w:space="0" w:color="000000"/>
              <w:bottom w:val="single" w:sz="8" w:space="0" w:color="000000"/>
              <w:right w:val="single" w:sz="8" w:space="0" w:color="000000"/>
            </w:tcBorders>
            <w:shd w:fill="BFBFBF" w:val="clear"/>
            <w:tcMar>
              <w:top w:w="0" w:type="dxa"/>
            </w:tcMar>
            <w:vAlign w:val="center"/>
          </w:tcPr>
          <w:p>
            <w:pPr>
              <w:pStyle w:val="TableContents"/>
              <w:bidi w:val="0"/>
              <w:spacing w:before="0" w:after="283"/>
              <w:jc w:val="left"/>
              <w:rPr>
                <w:b/>
                <w:color w:val="000000"/>
                <w:sz w:val="16"/>
              </w:rPr>
            </w:pPr>
            <w:r>
              <w:rPr>
                <w:b/>
                <w:color w:val="000000"/>
                <w:sz w:val="16"/>
              </w:rPr>
              <w:t>PROCUREMENT PRACTICES</w:t>
            </w:r>
          </w:p>
        </w:tc>
      </w:tr>
      <w:tr>
        <w:trPr/>
        <w:tc>
          <w:tcPr>
            <w:tcW w:w="142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olor w:val="000000"/>
                <w:sz w:val="16"/>
              </w:rPr>
            </w:pPr>
            <w:r>
              <w:rPr>
                <w:color w:val="000000"/>
                <w:sz w:val="16"/>
              </w:rPr>
              <w:t>GRI 204: PROCUREMENT PRACTICES 2016</w:t>
            </w:r>
          </w:p>
        </w:tc>
        <w:tc>
          <w:tcPr>
            <w:tcW w:w="18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000000"/>
                <w:sz w:val="16"/>
              </w:rPr>
            </w:pPr>
            <w:r>
              <w:rPr>
                <w:color w:val="000000"/>
                <w:sz w:val="16"/>
              </w:rPr>
              <w:t>204-1 Proportion of spending on local suppliers</w:t>
            </w:r>
          </w:p>
        </w:tc>
        <w:tc>
          <w:tcPr>
            <w:tcW w:w="220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olor w:val="000000"/>
                <w:sz w:val="16"/>
              </w:rPr>
            </w:pPr>
            <w:r>
              <w:rPr>
                <w:color w:val="000000"/>
                <w:sz w:val="16"/>
              </w:rPr>
              <w:t>SUSTAINABILITY REPORT- 2.3. SUSTAINABLE SUPPLIER MANAGEMENT</w:t>
            </w:r>
          </w:p>
        </w:tc>
        <w:tc>
          <w:tcPr>
            <w:tcW w:w="150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3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olor w:val="000000"/>
                <w:sz w:val="16"/>
              </w:rPr>
            </w:pPr>
            <w:r>
              <w:rPr>
                <w:color w:val="000000"/>
                <w:sz w:val="16"/>
              </w:rPr>
              <w:t>8.3</w:t>
            </w:r>
          </w:p>
        </w:tc>
        <w:tc>
          <w:tcPr>
            <w:tcW w:w="53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0205" w:type="dxa"/>
            <w:gridSpan w:val="8"/>
            <w:tcBorders>
              <w:left w:val="single" w:sz="8" w:space="0" w:color="000000"/>
              <w:bottom w:val="single" w:sz="8" w:space="0" w:color="000000"/>
              <w:right w:val="single" w:sz="8" w:space="0" w:color="000000"/>
            </w:tcBorders>
            <w:shd w:fill="BFBFBF" w:val="clear"/>
            <w:tcMar>
              <w:top w:w="0" w:type="dxa"/>
            </w:tcMar>
            <w:vAlign w:val="center"/>
          </w:tcPr>
          <w:p>
            <w:pPr>
              <w:pStyle w:val="TableContents"/>
              <w:bidi w:val="0"/>
              <w:spacing w:before="0" w:after="283"/>
              <w:jc w:val="left"/>
              <w:rPr>
                <w:b/>
                <w:color w:val="000000"/>
                <w:sz w:val="16"/>
              </w:rPr>
            </w:pPr>
            <w:r>
              <w:rPr>
                <w:b/>
                <w:color w:val="000000"/>
                <w:sz w:val="16"/>
              </w:rPr>
              <w:t>TAXATION</w:t>
            </w:r>
          </w:p>
        </w:tc>
      </w:tr>
      <w:tr>
        <w:trPr/>
        <w:tc>
          <w:tcPr>
            <w:tcW w:w="1422"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olor w:val="000000"/>
                <w:sz w:val="16"/>
              </w:rPr>
            </w:pPr>
            <w:r>
              <w:rPr>
                <w:color w:val="000000"/>
                <w:sz w:val="16"/>
              </w:rPr>
              <w:t>GRI 207: TAX 2019</w:t>
            </w:r>
          </w:p>
        </w:tc>
        <w:tc>
          <w:tcPr>
            <w:tcW w:w="18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000000"/>
                <w:sz w:val="16"/>
              </w:rPr>
            </w:pPr>
            <w:r>
              <w:rPr>
                <w:color w:val="000000"/>
                <w:sz w:val="16"/>
              </w:rPr>
              <w:t>207-1 Approach to tax</w:t>
            </w:r>
          </w:p>
        </w:tc>
        <w:tc>
          <w:tcPr>
            <w:tcW w:w="220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olor w:val="000000"/>
                <w:sz w:val="16"/>
              </w:rPr>
            </w:pPr>
            <w:r>
              <w:rPr>
                <w:color w:val="000000"/>
                <w:sz w:val="16"/>
              </w:rPr>
              <w:t>ANNUAL REPORT- Chapter 6: Financial statements:</w:t>
            </w:r>
          </w:p>
        </w:tc>
        <w:tc>
          <w:tcPr>
            <w:tcW w:w="150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3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olor w:val="000000"/>
                <w:sz w:val="16"/>
              </w:rPr>
            </w:pPr>
            <w:r>
              <w:rPr>
                <w:color w:val="000000"/>
                <w:sz w:val="16"/>
              </w:rPr>
              <w:t>1.1 - 1.3 - 10.4 - 17.1 - 17.3</w:t>
            </w:r>
          </w:p>
        </w:tc>
        <w:tc>
          <w:tcPr>
            <w:tcW w:w="53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422"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18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000000"/>
                <w:sz w:val="16"/>
              </w:rPr>
            </w:pPr>
            <w:r>
              <w:rPr>
                <w:color w:val="000000"/>
                <w:sz w:val="16"/>
              </w:rPr>
              <w:t>207-2 Tax governance, control, and risk management</w:t>
            </w:r>
          </w:p>
        </w:tc>
        <w:tc>
          <w:tcPr>
            <w:tcW w:w="220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olor w:val="000000"/>
                <w:sz w:val="16"/>
              </w:rPr>
            </w:pPr>
            <w:r>
              <w:rPr>
                <w:color w:val="000000"/>
                <w:sz w:val="16"/>
              </w:rPr>
              <w:t>ANNUAL REPORT- Chapter 6: Financial statements:</w:t>
            </w:r>
          </w:p>
        </w:tc>
        <w:tc>
          <w:tcPr>
            <w:tcW w:w="150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3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olor w:val="000000"/>
                <w:sz w:val="16"/>
              </w:rPr>
            </w:pPr>
            <w:r>
              <w:rPr>
                <w:color w:val="000000"/>
                <w:sz w:val="16"/>
              </w:rPr>
              <w:t>1.1 - 1.3 - 10.4 - 17.1 - 17.3</w:t>
            </w:r>
          </w:p>
        </w:tc>
        <w:tc>
          <w:tcPr>
            <w:tcW w:w="53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422"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18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000000"/>
                <w:sz w:val="16"/>
              </w:rPr>
            </w:pPr>
            <w:r>
              <w:rPr>
                <w:color w:val="000000"/>
                <w:sz w:val="16"/>
              </w:rPr>
              <w:t>207-4 Country-by-country reporting</w:t>
            </w:r>
          </w:p>
        </w:tc>
        <w:tc>
          <w:tcPr>
            <w:tcW w:w="220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olor w:val="000000"/>
                <w:sz w:val="16"/>
              </w:rPr>
            </w:pPr>
            <w:r>
              <w:rPr>
                <w:color w:val="000000"/>
                <w:sz w:val="16"/>
              </w:rPr>
              <w:t>ANNUAL REPORT- Chapter 6: Financial statements:</w:t>
            </w:r>
          </w:p>
        </w:tc>
        <w:tc>
          <w:tcPr>
            <w:tcW w:w="150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3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olor w:val="000000"/>
                <w:sz w:val="16"/>
              </w:rPr>
            </w:pPr>
            <w:r>
              <w:rPr>
                <w:color w:val="000000"/>
                <w:sz w:val="16"/>
              </w:rPr>
              <w:t>1.1 - 1.3 - 10.4 - 17.1 - 17.3</w:t>
            </w:r>
          </w:p>
        </w:tc>
        <w:tc>
          <w:tcPr>
            <w:tcW w:w="53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0205" w:type="dxa"/>
            <w:gridSpan w:val="8"/>
            <w:tcBorders>
              <w:left w:val="single" w:sz="8" w:space="0" w:color="000000"/>
              <w:bottom w:val="single" w:sz="8" w:space="0" w:color="000000"/>
              <w:right w:val="single" w:sz="8" w:space="0" w:color="000000"/>
            </w:tcBorders>
            <w:shd w:fill="BFBFBF" w:val="clear"/>
            <w:tcMar>
              <w:top w:w="0" w:type="dxa"/>
            </w:tcMar>
            <w:vAlign w:val="center"/>
          </w:tcPr>
          <w:p>
            <w:pPr>
              <w:pStyle w:val="TableContents"/>
              <w:bidi w:val="0"/>
              <w:spacing w:before="0" w:after="283"/>
              <w:jc w:val="left"/>
              <w:rPr>
                <w:b/>
                <w:color w:val="000000"/>
                <w:sz w:val="16"/>
              </w:rPr>
            </w:pPr>
            <w:r>
              <w:rPr>
                <w:b/>
                <w:color w:val="000000"/>
                <w:sz w:val="16"/>
              </w:rPr>
              <w:t>ENERGY</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98</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0" w:type="dxa"/>
          <w:left w:w="70" w:type="dxa"/>
          <w:bottom w:w="28" w:type="dxa"/>
          <w:right w:w="70" w:type="dxa"/>
        </w:tblCellMar>
      </w:tblPr>
      <w:tblGrid>
        <w:gridCol w:w="2019"/>
        <w:gridCol w:w="2368"/>
        <w:gridCol w:w="3859"/>
        <w:gridCol w:w="60"/>
        <w:gridCol w:w="60"/>
        <w:gridCol w:w="60"/>
        <w:gridCol w:w="1450"/>
        <w:gridCol w:w="329"/>
      </w:tblGrid>
      <w:tr>
        <w:trPr/>
        <w:tc>
          <w:tcPr>
            <w:tcW w:w="2019" w:type="dxa"/>
            <w:vMerge w:val="restart"/>
            <w:tcBorders>
              <w:left w:val="single" w:sz="8" w:space="0" w:color="000000"/>
              <w:bottom w:val="single" w:sz="8" w:space="0" w:color="000000"/>
              <w:right w:val="single" w:sz="8" w:space="0" w:color="000000"/>
            </w:tcBorders>
            <w:vAlign w:val="center"/>
          </w:tcPr>
          <w:p>
            <w:pPr>
              <w:pStyle w:val="TableContents"/>
              <w:bidi w:val="0"/>
              <w:spacing w:before="0" w:after="283"/>
              <w:jc w:val="left"/>
              <w:rPr>
                <w:sz w:val="16"/>
              </w:rPr>
            </w:pPr>
            <w:r>
              <w:rPr>
                <w:sz w:val="16"/>
              </w:rPr>
              <w:t>GRI 302: ENERGY 2016</w:t>
            </w:r>
          </w:p>
        </w:tc>
        <w:tc>
          <w:tcPr>
            <w:tcW w:w="2368"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302-1 Energy consumption within the organization</w:t>
            </w:r>
          </w:p>
        </w:tc>
        <w:tc>
          <w:tcPr>
            <w:tcW w:w="3859"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ANNEX 3.6. OUR DIRECT ENVIRONMENTAL IMPACT</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45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7.2 - 7.3 - 8.4 - 12.2 - 13.1</w:t>
            </w:r>
          </w:p>
        </w:tc>
        <w:tc>
          <w:tcPr>
            <w:tcW w:w="329"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7, 8, 9</w:t>
            </w:r>
          </w:p>
        </w:tc>
      </w:tr>
      <w:tr>
        <w:trPr/>
        <w:tc>
          <w:tcPr>
            <w:tcW w:w="2019" w:type="dxa"/>
            <w:vMerge w:val="continue"/>
            <w:tcBorders>
              <w:left w:val="single" w:sz="8" w:space="0" w:color="000000"/>
              <w:bottom w:val="single" w:sz="8" w:space="0" w:color="000000"/>
              <w:right w:val="single" w:sz="8" w:space="0" w:color="000000"/>
            </w:tcBorders>
            <w:vAlign w:val="center"/>
          </w:tcPr>
          <w:p>
            <w:pPr>
              <w:pStyle w:val="Normal"/>
              <w:bidi w:val="0"/>
              <w:jc w:val="left"/>
              <w:rPr/>
            </w:pPr>
            <w:r>
              <w:rPr/>
            </w:r>
          </w:p>
        </w:tc>
        <w:tc>
          <w:tcPr>
            <w:tcW w:w="2368"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302-2 Energy consumption outside of the organization</w:t>
            </w:r>
          </w:p>
        </w:tc>
        <w:tc>
          <w:tcPr>
            <w:tcW w:w="3859"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ANNEX 3.6. OUR DIRECT ENVIRONMENTAL IMPACT</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45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7.2 - 7.3 - 8.4 - 12.2 - 13.1</w:t>
            </w:r>
          </w:p>
        </w:tc>
        <w:tc>
          <w:tcPr>
            <w:tcW w:w="329"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7, 8, 9</w:t>
            </w:r>
          </w:p>
        </w:tc>
      </w:tr>
      <w:tr>
        <w:trPr/>
        <w:tc>
          <w:tcPr>
            <w:tcW w:w="2019" w:type="dxa"/>
            <w:vMerge w:val="continue"/>
            <w:tcBorders>
              <w:left w:val="single" w:sz="8" w:space="0" w:color="000000"/>
              <w:bottom w:val="single" w:sz="8" w:space="0" w:color="000000"/>
              <w:right w:val="single" w:sz="8" w:space="0" w:color="000000"/>
            </w:tcBorders>
            <w:vAlign w:val="center"/>
          </w:tcPr>
          <w:p>
            <w:pPr>
              <w:pStyle w:val="Normal"/>
              <w:bidi w:val="0"/>
              <w:jc w:val="left"/>
              <w:rPr/>
            </w:pPr>
            <w:r>
              <w:rPr/>
            </w:r>
          </w:p>
        </w:tc>
        <w:tc>
          <w:tcPr>
            <w:tcW w:w="2368"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302-3 Energy intensity</w:t>
            </w:r>
          </w:p>
        </w:tc>
        <w:tc>
          <w:tcPr>
            <w:tcW w:w="3859"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ANNEX 3.6. OUR DIRECT ENVIRONMENTAL IMPACT</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45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7.2 - 7.3 - 8.4 - 12.2 - 13.1</w:t>
            </w:r>
          </w:p>
        </w:tc>
        <w:tc>
          <w:tcPr>
            <w:tcW w:w="329"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7, 8, 9</w:t>
            </w:r>
          </w:p>
        </w:tc>
      </w:tr>
      <w:tr>
        <w:trPr/>
        <w:tc>
          <w:tcPr>
            <w:tcW w:w="2019" w:type="dxa"/>
            <w:vMerge w:val="continue"/>
            <w:tcBorders>
              <w:left w:val="single" w:sz="8" w:space="0" w:color="000000"/>
              <w:bottom w:val="single" w:sz="8" w:space="0" w:color="000000"/>
              <w:right w:val="single" w:sz="8" w:space="0" w:color="000000"/>
            </w:tcBorders>
            <w:vAlign w:val="center"/>
          </w:tcPr>
          <w:p>
            <w:pPr>
              <w:pStyle w:val="Normal"/>
              <w:bidi w:val="0"/>
              <w:jc w:val="left"/>
              <w:rPr/>
            </w:pPr>
            <w:r>
              <w:rPr/>
            </w:r>
          </w:p>
        </w:tc>
        <w:tc>
          <w:tcPr>
            <w:tcW w:w="2368"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302-4 Reduction of energy consumption</w:t>
            </w:r>
          </w:p>
        </w:tc>
        <w:tc>
          <w:tcPr>
            <w:tcW w:w="3859"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ANNEX 3.6. OUR DIRECT ENVIRONMENTAL IMPACT</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45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7.2 - 7.3 - 8.4 - 12.2 - 13.1</w:t>
            </w:r>
          </w:p>
        </w:tc>
        <w:tc>
          <w:tcPr>
            <w:tcW w:w="329"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7, 8, 9</w:t>
            </w:r>
          </w:p>
        </w:tc>
      </w:tr>
      <w:tr>
        <w:trPr/>
        <w:tc>
          <w:tcPr>
            <w:tcW w:w="10205" w:type="dxa"/>
            <w:gridSpan w:val="8"/>
            <w:tcBorders>
              <w:left w:val="single" w:sz="8" w:space="0" w:color="000000"/>
              <w:bottom w:val="single" w:sz="8" w:space="0" w:color="000000"/>
              <w:right w:val="single" w:sz="8" w:space="0" w:color="000000"/>
            </w:tcBorders>
            <w:shd w:fill="BFBFBF" w:val="clear"/>
            <w:vAlign w:val="center"/>
          </w:tcPr>
          <w:p>
            <w:pPr>
              <w:pStyle w:val="TableContents"/>
              <w:bidi w:val="0"/>
              <w:spacing w:before="0" w:after="283"/>
              <w:jc w:val="left"/>
              <w:rPr>
                <w:b/>
                <w:sz w:val="16"/>
              </w:rPr>
            </w:pPr>
            <w:r>
              <w:rPr>
                <w:b/>
                <w:sz w:val="16"/>
              </w:rPr>
              <w:t>WATER AND EFFLUENTS</w:t>
            </w:r>
          </w:p>
        </w:tc>
      </w:tr>
      <w:tr>
        <w:trPr/>
        <w:tc>
          <w:tcPr>
            <w:tcW w:w="2019"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sz w:val="16"/>
              </w:rPr>
            </w:pPr>
            <w:r>
              <w:rPr>
                <w:sz w:val="16"/>
              </w:rPr>
              <w:t>GRI 303: WATER AND EFFLUENTS 2018</w:t>
            </w:r>
          </w:p>
        </w:tc>
        <w:tc>
          <w:tcPr>
            <w:tcW w:w="2368"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303-3 Water withdrawal</w:t>
            </w:r>
          </w:p>
        </w:tc>
        <w:tc>
          <w:tcPr>
            <w:tcW w:w="3859"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ANNEX 3.6. OUR DIRECT ENVIRONMENTAL IMPACT</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45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6.4</w:t>
            </w:r>
          </w:p>
        </w:tc>
        <w:tc>
          <w:tcPr>
            <w:tcW w:w="329"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r>
        <w:trPr/>
        <w:tc>
          <w:tcPr>
            <w:tcW w:w="10205" w:type="dxa"/>
            <w:gridSpan w:val="8"/>
            <w:tcBorders>
              <w:left w:val="single" w:sz="8" w:space="0" w:color="000000"/>
              <w:bottom w:val="single" w:sz="8" w:space="0" w:color="000000"/>
              <w:right w:val="single" w:sz="8" w:space="0" w:color="000000"/>
            </w:tcBorders>
            <w:shd w:fill="BFBFBF" w:val="clear"/>
            <w:vAlign w:val="center"/>
          </w:tcPr>
          <w:p>
            <w:pPr>
              <w:pStyle w:val="TableContents"/>
              <w:bidi w:val="0"/>
              <w:spacing w:before="0" w:after="283"/>
              <w:jc w:val="left"/>
              <w:rPr>
                <w:b/>
                <w:sz w:val="16"/>
              </w:rPr>
            </w:pPr>
            <w:r>
              <w:rPr>
                <w:b/>
                <w:sz w:val="16"/>
              </w:rPr>
              <w:t>EMISSIONS</w:t>
            </w:r>
          </w:p>
        </w:tc>
      </w:tr>
      <w:tr>
        <w:trPr/>
        <w:tc>
          <w:tcPr>
            <w:tcW w:w="2019" w:type="dxa"/>
            <w:vMerge w:val="restart"/>
            <w:tcBorders>
              <w:left w:val="single" w:sz="8" w:space="0" w:color="000000"/>
              <w:bottom w:val="single" w:sz="8" w:space="0" w:color="000000"/>
              <w:right w:val="single" w:sz="8" w:space="0" w:color="000000"/>
            </w:tcBorders>
            <w:vAlign w:val="center"/>
          </w:tcPr>
          <w:p>
            <w:pPr>
              <w:pStyle w:val="TableContents"/>
              <w:bidi w:val="0"/>
              <w:spacing w:before="0" w:after="283"/>
              <w:jc w:val="left"/>
              <w:rPr>
                <w:sz w:val="16"/>
              </w:rPr>
            </w:pPr>
            <w:r>
              <w:rPr>
                <w:sz w:val="16"/>
              </w:rPr>
              <w:t>GRI 305: EMISSIONS 2016</w:t>
            </w:r>
          </w:p>
        </w:tc>
        <w:tc>
          <w:tcPr>
            <w:tcW w:w="2368"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305-1 Direct (Scope 1) GHG emissions</w:t>
            </w:r>
          </w:p>
        </w:tc>
        <w:tc>
          <w:tcPr>
            <w:tcW w:w="3859"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ANNEX 3.6. OUR DIRECT ENVIRONMENTAL IMPACT</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45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3.9 - 12.4 - 13.1 - 14.3 - 15.2</w:t>
            </w:r>
          </w:p>
        </w:tc>
        <w:tc>
          <w:tcPr>
            <w:tcW w:w="329"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7, 8</w:t>
            </w:r>
          </w:p>
        </w:tc>
      </w:tr>
      <w:tr>
        <w:trPr/>
        <w:tc>
          <w:tcPr>
            <w:tcW w:w="2019" w:type="dxa"/>
            <w:vMerge w:val="continue"/>
            <w:tcBorders>
              <w:left w:val="single" w:sz="8" w:space="0" w:color="000000"/>
              <w:bottom w:val="single" w:sz="8" w:space="0" w:color="000000"/>
              <w:right w:val="single" w:sz="8" w:space="0" w:color="000000"/>
            </w:tcBorders>
            <w:vAlign w:val="center"/>
          </w:tcPr>
          <w:p>
            <w:pPr>
              <w:pStyle w:val="Normal"/>
              <w:bidi w:val="0"/>
              <w:jc w:val="left"/>
              <w:rPr/>
            </w:pPr>
            <w:r>
              <w:rPr/>
            </w:r>
          </w:p>
        </w:tc>
        <w:tc>
          <w:tcPr>
            <w:tcW w:w="2368"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305-2 Energy indirect (Scope 2) GHG emissions</w:t>
            </w:r>
          </w:p>
        </w:tc>
        <w:tc>
          <w:tcPr>
            <w:tcW w:w="3859"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ANNEX 3.6. OUR DIRECT ENVIRONMENTAL IMPACT</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45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3.9 - 12.4 - 13.1 - 14.3 - 15.2</w:t>
            </w:r>
          </w:p>
        </w:tc>
        <w:tc>
          <w:tcPr>
            <w:tcW w:w="329"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7, 8</w:t>
            </w:r>
          </w:p>
        </w:tc>
      </w:tr>
      <w:tr>
        <w:trPr/>
        <w:tc>
          <w:tcPr>
            <w:tcW w:w="2019" w:type="dxa"/>
            <w:vMerge w:val="continue"/>
            <w:tcBorders>
              <w:left w:val="single" w:sz="8" w:space="0" w:color="000000"/>
              <w:bottom w:val="single" w:sz="8" w:space="0" w:color="000000"/>
              <w:right w:val="single" w:sz="8" w:space="0" w:color="000000"/>
            </w:tcBorders>
            <w:vAlign w:val="center"/>
          </w:tcPr>
          <w:p>
            <w:pPr>
              <w:pStyle w:val="Normal"/>
              <w:bidi w:val="0"/>
              <w:jc w:val="left"/>
              <w:rPr/>
            </w:pPr>
            <w:r>
              <w:rPr/>
            </w:r>
          </w:p>
        </w:tc>
        <w:tc>
          <w:tcPr>
            <w:tcW w:w="2368"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305- 3 Other indirect (Scope 3) GHG emissions</w:t>
            </w:r>
          </w:p>
        </w:tc>
        <w:tc>
          <w:tcPr>
            <w:tcW w:w="3859"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ANNEX 3.6. OUR DIRECT ENVIRONMENTAL IMPACT</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45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3.9 - 12.4 - 13.1 - 14.3 - 15.2</w:t>
            </w:r>
          </w:p>
        </w:tc>
        <w:tc>
          <w:tcPr>
            <w:tcW w:w="329"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7, 8</w:t>
            </w:r>
          </w:p>
        </w:tc>
      </w:tr>
      <w:tr>
        <w:trPr/>
        <w:tc>
          <w:tcPr>
            <w:tcW w:w="2019" w:type="dxa"/>
            <w:vMerge w:val="continue"/>
            <w:tcBorders>
              <w:left w:val="single" w:sz="8" w:space="0" w:color="000000"/>
              <w:bottom w:val="single" w:sz="8" w:space="0" w:color="000000"/>
              <w:right w:val="single" w:sz="8" w:space="0" w:color="000000"/>
            </w:tcBorders>
            <w:vAlign w:val="center"/>
          </w:tcPr>
          <w:p>
            <w:pPr>
              <w:pStyle w:val="Normal"/>
              <w:bidi w:val="0"/>
              <w:jc w:val="left"/>
              <w:rPr/>
            </w:pPr>
            <w:r>
              <w:rPr/>
            </w:r>
          </w:p>
        </w:tc>
        <w:tc>
          <w:tcPr>
            <w:tcW w:w="2368" w:type="dxa"/>
            <w:tcBorders>
              <w:bottom w:val="single" w:sz="8" w:space="0" w:color="000000"/>
              <w:right w:val="single" w:sz="8" w:space="0" w:color="000000"/>
            </w:tcBorders>
            <w:tcMar>
              <w:left w:w="0" w:type="dxa"/>
            </w:tcMar>
            <w:vAlign w:val="center"/>
          </w:tcPr>
          <w:p>
            <w:pPr>
              <w:pStyle w:val="TableContents"/>
              <w:shd w:fill="FFFFFF" w:val="clear"/>
              <w:bidi w:val="0"/>
              <w:spacing w:before="0" w:after="0"/>
              <w:ind w:left="0" w:right="0" w:hanging="0"/>
              <w:jc w:val="left"/>
              <w:rPr>
                <w:rFonts w:ascii="Arial" w:hAnsi="Arial"/>
                <w:b w:val="false"/>
                <w:i w:val="false"/>
                <w:caps w:val="false"/>
                <w:smallCaps w:val="false"/>
                <w:sz w:val="16"/>
              </w:rPr>
            </w:pPr>
            <w:r>
              <w:rPr>
                <w:rFonts w:ascii="Arial" w:hAnsi="Arial"/>
                <w:b w:val="false"/>
                <w:i w:val="false"/>
                <w:caps w:val="false"/>
                <w:smallCaps w:val="false"/>
                <w:sz w:val="16"/>
              </w:rPr>
              <w:t>305-4 GHG emissions intensity</w:t>
            </w:r>
          </w:p>
          <w:p>
            <w:pPr>
              <w:pStyle w:val="TableContents"/>
              <w:shd w:fill="FFFFFF" w:val="clear"/>
              <w:bidi w:val="0"/>
              <w:spacing w:before="0" w:after="0"/>
              <w:ind w:left="0" w:right="0" w:hanging="0"/>
              <w:jc w:val="left"/>
              <w:rPr>
                <w:caps w:val="false"/>
                <w:smallCaps w:val="false"/>
              </w:rPr>
            </w:pPr>
            <w:r>
              <w:rPr>
                <w:caps w:val="false"/>
                <w:smallCaps w:val="false"/>
              </w:rPr>
              <w:t> </w:t>
            </w:r>
          </w:p>
        </w:tc>
        <w:tc>
          <w:tcPr>
            <w:tcW w:w="3859"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ANNEX 3.6. OUR DIRECT ENVIRONMENTAL IMPACT</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45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3.9 - 12.4 - 13.1 - 14.3 - 15.2</w:t>
            </w:r>
          </w:p>
        </w:tc>
        <w:tc>
          <w:tcPr>
            <w:tcW w:w="329"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7, 8</w:t>
            </w:r>
          </w:p>
        </w:tc>
      </w:tr>
      <w:tr>
        <w:trPr/>
        <w:tc>
          <w:tcPr>
            <w:tcW w:w="2019" w:type="dxa"/>
            <w:vMerge w:val="continue"/>
            <w:tcBorders>
              <w:left w:val="single" w:sz="8" w:space="0" w:color="000000"/>
              <w:bottom w:val="single" w:sz="8" w:space="0" w:color="000000"/>
              <w:right w:val="single" w:sz="8" w:space="0" w:color="000000"/>
            </w:tcBorders>
            <w:vAlign w:val="center"/>
          </w:tcPr>
          <w:p>
            <w:pPr>
              <w:pStyle w:val="Normal"/>
              <w:bidi w:val="0"/>
              <w:jc w:val="left"/>
              <w:rPr/>
            </w:pPr>
            <w:r>
              <w:rPr/>
            </w:r>
          </w:p>
        </w:tc>
        <w:tc>
          <w:tcPr>
            <w:tcW w:w="2368"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305-5 Reduction of GHG emission</w:t>
            </w:r>
          </w:p>
        </w:tc>
        <w:tc>
          <w:tcPr>
            <w:tcW w:w="3859"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ANNEX 3.6. OUR DIRECT ENVIRONMENTAL IMPACT</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45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3.9 - 12.4 - 13.1 - 14.3 - 15.2</w:t>
            </w:r>
          </w:p>
        </w:tc>
        <w:tc>
          <w:tcPr>
            <w:tcW w:w="329"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7, 8</w:t>
            </w:r>
          </w:p>
        </w:tc>
      </w:tr>
      <w:tr>
        <w:trPr/>
        <w:tc>
          <w:tcPr>
            <w:tcW w:w="10205" w:type="dxa"/>
            <w:gridSpan w:val="8"/>
            <w:tcBorders>
              <w:left w:val="single" w:sz="8" w:space="0" w:color="000000"/>
              <w:bottom w:val="single" w:sz="8" w:space="0" w:color="000000"/>
              <w:right w:val="single" w:sz="8" w:space="0" w:color="000000"/>
            </w:tcBorders>
            <w:shd w:fill="BFBFBF" w:val="clear"/>
            <w:vAlign w:val="center"/>
          </w:tcPr>
          <w:p>
            <w:pPr>
              <w:pStyle w:val="TableContents"/>
              <w:bidi w:val="0"/>
              <w:spacing w:before="0" w:after="283"/>
              <w:jc w:val="left"/>
              <w:rPr>
                <w:b/>
                <w:sz w:val="16"/>
              </w:rPr>
            </w:pPr>
            <w:r>
              <w:rPr>
                <w:b/>
                <w:sz w:val="16"/>
              </w:rPr>
              <w:t>WASTE</w:t>
            </w:r>
          </w:p>
        </w:tc>
      </w:tr>
      <w:tr>
        <w:trPr/>
        <w:tc>
          <w:tcPr>
            <w:tcW w:w="2019" w:type="dxa"/>
            <w:vMerge w:val="restart"/>
            <w:tcBorders>
              <w:left w:val="single" w:sz="8" w:space="0" w:color="000000"/>
              <w:bottom w:val="single" w:sz="8" w:space="0" w:color="000000"/>
              <w:right w:val="single" w:sz="8" w:space="0" w:color="000000"/>
            </w:tcBorders>
            <w:vAlign w:val="center"/>
          </w:tcPr>
          <w:p>
            <w:pPr>
              <w:pStyle w:val="TableContents"/>
              <w:bidi w:val="0"/>
              <w:spacing w:before="0" w:after="283"/>
              <w:jc w:val="left"/>
              <w:rPr>
                <w:sz w:val="16"/>
              </w:rPr>
            </w:pPr>
            <w:r>
              <w:rPr>
                <w:sz w:val="16"/>
              </w:rPr>
              <w:t>GRI 306: WASTE 2020</w:t>
            </w:r>
          </w:p>
        </w:tc>
        <w:tc>
          <w:tcPr>
            <w:tcW w:w="2368"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306-3 Waste generated</w:t>
            </w:r>
          </w:p>
        </w:tc>
        <w:tc>
          <w:tcPr>
            <w:tcW w:w="3859"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ANNEX 3.6. OUR DIRECT ENVIRONMENTAL IMPACT</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45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3.9 - 6.6 - 11.6 - 12.4 - 12.5 - 15.1</w:t>
            </w:r>
          </w:p>
        </w:tc>
        <w:tc>
          <w:tcPr>
            <w:tcW w:w="329"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7, 8</w:t>
            </w:r>
          </w:p>
        </w:tc>
      </w:tr>
      <w:tr>
        <w:trPr/>
        <w:tc>
          <w:tcPr>
            <w:tcW w:w="2019" w:type="dxa"/>
            <w:vMerge w:val="continue"/>
            <w:tcBorders>
              <w:left w:val="single" w:sz="8" w:space="0" w:color="000000"/>
              <w:bottom w:val="single" w:sz="8" w:space="0" w:color="000000"/>
              <w:right w:val="single" w:sz="8" w:space="0" w:color="000000"/>
            </w:tcBorders>
            <w:vAlign w:val="center"/>
          </w:tcPr>
          <w:p>
            <w:pPr>
              <w:pStyle w:val="Normal"/>
              <w:bidi w:val="0"/>
              <w:jc w:val="left"/>
              <w:rPr/>
            </w:pPr>
            <w:r>
              <w:rPr/>
            </w:r>
          </w:p>
        </w:tc>
        <w:tc>
          <w:tcPr>
            <w:tcW w:w="2368"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306- 4 Waste diverted from disposal</w:t>
            </w:r>
          </w:p>
        </w:tc>
        <w:tc>
          <w:tcPr>
            <w:tcW w:w="3859"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ANNEX 3.6. OUR DIRECT ENVIRONMENTAL IMPACT</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45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3.9 - 11.6 - 12.4 - 12.5</w:t>
            </w:r>
          </w:p>
        </w:tc>
        <w:tc>
          <w:tcPr>
            <w:tcW w:w="329"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7, 8</w:t>
            </w:r>
          </w:p>
        </w:tc>
      </w:tr>
      <w:tr>
        <w:trPr/>
        <w:tc>
          <w:tcPr>
            <w:tcW w:w="2019" w:type="dxa"/>
            <w:vMerge w:val="continue"/>
            <w:tcBorders>
              <w:left w:val="single" w:sz="8" w:space="0" w:color="000000"/>
              <w:bottom w:val="single" w:sz="8" w:space="0" w:color="000000"/>
              <w:right w:val="single" w:sz="8" w:space="0" w:color="000000"/>
            </w:tcBorders>
            <w:vAlign w:val="center"/>
          </w:tcPr>
          <w:p>
            <w:pPr>
              <w:pStyle w:val="Normal"/>
              <w:bidi w:val="0"/>
              <w:jc w:val="left"/>
              <w:rPr/>
            </w:pPr>
            <w:r>
              <w:rPr/>
            </w:r>
          </w:p>
        </w:tc>
        <w:tc>
          <w:tcPr>
            <w:tcW w:w="2368" w:type="dxa"/>
            <w:tcBorders>
              <w:bottom w:val="single" w:sz="8" w:space="0" w:color="000000"/>
              <w:right w:val="single" w:sz="8" w:space="0" w:color="000000"/>
            </w:tcBorders>
            <w:tcMar>
              <w:left w:w="0" w:type="dxa"/>
            </w:tcMar>
            <w:vAlign w:val="center"/>
          </w:tcPr>
          <w:p>
            <w:pPr>
              <w:pStyle w:val="TableContents"/>
              <w:bidi w:val="0"/>
              <w:spacing w:before="0" w:after="283"/>
              <w:jc w:val="left"/>
              <w:rPr>
                <w:sz w:val="16"/>
              </w:rPr>
            </w:pPr>
            <w:r>
              <w:rPr>
                <w:sz w:val="16"/>
              </w:rPr>
              <w:t>306- 5 Waste directed to disposal</w:t>
            </w:r>
          </w:p>
        </w:tc>
        <w:tc>
          <w:tcPr>
            <w:tcW w:w="3859"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SUSTAINABILITY REPORT- ANNEX 3.6. OUR DIRECT ENVIRONMENTAL IMPACT</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450"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3.9 - 6.6 - 11.6 - 12.4 - 12.5 - 15.1</w:t>
            </w:r>
          </w:p>
        </w:tc>
        <w:tc>
          <w:tcPr>
            <w:tcW w:w="329"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7, 8</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TextBody"/>
        <w:bidi w:val="0"/>
        <w:spacing w:before="200" w:after="200"/>
        <w:jc w:val="right"/>
        <w:rPr>
          <w:rFonts w:ascii="Arial" w:hAnsi="Arial"/>
          <w:b w:val="false"/>
          <w:i w:val="false"/>
          <w:caps w:val="false"/>
          <w:smallCaps w:val="false"/>
          <w:sz w:val="20"/>
        </w:rPr>
      </w:pPr>
      <w:r>
        <w:rPr>
          <w:rFonts w:ascii="Arial" w:hAnsi="Arial"/>
          <w:b w:val="false"/>
          <w:i w:val="false"/>
          <w:caps w:val="false"/>
          <w:smallCaps w:val="false"/>
          <w:sz w:val="20"/>
        </w:rPr>
        <w:t>99</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70" w:type="dxa"/>
          <w:bottom w:w="28" w:type="dxa"/>
          <w:right w:w="70" w:type="dxa"/>
        </w:tblCellMar>
      </w:tblPr>
      <w:tblGrid>
        <w:gridCol w:w="2421"/>
        <w:gridCol w:w="2730"/>
        <w:gridCol w:w="3665"/>
        <w:gridCol w:w="60"/>
        <w:gridCol w:w="60"/>
        <w:gridCol w:w="60"/>
        <w:gridCol w:w="880"/>
        <w:gridCol w:w="329"/>
      </w:tblGrid>
      <w:tr>
        <w:trPr/>
        <w:tc>
          <w:tcPr>
            <w:tcW w:w="10205" w:type="dxa"/>
            <w:gridSpan w:val="8"/>
            <w:tcBorders>
              <w:top w:val="single" w:sz="8" w:space="0" w:color="000000"/>
              <w:left w:val="single" w:sz="8" w:space="0" w:color="000000"/>
              <w:bottom w:val="single" w:sz="8" w:space="0" w:color="000000"/>
              <w:right w:val="single" w:sz="8" w:space="0" w:color="000000"/>
            </w:tcBorders>
            <w:shd w:fill="BFBFBF" w:val="clear"/>
            <w:vAlign w:val="center"/>
          </w:tcPr>
          <w:p>
            <w:pPr>
              <w:pStyle w:val="TableContents"/>
              <w:bidi w:val="0"/>
              <w:spacing w:before="0" w:after="283"/>
              <w:jc w:val="left"/>
              <w:rPr>
                <w:rFonts w:ascii="Arial" w:hAnsi="Arial"/>
                <w:b/>
                <w:sz w:val="16"/>
              </w:rPr>
            </w:pPr>
            <w:r>
              <w:rPr>
                <w:rFonts w:ascii="Arial" w:hAnsi="Arial"/>
                <w:b/>
                <w:sz w:val="16"/>
              </w:rPr>
              <w:t>ENVIRONMENTAL EVALUATION OF SUPPLIERS</w:t>
            </w:r>
          </w:p>
        </w:tc>
      </w:tr>
      <w:tr>
        <w:trPr/>
        <w:tc>
          <w:tcPr>
            <w:tcW w:w="242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Arial" w:hAnsi="Arial"/>
                <w:sz w:val="16"/>
              </w:rPr>
            </w:pPr>
            <w:r>
              <w:rPr>
                <w:rFonts w:ascii="Arial" w:hAnsi="Arial"/>
                <w:sz w:val="16"/>
              </w:rPr>
              <w:t>GRI 308: SUPPLIER ENVIRONMENTAL ASSESSMENT 2016</w:t>
            </w:r>
          </w:p>
        </w:tc>
        <w:tc>
          <w:tcPr>
            <w:tcW w:w="27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Arial" w:hAnsi="Arial"/>
                <w:sz w:val="16"/>
              </w:rPr>
            </w:pPr>
            <w:r>
              <w:rPr>
                <w:rFonts w:ascii="Arial" w:hAnsi="Arial"/>
                <w:sz w:val="16"/>
              </w:rPr>
              <w:t>308-1 New suppliers that were screened using environmental criteria</w:t>
            </w:r>
          </w:p>
        </w:tc>
        <w:tc>
          <w:tcPr>
            <w:tcW w:w="36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sz w:val="16"/>
              </w:rPr>
            </w:pPr>
            <w:r>
              <w:rPr>
                <w:rFonts w:ascii="Arial" w:hAnsi="Arial"/>
                <w:sz w:val="16"/>
              </w:rPr>
              <w:t>SUSTAINABILITY REPORT- 2.3. SUSTAINABLE SUPPLIER MANAGEMENT</w:t>
            </w:r>
          </w:p>
        </w:tc>
        <w:tc>
          <w:tcPr>
            <w:tcW w:w="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32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0205" w:type="dxa"/>
            <w:gridSpan w:val="8"/>
            <w:tcBorders>
              <w:left w:val="single" w:sz="8" w:space="0" w:color="000000"/>
              <w:bottom w:val="single" w:sz="8" w:space="0" w:color="000000"/>
              <w:right w:val="single" w:sz="8" w:space="0" w:color="000000"/>
            </w:tcBorders>
            <w:shd w:fill="BFBFBF" w:val="clear"/>
            <w:tcMar>
              <w:top w:w="0" w:type="dxa"/>
            </w:tcMar>
            <w:vAlign w:val="center"/>
          </w:tcPr>
          <w:p>
            <w:pPr>
              <w:pStyle w:val="TableContents"/>
              <w:bidi w:val="0"/>
              <w:spacing w:before="0" w:after="283"/>
              <w:jc w:val="left"/>
              <w:rPr>
                <w:rFonts w:ascii="Arial" w:hAnsi="Arial"/>
                <w:b/>
                <w:sz w:val="16"/>
              </w:rPr>
            </w:pPr>
            <w:r>
              <w:rPr>
                <w:rFonts w:ascii="Arial" w:hAnsi="Arial"/>
                <w:b/>
                <w:sz w:val="16"/>
              </w:rPr>
              <w:t>SOCIAL EVALUATION OF SUPPLIERS</w:t>
            </w:r>
          </w:p>
        </w:tc>
      </w:tr>
      <w:tr>
        <w:trPr/>
        <w:tc>
          <w:tcPr>
            <w:tcW w:w="242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Arial" w:hAnsi="Arial"/>
                <w:sz w:val="16"/>
              </w:rPr>
            </w:pPr>
            <w:r>
              <w:rPr>
                <w:rFonts w:ascii="Arial" w:hAnsi="Arial"/>
                <w:sz w:val="16"/>
              </w:rPr>
              <w:t>GRI 414: SUPPLIER SOCIAL ASSESSMENT 2016</w:t>
            </w:r>
          </w:p>
        </w:tc>
        <w:tc>
          <w:tcPr>
            <w:tcW w:w="27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Arial" w:hAnsi="Arial"/>
                <w:sz w:val="16"/>
              </w:rPr>
            </w:pPr>
            <w:r>
              <w:rPr>
                <w:rFonts w:ascii="Arial" w:hAnsi="Arial"/>
                <w:sz w:val="16"/>
              </w:rPr>
              <w:t>414-1 New suppliers that were screened using social criteria</w:t>
            </w:r>
          </w:p>
        </w:tc>
        <w:tc>
          <w:tcPr>
            <w:tcW w:w="36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sz w:val="16"/>
              </w:rPr>
            </w:pPr>
            <w:r>
              <w:rPr>
                <w:rFonts w:ascii="Arial" w:hAnsi="Arial"/>
                <w:sz w:val="16"/>
              </w:rPr>
              <w:t>SUSTAINABILITY REPORT- 2.3. SUSTAINABLE SUPPLIER MANAGEMENT</w:t>
            </w:r>
          </w:p>
        </w:tc>
        <w:tc>
          <w:tcPr>
            <w:tcW w:w="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sz w:val="16"/>
              </w:rPr>
            </w:pPr>
            <w:r>
              <w:rPr>
                <w:rFonts w:ascii="Arial" w:hAnsi="Arial"/>
                <w:sz w:val="16"/>
              </w:rPr>
              <w:t>5.2 - 8.8 - 16.1</w:t>
            </w:r>
          </w:p>
        </w:tc>
        <w:tc>
          <w:tcPr>
            <w:tcW w:w="32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0205" w:type="dxa"/>
            <w:gridSpan w:val="8"/>
            <w:tcBorders>
              <w:left w:val="single" w:sz="8" w:space="0" w:color="000000"/>
              <w:right w:val="single" w:sz="8" w:space="0" w:color="000000"/>
            </w:tcBorders>
            <w:shd w:fill="BFBFBF" w:val="clear"/>
            <w:tcMar>
              <w:top w:w="0" w:type="dxa"/>
              <w:bottom w:w="0" w:type="dxa"/>
            </w:tcMar>
            <w:vAlign w:val="center"/>
          </w:tcPr>
          <w:p>
            <w:pPr>
              <w:pStyle w:val="TableContents"/>
              <w:bidi w:val="0"/>
              <w:spacing w:before="0" w:after="283"/>
              <w:jc w:val="left"/>
              <w:rPr>
                <w:rFonts w:ascii="Arial" w:hAnsi="Arial"/>
                <w:b/>
                <w:sz w:val="16"/>
              </w:rPr>
            </w:pPr>
            <w:r>
              <w:rPr>
                <w:rFonts w:ascii="Arial" w:hAnsi="Arial"/>
                <w:b/>
                <w:sz w:val="16"/>
              </w:rPr>
              <w:t>OCCUPATIONAL HEALTH AND SAFETY</w:t>
            </w:r>
          </w:p>
        </w:tc>
      </w:tr>
      <w:tr>
        <w:trPr/>
        <w:tc>
          <w:tcPr>
            <w:tcW w:w="2421" w:type="dxa"/>
            <w:vMerge w:val="restart"/>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Arial" w:hAnsi="Arial"/>
                <w:sz w:val="16"/>
              </w:rPr>
            </w:pPr>
            <w:r>
              <w:rPr>
                <w:rFonts w:ascii="Arial" w:hAnsi="Arial"/>
                <w:sz w:val="16"/>
              </w:rPr>
              <w:t>GRI 403: OCCUPATIONAL HEALTH AND SAFETY 2018</w:t>
            </w:r>
          </w:p>
        </w:tc>
        <w:tc>
          <w:tcPr>
            <w:tcW w:w="27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Arial" w:hAnsi="Arial"/>
                <w:sz w:val="16"/>
              </w:rPr>
            </w:pPr>
            <w:r>
              <w:rPr>
                <w:rFonts w:ascii="Arial" w:hAnsi="Arial"/>
                <w:sz w:val="16"/>
              </w:rPr>
              <w:t>403-2 Hazard identification, risk assessment, and incident investigation.</w:t>
            </w:r>
          </w:p>
        </w:tc>
        <w:tc>
          <w:tcPr>
            <w:tcW w:w="366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Arial" w:hAnsi="Arial"/>
                <w:sz w:val="16"/>
              </w:rPr>
            </w:pPr>
            <w:r>
              <w:rPr>
                <w:rFonts w:ascii="Arial" w:hAnsi="Arial"/>
                <w:sz w:val="16"/>
              </w:rPr>
              <w:t>SUSTAINABILITY REPORT- 4.4. ETHICS, COMPLIANCE, AND HUMAN RIGHTS</w:t>
            </w:r>
          </w:p>
        </w:tc>
        <w:tc>
          <w:tcPr>
            <w:tcW w:w="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8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Arial" w:hAnsi="Arial"/>
                <w:sz w:val="16"/>
              </w:rPr>
            </w:pPr>
            <w:r>
              <w:rPr>
                <w:rFonts w:ascii="Arial" w:hAnsi="Arial"/>
                <w:sz w:val="16"/>
              </w:rPr>
              <w:t>8.8</w:t>
            </w:r>
          </w:p>
        </w:tc>
        <w:tc>
          <w:tcPr>
            <w:tcW w:w="32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r>
      <w:tr>
        <w:trPr/>
        <w:tc>
          <w:tcPr>
            <w:tcW w:w="2421"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27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Arial" w:hAnsi="Arial"/>
                <w:sz w:val="16"/>
              </w:rPr>
            </w:pPr>
            <w:r>
              <w:rPr>
                <w:rFonts w:ascii="Arial" w:hAnsi="Arial"/>
                <w:sz w:val="16"/>
              </w:rPr>
              <w:t>403-5 Worker training on occupational health and safety</w:t>
            </w:r>
          </w:p>
        </w:tc>
        <w:tc>
          <w:tcPr>
            <w:tcW w:w="36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sz w:val="16"/>
              </w:rPr>
            </w:pPr>
            <w:r>
              <w:rPr>
                <w:rFonts w:ascii="Arial" w:hAnsi="Arial"/>
                <w:sz w:val="16"/>
              </w:rPr>
              <w:t>SUSTAINABILITY REPORT- 4.4. ETHICS, COMPLIANCE, AND HUMAN RIGHTS</w:t>
            </w:r>
          </w:p>
        </w:tc>
        <w:tc>
          <w:tcPr>
            <w:tcW w:w="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sz w:val="16"/>
              </w:rPr>
            </w:pPr>
            <w:r>
              <w:rPr>
                <w:rFonts w:ascii="Arial" w:hAnsi="Arial"/>
                <w:sz w:val="16"/>
              </w:rPr>
              <w:t>8.8</w:t>
            </w:r>
          </w:p>
        </w:tc>
        <w:tc>
          <w:tcPr>
            <w:tcW w:w="32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2421"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27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Arial" w:hAnsi="Arial"/>
                <w:sz w:val="16"/>
              </w:rPr>
            </w:pPr>
            <w:r>
              <w:rPr>
                <w:rFonts w:ascii="Arial" w:hAnsi="Arial"/>
                <w:sz w:val="16"/>
              </w:rPr>
              <w:t>403-6 Promotion of worker health</w:t>
            </w:r>
          </w:p>
        </w:tc>
        <w:tc>
          <w:tcPr>
            <w:tcW w:w="36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sz w:val="16"/>
              </w:rPr>
            </w:pPr>
            <w:r>
              <w:rPr>
                <w:rFonts w:ascii="Arial" w:hAnsi="Arial"/>
                <w:sz w:val="16"/>
              </w:rPr>
              <w:t>SUSTAINABILITY REPORT- 4.4. ETHICS, COMPLIANCE, AND HUMAN RIGHTS</w:t>
            </w:r>
          </w:p>
        </w:tc>
        <w:tc>
          <w:tcPr>
            <w:tcW w:w="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sz w:val="16"/>
              </w:rPr>
            </w:pPr>
            <w:r>
              <w:rPr>
                <w:rFonts w:ascii="Arial" w:hAnsi="Arial"/>
                <w:sz w:val="16"/>
              </w:rPr>
              <w:t>3.2 - 3.5 - 3.7 - 3.8</w:t>
            </w:r>
          </w:p>
        </w:tc>
        <w:tc>
          <w:tcPr>
            <w:tcW w:w="32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2421"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27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Arial" w:hAnsi="Arial"/>
                <w:sz w:val="16"/>
              </w:rPr>
            </w:pPr>
            <w:r>
              <w:rPr>
                <w:rFonts w:ascii="Arial" w:hAnsi="Arial"/>
                <w:sz w:val="16"/>
              </w:rPr>
              <w:t>403-8 Workers covered by an occupational health and safety management system</w:t>
            </w:r>
          </w:p>
        </w:tc>
        <w:tc>
          <w:tcPr>
            <w:tcW w:w="36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sz w:val="16"/>
              </w:rPr>
            </w:pPr>
            <w:r>
              <w:rPr>
                <w:rFonts w:ascii="Arial" w:hAnsi="Arial"/>
                <w:sz w:val="16"/>
              </w:rPr>
              <w:t>SUSTAINABILITY REPORT- ANNEX 2.2. THE SOCIAL IMPACT OF OUR OPERATIONS: EMPLOYEE MANAGEMENT</w:t>
            </w:r>
          </w:p>
        </w:tc>
        <w:tc>
          <w:tcPr>
            <w:tcW w:w="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sz w:val="16"/>
              </w:rPr>
            </w:pPr>
            <w:r>
              <w:rPr>
                <w:rFonts w:ascii="Arial" w:hAnsi="Arial"/>
                <w:sz w:val="16"/>
              </w:rPr>
              <w:t>8.8</w:t>
            </w:r>
          </w:p>
        </w:tc>
        <w:tc>
          <w:tcPr>
            <w:tcW w:w="32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2421"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27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Arial" w:hAnsi="Arial"/>
                <w:sz w:val="16"/>
              </w:rPr>
            </w:pPr>
            <w:r>
              <w:rPr>
                <w:rFonts w:ascii="Arial" w:hAnsi="Arial"/>
                <w:sz w:val="16"/>
              </w:rPr>
              <w:t>403- 9 Work-related injuries</w:t>
            </w:r>
          </w:p>
        </w:tc>
        <w:tc>
          <w:tcPr>
            <w:tcW w:w="36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sz w:val="16"/>
              </w:rPr>
            </w:pPr>
            <w:r>
              <w:rPr>
                <w:rFonts w:ascii="Arial" w:hAnsi="Arial"/>
                <w:sz w:val="16"/>
              </w:rPr>
              <w:t>SUSTAINABILITY REPORT- ANNEX 2.2. THE SOCIAL IMPACT OF OUR OPERATIONS: EMPLOYEE MANAGEMENT</w:t>
            </w:r>
          </w:p>
        </w:tc>
        <w:tc>
          <w:tcPr>
            <w:tcW w:w="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sz w:val="16"/>
              </w:rPr>
            </w:pPr>
            <w:r>
              <w:rPr>
                <w:rFonts w:ascii="Arial" w:hAnsi="Arial"/>
                <w:sz w:val="16"/>
              </w:rPr>
              <w:t>3.6 - 3.9 - 8.8 - 16.1</w:t>
            </w:r>
          </w:p>
        </w:tc>
        <w:tc>
          <w:tcPr>
            <w:tcW w:w="32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sz w:val="16"/>
              </w:rPr>
            </w:pPr>
            <w:r>
              <w:rPr>
                <w:rFonts w:ascii="Arial" w:hAnsi="Arial"/>
                <w:sz w:val="16"/>
              </w:rPr>
              <w:t>3, 4, 5, 6</w:t>
            </w:r>
          </w:p>
        </w:tc>
      </w:tr>
      <w:tr>
        <w:trPr/>
        <w:tc>
          <w:tcPr>
            <w:tcW w:w="2421"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27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Arial" w:hAnsi="Arial"/>
                <w:sz w:val="16"/>
              </w:rPr>
            </w:pPr>
            <w:r>
              <w:rPr>
                <w:rFonts w:ascii="Arial" w:hAnsi="Arial"/>
                <w:sz w:val="16"/>
              </w:rPr>
              <w:t>403-10 Work-related ill health</w:t>
            </w:r>
          </w:p>
        </w:tc>
        <w:tc>
          <w:tcPr>
            <w:tcW w:w="36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sz w:val="16"/>
              </w:rPr>
            </w:pPr>
            <w:r>
              <w:rPr>
                <w:rFonts w:ascii="Arial" w:hAnsi="Arial"/>
                <w:sz w:val="16"/>
              </w:rPr>
              <w:t>SUSTAINABILITY REPORT- ANNEX 2.2. THE SOCIAL IMPACT OF OUR OPERATIONS: EMPLOYEE MANAGEMENT</w:t>
            </w:r>
          </w:p>
        </w:tc>
        <w:tc>
          <w:tcPr>
            <w:tcW w:w="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sz w:val="16"/>
              </w:rPr>
            </w:pPr>
            <w:r>
              <w:rPr>
                <w:rFonts w:ascii="Arial" w:hAnsi="Arial"/>
                <w:sz w:val="16"/>
              </w:rPr>
              <w:t>3.3 - 3.4 - 3.9 - 8.8 - 16.1</w:t>
            </w:r>
          </w:p>
        </w:tc>
        <w:tc>
          <w:tcPr>
            <w:tcW w:w="32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0205" w:type="dxa"/>
            <w:gridSpan w:val="8"/>
            <w:tcBorders>
              <w:left w:val="single" w:sz="8" w:space="0" w:color="000000"/>
              <w:bottom w:val="single" w:sz="8" w:space="0" w:color="000000"/>
              <w:right w:val="single" w:sz="8" w:space="0" w:color="000000"/>
            </w:tcBorders>
            <w:shd w:fill="BFBFBF" w:val="clear"/>
            <w:tcMar>
              <w:top w:w="0" w:type="dxa"/>
            </w:tcMar>
            <w:vAlign w:val="center"/>
          </w:tcPr>
          <w:p>
            <w:pPr>
              <w:pStyle w:val="TableContents"/>
              <w:bidi w:val="0"/>
              <w:spacing w:before="0" w:after="283"/>
              <w:jc w:val="left"/>
              <w:rPr>
                <w:rFonts w:ascii="Arial" w:hAnsi="Arial"/>
                <w:b/>
                <w:sz w:val="16"/>
              </w:rPr>
            </w:pPr>
            <w:r>
              <w:rPr>
                <w:rFonts w:ascii="Arial" w:hAnsi="Arial"/>
                <w:b/>
                <w:sz w:val="16"/>
              </w:rPr>
              <w:t>PUBLIC POLICY</w:t>
            </w:r>
          </w:p>
        </w:tc>
      </w:tr>
      <w:tr>
        <w:trPr/>
        <w:tc>
          <w:tcPr>
            <w:tcW w:w="242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Arial" w:hAnsi="Arial"/>
                <w:sz w:val="16"/>
              </w:rPr>
            </w:pPr>
            <w:r>
              <w:rPr>
                <w:rFonts w:ascii="Arial" w:hAnsi="Arial"/>
                <w:sz w:val="16"/>
              </w:rPr>
              <w:t>GRI 415: PUBLIC POLICY 2016</w:t>
            </w:r>
          </w:p>
        </w:tc>
        <w:tc>
          <w:tcPr>
            <w:tcW w:w="27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Arial" w:hAnsi="Arial"/>
                <w:sz w:val="16"/>
              </w:rPr>
            </w:pPr>
            <w:r>
              <w:rPr>
                <w:rFonts w:ascii="Arial" w:hAnsi="Arial"/>
                <w:sz w:val="16"/>
              </w:rPr>
              <w:t>We do not contribute to political parties and / or their representatives.</w:t>
            </w:r>
          </w:p>
        </w:tc>
        <w:tc>
          <w:tcPr>
            <w:tcW w:w="36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sz w:val="16"/>
              </w:rPr>
            </w:pPr>
            <w:r>
              <w:rPr>
                <w:rFonts w:ascii="Arial" w:hAnsi="Arial"/>
                <w:sz w:val="16"/>
              </w:rPr>
              <w:t>SUSTAINABILITY REPORT- ANNEX 4.4. ETHICS, COMPLIANCE, AND HUMAN RIGHTS</w:t>
            </w:r>
          </w:p>
        </w:tc>
        <w:tc>
          <w:tcPr>
            <w:tcW w:w="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sz w:val="16"/>
              </w:rPr>
            </w:pPr>
            <w:r>
              <w:rPr>
                <w:rFonts w:ascii="Arial" w:hAnsi="Arial"/>
                <w:sz w:val="16"/>
              </w:rPr>
              <w:t>16.5</w:t>
            </w:r>
          </w:p>
        </w:tc>
        <w:tc>
          <w:tcPr>
            <w:tcW w:w="32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right"/>
        <w:rPr>
          <w:rFonts w:ascii="Arial" w:hAnsi="Arial"/>
          <w:b w:val="false"/>
          <w:i w:val="false"/>
          <w:caps w:val="false"/>
          <w:smallCaps w:val="false"/>
          <w:sz w:val="20"/>
        </w:rPr>
      </w:pPr>
      <w:r>
        <w:rPr>
          <w:rFonts w:ascii="Arial" w:hAnsi="Arial"/>
          <w:b w:val="false"/>
          <w:i w:val="false"/>
          <w:caps w:val="false"/>
          <w:smallCaps w:val="false"/>
          <w:sz w:val="20"/>
        </w:rPr>
        <w:t>100</w:t>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jpeg"/><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image" Target="media/image18.jpeg"/><Relationship Id="rId23" Type="http://schemas.openxmlformats.org/officeDocument/2006/relationships/image" Target="media/image19.jpeg"/><Relationship Id="rId24" Type="http://schemas.openxmlformats.org/officeDocument/2006/relationships/image" Target="media/image20.jpeg"/><Relationship Id="rId25" Type="http://schemas.openxmlformats.org/officeDocument/2006/relationships/image" Target="media/image21.jpeg"/><Relationship Id="rId26" Type="http://schemas.openxmlformats.org/officeDocument/2006/relationships/image" Target="media/image22.jpeg"/><Relationship Id="rId27" Type="http://schemas.openxmlformats.org/officeDocument/2006/relationships/image" Target="media/image23.jpeg"/><Relationship Id="rId28" Type="http://schemas.openxmlformats.org/officeDocument/2006/relationships/image" Target="media/image23.jpeg"/><Relationship Id="rId29" Type="http://schemas.openxmlformats.org/officeDocument/2006/relationships/image" Target="media/image24.jpeg"/><Relationship Id="rId30" Type="http://schemas.openxmlformats.org/officeDocument/2006/relationships/image" Target="media/image25.jpeg"/><Relationship Id="rId31" Type="http://schemas.openxmlformats.org/officeDocument/2006/relationships/image" Target="media/image26.jpeg"/><Relationship Id="rId32" Type="http://schemas.openxmlformats.org/officeDocument/2006/relationships/image" Target="media/image27.jpeg"/><Relationship Id="rId33" Type="http://schemas.openxmlformats.org/officeDocument/2006/relationships/image" Target="media/image28.jpeg"/><Relationship Id="rId34" Type="http://schemas.openxmlformats.org/officeDocument/2006/relationships/image" Target="media/image29.jpeg"/><Relationship Id="rId35" Type="http://schemas.openxmlformats.org/officeDocument/2006/relationships/image" Target="media/image30.jpeg"/><Relationship Id="rId36" Type="http://schemas.openxmlformats.org/officeDocument/2006/relationships/image" Target="media/image31.jpeg"/><Relationship Id="rId37" Type="http://schemas.openxmlformats.org/officeDocument/2006/relationships/image" Target="media/image32.jpeg"/><Relationship Id="rId38" Type="http://schemas.openxmlformats.org/officeDocument/2006/relationships/image" Target="media/image33.jpeg"/><Relationship Id="rId39" Type="http://schemas.openxmlformats.org/officeDocument/2006/relationships/image" Target="media/image33.jpeg"/><Relationship Id="rId40" Type="http://schemas.openxmlformats.org/officeDocument/2006/relationships/image" Target="media/image34.jpeg"/><Relationship Id="rId41" Type="http://schemas.openxmlformats.org/officeDocument/2006/relationships/image" Target="media/image35.jpeg"/><Relationship Id="rId42" Type="http://schemas.openxmlformats.org/officeDocument/2006/relationships/image" Target="media/image36.jpeg"/><Relationship Id="rId43" Type="http://schemas.openxmlformats.org/officeDocument/2006/relationships/image" Target="media/image37.jpeg"/><Relationship Id="rId44" Type="http://schemas.openxmlformats.org/officeDocument/2006/relationships/image" Target="media/image38.jpeg"/><Relationship Id="rId45" Type="http://schemas.openxmlformats.org/officeDocument/2006/relationships/image" Target="media/image39.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0.jpeg"/><Relationship Id="rId49" Type="http://schemas.openxmlformats.org/officeDocument/2006/relationships/image" Target="media/image41.jpeg"/><Relationship Id="rId50" Type="http://schemas.openxmlformats.org/officeDocument/2006/relationships/image" Target="media/image41.jpeg"/><Relationship Id="rId51" Type="http://schemas.openxmlformats.org/officeDocument/2006/relationships/image" Target="media/image42.jpeg"/><Relationship Id="rId52" Type="http://schemas.openxmlformats.org/officeDocument/2006/relationships/image" Target="media/image42.jpeg"/><Relationship Id="rId53" Type="http://schemas.openxmlformats.org/officeDocument/2006/relationships/image" Target="media/image43.jpeg"/><Relationship Id="rId54" Type="http://schemas.openxmlformats.org/officeDocument/2006/relationships/image" Target="media/image43.jpeg"/><Relationship Id="rId55" Type="http://schemas.openxmlformats.org/officeDocument/2006/relationships/image" Target="media/image44.jpeg"/><Relationship Id="rId56" Type="http://schemas.openxmlformats.org/officeDocument/2006/relationships/image" Target="media/image44.jpeg"/><Relationship Id="rId57" Type="http://schemas.openxmlformats.org/officeDocument/2006/relationships/image" Target="media/image45.jpeg"/><Relationship Id="rId58" Type="http://schemas.openxmlformats.org/officeDocument/2006/relationships/image" Target="media/image45.jpeg"/><Relationship Id="rId59" Type="http://schemas.openxmlformats.org/officeDocument/2006/relationships/image" Target="media/image46.jpeg"/><Relationship Id="rId60" Type="http://schemas.openxmlformats.org/officeDocument/2006/relationships/image" Target="media/image46.jpeg"/><Relationship Id="rId61" Type="http://schemas.openxmlformats.org/officeDocument/2006/relationships/image" Target="media/image47.jpeg"/><Relationship Id="rId62" Type="http://schemas.openxmlformats.org/officeDocument/2006/relationships/image" Target="media/image47.jpeg"/><Relationship Id="rId63" Type="http://schemas.openxmlformats.org/officeDocument/2006/relationships/image" Target="media/image48.jpeg"/><Relationship Id="rId64" Type="http://schemas.openxmlformats.org/officeDocument/2006/relationships/image" Target="media/image48.jpeg"/><Relationship Id="rId65" Type="http://schemas.openxmlformats.org/officeDocument/2006/relationships/image" Target="media/image49.jpeg"/><Relationship Id="rId66" Type="http://schemas.openxmlformats.org/officeDocument/2006/relationships/image" Target="media/image50.jpeg"/><Relationship Id="rId67" Type="http://schemas.openxmlformats.org/officeDocument/2006/relationships/image" Target="media/image49.jpeg"/><Relationship Id="rId68" Type="http://schemas.openxmlformats.org/officeDocument/2006/relationships/image" Target="media/image50.jpeg"/><Relationship Id="rId69" Type="http://schemas.openxmlformats.org/officeDocument/2006/relationships/image" Target="media/image51.jpeg"/><Relationship Id="rId70" Type="http://schemas.openxmlformats.org/officeDocument/2006/relationships/image" Target="media/image52.jpeg"/><Relationship Id="rId71" Type="http://schemas.openxmlformats.org/officeDocument/2006/relationships/image" Target="media/image51.jpeg"/><Relationship Id="rId72" Type="http://schemas.openxmlformats.org/officeDocument/2006/relationships/image" Target="media/image52.jpeg"/><Relationship Id="rId73" Type="http://schemas.openxmlformats.org/officeDocument/2006/relationships/image" Target="media/image53.jpeg"/><Relationship Id="rId74" Type="http://schemas.openxmlformats.org/officeDocument/2006/relationships/image" Target="media/image54.jpeg"/><Relationship Id="rId75" Type="http://schemas.openxmlformats.org/officeDocument/2006/relationships/image" Target="media/image53.jpeg"/><Relationship Id="rId76" Type="http://schemas.openxmlformats.org/officeDocument/2006/relationships/image" Target="media/image54.jpeg"/><Relationship Id="rId77" Type="http://schemas.openxmlformats.org/officeDocument/2006/relationships/image" Target="media/image55.jpeg"/><Relationship Id="rId78" Type="http://schemas.openxmlformats.org/officeDocument/2006/relationships/image" Target="media/image55.jpeg"/><Relationship Id="rId79" Type="http://schemas.openxmlformats.org/officeDocument/2006/relationships/image" Target="media/image56.jpeg"/><Relationship Id="rId80" Type="http://schemas.openxmlformats.org/officeDocument/2006/relationships/image" Target="media/image56.jpeg"/><Relationship Id="rId81" Type="http://schemas.openxmlformats.org/officeDocument/2006/relationships/image" Target="media/image57.jpeg"/><Relationship Id="rId82" Type="http://schemas.openxmlformats.org/officeDocument/2006/relationships/image" Target="media/image56.jpeg"/><Relationship Id="rId83" Type="http://schemas.openxmlformats.org/officeDocument/2006/relationships/image" Target="media/image56.jpeg"/><Relationship Id="rId84" Type="http://schemas.openxmlformats.org/officeDocument/2006/relationships/image" Target="media/image57.jpeg"/><Relationship Id="rId85" Type="http://schemas.openxmlformats.org/officeDocument/2006/relationships/image" Target="media/image58.jpeg"/><Relationship Id="rId86" Type="http://schemas.openxmlformats.org/officeDocument/2006/relationships/image" Target="media/image58.jpeg"/><Relationship Id="rId87" Type="http://schemas.openxmlformats.org/officeDocument/2006/relationships/image" Target="media/image56.jpeg"/><Relationship Id="rId88" Type="http://schemas.openxmlformats.org/officeDocument/2006/relationships/image" Target="media/image56.jpeg"/><Relationship Id="rId89" Type="http://schemas.openxmlformats.org/officeDocument/2006/relationships/image" Target="media/image59.jpeg"/><Relationship Id="rId90" Type="http://schemas.openxmlformats.org/officeDocument/2006/relationships/image" Target="media/image56.jpeg"/><Relationship Id="rId91" Type="http://schemas.openxmlformats.org/officeDocument/2006/relationships/image" Target="media/image56.jpeg"/><Relationship Id="rId92" Type="http://schemas.openxmlformats.org/officeDocument/2006/relationships/image" Target="media/image59.jpeg"/><Relationship Id="rId93" Type="http://schemas.openxmlformats.org/officeDocument/2006/relationships/image" Target="media/image60.jpeg"/><Relationship Id="rId94" Type="http://schemas.openxmlformats.org/officeDocument/2006/relationships/image" Target="media/image60.jpeg"/><Relationship Id="rId95" Type="http://schemas.openxmlformats.org/officeDocument/2006/relationships/image" Target="media/image61.jpeg"/><Relationship Id="rId96" Type="http://schemas.openxmlformats.org/officeDocument/2006/relationships/image" Target="media/image61.jpeg"/><Relationship Id="rId97" Type="http://schemas.openxmlformats.org/officeDocument/2006/relationships/image" Target="media/image62.jpeg"/><Relationship Id="rId98" Type="http://schemas.openxmlformats.org/officeDocument/2006/relationships/image" Target="media/image56.jpeg"/><Relationship Id="rId99" Type="http://schemas.openxmlformats.org/officeDocument/2006/relationships/image" Target="media/image56.jpeg"/><Relationship Id="rId100" Type="http://schemas.openxmlformats.org/officeDocument/2006/relationships/image" Target="media/image56.jpeg"/><Relationship Id="rId101" Type="http://schemas.openxmlformats.org/officeDocument/2006/relationships/image" Target="media/image56.jpeg"/><Relationship Id="rId102" Type="http://schemas.openxmlformats.org/officeDocument/2006/relationships/image" Target="media/image56.jpeg"/><Relationship Id="rId103" Type="http://schemas.openxmlformats.org/officeDocument/2006/relationships/image" Target="media/image62.jpeg"/><Relationship Id="rId104" Type="http://schemas.openxmlformats.org/officeDocument/2006/relationships/image" Target="media/image56.jpeg"/><Relationship Id="rId105" Type="http://schemas.openxmlformats.org/officeDocument/2006/relationships/image" Target="media/image56.jpeg"/><Relationship Id="rId106" Type="http://schemas.openxmlformats.org/officeDocument/2006/relationships/image" Target="media/image56.jpeg"/><Relationship Id="rId107" Type="http://schemas.openxmlformats.org/officeDocument/2006/relationships/image" Target="media/image56.jpeg"/><Relationship Id="rId108" Type="http://schemas.openxmlformats.org/officeDocument/2006/relationships/image" Target="media/image56.jpeg"/><Relationship Id="rId109" Type="http://schemas.openxmlformats.org/officeDocument/2006/relationships/image" Target="media/image56.jpeg"/><Relationship Id="rId110" Type="http://schemas.openxmlformats.org/officeDocument/2006/relationships/image" Target="media/image56.jpeg"/><Relationship Id="rId111" Type="http://schemas.openxmlformats.org/officeDocument/2006/relationships/image" Target="media/image56.jpeg"/><Relationship Id="rId112" Type="http://schemas.openxmlformats.org/officeDocument/2006/relationships/image" Target="media/image56.jpeg"/><Relationship Id="rId113" Type="http://schemas.openxmlformats.org/officeDocument/2006/relationships/image" Target="media/image56.jpeg"/><Relationship Id="rId114" Type="http://schemas.openxmlformats.org/officeDocument/2006/relationships/image" Target="media/image56.jpeg"/><Relationship Id="rId115" Type="http://schemas.openxmlformats.org/officeDocument/2006/relationships/image" Target="media/image56.jpeg"/><Relationship Id="rId116" Type="http://schemas.openxmlformats.org/officeDocument/2006/relationships/image" Target="media/image56.jpeg"/><Relationship Id="rId117" Type="http://schemas.openxmlformats.org/officeDocument/2006/relationships/image" Target="media/image56.jpeg"/><Relationship Id="rId118" Type="http://schemas.openxmlformats.org/officeDocument/2006/relationships/image" Target="media/image56.jpeg"/><Relationship Id="rId119" Type="http://schemas.openxmlformats.org/officeDocument/2006/relationships/image" Target="media/image56.jpeg"/><Relationship Id="rId120" Type="http://schemas.openxmlformats.org/officeDocument/2006/relationships/image" Target="media/image56.jpeg"/><Relationship Id="rId121" Type="http://schemas.openxmlformats.org/officeDocument/2006/relationships/image" Target="media/image56.jpeg"/><Relationship Id="rId122" Type="http://schemas.openxmlformats.org/officeDocument/2006/relationships/image" Target="media/image56.jpeg"/><Relationship Id="rId123" Type="http://schemas.openxmlformats.org/officeDocument/2006/relationships/image" Target="media/image56.jpeg"/><Relationship Id="rId124" Type="http://schemas.openxmlformats.org/officeDocument/2006/relationships/image" Target="media/image56.jpeg"/><Relationship Id="rId125" Type="http://schemas.openxmlformats.org/officeDocument/2006/relationships/image" Target="media/image63.jpeg"/><Relationship Id="rId126" Type="http://schemas.openxmlformats.org/officeDocument/2006/relationships/image" Target="media/image63.jpeg"/><Relationship Id="rId127" Type="http://schemas.openxmlformats.org/officeDocument/2006/relationships/image" Target="media/image56.jpeg"/><Relationship Id="rId128" Type="http://schemas.openxmlformats.org/officeDocument/2006/relationships/image" Target="media/image56.jpeg"/><Relationship Id="rId129" Type="http://schemas.openxmlformats.org/officeDocument/2006/relationships/image" Target="media/image56.jpeg"/><Relationship Id="rId130" Type="http://schemas.openxmlformats.org/officeDocument/2006/relationships/image" Target="media/image56.jpeg"/><Relationship Id="rId131" Type="http://schemas.openxmlformats.org/officeDocument/2006/relationships/image" Target="media/image56.jpeg"/><Relationship Id="rId132" Type="http://schemas.openxmlformats.org/officeDocument/2006/relationships/image" Target="media/image56.jpeg"/><Relationship Id="rId133" Type="http://schemas.openxmlformats.org/officeDocument/2006/relationships/image" Target="media/image56.jpeg"/><Relationship Id="rId134" Type="http://schemas.openxmlformats.org/officeDocument/2006/relationships/image" Target="media/image56.jpeg"/><Relationship Id="rId135" Type="http://schemas.openxmlformats.org/officeDocument/2006/relationships/image" Target="media/image64.jpeg"/><Relationship Id="rId136" Type="http://schemas.openxmlformats.org/officeDocument/2006/relationships/image" Target="media/image64.jpeg"/><Relationship Id="rId137" Type="http://schemas.openxmlformats.org/officeDocument/2006/relationships/image" Target="media/image65.jpeg"/><Relationship Id="rId138" Type="http://schemas.openxmlformats.org/officeDocument/2006/relationships/image" Target="media/image65.jpeg"/><Relationship Id="rId139" Type="http://schemas.openxmlformats.org/officeDocument/2006/relationships/image" Target="media/image66.jpeg"/><Relationship Id="rId140" Type="http://schemas.openxmlformats.org/officeDocument/2006/relationships/image" Target="media/image66.jpeg"/><Relationship Id="rId141" Type="http://schemas.openxmlformats.org/officeDocument/2006/relationships/image" Target="media/image67.jpeg"/><Relationship Id="rId142" Type="http://schemas.openxmlformats.org/officeDocument/2006/relationships/image" Target="media/image68.jpeg"/><Relationship Id="rId143" Type="http://schemas.openxmlformats.org/officeDocument/2006/relationships/image" Target="media/image67.jpeg"/><Relationship Id="rId144" Type="http://schemas.openxmlformats.org/officeDocument/2006/relationships/image" Target="media/image68.jpeg"/><Relationship Id="rId145" Type="http://schemas.openxmlformats.org/officeDocument/2006/relationships/image" Target="media/image69.jpeg"/><Relationship Id="rId146" Type="http://schemas.openxmlformats.org/officeDocument/2006/relationships/image" Target="media/image70.jpeg"/><Relationship Id="rId147" Type="http://schemas.openxmlformats.org/officeDocument/2006/relationships/image" Target="media/image70.jpeg"/><Relationship Id="rId148" Type="http://schemas.openxmlformats.org/officeDocument/2006/relationships/image" Target="media/image70.jpeg"/><Relationship Id="rId149" Type="http://schemas.openxmlformats.org/officeDocument/2006/relationships/image" Target="media/image69.jpeg"/><Relationship Id="rId150" Type="http://schemas.openxmlformats.org/officeDocument/2006/relationships/image" Target="media/image70.jpeg"/><Relationship Id="rId151" Type="http://schemas.openxmlformats.org/officeDocument/2006/relationships/image" Target="media/image70.jpeg"/><Relationship Id="rId152" Type="http://schemas.openxmlformats.org/officeDocument/2006/relationships/image" Target="media/image70.jpeg"/><Relationship Id="rId153" Type="http://schemas.openxmlformats.org/officeDocument/2006/relationships/image" Target="media/image71.jpeg"/><Relationship Id="rId154" Type="http://schemas.openxmlformats.org/officeDocument/2006/relationships/image" Target="media/image71.jpeg"/><Relationship Id="rId155" Type="http://schemas.openxmlformats.org/officeDocument/2006/relationships/image" Target="media/image72.jpeg"/><Relationship Id="rId156" Type="http://schemas.openxmlformats.org/officeDocument/2006/relationships/image" Target="media/image72.jpeg"/><Relationship Id="rId157" Type="http://schemas.openxmlformats.org/officeDocument/2006/relationships/image" Target="media/image73.jpeg"/><Relationship Id="rId158" Type="http://schemas.openxmlformats.org/officeDocument/2006/relationships/image" Target="media/image73.jpeg"/><Relationship Id="rId159" Type="http://schemas.openxmlformats.org/officeDocument/2006/relationships/image" Target="media/image74.jpeg"/><Relationship Id="rId160" Type="http://schemas.openxmlformats.org/officeDocument/2006/relationships/image" Target="media/image74.jpeg"/><Relationship Id="rId161" Type="http://schemas.openxmlformats.org/officeDocument/2006/relationships/image" Target="media/image75.jpeg"/><Relationship Id="rId162" Type="http://schemas.openxmlformats.org/officeDocument/2006/relationships/image" Target="media/image75.jpeg"/><Relationship Id="rId163" Type="http://schemas.openxmlformats.org/officeDocument/2006/relationships/image" Target="media/image76.jpeg"/><Relationship Id="rId164" Type="http://schemas.openxmlformats.org/officeDocument/2006/relationships/image" Target="media/image76.jpeg"/><Relationship Id="rId165" Type="http://schemas.openxmlformats.org/officeDocument/2006/relationships/image" Target="media/image77.jpeg"/><Relationship Id="rId166" Type="http://schemas.openxmlformats.org/officeDocument/2006/relationships/image" Target="media/image78.jpeg"/><Relationship Id="rId167" Type="http://schemas.openxmlformats.org/officeDocument/2006/relationships/image" Target="media/image77.jpeg"/><Relationship Id="rId168" Type="http://schemas.openxmlformats.org/officeDocument/2006/relationships/image" Target="media/image78.jpeg"/><Relationship Id="rId169" Type="http://schemas.openxmlformats.org/officeDocument/2006/relationships/image" Target="media/image79.jpeg"/><Relationship Id="rId170" Type="http://schemas.openxmlformats.org/officeDocument/2006/relationships/image" Target="media/image80.jpeg"/><Relationship Id="rId171" Type="http://schemas.openxmlformats.org/officeDocument/2006/relationships/image" Target="media/image79.jpeg"/><Relationship Id="rId172" Type="http://schemas.openxmlformats.org/officeDocument/2006/relationships/image" Target="media/image80.jpeg"/><Relationship Id="rId173" Type="http://schemas.openxmlformats.org/officeDocument/2006/relationships/image" Target="media/image81.jpeg"/><Relationship Id="rId174" Type="http://schemas.openxmlformats.org/officeDocument/2006/relationships/image" Target="media/image82.jpeg"/><Relationship Id="rId175" Type="http://schemas.openxmlformats.org/officeDocument/2006/relationships/image" Target="media/image82.jpeg"/><Relationship Id="rId176" Type="http://schemas.openxmlformats.org/officeDocument/2006/relationships/image" Target="media/image83.jpeg"/><Relationship Id="rId177" Type="http://schemas.openxmlformats.org/officeDocument/2006/relationships/image" Target="media/image83.jpeg"/><Relationship Id="rId178" Type="http://schemas.openxmlformats.org/officeDocument/2006/relationships/image" Target="media/image84.jpeg"/><Relationship Id="rId179" Type="http://schemas.openxmlformats.org/officeDocument/2006/relationships/image" Target="media/image84.jpeg"/><Relationship Id="rId180" Type="http://schemas.openxmlformats.org/officeDocument/2006/relationships/image" Target="media/image85.jpeg"/><Relationship Id="rId181" Type="http://schemas.openxmlformats.org/officeDocument/2006/relationships/image" Target="media/image85.jpeg"/><Relationship Id="rId182" Type="http://schemas.openxmlformats.org/officeDocument/2006/relationships/image" Target="media/image86.jpeg"/><Relationship Id="rId183" Type="http://schemas.openxmlformats.org/officeDocument/2006/relationships/image" Target="media/image86.jpeg"/><Relationship Id="rId184" Type="http://schemas.openxmlformats.org/officeDocument/2006/relationships/image" Target="media/image87.jpeg"/><Relationship Id="rId185" Type="http://schemas.openxmlformats.org/officeDocument/2006/relationships/image" Target="media/image87.jpeg"/><Relationship Id="rId186" Type="http://schemas.openxmlformats.org/officeDocument/2006/relationships/image" Target="media/image88.jpeg"/><Relationship Id="rId187" Type="http://schemas.openxmlformats.org/officeDocument/2006/relationships/image" Target="media/image88.jpeg"/><Relationship Id="rId188" Type="http://schemas.openxmlformats.org/officeDocument/2006/relationships/image" Target="media/image89.jpeg"/><Relationship Id="rId189" Type="http://schemas.openxmlformats.org/officeDocument/2006/relationships/image" Target="media/image90.jpeg"/><Relationship Id="rId190" Type="http://schemas.openxmlformats.org/officeDocument/2006/relationships/image" Target="media/image89.jpeg"/><Relationship Id="rId191" Type="http://schemas.openxmlformats.org/officeDocument/2006/relationships/image" Target="media/image90.jpeg"/><Relationship Id="rId192" Type="http://schemas.openxmlformats.org/officeDocument/2006/relationships/image" Target="media/image91.jpeg"/><Relationship Id="rId193" Type="http://schemas.openxmlformats.org/officeDocument/2006/relationships/image" Target="media/image92.jpeg"/><Relationship Id="rId194" Type="http://schemas.openxmlformats.org/officeDocument/2006/relationships/image" Target="media/image91.jpeg"/><Relationship Id="rId195" Type="http://schemas.openxmlformats.org/officeDocument/2006/relationships/image" Target="media/image92.jpeg"/><Relationship Id="rId196" Type="http://schemas.openxmlformats.org/officeDocument/2006/relationships/image" Target="media/image93.jpeg"/><Relationship Id="rId197" Type="http://schemas.openxmlformats.org/officeDocument/2006/relationships/image" Target="media/image93.jpeg"/><Relationship Id="rId198" Type="http://schemas.openxmlformats.org/officeDocument/2006/relationships/image" Target="media/image94.jpeg"/><Relationship Id="rId199" Type="http://schemas.openxmlformats.org/officeDocument/2006/relationships/image" Target="media/image94.jpeg"/><Relationship Id="rId200" Type="http://schemas.openxmlformats.org/officeDocument/2006/relationships/image" Target="media/image95.jpeg"/><Relationship Id="rId201" Type="http://schemas.openxmlformats.org/officeDocument/2006/relationships/image" Target="media/image95.jpeg"/><Relationship Id="rId202" Type="http://schemas.openxmlformats.org/officeDocument/2006/relationships/image" Target="media/image96.jpeg"/><Relationship Id="rId203" Type="http://schemas.openxmlformats.org/officeDocument/2006/relationships/image" Target="media/image96.jpeg"/><Relationship Id="rId204" Type="http://schemas.openxmlformats.org/officeDocument/2006/relationships/image" Target="media/image97.jpeg"/><Relationship Id="rId205" Type="http://schemas.openxmlformats.org/officeDocument/2006/relationships/image" Target="media/image98.jpeg"/><Relationship Id="rId206" Type="http://schemas.openxmlformats.org/officeDocument/2006/relationships/image" Target="media/image97.jpeg"/><Relationship Id="rId207" Type="http://schemas.openxmlformats.org/officeDocument/2006/relationships/image" Target="media/image98.jpeg"/><Relationship Id="rId208" Type="http://schemas.openxmlformats.org/officeDocument/2006/relationships/image" Target="media/image56.jpeg"/><Relationship Id="rId209" Type="http://schemas.openxmlformats.org/officeDocument/2006/relationships/image" Target="media/image56.jpeg"/><Relationship Id="rId210" Type="http://schemas.openxmlformats.org/officeDocument/2006/relationships/image" Target="media/image56.jpeg"/><Relationship Id="rId211" Type="http://schemas.openxmlformats.org/officeDocument/2006/relationships/image" Target="media/image56.jpeg"/><Relationship Id="rId212" Type="http://schemas.openxmlformats.org/officeDocument/2006/relationships/image" Target="media/image56.jpeg"/><Relationship Id="rId213" Type="http://schemas.openxmlformats.org/officeDocument/2006/relationships/image" Target="media/image56.jpeg"/><Relationship Id="rId214" Type="http://schemas.openxmlformats.org/officeDocument/2006/relationships/image" Target="media/image56.jpeg"/><Relationship Id="rId215" Type="http://schemas.openxmlformats.org/officeDocument/2006/relationships/image" Target="media/image56.jpeg"/><Relationship Id="rId216" Type="http://schemas.openxmlformats.org/officeDocument/2006/relationships/image" Target="media/image56.jpeg"/><Relationship Id="rId217" Type="http://schemas.openxmlformats.org/officeDocument/2006/relationships/image" Target="media/image56.jpeg"/><Relationship Id="rId218" Type="http://schemas.openxmlformats.org/officeDocument/2006/relationships/image" Target="media/image56.jpeg"/><Relationship Id="rId219" Type="http://schemas.openxmlformats.org/officeDocument/2006/relationships/image" Target="media/image56.jpeg"/><Relationship Id="rId220" Type="http://schemas.openxmlformats.org/officeDocument/2006/relationships/image" Target="media/image56.jpeg"/><Relationship Id="rId221" Type="http://schemas.openxmlformats.org/officeDocument/2006/relationships/image" Target="media/image56.jpeg"/><Relationship Id="rId222" Type="http://schemas.openxmlformats.org/officeDocument/2006/relationships/image" Target="media/image56.jpeg"/><Relationship Id="rId223" Type="http://schemas.openxmlformats.org/officeDocument/2006/relationships/image" Target="media/image56.jpeg"/><Relationship Id="rId224" Type="http://schemas.openxmlformats.org/officeDocument/2006/relationships/image" Target="media/image56.jpeg"/><Relationship Id="rId225" Type="http://schemas.openxmlformats.org/officeDocument/2006/relationships/image" Target="media/image56.jpeg"/><Relationship Id="rId226" Type="http://schemas.openxmlformats.org/officeDocument/2006/relationships/image" Target="media/image56.jpeg"/><Relationship Id="rId227" Type="http://schemas.openxmlformats.org/officeDocument/2006/relationships/image" Target="media/image56.jpeg"/><Relationship Id="rId228" Type="http://schemas.openxmlformats.org/officeDocument/2006/relationships/image" Target="media/image56.jpeg"/><Relationship Id="rId229" Type="http://schemas.openxmlformats.org/officeDocument/2006/relationships/image" Target="media/image56.jpeg"/><Relationship Id="rId230" Type="http://schemas.openxmlformats.org/officeDocument/2006/relationships/image" Target="media/image56.jpeg"/><Relationship Id="rId231" Type="http://schemas.openxmlformats.org/officeDocument/2006/relationships/image" Target="media/image56.jpeg"/><Relationship Id="rId232" Type="http://schemas.openxmlformats.org/officeDocument/2006/relationships/image" Target="media/image56.jpeg"/><Relationship Id="rId233" Type="http://schemas.openxmlformats.org/officeDocument/2006/relationships/image" Target="media/image56.jpeg"/><Relationship Id="rId234" Type="http://schemas.openxmlformats.org/officeDocument/2006/relationships/image" Target="media/image56.jpeg"/><Relationship Id="rId235" Type="http://schemas.openxmlformats.org/officeDocument/2006/relationships/image" Target="media/image56.jpeg"/><Relationship Id="rId236" Type="http://schemas.openxmlformats.org/officeDocument/2006/relationships/image" Target="media/image56.jpeg"/><Relationship Id="rId237" Type="http://schemas.openxmlformats.org/officeDocument/2006/relationships/image" Target="media/image56.jpeg"/><Relationship Id="rId238" Type="http://schemas.openxmlformats.org/officeDocument/2006/relationships/image" Target="media/image56.jpeg"/><Relationship Id="rId239" Type="http://schemas.openxmlformats.org/officeDocument/2006/relationships/image" Target="media/image56.jpeg"/><Relationship Id="rId240" Type="http://schemas.openxmlformats.org/officeDocument/2006/relationships/image" Target="media/image56.jpeg"/><Relationship Id="rId241" Type="http://schemas.openxmlformats.org/officeDocument/2006/relationships/image" Target="media/image56.jpeg"/><Relationship Id="rId242" Type="http://schemas.openxmlformats.org/officeDocument/2006/relationships/image" Target="media/image56.jpeg"/><Relationship Id="rId243" Type="http://schemas.openxmlformats.org/officeDocument/2006/relationships/image" Target="media/image56.jpeg"/><Relationship Id="rId244" Type="http://schemas.openxmlformats.org/officeDocument/2006/relationships/image" Target="media/image56.jpeg"/><Relationship Id="rId245" Type="http://schemas.openxmlformats.org/officeDocument/2006/relationships/image" Target="media/image56.jpeg"/><Relationship Id="rId246" Type="http://schemas.openxmlformats.org/officeDocument/2006/relationships/image" Target="media/image56.jpeg"/><Relationship Id="rId247" Type="http://schemas.openxmlformats.org/officeDocument/2006/relationships/image" Target="media/image56.jpeg"/><Relationship Id="rId248" Type="http://schemas.openxmlformats.org/officeDocument/2006/relationships/image" Target="media/image56.jpeg"/><Relationship Id="rId249" Type="http://schemas.openxmlformats.org/officeDocument/2006/relationships/image" Target="media/image56.jpeg"/><Relationship Id="rId250" Type="http://schemas.openxmlformats.org/officeDocument/2006/relationships/image" Target="media/image99.jpeg"/><Relationship Id="rId251" Type="http://schemas.openxmlformats.org/officeDocument/2006/relationships/image" Target="media/image100.jpeg"/><Relationship Id="rId252" Type="http://schemas.openxmlformats.org/officeDocument/2006/relationships/image" Target="media/image56.jpeg"/><Relationship Id="rId253" Type="http://schemas.openxmlformats.org/officeDocument/2006/relationships/image" Target="media/image56.jpeg"/><Relationship Id="rId254" Type="http://schemas.openxmlformats.org/officeDocument/2006/relationships/image" Target="media/image56.jpeg"/><Relationship Id="rId255" Type="http://schemas.openxmlformats.org/officeDocument/2006/relationships/image" Target="media/image56.jpeg"/><Relationship Id="rId256" Type="http://schemas.openxmlformats.org/officeDocument/2006/relationships/image" Target="media/image56.jpeg"/><Relationship Id="rId257" Type="http://schemas.openxmlformats.org/officeDocument/2006/relationships/image" Target="media/image101.jpeg"/><Relationship Id="rId258" Type="http://schemas.openxmlformats.org/officeDocument/2006/relationships/image" Target="media/image56.jpeg"/><Relationship Id="rId259" Type="http://schemas.openxmlformats.org/officeDocument/2006/relationships/image" Target="media/image101.jpeg"/><Relationship Id="rId260" Type="http://schemas.openxmlformats.org/officeDocument/2006/relationships/image" Target="media/image102.jpeg"/><Relationship Id="rId261" Type="http://schemas.openxmlformats.org/officeDocument/2006/relationships/image" Target="media/image56.jpeg"/><Relationship Id="rId262" Type="http://schemas.openxmlformats.org/officeDocument/2006/relationships/image" Target="media/image56.jpeg"/><Relationship Id="rId263" Type="http://schemas.openxmlformats.org/officeDocument/2006/relationships/image" Target="media/image102.jpeg"/><Relationship Id="rId264" Type="http://schemas.openxmlformats.org/officeDocument/2006/relationships/image" Target="media/image56.jpeg"/><Relationship Id="rId265" Type="http://schemas.openxmlformats.org/officeDocument/2006/relationships/image" Target="media/image56.jpeg"/><Relationship Id="rId266" Type="http://schemas.openxmlformats.org/officeDocument/2006/relationships/image" Target="media/image103.jpeg"/><Relationship Id="rId267" Type="http://schemas.openxmlformats.org/officeDocument/2006/relationships/image" Target="media/image104.jpeg"/><Relationship Id="rId268" Type="http://schemas.openxmlformats.org/officeDocument/2006/relationships/image" Target="media/image105.jpeg"/><Relationship Id="rId269" Type="http://schemas.openxmlformats.org/officeDocument/2006/relationships/image" Target="media/image106.jpeg"/><Relationship Id="rId270" Type="http://schemas.openxmlformats.org/officeDocument/2006/relationships/image" Target="media/image103.jpeg"/><Relationship Id="rId271" Type="http://schemas.openxmlformats.org/officeDocument/2006/relationships/image" Target="media/image104.jpeg"/><Relationship Id="rId272" Type="http://schemas.openxmlformats.org/officeDocument/2006/relationships/image" Target="media/image105.jpeg"/><Relationship Id="rId273" Type="http://schemas.openxmlformats.org/officeDocument/2006/relationships/image" Target="media/image106.jpeg"/><Relationship Id="rId274" Type="http://schemas.openxmlformats.org/officeDocument/2006/relationships/image" Target="media/image56.jpeg"/><Relationship Id="rId275" Type="http://schemas.openxmlformats.org/officeDocument/2006/relationships/image" Target="media/image56.jpeg"/><Relationship Id="rId276" Type="http://schemas.openxmlformats.org/officeDocument/2006/relationships/image" Target="media/image56.jpeg"/><Relationship Id="rId277" Type="http://schemas.openxmlformats.org/officeDocument/2006/relationships/image" Target="media/image56.jpeg"/><Relationship Id="rId278" Type="http://schemas.openxmlformats.org/officeDocument/2006/relationships/image" Target="media/image56.jpeg"/><Relationship Id="rId279" Type="http://schemas.openxmlformats.org/officeDocument/2006/relationships/image" Target="media/image56.jpeg"/><Relationship Id="rId280" Type="http://schemas.openxmlformats.org/officeDocument/2006/relationships/image" Target="media/image107.jpeg"/><Relationship Id="rId281" Type="http://schemas.openxmlformats.org/officeDocument/2006/relationships/image" Target="media/image56.jpeg"/><Relationship Id="rId282" Type="http://schemas.openxmlformats.org/officeDocument/2006/relationships/image" Target="media/image108.jpeg"/><Relationship Id="rId283" Type="http://schemas.openxmlformats.org/officeDocument/2006/relationships/image" Target="media/image107.jpeg"/><Relationship Id="rId284" Type="http://schemas.openxmlformats.org/officeDocument/2006/relationships/image" Target="media/image56.jpeg"/><Relationship Id="rId285" Type="http://schemas.openxmlformats.org/officeDocument/2006/relationships/image" Target="media/image108.jpeg"/><Relationship Id="rId286" Type="http://schemas.openxmlformats.org/officeDocument/2006/relationships/image" Target="media/image109.jpeg"/><Relationship Id="rId287" Type="http://schemas.openxmlformats.org/officeDocument/2006/relationships/image" Target="media/image56.jpeg"/><Relationship Id="rId288" Type="http://schemas.openxmlformats.org/officeDocument/2006/relationships/image" Target="media/image56.jpeg"/><Relationship Id="rId289" Type="http://schemas.openxmlformats.org/officeDocument/2006/relationships/image" Target="media/image56.jpeg"/><Relationship Id="rId290" Type="http://schemas.openxmlformats.org/officeDocument/2006/relationships/image" Target="media/image56.jpeg"/><Relationship Id="rId291" Type="http://schemas.openxmlformats.org/officeDocument/2006/relationships/image" Target="media/image56.jpeg"/><Relationship Id="rId292" Type="http://schemas.openxmlformats.org/officeDocument/2006/relationships/image" Target="media/image56.jpeg"/><Relationship Id="rId293" Type="http://schemas.openxmlformats.org/officeDocument/2006/relationships/image" Target="media/image56.jpeg"/><Relationship Id="rId294" Type="http://schemas.openxmlformats.org/officeDocument/2006/relationships/image" Target="media/image56.jpeg"/><Relationship Id="rId295" Type="http://schemas.openxmlformats.org/officeDocument/2006/relationships/image" Target="media/image56.jpeg"/><Relationship Id="rId296" Type="http://schemas.openxmlformats.org/officeDocument/2006/relationships/image" Target="media/image56.jpeg"/><Relationship Id="rId297" Type="http://schemas.openxmlformats.org/officeDocument/2006/relationships/image" Target="media/image56.jpeg"/><Relationship Id="rId298" Type="http://schemas.openxmlformats.org/officeDocument/2006/relationships/image" Target="media/image56.jpeg"/><Relationship Id="rId299" Type="http://schemas.openxmlformats.org/officeDocument/2006/relationships/image" Target="media/image56.jpeg"/><Relationship Id="rId300" Type="http://schemas.openxmlformats.org/officeDocument/2006/relationships/image" Target="media/image56.jpeg"/><Relationship Id="rId301" Type="http://schemas.openxmlformats.org/officeDocument/2006/relationships/image" Target="media/image56.jpeg"/><Relationship Id="rId302" Type="http://schemas.openxmlformats.org/officeDocument/2006/relationships/image" Target="media/image56.jpeg"/><Relationship Id="rId303" Type="http://schemas.openxmlformats.org/officeDocument/2006/relationships/image" Target="media/image56.jpeg"/><Relationship Id="rId304" Type="http://schemas.openxmlformats.org/officeDocument/2006/relationships/image" Target="media/image56.jpeg"/><Relationship Id="rId305" Type="http://schemas.openxmlformats.org/officeDocument/2006/relationships/image" Target="media/image56.jpeg"/><Relationship Id="rId306" Type="http://schemas.openxmlformats.org/officeDocument/2006/relationships/image" Target="media/image56.jpeg"/><Relationship Id="rId307" Type="http://schemas.openxmlformats.org/officeDocument/2006/relationships/fontTable" Target="fontTable.xml"/><Relationship Id="rId30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52763</Words>
  <Characters>296207</Characters>
  <CharactersWithSpaces>346923</CharactersWithSpaces>
  <Paragraphs>9706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