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11</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by notifying you of the following Material Event.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Today, Credicorp Ltd. acknowledges that its subsidiary, Grupo Crédito S.A. (GC), has agreed to a capital contribution in cash, for a sum up to S/4,000,000,000.00, which will be used for the purchase of up to 9% of the shares of Banco de Crédito del Perú. As a result, the capital of GC will increase from S/17,210,013,900.00 up to S/21,210,013,900.00.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11</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2019-12-06T02:54:10Z</dcterms:created>
  <dcterms:modified xsi:type="dcterms:W3CDTF">2019-12-06T02:54:10Z</dcterms:modified>
</cp:coreProperties>
</file>