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228600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of February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240665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235585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700" w:top="229" w:right="599" w:bottom="1440" w:gutter="0" w:footer="0" w:header="0"/>
        </w:sectPr>
      </w:pPr>
    </w:p>
    <w:bookmarkStart w:id="1" w:name="page2"/>
    <w:bookmarkEnd w:id="1"/>
    <w:p>
      <w:pPr>
        <w:jc w:val="center"/>
        <w:ind w:left="3000"/>
        <w:spacing w:after="0"/>
        <w:rPr>
          <w:sz w:val="20"/>
          <w:szCs w:val="20"/>
          <w:color w:val="auto"/>
        </w:rPr>
      </w:pPr>
      <w:r>
        <w:rPr>
          <w:rFonts w:ascii="Arial" w:cs="Arial" w:eastAsia="Arial" w:hAnsi="Arial"/>
          <w:sz w:val="22"/>
          <w:szCs w:val="22"/>
          <w:b w:val="1"/>
          <w:bCs w:val="1"/>
          <w:color w:val="auto"/>
        </w:rPr>
        <w:t>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-142875</wp:posOffset>
            </wp:positionV>
            <wp:extent cx="1775460" cy="8301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75460" cy="8301355"/>
                    </a:xfrm>
                    <a:prstGeom prst="rect">
                      <a:avLst/>
                    </a:prstGeom>
                    <a:noFill/>
                  </pic:spPr>
                </pic:pic>
              </a:graphicData>
            </a:graphic>
          </wp:anchor>
        </w:drawing>
      </w:r>
    </w:p>
    <w:p>
      <w:pPr>
        <w:jc w:val="center"/>
        <w:ind w:left="3000"/>
        <w:spacing w:after="0"/>
        <w:rPr>
          <w:sz w:val="20"/>
          <w:szCs w:val="20"/>
          <w:color w:val="auto"/>
        </w:rPr>
      </w:pPr>
      <w:r>
        <w:rPr>
          <w:rFonts w:ascii="Arial" w:cs="Arial" w:eastAsia="Arial" w:hAnsi="Arial"/>
          <w:sz w:val="22"/>
          <w:szCs w:val="22"/>
          <w:b w:val="1"/>
          <w:bCs w:val="1"/>
          <w:color w:val="auto"/>
        </w:rPr>
        <w:t>Ltd.</w:t>
      </w:r>
    </w:p>
    <w:p>
      <w:pPr>
        <w:spacing w:after="0" w:line="218" w:lineRule="exact"/>
        <w:rPr>
          <w:sz w:val="20"/>
          <w:szCs w:val="20"/>
          <w:color w:val="auto"/>
        </w:rPr>
      </w:pPr>
    </w:p>
    <w:p>
      <w:pPr>
        <w:jc w:val="center"/>
        <w:ind w:left="3000"/>
        <w:spacing w:after="0"/>
        <w:rPr>
          <w:sz w:val="20"/>
          <w:szCs w:val="20"/>
          <w:color w:val="auto"/>
        </w:rPr>
      </w:pPr>
      <w:r>
        <w:rPr>
          <w:rFonts w:ascii="Arial" w:cs="Arial" w:eastAsia="Arial" w:hAnsi="Arial"/>
          <w:sz w:val="18"/>
          <w:szCs w:val="18"/>
          <w:b w:val="1"/>
          <w:bCs w:val="1"/>
          <w:color w:val="auto"/>
        </w:rPr>
        <w:t>Fourth Quarter 2010 Results</w:t>
      </w:r>
    </w:p>
    <w:p>
      <w:pPr>
        <w:spacing w:after="0" w:line="252" w:lineRule="exact"/>
        <w:rPr>
          <w:sz w:val="20"/>
          <w:szCs w:val="20"/>
          <w:color w:val="auto"/>
        </w:rPr>
      </w:pPr>
    </w:p>
    <w:p>
      <w:pPr>
        <w:jc w:val="both"/>
        <w:ind w:left="1800"/>
        <w:spacing w:after="0" w:line="347" w:lineRule="auto"/>
        <w:rPr>
          <w:sz w:val="20"/>
          <w:szCs w:val="20"/>
          <w:color w:val="auto"/>
        </w:rPr>
      </w:pPr>
      <w:r>
        <w:rPr>
          <w:rFonts w:ascii="Arial" w:cs="Arial" w:eastAsia="Arial" w:hAnsi="Arial"/>
          <w:sz w:val="16"/>
          <w:szCs w:val="16"/>
          <w:b w:val="1"/>
          <w:bCs w:val="1"/>
          <w:color w:val="auto"/>
        </w:rPr>
        <w:t xml:space="preserve">Lima, Peru, February 03, 2011 - </w:t>
      </w:r>
      <w:r>
        <w:rPr>
          <w:rFonts w:ascii="Arial" w:cs="Arial" w:eastAsia="Arial" w:hAnsi="Arial"/>
          <w:sz w:val="16"/>
          <w:szCs w:val="16"/>
          <w:color w:val="auto"/>
        </w:rPr>
        <w:t>Credicorp (NYSE:BAP) announced today its unaudited results for the fourth</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of 2010. These results are reported on a consolidated basis in accordance with IFRS in nominal U.S. Dollars.</w:t>
      </w:r>
    </w:p>
    <w:p>
      <w:pPr>
        <w:spacing w:after="0" w:line="143" w:lineRule="exact"/>
        <w:rPr>
          <w:sz w:val="20"/>
          <w:szCs w:val="20"/>
          <w:color w:val="auto"/>
        </w:rPr>
      </w:pPr>
    </w:p>
    <w:p>
      <w:pPr>
        <w:jc w:val="center"/>
        <w:ind w:left="3000"/>
        <w:spacing w:after="0"/>
        <w:rPr>
          <w:sz w:val="20"/>
          <w:szCs w:val="20"/>
          <w:color w:val="auto"/>
        </w:rPr>
      </w:pPr>
      <w:r>
        <w:rPr>
          <w:rFonts w:ascii="Arial" w:cs="Arial" w:eastAsia="Arial" w:hAnsi="Arial"/>
          <w:sz w:val="18"/>
          <w:szCs w:val="18"/>
          <w:b w:val="1"/>
          <w:bCs w:val="1"/>
          <w:color w:val="auto"/>
        </w:rPr>
        <w:t>HIGHLIGHTS</w:t>
      </w:r>
    </w:p>
    <w:p>
      <w:pPr>
        <w:spacing w:after="0" w:line="256" w:lineRule="exact"/>
        <w:rPr>
          <w:sz w:val="20"/>
          <w:szCs w:val="20"/>
          <w:color w:val="auto"/>
        </w:rPr>
      </w:pPr>
    </w:p>
    <w:p>
      <w:pPr>
        <w:ind w:left="2120" w:right="20" w:hanging="327"/>
        <w:spacing w:after="0" w:line="291" w:lineRule="auto"/>
        <w:tabs>
          <w:tab w:leader="none" w:pos="2066" w:val="left"/>
        </w:tabs>
        <w:numPr>
          <w:ilvl w:val="0"/>
          <w:numId w:val="1"/>
        </w:numPr>
        <w:rPr>
          <w:rFonts w:ascii="Arial" w:cs="Arial" w:eastAsia="Arial" w:hAnsi="Arial"/>
          <w:sz w:val="16"/>
          <w:szCs w:val="16"/>
          <w:color w:val="auto"/>
        </w:rPr>
      </w:pPr>
      <w:r>
        <w:rPr>
          <w:rFonts w:ascii="Arial" w:cs="Arial" w:eastAsia="Arial" w:hAnsi="Arial"/>
          <w:sz w:val="16"/>
          <w:szCs w:val="16"/>
          <w:color w:val="auto"/>
        </w:rPr>
        <w:t>Credicorp reported solid 4Q10 earnings of US$ 129.3 million, though substantially lower than the strong 3Q and 2Q net results, both of which were significantly boosted by extraordinary earnings from the sale of securities.</w:t>
      </w:r>
    </w:p>
    <w:p>
      <w:pPr>
        <w:jc w:val="both"/>
        <w:ind w:left="2120" w:hanging="327"/>
        <w:spacing w:after="0" w:line="265" w:lineRule="auto"/>
        <w:tabs>
          <w:tab w:leader="none" w:pos="2187" w:val="left"/>
        </w:tabs>
        <w:numPr>
          <w:ilvl w:val="0"/>
          <w:numId w:val="1"/>
        </w:numPr>
        <w:rPr>
          <w:rFonts w:ascii="Arial" w:cs="Arial" w:eastAsia="Arial" w:hAnsi="Arial"/>
          <w:sz w:val="17"/>
          <w:szCs w:val="17"/>
          <w:color w:val="auto"/>
        </w:rPr>
      </w:pPr>
      <w:r>
        <w:rPr>
          <w:rFonts w:ascii="Arial" w:cs="Arial" w:eastAsia="Arial" w:hAnsi="Arial"/>
          <w:sz w:val="17"/>
          <w:szCs w:val="17"/>
          <w:color w:val="auto"/>
        </w:rPr>
        <w:t>Business performance was strong and maintained its growth trend throughout the year as evidenced by net interest income (NII) increasing 5% from 2Q to 3Q and 4% from 3Q to 4Q, reaching US$ 282 million this 4Q10. Such robust growth is also evidenced by annual results which show a significant net earnings expansion of about 22% reaching US$ 571.3 million, despite lower extraordinary income in 2010 vs. 2009.</w:t>
      </w:r>
    </w:p>
    <w:p>
      <w:pPr>
        <w:ind w:left="2120" w:hanging="327"/>
        <w:spacing w:after="0" w:line="265" w:lineRule="auto"/>
        <w:tabs>
          <w:tab w:leader="none" w:pos="2133" w:val="left"/>
        </w:tabs>
        <w:numPr>
          <w:ilvl w:val="0"/>
          <w:numId w:val="1"/>
        </w:numPr>
        <w:rPr>
          <w:rFonts w:ascii="Arial" w:cs="Arial" w:eastAsia="Arial" w:hAnsi="Arial"/>
          <w:sz w:val="17"/>
          <w:szCs w:val="17"/>
          <w:color w:val="auto"/>
        </w:rPr>
      </w:pPr>
      <w:r>
        <w:rPr>
          <w:rFonts w:ascii="Arial" w:cs="Arial" w:eastAsia="Arial" w:hAnsi="Arial"/>
          <w:sz w:val="17"/>
          <w:szCs w:val="17"/>
          <w:color w:val="auto"/>
        </w:rPr>
        <w:t>Furthermore, the recovery of economic activity in the Peruvian market is today unquestionable and led to the strong growth of our loan book of 24.2%, with deposits also performing strongly and expanding 28.3%.</w:t>
      </w:r>
    </w:p>
    <w:p>
      <w:pPr>
        <w:jc w:val="both"/>
        <w:ind w:left="2120" w:hanging="327"/>
        <w:spacing w:after="0" w:line="265" w:lineRule="auto"/>
        <w:tabs>
          <w:tab w:leader="none" w:pos="2079" w:val="left"/>
        </w:tabs>
        <w:numPr>
          <w:ilvl w:val="0"/>
          <w:numId w:val="1"/>
        </w:numPr>
        <w:rPr>
          <w:rFonts w:ascii="Arial" w:cs="Arial" w:eastAsia="Arial" w:hAnsi="Arial"/>
          <w:sz w:val="17"/>
          <w:szCs w:val="17"/>
          <w:color w:val="auto"/>
        </w:rPr>
      </w:pPr>
      <w:r>
        <w:rPr>
          <w:rFonts w:ascii="Arial" w:cs="Arial" w:eastAsia="Arial" w:hAnsi="Arial"/>
          <w:sz w:val="17"/>
          <w:szCs w:val="17"/>
          <w:color w:val="auto"/>
        </w:rPr>
        <w:t>NIM dropped in 4Q as a result of the BCRP’s monetary policies which by 4Q increased funding costs, but had a stable performance for the year, as the impact of such policies and competitive &amp; market pressures on margins and fees was delayed and/or compensated by strong business growth and rising local interest rates improving the yields on investments. Thus, NIM remained stable at 4.8% for the year.</w:t>
      </w:r>
    </w:p>
    <w:p>
      <w:pPr>
        <w:jc w:val="both"/>
        <w:ind w:left="2120" w:hanging="327"/>
        <w:spacing w:after="0" w:line="265" w:lineRule="auto"/>
        <w:tabs>
          <w:tab w:leader="none" w:pos="2093" w:val="left"/>
        </w:tabs>
        <w:numPr>
          <w:ilvl w:val="0"/>
          <w:numId w:val="1"/>
        </w:numPr>
        <w:rPr>
          <w:rFonts w:ascii="Arial" w:cs="Arial" w:eastAsia="Arial" w:hAnsi="Arial"/>
          <w:sz w:val="17"/>
          <w:szCs w:val="17"/>
          <w:color w:val="auto"/>
        </w:rPr>
      </w:pPr>
      <w:r>
        <w:rPr>
          <w:rFonts w:ascii="Arial" w:cs="Arial" w:eastAsia="Arial" w:hAnsi="Arial"/>
          <w:sz w:val="17"/>
          <w:szCs w:val="17"/>
          <w:color w:val="auto"/>
        </w:rPr>
        <w:t>Non-financial income sustained its high level of 4Q and had an excellent performance for the year with fees up 20.2% for the year and gains on FX up 12.8%. No extraordinary non-recurrent gains on the sale of securities were reported in 4Q (vs. the last 2Qs of high extra ordinaries), leading to a drop in non financial income for 4Q. Despite this, total non-financial income was 10.2% stronger in 2010 vs. 2009.</w:t>
      </w:r>
    </w:p>
    <w:p>
      <w:pPr>
        <w:jc w:val="both"/>
        <w:ind w:left="2120" w:hanging="327"/>
        <w:spacing w:after="0" w:line="281" w:lineRule="auto"/>
        <w:tabs>
          <w:tab w:leader="none" w:pos="2133" w:val="left"/>
        </w:tabs>
        <w:numPr>
          <w:ilvl w:val="0"/>
          <w:numId w:val="1"/>
        </w:numPr>
        <w:rPr>
          <w:rFonts w:ascii="Arial" w:cs="Arial" w:eastAsia="Arial" w:hAnsi="Arial"/>
          <w:sz w:val="16"/>
          <w:szCs w:val="16"/>
          <w:color w:val="auto"/>
        </w:rPr>
      </w:pPr>
      <w:r>
        <w:rPr>
          <w:rFonts w:ascii="Arial" w:cs="Arial" w:eastAsia="Arial" w:hAnsi="Arial"/>
          <w:sz w:val="16"/>
          <w:szCs w:val="16"/>
          <w:color w:val="auto"/>
        </w:rPr>
        <w:t>An improvement of our PDL ratio to 1.46% in 4Q10 was recorded as the absolute volumes of past due loans dropped and our loan portfolio expanded. Nevertheless, our conservative internal policy on coverage and provisions, our stronger incursion into more risky segments of the business as well as regulatory changes that required more provisions led to a decision to maintain a high level of provisions, which were still 7.6% lower than those of 3Q. Therefore, reserves were only slightly lower for 2010 at 2.9% of total loans vs. 3.1% in 2009.</w:t>
      </w:r>
    </w:p>
    <w:p>
      <w:pPr>
        <w:spacing w:after="0" w:line="3" w:lineRule="exact"/>
        <w:rPr>
          <w:rFonts w:ascii="Arial" w:cs="Arial" w:eastAsia="Arial" w:hAnsi="Arial"/>
          <w:sz w:val="16"/>
          <w:szCs w:val="16"/>
          <w:color w:val="auto"/>
        </w:rPr>
      </w:pPr>
    </w:p>
    <w:p>
      <w:pPr>
        <w:jc w:val="both"/>
        <w:ind w:left="2120" w:hanging="327"/>
        <w:spacing w:after="0" w:line="250" w:lineRule="auto"/>
        <w:tabs>
          <w:tab w:leader="none" w:pos="2133"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continuing good performance of the insurance business is reflected in the slightly lower though still very strong US$ 42.5 million net premium income, which contributed to a 19.2% growth in premium contribution for the year 2010.</w:t>
      </w:r>
    </w:p>
    <w:p>
      <w:pPr>
        <w:spacing w:after="0" w:line="1" w:lineRule="exact"/>
        <w:rPr>
          <w:rFonts w:ascii="Arial" w:cs="Arial" w:eastAsia="Arial" w:hAnsi="Arial"/>
          <w:sz w:val="18"/>
          <w:szCs w:val="18"/>
          <w:color w:val="auto"/>
        </w:rPr>
      </w:pPr>
    </w:p>
    <w:p>
      <w:pPr>
        <w:jc w:val="both"/>
        <w:ind w:left="2120" w:hanging="327"/>
        <w:spacing w:after="0" w:line="250" w:lineRule="auto"/>
        <w:tabs>
          <w:tab w:leader="none" w:pos="2066" w:val="left"/>
        </w:tabs>
        <w:numPr>
          <w:ilvl w:val="0"/>
          <w:numId w:val="1"/>
        </w:numPr>
        <w:rPr>
          <w:rFonts w:ascii="Arial" w:cs="Arial" w:eastAsia="Arial" w:hAnsi="Arial"/>
          <w:sz w:val="18"/>
          <w:szCs w:val="18"/>
          <w:color w:val="auto"/>
        </w:rPr>
      </w:pPr>
      <w:r>
        <w:rPr>
          <w:rFonts w:ascii="Arial" w:cs="Arial" w:eastAsia="Arial" w:hAnsi="Arial"/>
          <w:sz w:val="18"/>
          <w:szCs w:val="18"/>
          <w:color w:val="auto"/>
        </w:rPr>
        <w:t>After significant drops in operating costs in the 1H10, these were 3.4% up in 3Q and increased 18.2% in 4Q as a result of some typical year end increases, some additional cost stemming from the increased levels of variable remuneration of employees and investments in training &amp; advisory services as we develop business opportunities. Nevertheless, the strong income generation led to an improvement in the efficiency ratio for the year from 42.1% to 41.2%.</w:t>
      </w:r>
    </w:p>
    <w:p>
      <w:pPr>
        <w:spacing w:after="0" w:line="2" w:lineRule="exact"/>
        <w:rPr>
          <w:rFonts w:ascii="Arial" w:cs="Arial" w:eastAsia="Arial" w:hAnsi="Arial"/>
          <w:sz w:val="18"/>
          <w:szCs w:val="18"/>
          <w:color w:val="auto"/>
        </w:rPr>
      </w:pPr>
    </w:p>
    <w:p>
      <w:pPr>
        <w:jc w:val="both"/>
        <w:ind w:left="2120" w:hanging="327"/>
        <w:spacing w:after="0" w:line="265" w:lineRule="auto"/>
        <w:tabs>
          <w:tab w:leader="none" w:pos="2147" w:val="left"/>
        </w:tabs>
        <w:numPr>
          <w:ilvl w:val="0"/>
          <w:numId w:val="1"/>
        </w:numPr>
        <w:rPr>
          <w:rFonts w:ascii="Arial" w:cs="Arial" w:eastAsia="Arial" w:hAnsi="Arial"/>
          <w:sz w:val="17"/>
          <w:szCs w:val="17"/>
          <w:color w:val="auto"/>
        </w:rPr>
      </w:pPr>
      <w:r>
        <w:rPr>
          <w:rFonts w:ascii="Arial" w:cs="Arial" w:eastAsia="Arial" w:hAnsi="Arial"/>
          <w:sz w:val="17"/>
          <w:szCs w:val="17"/>
          <w:color w:val="auto"/>
        </w:rPr>
        <w:t>BCP’s 4Q operating results also reflect solid growth in net loans of 7.8% and increase in NII of 5.1% QoQ, reflecting the higher cost of US Dollar funding, and the stronger growth of the low margin corporate loan book and large liquidity positions reducing the average yields on total portfolio. Provisions for loan losses dropped only slightly despite the improvements in portfolio quality and operating costs revealed a strong year-end increase of 16.3% QoQ. Furthermore, a slight revaluation of the US currency internationally also affected our open soles position generating a small loss instead of the larger gains posted in previous Qs. Thus, net contribution to Credicorp dropped to US$ 99.1 million from US$ 135.2 in 3Q. Despite this Q drop, accumulated results are very strong reaching US$ 476.3 million net earnings for 2010 and US$ 464.4 million earnings contribution, which reflect a 19.9% earnings growth for the year.</w:t>
      </w:r>
    </w:p>
    <w:p>
      <w:pPr>
        <w:spacing w:after="0" w:line="2" w:lineRule="exact"/>
        <w:rPr>
          <w:rFonts w:ascii="Arial" w:cs="Arial" w:eastAsia="Arial" w:hAnsi="Arial"/>
          <w:sz w:val="17"/>
          <w:szCs w:val="17"/>
          <w:color w:val="auto"/>
        </w:rPr>
      </w:pPr>
    </w:p>
    <w:p>
      <w:pPr>
        <w:ind w:left="2120" w:hanging="327"/>
        <w:spacing w:after="0" w:line="250" w:lineRule="auto"/>
        <w:tabs>
          <w:tab w:leader="none" w:pos="2093" w:val="left"/>
        </w:tabs>
        <w:numPr>
          <w:ilvl w:val="0"/>
          <w:numId w:val="1"/>
        </w:numPr>
        <w:rPr>
          <w:rFonts w:ascii="Arial" w:cs="Arial" w:eastAsia="Arial" w:hAnsi="Arial"/>
          <w:sz w:val="18"/>
          <w:szCs w:val="18"/>
          <w:color w:val="auto"/>
        </w:rPr>
      </w:pPr>
      <w:r>
        <w:rPr>
          <w:rFonts w:ascii="Arial" w:cs="Arial" w:eastAsia="Arial" w:hAnsi="Arial"/>
          <w:sz w:val="18"/>
          <w:szCs w:val="18"/>
          <w:color w:val="auto"/>
        </w:rPr>
        <w:t>ASHC’s contribution to Credicorp this 4Q was up by 10.4% to US$ 11.7 million following a good evolution of its asset management business.</w:t>
      </w:r>
    </w:p>
    <w:p>
      <w:pPr>
        <w:jc w:val="both"/>
        <w:ind w:left="2120" w:hanging="327"/>
        <w:spacing w:after="0" w:line="250" w:lineRule="auto"/>
        <w:tabs>
          <w:tab w:leader="none" w:pos="206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insurance business also shows a strong performance reporting for the 4Q net earnings at the same high level of 3Q of US$ 16.5 million and a 10.8% higher net income of US$ 68.3 million for the full year. However, the acquisition of ALICO’s shares of Pacifico boosted PPS’s income contribution to Credicorp to US$ 16.0 million for 4Q, 52.9% higher than the previous Q.</w:t>
      </w:r>
    </w:p>
    <w:p>
      <w:pPr>
        <w:spacing w:after="0" w:line="1" w:lineRule="exact"/>
        <w:rPr>
          <w:rFonts w:ascii="Arial" w:cs="Arial" w:eastAsia="Arial" w:hAnsi="Arial"/>
          <w:sz w:val="18"/>
          <w:szCs w:val="18"/>
          <w:color w:val="auto"/>
        </w:rPr>
      </w:pPr>
    </w:p>
    <w:p>
      <w:pPr>
        <w:jc w:val="both"/>
        <w:ind w:left="2120" w:hanging="327"/>
        <w:spacing w:after="0" w:line="250" w:lineRule="auto"/>
        <w:tabs>
          <w:tab w:leader="none" w:pos="2214"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Prima AFP maintained good business results and benefitted from a tax reversal due to a change in IFRS accounting that led to US$ 8.0 million net income contribution for 4Q10. Accumulated results for the year also reveal a 22.6% increase in contribution to US$25.5 million.</w:t>
      </w:r>
    </w:p>
    <w:p>
      <w:pPr>
        <w:spacing w:after="0" w:line="1" w:lineRule="exact"/>
        <w:rPr>
          <w:rFonts w:ascii="Arial" w:cs="Arial" w:eastAsia="Arial" w:hAnsi="Arial"/>
          <w:sz w:val="18"/>
          <w:szCs w:val="18"/>
          <w:color w:val="auto"/>
        </w:rPr>
      </w:pPr>
    </w:p>
    <w:p>
      <w:pPr>
        <w:jc w:val="both"/>
        <w:ind w:left="2120" w:right="20" w:hanging="327"/>
        <w:spacing w:after="0" w:line="255" w:lineRule="auto"/>
        <w:tabs>
          <w:tab w:leader="none" w:pos="2214" w:val="left"/>
        </w:tabs>
        <w:numPr>
          <w:ilvl w:val="0"/>
          <w:numId w:val="1"/>
        </w:numPr>
        <w:rPr>
          <w:rFonts w:ascii="Arial" w:cs="Arial" w:eastAsia="Arial" w:hAnsi="Arial"/>
          <w:sz w:val="18"/>
          <w:szCs w:val="18"/>
          <w:color w:val="auto"/>
        </w:rPr>
      </w:pPr>
      <w:r>
        <w:rPr>
          <w:rFonts w:ascii="Arial" w:cs="Arial" w:eastAsia="Arial" w:hAnsi="Arial"/>
          <w:sz w:val="18"/>
          <w:szCs w:val="18"/>
          <w:color w:val="auto"/>
        </w:rPr>
        <w:t>Overall, Credicorp had a good 4Q which contributed to the excellent income generation in all businesses reaching loan book growth of 24.2% for the year, 22.7% ROAE, a 1.46% PDL ratio and an improved efficiency ratio of 41.2% for the year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402590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 Credicorp Ltd.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 reported solid 4Q10 earnings of US$ 129.3 million, though substantially lower than the strong 3Q and 2Q net results, both of which were significantly boosted by extraordinary earnings from the sale of securities and translation results. This excellent business result for the 4Q contributed to the total net income after minority holdings reported by Credicorp for the year which reached US$ 571.3 million. These results evidence robust net earnings expansion of about 21.6%, despite lower extraordinary income in 2010 vs. 2009.</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recovery of economic activity in the Peruvian market is today unquestionable and led to the strong growth in our loan book of 24.2%, with deposits also performing strongly and expanding by 28.3%. Only in 4Q net loans were up 7.5% reflecting strong business activity. This growth stems from the strong corporate activity which made wholesale banking become the star performer in terms of growth for the year 2010, growing 8.3% QoQ and 29.9% YoY. On the retail banking side, the best performers were SME / PYME lending which grew 10.1% y 28.3%, and mortgage lending expanding 6.6% and 20.5% quarterly or yearly respectively.</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Following such strong loan book expansion, business performance was robust this 4Q and maintained its growth trend throughout the year as evidenced by net interest income (NII) increasing 5% from 2Q to 3Q and 3.9% from 3Q to 4Q, reaching US$ 282.1 million this 4Q10. These improvements in NII reflect however the pressure on funding cost stemming from the restrictive monetary policy of the central bank which led to increases in interest paid on time deposits and increases in reserve requirements, and from measures taken to reduce the pressure on the exchange rate for the local currency, which in turn also generated some scarcity of the US currency. This, plus the strong growth of the wholesale portfolio with tighter margins and high levels of liquidity invested at the Central Bank with even smaller margins affected NIM for 4Q and led to a tighter NIM for the period of 4.6%. Nevertheless, overall NIM for the year remained flat at 4.83%, since the funding cost of deposits was significantly lower still for the year vs. 2009 and could compensate the negative pressure of the stronger expansion of the low margin corporate business and high liquidity positions.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further improvement of our PDL ratio to 1.46% in 4Q10 was recorded as our loan portfolio grew at the above mentioned rates, and the absolute volumes of past due loans dropped again. Nevertheless, our conservative internal policy on coverage and provisions, as well as regulatory changes that required more provisions –including the pro-cyclical provisions- led us to maintain a high level of provisions. Thus reserves for loan losses reached 2.9% of our loan book vs. 3.1% in 3Q, while coverage increased to 198.2% from 193.1%.</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Non-financial income had rather a flat performance with fee income staying at the same high levels of the previous Qs and gains on FX transactions up 10.3%. The extraordinary non-recurrent gains on the sale of securities in the previous 2 Qs have a distorting effect on non financial income and the bottom line results.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insurance business also performed well with income from net insurance premiums up 5.2%, but also a significant increase in claims that led to a 3.9% drop in total quarterly operating income contributed by the insurance business to Credicorp.</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two consecutive QoQ drops in operating costs in the 1H10, these were 3.4% up in 3Q and increased even further by +18.2% in 4Q. This was the result of some typical year-end increases in administrative costs, some additional cost stemming from the increased levels of variable remuneration of employees provisions for our incentive programs and investments in training &amp; advisory services as we develop business opportunities. Nevertheless, the strong income generation led to an improvement in the efficiency ratio for the year from 42.1% to 41.2%.</w:t>
      </w:r>
    </w:p>
    <w:p>
      <w:pPr>
        <w:spacing w:after="0" w:line="36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8"/>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Credicorp Ltd.</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3"/>
          </w:tcPr>
          <w:p>
            <w:pPr>
              <w:ind w:left="720"/>
              <w:spacing w:after="0"/>
              <w:rPr>
                <w:sz w:val="20"/>
                <w:szCs w:val="20"/>
                <w:color w:val="auto"/>
              </w:rPr>
            </w:pPr>
            <w:r>
              <w:rPr>
                <w:rFonts w:ascii="Arial" w:cs="Arial" w:eastAsia="Arial" w:hAnsi="Arial"/>
                <w:sz w:val="14"/>
                <w:szCs w:val="14"/>
                <w:b w:val="1"/>
                <w:bCs w:val="1"/>
                <w:color w:val="auto"/>
              </w:rPr>
              <w:t>Change %</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tcPr>
          <w:p>
            <w:pPr>
              <w:ind w:left="660"/>
              <w:spacing w:after="0"/>
              <w:rPr>
                <w:sz w:val="20"/>
                <w:szCs w:val="20"/>
                <w:color w:val="auto"/>
              </w:rPr>
            </w:pPr>
            <w:r>
              <w:rPr>
                <w:rFonts w:ascii="Arial" w:cs="Arial" w:eastAsia="Arial" w:hAnsi="Arial"/>
                <w:sz w:val="14"/>
                <w:szCs w:val="14"/>
                <w:b w:val="1"/>
                <w:bCs w:val="1"/>
                <w:color w:val="auto"/>
                <w:w w:val="90"/>
              </w:rPr>
              <w:t>Year ended</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Change %</w:t>
            </w:r>
          </w:p>
        </w:tc>
        <w:tc>
          <w:tcPr>
            <w:tcW w:w="0" w:type="dxa"/>
            <w:vAlign w:val="bottom"/>
          </w:tcPr>
          <w:p>
            <w:pPr>
              <w:spacing w:after="0"/>
              <w:rPr>
                <w:sz w:val="1"/>
                <w:szCs w:val="1"/>
                <w:color w:val="auto"/>
              </w:rPr>
            </w:pPr>
          </w:p>
        </w:tc>
      </w:tr>
      <w:tr>
        <w:trPr>
          <w:trHeight w:val="149"/>
        </w:trPr>
        <w:tc>
          <w:tcPr>
            <w:tcW w:w="224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US$ 000</w:t>
            </w:r>
          </w:p>
        </w:tc>
        <w:tc>
          <w:tcPr>
            <w:tcW w:w="10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4Q10</w:t>
            </w:r>
          </w:p>
        </w:tc>
        <w:tc>
          <w:tcPr>
            <w:tcW w:w="1140" w:type="dxa"/>
            <w:vAlign w:val="bottom"/>
            <w:tcBorders>
              <w:top w:val="single" w:sz="8" w:color="auto"/>
            </w:tcBorders>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3Q10</w:t>
            </w:r>
          </w:p>
        </w:tc>
        <w:tc>
          <w:tcPr>
            <w:tcW w:w="900" w:type="dxa"/>
            <w:vAlign w:val="bottom"/>
            <w:tcBorders>
              <w:top w:val="single" w:sz="8" w:color="auto"/>
            </w:tcBorders>
          </w:tcPr>
          <w:p>
            <w:pPr>
              <w:jc w:val="right"/>
              <w:ind w:right="228"/>
              <w:spacing w:after="0" w:line="149" w:lineRule="exact"/>
              <w:rPr>
                <w:sz w:val="20"/>
                <w:szCs w:val="20"/>
                <w:color w:val="auto"/>
              </w:rPr>
            </w:pPr>
            <w:r>
              <w:rPr>
                <w:rFonts w:ascii="Arial" w:cs="Arial" w:eastAsia="Arial" w:hAnsi="Arial"/>
                <w:sz w:val="14"/>
                <w:szCs w:val="14"/>
                <w:b w:val="1"/>
                <w:bCs w:val="1"/>
                <w:color w:val="auto"/>
              </w:rPr>
              <w:t>4Q09</w:t>
            </w:r>
          </w:p>
        </w:tc>
        <w:tc>
          <w:tcPr>
            <w:tcW w:w="220" w:type="dxa"/>
            <w:vAlign w:val="bottom"/>
          </w:tcPr>
          <w:p>
            <w:pPr>
              <w:spacing w:after="0"/>
              <w:rPr>
                <w:sz w:val="12"/>
                <w:szCs w:val="12"/>
                <w:color w:val="auto"/>
              </w:rPr>
            </w:pPr>
          </w:p>
        </w:tc>
        <w:tc>
          <w:tcPr>
            <w:tcW w:w="1420" w:type="dxa"/>
            <w:vAlign w:val="bottom"/>
            <w:tcBorders>
              <w:top w:val="single" w:sz="8" w:color="auto"/>
            </w:tcBorders>
            <w:gridSpan w:val="3"/>
          </w:tcPr>
          <w:p>
            <w:pPr>
              <w:ind w:left="320"/>
              <w:spacing w:after="0" w:line="149" w:lineRule="exact"/>
              <w:rPr>
                <w:sz w:val="20"/>
                <w:szCs w:val="20"/>
                <w:color w:val="auto"/>
              </w:rPr>
            </w:pPr>
            <w:r>
              <w:rPr>
                <w:rFonts w:ascii="Arial" w:cs="Arial" w:eastAsia="Arial" w:hAnsi="Arial"/>
                <w:sz w:val="14"/>
                <w:szCs w:val="14"/>
                <w:b w:val="1"/>
                <w:bCs w:val="1"/>
                <w:color w:val="auto"/>
              </w:rPr>
              <w:t>QoQ</w:t>
            </w:r>
          </w:p>
        </w:tc>
        <w:tc>
          <w:tcPr>
            <w:tcW w:w="660" w:type="dxa"/>
            <w:vAlign w:val="bottom"/>
            <w:tcBorders>
              <w:top w:val="single" w:sz="8" w:color="auto"/>
            </w:tcBorders>
          </w:tcPr>
          <w:p>
            <w:pPr>
              <w:jc w:val="right"/>
              <w:ind w:right="248"/>
              <w:spacing w:after="0" w:line="149"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2"/>
                <w:szCs w:val="12"/>
                <w:color w:val="auto"/>
              </w:rPr>
            </w:pPr>
          </w:p>
        </w:tc>
        <w:tc>
          <w:tcPr>
            <w:tcW w:w="1360" w:type="dxa"/>
            <w:vAlign w:val="bottom"/>
            <w:tcBorders>
              <w:top w:val="single" w:sz="8" w:color="auto"/>
            </w:tcBorders>
            <w:gridSpan w:val="3"/>
          </w:tcPr>
          <w:p>
            <w:pPr>
              <w:ind w:left="240"/>
              <w:spacing w:after="0" w:line="149" w:lineRule="exact"/>
              <w:rPr>
                <w:sz w:val="20"/>
                <w:szCs w:val="20"/>
                <w:color w:val="auto"/>
              </w:rPr>
            </w:pPr>
            <w:r>
              <w:rPr>
                <w:rFonts w:ascii="Arial" w:cs="Arial" w:eastAsia="Arial" w:hAnsi="Arial"/>
                <w:sz w:val="14"/>
                <w:szCs w:val="14"/>
                <w:b w:val="1"/>
                <w:bCs w:val="1"/>
                <w:color w:val="auto"/>
              </w:rPr>
              <w:t>Dec 10</w:t>
            </w:r>
          </w:p>
        </w:tc>
        <w:tc>
          <w:tcPr>
            <w:tcW w:w="660" w:type="dxa"/>
            <w:vAlign w:val="bottom"/>
            <w:tcBorders>
              <w:top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Dec 09</w:t>
            </w:r>
          </w:p>
        </w:tc>
        <w:tc>
          <w:tcPr>
            <w:tcW w:w="240" w:type="dxa"/>
            <w:vAlign w:val="bottom"/>
          </w:tcPr>
          <w:p>
            <w:pPr>
              <w:spacing w:after="0"/>
              <w:rPr>
                <w:sz w:val="12"/>
                <w:szCs w:val="12"/>
                <w:color w:val="auto"/>
              </w:rPr>
            </w:pPr>
          </w:p>
        </w:tc>
        <w:tc>
          <w:tcPr>
            <w:tcW w:w="9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Dec 10 / Dec 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Interest income</w:t>
            </w:r>
          </w:p>
        </w:tc>
        <w:tc>
          <w:tcPr>
            <w:tcW w:w="10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282,131</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271,438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237,963</w:t>
            </w:r>
          </w:p>
        </w:tc>
        <w:tc>
          <w:tcPr>
            <w:tcW w:w="11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1,057,587</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891,918</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Net provisions for loan losses</w:t>
            </w:r>
          </w:p>
        </w:tc>
        <w:tc>
          <w:tcPr>
            <w:tcW w:w="12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(48,304)</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(52,303)</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(44,044)</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9.7%</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(174,682)</w:t>
            </w:r>
          </w:p>
        </w:tc>
        <w:tc>
          <w:tcPr>
            <w:tcW w:w="2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(163,392)</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124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191,866</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193,987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174,124</w:t>
            </w:r>
          </w:p>
        </w:tc>
        <w:tc>
          <w:tcPr>
            <w:tcW w:w="11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750,215</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680,866</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Insurance premiums and claims</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42,498</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44,220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45,029</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164,721</w:t>
            </w:r>
          </w:p>
        </w:tc>
        <w:tc>
          <w:tcPr>
            <w:tcW w:w="2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138,225</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Operating expenses</w:t>
            </w:r>
          </w:p>
        </w:tc>
        <w:tc>
          <w:tcPr>
            <w:tcW w:w="124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(287,444)</w:t>
            </w:r>
          </w:p>
        </w:tc>
        <w:tc>
          <w:tcPr>
            <w:tcW w:w="11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(243,281)</w:t>
            </w:r>
          </w:p>
        </w:tc>
        <w:tc>
          <w:tcPr>
            <w:tcW w:w="11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(260,064)</w:t>
            </w:r>
          </w:p>
        </w:tc>
        <w:tc>
          <w:tcPr>
            <w:tcW w:w="11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18.2%</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10.5%</w:t>
            </w:r>
          </w:p>
        </w:tc>
        <w:tc>
          <w:tcPr>
            <w:tcW w:w="11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(1,003,744)</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(898,639)</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income (1)</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180,747</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214,060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153,008</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-15.6%</w:t>
            </w:r>
          </w:p>
        </w:tc>
        <w:tc>
          <w:tcPr>
            <w:tcW w:w="2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18.1%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794,097</w:t>
            </w:r>
          </w:p>
        </w:tc>
        <w:tc>
          <w:tcPr>
            <w:tcW w:w="2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648,977</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Core operating income (2)</w:t>
            </w:r>
          </w:p>
        </w:tc>
        <w:tc>
          <w:tcPr>
            <w:tcW w:w="124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180,747</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204,423</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153,008</w:t>
            </w:r>
          </w:p>
        </w:tc>
        <w:tc>
          <w:tcPr>
            <w:tcW w:w="11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-11.6%</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759,111</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576,250</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160"/>
              <w:spacing w:after="0" w:line="149" w:lineRule="exact"/>
              <w:rPr>
                <w:sz w:val="20"/>
                <w:szCs w:val="20"/>
                <w:color w:val="auto"/>
              </w:rPr>
            </w:pPr>
            <w:r>
              <w:rPr>
                <w:rFonts w:ascii="Arial" w:cs="Arial" w:eastAsia="Arial" w:hAnsi="Arial"/>
                <w:sz w:val="14"/>
                <w:szCs w:val="14"/>
                <w:color w:val="auto"/>
              </w:rPr>
              <w:t>Non core operating income (3)</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9,637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-100.0%</w:t>
            </w:r>
          </w:p>
        </w:tc>
        <w:tc>
          <w:tcPr>
            <w:tcW w:w="26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34,986</w:t>
            </w:r>
          </w:p>
        </w:tc>
        <w:tc>
          <w:tcPr>
            <w:tcW w:w="2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72,727</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Translation results</w:t>
            </w:r>
          </w:p>
        </w:tc>
        <w:tc>
          <w:tcPr>
            <w:tcW w:w="124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(7,074)</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14,467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1,075</w:t>
            </w:r>
          </w:p>
        </w:tc>
        <w:tc>
          <w:tcPr>
            <w:tcW w:w="11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-148.9%</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-758.2%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24,128</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12,371</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tcPr>
          <w:p>
            <w:pPr>
              <w:spacing w:after="0" w:line="130" w:lineRule="exact"/>
              <w:rPr>
                <w:sz w:val="20"/>
                <w:szCs w:val="20"/>
                <w:color w:val="auto"/>
              </w:rPr>
            </w:pPr>
            <w:r>
              <w:rPr>
                <w:rFonts w:ascii="Arial" w:cs="Arial" w:eastAsia="Arial" w:hAnsi="Arial"/>
                <w:sz w:val="14"/>
                <w:szCs w:val="14"/>
                <w:color w:val="auto"/>
              </w:rPr>
              <w:t>Worker's profit sharing and income</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gridSpan w:val="2"/>
          </w:tcPr>
          <w:p>
            <w:pPr>
              <w:spacing w:after="0"/>
              <w:rPr>
                <w:sz w:val="20"/>
                <w:szCs w:val="20"/>
                <w:color w:val="auto"/>
              </w:rPr>
            </w:pPr>
            <w:r>
              <w:rPr>
                <w:rFonts w:ascii="Arial" w:cs="Arial" w:eastAsia="Arial" w:hAnsi="Arial"/>
                <w:sz w:val="14"/>
                <w:szCs w:val="14"/>
                <w:color w:val="auto"/>
              </w:rPr>
              <w:t>taxes</w:t>
            </w:r>
          </w:p>
        </w:tc>
        <w:tc>
          <w:tcPr>
            <w:tcW w:w="1240" w:type="dxa"/>
            <w:vAlign w:val="bottom"/>
            <w:gridSpan w:val="3"/>
          </w:tcPr>
          <w:p>
            <w:pPr>
              <w:jc w:val="right"/>
              <w:ind w:right="180"/>
              <w:spacing w:after="0"/>
              <w:rPr>
                <w:sz w:val="20"/>
                <w:szCs w:val="20"/>
                <w:color w:val="auto"/>
              </w:rPr>
            </w:pPr>
            <w:r>
              <w:rPr>
                <w:rFonts w:ascii="Arial" w:cs="Arial" w:eastAsia="Arial" w:hAnsi="Arial"/>
                <w:sz w:val="14"/>
                <w:szCs w:val="14"/>
                <w:color w:val="auto"/>
              </w:rPr>
              <w:t>(41,456)</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(62,941)</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(21,112)</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-34.1%</w:t>
            </w:r>
          </w:p>
        </w:tc>
        <w:tc>
          <w:tcPr>
            <w:tcW w:w="2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96.4%</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(214,910)</w:t>
            </w:r>
          </w:p>
        </w:tc>
        <w:tc>
          <w:tcPr>
            <w:tcW w:w="2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(156,913)</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24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132,217</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165,586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132,971</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-20.2%</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-0.6%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603,315</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504,435</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2,935</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9,360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10,675</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-68.6%</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32,013</w:t>
            </w:r>
          </w:p>
        </w:tc>
        <w:tc>
          <w:tcPr>
            <w:tcW w:w="2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34,651</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w w:val="95"/>
              </w:rPr>
              <w:t>Net income attributed to Credicorp</w:t>
            </w:r>
          </w:p>
        </w:tc>
        <w:tc>
          <w:tcPr>
            <w:tcW w:w="124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129,282</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156,226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122,296</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-17.2%</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571,302</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469,783</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Net income/share (US$)</w:t>
            </w:r>
          </w:p>
        </w:tc>
        <w:tc>
          <w:tcPr>
            <w:tcW w:w="10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1.62</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1.53</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-17.2%</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7.16</w:t>
            </w:r>
          </w:p>
        </w:tc>
        <w:tc>
          <w:tcPr>
            <w:tcW w:w="2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5.89</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loans</w:t>
            </w:r>
          </w:p>
        </w:tc>
        <w:tc>
          <w:tcPr>
            <w:tcW w:w="10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14,393,358</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13,409,258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11,585,635</w:t>
            </w:r>
          </w:p>
        </w:tc>
        <w:tc>
          <w:tcPr>
            <w:tcW w:w="11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7.3%</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14,393,358</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w w:val="94"/>
              </w:rPr>
              <w:t>11,585,635</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Deposits and obligations</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18,085,310</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16,652,009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14,091,828</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8.6%</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18,085,310</w:t>
            </w:r>
          </w:p>
        </w:tc>
        <w:tc>
          <w:tcPr>
            <w:tcW w:w="2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4"/>
              </w:rPr>
              <w:t>14,091,828</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shareholders' equity</w:t>
            </w:r>
          </w:p>
        </w:tc>
        <w:tc>
          <w:tcPr>
            <w:tcW w:w="10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2,838,360</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2,689,315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2,316,856</w:t>
            </w:r>
          </w:p>
        </w:tc>
        <w:tc>
          <w:tcPr>
            <w:tcW w:w="11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5.5%</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22.5%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2,838,360</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2,316,856</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Net interest margin</w:t>
            </w:r>
          </w:p>
        </w:tc>
        <w:tc>
          <w:tcPr>
            <w:tcW w:w="10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w:t>
            </w:r>
          </w:p>
        </w:tc>
        <w:tc>
          <w:tcPr>
            <w:tcW w:w="2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Efficiency ratio</w:t>
            </w:r>
          </w:p>
        </w:tc>
        <w:tc>
          <w:tcPr>
            <w:tcW w:w="124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43.7%</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39.4%</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44.0%</w:t>
            </w:r>
          </w:p>
        </w:tc>
        <w:tc>
          <w:tcPr>
            <w:tcW w:w="9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41.2%</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42.1%</w:t>
            </w: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tcPr>
          <w:p>
            <w:pPr>
              <w:spacing w:after="0" w:line="130" w:lineRule="exact"/>
              <w:rPr>
                <w:sz w:val="20"/>
                <w:szCs w:val="20"/>
                <w:color w:val="auto"/>
              </w:rPr>
            </w:pPr>
            <w:r>
              <w:rPr>
                <w:rFonts w:ascii="Arial" w:cs="Arial" w:eastAsia="Arial" w:hAnsi="Arial"/>
                <w:sz w:val="14"/>
                <w:szCs w:val="14"/>
                <w:color w:val="auto"/>
              </w:rPr>
              <w:t>Return on average shareholders'</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gridSpan w:val="2"/>
          </w:tcPr>
          <w:p>
            <w:pPr>
              <w:spacing w:after="0"/>
              <w:rPr>
                <w:sz w:val="20"/>
                <w:szCs w:val="20"/>
                <w:color w:val="auto"/>
              </w:rPr>
            </w:pPr>
            <w:r>
              <w:rPr>
                <w:rFonts w:ascii="Arial" w:cs="Arial" w:eastAsia="Arial" w:hAnsi="Arial"/>
                <w:sz w:val="14"/>
                <w:szCs w:val="14"/>
                <w:color w:val="auto"/>
              </w:rPr>
              <w:t>equity</w:t>
            </w:r>
          </w:p>
        </w:tc>
        <w:tc>
          <w:tcPr>
            <w:tcW w:w="1240" w:type="dxa"/>
            <w:vAlign w:val="bottom"/>
            <w:gridSpan w:val="3"/>
          </w:tcPr>
          <w:p>
            <w:pPr>
              <w:jc w:val="right"/>
              <w:ind w:right="120"/>
              <w:spacing w:after="0"/>
              <w:rPr>
                <w:sz w:val="20"/>
                <w:szCs w:val="20"/>
                <w:color w:val="auto"/>
              </w:rPr>
            </w:pPr>
            <w:r>
              <w:rPr>
                <w:rFonts w:ascii="Arial" w:cs="Arial" w:eastAsia="Arial" w:hAnsi="Arial"/>
                <w:sz w:val="14"/>
                <w:szCs w:val="14"/>
                <w:color w:val="auto"/>
              </w:rPr>
              <w:t>18.7%</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24.4%</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22.0%</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22.7%</w:t>
            </w:r>
          </w:p>
        </w:tc>
        <w:tc>
          <w:tcPr>
            <w:tcW w:w="2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24.1%</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PDL / total loans</w:t>
            </w:r>
          </w:p>
        </w:tc>
        <w:tc>
          <w:tcPr>
            <w:tcW w:w="124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1.46%</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1.59%</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1.59%</w:t>
            </w:r>
          </w:p>
        </w:tc>
        <w:tc>
          <w:tcPr>
            <w:tcW w:w="9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1.46%</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1.59%</w:t>
            </w: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Coverage ratio of PDLs</w:t>
            </w:r>
          </w:p>
        </w:tc>
        <w:tc>
          <w:tcPr>
            <w:tcW w:w="12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198.2%</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193.1%</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192.0%</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198.2%</w:t>
            </w:r>
          </w:p>
        </w:tc>
        <w:tc>
          <w:tcPr>
            <w:tcW w:w="2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192.0%</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Employees</w:t>
            </w:r>
          </w:p>
        </w:tc>
        <w:tc>
          <w:tcPr>
            <w:tcW w:w="10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19,641</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19,012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20,148</w:t>
            </w:r>
          </w:p>
        </w:tc>
        <w:tc>
          <w:tcPr>
            <w:tcW w:w="9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19,641</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20,148</w:t>
            </w: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6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4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Income before translation results, workers' profit sharing and income taxes.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Core operating income = Operating income - non core operating income.</w:t>
      </w:r>
    </w:p>
    <w:p>
      <w:pPr>
        <w:spacing w:after="0" w:line="9" w:lineRule="exact"/>
        <w:rPr>
          <w:rFonts w:ascii="Arial" w:cs="Arial" w:eastAsia="Arial" w:hAnsi="Arial"/>
          <w:sz w:val="18"/>
          <w:szCs w:val="18"/>
          <w:i w:val="1"/>
          <w:iCs w:val="1"/>
          <w:color w:val="auto"/>
        </w:rPr>
      </w:pPr>
    </w:p>
    <w:p>
      <w:pPr>
        <w:ind w:right="60" w:firstLine="8"/>
        <w:spacing w:after="0" w:line="261" w:lineRule="auto"/>
        <w:tabs>
          <w:tab w:leader="none" w:pos="25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 core operating income from net gains on sales of securities of US$ 43.406 million in 1Q09, US$ 29.321 million in 2Q09, US$ 25.349 million in 2Q10 and US$ 9.637 million in 3Q10, registered in subsidiary BCP.</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pressures on funding costs, the absence of the substantial extraordinary gains reported in the previous Qs and the higher operating costs; the international revaluation of the US Dollar also generated a translation loss of US$ 7.1 million (vs. the gains reported in the previous quarters given the strong local currency position) which exacerbated the drop of Credicorp’s 4Q results. Thus net income reached US$ 132.2 million, down 20.2% QoQ which resulted in net income attributable to Credicorp of US$ 129.3 million.</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excellent business performance of Credicorp is significantly more evident looking at the performance for the full year, with operating income up by 22.4%, leading to total net income generated by Credicorp of US$ 603.3 million, of which US$ 571.3 million are attributable to Credicorp and represent an impressive income growth of 21.6% for the year 2010. This performance reflects as well a 22.7% ROAE, 2.2% ROAA, 4.83% NIM, 41.2% efficiency ratio and 1.46% PDL ratio with 198.2% coverage, by all means, more than satisfying results and all at the high end of expected targets.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excellent evolution of Credicorp’s businesses this 4Q10 is again somewhat hidden by different elements, but looking at the individual businesses and especially at year end results, the excellence of its performance becomes evident.</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There is today little doubt about the strength of the growth cycle that has started again in the country, which has not only reactivated loan growth, but further increased the good levels of income at the asset management subsidiaries and spurred growth in insurance activity, leading to consistently strong numbers.</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drop in BCP’s 4Q results disguises the strong business evolution that resulted in a 7.6% loan book growth for the Q and 23.8% for the year. The elements that explain the drop in the 4Q10 like the high level of provisions and higher operating costs had in fact a modest expansion when looking at the full year, since provisions grew only 6.5% and costs 10.9% for the year. Non financial income also improved 9.8% for the year despite the fact that the absence of these affected 4Q results and extraordinary gains on the sale of securities were significantly higher in 2009 than in 2010. In fact, the superb performance of fee income, up 25.5% for the year helped offset the difference in extraordinary results. Another element that exacerbated the 4Q drop in income for BCP was the translation results which turned to a loss this 4Q due to the sudden strengthening of the US currency internationally. For the year, however, this line is also a strong positive with US$ 23.3 million in earnings that helps compensate for higher profit sharing and taxes. Bottom line: BCP had an excellent increase in earnings of 19.9% for 2010, no doubt a superb result.</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1"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Thus, net contribution to Credicorp was up 19.5% for the year reaching US$ 464.4 million, which reflects a strong ROAE of 26.8% and ROAA of 2.1%.</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Earnings contribution</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 %</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tcPr>
          <w:p>
            <w:pPr>
              <w:ind w:left="660"/>
              <w:spacing w:after="0"/>
              <w:rPr>
                <w:sz w:val="20"/>
                <w:szCs w:val="20"/>
                <w:color w:val="auto"/>
              </w:rPr>
            </w:pPr>
            <w:r>
              <w:rPr>
                <w:rFonts w:ascii="Arial" w:cs="Arial" w:eastAsia="Arial" w:hAnsi="Arial"/>
                <w:sz w:val="14"/>
                <w:szCs w:val="14"/>
                <w:b w:val="1"/>
                <w:bCs w:val="1"/>
                <w:color w:val="auto"/>
                <w:w w:val="90"/>
              </w:rPr>
              <w:t>Year ended</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Change %</w:t>
            </w:r>
          </w:p>
        </w:tc>
        <w:tc>
          <w:tcPr>
            <w:tcW w:w="0" w:type="dxa"/>
            <w:vAlign w:val="bottom"/>
          </w:tcPr>
          <w:p>
            <w:pPr>
              <w:spacing w:after="0"/>
              <w:rPr>
                <w:sz w:val="1"/>
                <w:szCs w:val="1"/>
                <w:color w:val="auto"/>
              </w:rPr>
            </w:pPr>
          </w:p>
        </w:tc>
      </w:tr>
      <w:tr>
        <w:trPr>
          <w:trHeight w:val="149"/>
        </w:trPr>
        <w:tc>
          <w:tcPr>
            <w:tcW w:w="230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US$ 000</w:t>
            </w:r>
          </w:p>
        </w:tc>
        <w:tc>
          <w:tcPr>
            <w:tcW w:w="12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4Q10</w:t>
            </w:r>
          </w:p>
        </w:tc>
        <w:tc>
          <w:tcPr>
            <w:tcW w:w="1120" w:type="dxa"/>
            <w:vAlign w:val="bottom"/>
            <w:tcBorders>
              <w:top w:val="single" w:sz="8" w:color="auto"/>
            </w:tcBorders>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3Q10</w:t>
            </w:r>
          </w:p>
        </w:tc>
        <w:tc>
          <w:tcPr>
            <w:tcW w:w="900" w:type="dxa"/>
            <w:vAlign w:val="bottom"/>
            <w:tcBorders>
              <w:top w:val="single" w:sz="8" w:color="auto"/>
            </w:tcBorders>
          </w:tcPr>
          <w:p>
            <w:pPr>
              <w:jc w:val="right"/>
              <w:ind w:right="208"/>
              <w:spacing w:after="0" w:line="149" w:lineRule="exact"/>
              <w:rPr>
                <w:sz w:val="20"/>
                <w:szCs w:val="20"/>
                <w:color w:val="auto"/>
              </w:rPr>
            </w:pPr>
            <w:r>
              <w:rPr>
                <w:rFonts w:ascii="Arial" w:cs="Arial" w:eastAsia="Arial" w:hAnsi="Arial"/>
                <w:sz w:val="14"/>
                <w:szCs w:val="14"/>
                <w:b w:val="1"/>
                <w:bCs w:val="1"/>
                <w:color w:val="auto"/>
              </w:rPr>
              <w:t>4Q09</w:t>
            </w:r>
          </w:p>
        </w:tc>
        <w:tc>
          <w:tcPr>
            <w:tcW w:w="220" w:type="dxa"/>
            <w:vAlign w:val="bottom"/>
          </w:tcPr>
          <w:p>
            <w:pPr>
              <w:spacing w:after="0"/>
              <w:rPr>
                <w:sz w:val="12"/>
                <w:szCs w:val="12"/>
                <w:color w:val="auto"/>
              </w:rPr>
            </w:pPr>
          </w:p>
        </w:tc>
        <w:tc>
          <w:tcPr>
            <w:tcW w:w="1420" w:type="dxa"/>
            <w:vAlign w:val="bottom"/>
            <w:tcBorders>
              <w:top w:val="single" w:sz="8" w:color="auto"/>
            </w:tcBorders>
            <w:gridSpan w:val="3"/>
          </w:tcPr>
          <w:p>
            <w:pPr>
              <w:ind w:left="300"/>
              <w:spacing w:after="0" w:line="149" w:lineRule="exact"/>
              <w:rPr>
                <w:sz w:val="20"/>
                <w:szCs w:val="20"/>
                <w:color w:val="auto"/>
              </w:rPr>
            </w:pPr>
            <w:r>
              <w:rPr>
                <w:rFonts w:ascii="Arial" w:cs="Arial" w:eastAsia="Arial" w:hAnsi="Arial"/>
                <w:sz w:val="14"/>
                <w:szCs w:val="14"/>
                <w:b w:val="1"/>
                <w:bCs w:val="1"/>
                <w:color w:val="auto"/>
              </w:rPr>
              <w:t>QoQ</w:t>
            </w:r>
          </w:p>
        </w:tc>
        <w:tc>
          <w:tcPr>
            <w:tcW w:w="640" w:type="dxa"/>
            <w:vAlign w:val="bottom"/>
            <w:tcBorders>
              <w:top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2"/>
                <w:szCs w:val="12"/>
                <w:color w:val="auto"/>
              </w:rPr>
            </w:pPr>
          </w:p>
        </w:tc>
        <w:tc>
          <w:tcPr>
            <w:tcW w:w="1360" w:type="dxa"/>
            <w:vAlign w:val="bottom"/>
            <w:tcBorders>
              <w:top w:val="single" w:sz="8" w:color="auto"/>
            </w:tcBorders>
            <w:gridSpan w:val="3"/>
          </w:tcPr>
          <w:p>
            <w:pPr>
              <w:ind w:left="240"/>
              <w:spacing w:after="0" w:line="149" w:lineRule="exact"/>
              <w:rPr>
                <w:sz w:val="20"/>
                <w:szCs w:val="20"/>
                <w:color w:val="auto"/>
              </w:rPr>
            </w:pPr>
            <w:r>
              <w:rPr>
                <w:rFonts w:ascii="Arial" w:cs="Arial" w:eastAsia="Arial" w:hAnsi="Arial"/>
                <w:sz w:val="14"/>
                <w:szCs w:val="14"/>
                <w:b w:val="1"/>
                <w:bCs w:val="1"/>
                <w:color w:val="auto"/>
              </w:rPr>
              <w:t>Dec 10</w:t>
            </w:r>
          </w:p>
        </w:tc>
        <w:tc>
          <w:tcPr>
            <w:tcW w:w="66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Dec 09</w:t>
            </w:r>
          </w:p>
        </w:tc>
        <w:tc>
          <w:tcPr>
            <w:tcW w:w="2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Dec 10 / Dec 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Banco de Crédito BCP(1)</w:t>
            </w: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99,129</w:t>
            </w: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135,216</w:t>
            </w: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104,518</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464,360</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388,501</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BCB</w:t>
            </w:r>
          </w:p>
        </w:tc>
        <w:tc>
          <w:tcPr>
            <w:tcW w:w="12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3,445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3,442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9,521</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15,815</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30,372</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Financiera Edyficar</w:t>
            </w:r>
          </w:p>
        </w:tc>
        <w:tc>
          <w:tcPr>
            <w:tcW w:w="12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4,420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5,313</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1,112</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297%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21,507</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1,112</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1834%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Atlantic</w:t>
            </w:r>
          </w:p>
        </w:tc>
        <w:tc>
          <w:tcPr>
            <w:tcW w:w="12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11,711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10,603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14,856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48,801</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29,716</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PPS</w:t>
            </w:r>
          </w:p>
        </w:tc>
        <w:tc>
          <w:tcPr>
            <w:tcW w:w="12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15,962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10,439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12,372</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53%</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47,411</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37,374</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Grupo Crédito (2)</w:t>
            </w:r>
          </w:p>
        </w:tc>
        <w:tc>
          <w:tcPr>
            <w:tcW w:w="12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2,913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6,069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5,548</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23,049</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26,556</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Prima</w:t>
            </w:r>
          </w:p>
        </w:tc>
        <w:tc>
          <w:tcPr>
            <w:tcW w:w="12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8,006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5,696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4,224</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41%</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25,505</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20,798</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Others</w:t>
            </w:r>
          </w:p>
        </w:tc>
        <w:tc>
          <w:tcPr>
            <w:tcW w:w="12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(5,093)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1,324</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-1465%</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-485%</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(2,456)</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5,758</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Credicorp and others (3)</w:t>
            </w:r>
          </w:p>
        </w:tc>
        <w:tc>
          <w:tcPr>
            <w:tcW w:w="124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(433)</w:t>
            </w:r>
          </w:p>
        </w:tc>
        <w:tc>
          <w:tcPr>
            <w:tcW w:w="11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(6,101)</w:t>
            </w:r>
          </w:p>
        </w:tc>
        <w:tc>
          <w:tcPr>
            <w:tcW w:w="11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(14,996)</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-93%</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-97%</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(12,319)</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(12,363)</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Credicorp Ltd.</w:t>
            </w:r>
          </w:p>
        </w:tc>
        <w:tc>
          <w:tcPr>
            <w:tcW w:w="12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(781)</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(5,844)</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(14,992)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-87%</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-95%</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(12,123)</w:t>
            </w:r>
          </w:p>
        </w:tc>
        <w:tc>
          <w:tcPr>
            <w:tcW w:w="24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(13,787)</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Others</w:t>
            </w: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348</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(257)</w:t>
            </w:r>
          </w:p>
        </w:tc>
        <w:tc>
          <w:tcPr>
            <w:tcW w:w="11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-235%</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-9132%</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(196)</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1,424</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280" w:type="dxa"/>
            <w:vAlign w:val="bottom"/>
          </w:tcPr>
          <w:p>
            <w:pPr>
              <w:spacing w:after="0" w:line="150" w:lineRule="exact"/>
              <w:rPr>
                <w:sz w:val="20"/>
                <w:szCs w:val="20"/>
                <w:color w:val="auto"/>
              </w:rPr>
            </w:pPr>
            <w:r>
              <w:rPr>
                <w:rFonts w:ascii="Arial" w:cs="Arial" w:eastAsia="Arial" w:hAnsi="Arial"/>
                <w:sz w:val="14"/>
                <w:szCs w:val="14"/>
                <w:b w:val="1"/>
                <w:bCs w:val="1"/>
                <w:color w:val="auto"/>
                <w:w w:val="93"/>
              </w:rPr>
              <w:t>Net income attributable to Credicorp</w:t>
            </w:r>
          </w:p>
        </w:tc>
        <w:tc>
          <w:tcPr>
            <w:tcW w:w="1240" w:type="dxa"/>
            <w:vAlign w:val="bottom"/>
            <w:gridSpan w:val="3"/>
          </w:tcPr>
          <w:p>
            <w:pPr>
              <w:jc w:val="right"/>
              <w:ind w:right="220"/>
              <w:spacing w:after="0" w:line="150" w:lineRule="exact"/>
              <w:rPr>
                <w:sz w:val="20"/>
                <w:szCs w:val="20"/>
                <w:color w:val="auto"/>
              </w:rPr>
            </w:pPr>
            <w:r>
              <w:rPr>
                <w:rFonts w:ascii="Arial" w:cs="Arial" w:eastAsia="Arial" w:hAnsi="Arial"/>
                <w:sz w:val="14"/>
                <w:szCs w:val="14"/>
                <w:b w:val="1"/>
                <w:bCs w:val="1"/>
                <w:color w:val="auto"/>
              </w:rPr>
              <w:t>129,282</w:t>
            </w:r>
          </w:p>
        </w:tc>
        <w:tc>
          <w:tcPr>
            <w:tcW w:w="1120" w:type="dxa"/>
            <w:vAlign w:val="bottom"/>
            <w:gridSpan w:val="2"/>
          </w:tcPr>
          <w:p>
            <w:pPr>
              <w:jc w:val="right"/>
              <w:ind w:right="220"/>
              <w:spacing w:after="0" w:line="150" w:lineRule="exact"/>
              <w:rPr>
                <w:sz w:val="20"/>
                <w:szCs w:val="20"/>
                <w:color w:val="auto"/>
              </w:rPr>
            </w:pPr>
            <w:r>
              <w:rPr>
                <w:rFonts w:ascii="Arial" w:cs="Arial" w:eastAsia="Arial" w:hAnsi="Arial"/>
                <w:sz w:val="14"/>
                <w:szCs w:val="14"/>
                <w:b w:val="1"/>
                <w:bCs w:val="1"/>
                <w:color w:val="auto"/>
              </w:rPr>
              <w:t>156,226</w:t>
            </w:r>
          </w:p>
        </w:tc>
        <w:tc>
          <w:tcPr>
            <w:tcW w:w="1120" w:type="dxa"/>
            <w:vAlign w:val="bottom"/>
            <w:gridSpan w:val="2"/>
          </w:tcPr>
          <w:p>
            <w:pPr>
              <w:jc w:val="right"/>
              <w:ind w:right="220"/>
              <w:spacing w:after="0" w:line="150" w:lineRule="exact"/>
              <w:rPr>
                <w:sz w:val="20"/>
                <w:szCs w:val="20"/>
                <w:color w:val="auto"/>
              </w:rPr>
            </w:pPr>
            <w:r>
              <w:rPr>
                <w:rFonts w:ascii="Arial" w:cs="Arial" w:eastAsia="Arial" w:hAnsi="Arial"/>
                <w:sz w:val="14"/>
                <w:szCs w:val="14"/>
                <w:b w:val="1"/>
                <w:bCs w:val="1"/>
                <w:color w:val="auto"/>
              </w:rPr>
              <w:t>122,298</w:t>
            </w:r>
          </w:p>
        </w:tc>
        <w:tc>
          <w:tcPr>
            <w:tcW w:w="1160" w:type="dxa"/>
            <w:vAlign w:val="bottom"/>
            <w:gridSpan w:val="2"/>
          </w:tcPr>
          <w:p>
            <w:pPr>
              <w:jc w:val="right"/>
              <w:ind w:right="120"/>
              <w:spacing w:after="0" w:line="150" w:lineRule="exact"/>
              <w:rPr>
                <w:sz w:val="20"/>
                <w:szCs w:val="20"/>
                <w:color w:val="auto"/>
              </w:rPr>
            </w:pPr>
            <w:r>
              <w:rPr>
                <w:rFonts w:ascii="Arial" w:cs="Arial" w:eastAsia="Arial" w:hAnsi="Arial"/>
                <w:sz w:val="14"/>
                <w:szCs w:val="14"/>
                <w:b w:val="1"/>
                <w:bCs w:val="1"/>
                <w:color w:val="auto"/>
              </w:rPr>
              <w:t>-17%</w:t>
            </w:r>
          </w:p>
        </w:tc>
        <w:tc>
          <w:tcPr>
            <w:tcW w:w="260" w:type="dxa"/>
            <w:vAlign w:val="bottom"/>
          </w:tcPr>
          <w:p>
            <w:pPr>
              <w:spacing w:after="0"/>
              <w:rPr>
                <w:sz w:val="13"/>
                <w:szCs w:val="13"/>
                <w:color w:val="auto"/>
              </w:rPr>
            </w:pPr>
          </w:p>
        </w:tc>
        <w:tc>
          <w:tcPr>
            <w:tcW w:w="900" w:type="dxa"/>
            <w:vAlign w:val="bottom"/>
            <w:gridSpan w:val="2"/>
          </w:tcPr>
          <w:p>
            <w:pPr>
              <w:jc w:val="right"/>
              <w:ind w:right="120"/>
              <w:spacing w:after="0" w:line="150" w:lineRule="exact"/>
              <w:rPr>
                <w:sz w:val="20"/>
                <w:szCs w:val="20"/>
                <w:color w:val="auto"/>
              </w:rPr>
            </w:pPr>
            <w:r>
              <w:rPr>
                <w:rFonts w:ascii="Arial" w:cs="Arial" w:eastAsia="Arial" w:hAnsi="Arial"/>
                <w:sz w:val="14"/>
                <w:szCs w:val="14"/>
                <w:b w:val="1"/>
                <w:bCs w:val="1"/>
                <w:color w:val="auto"/>
              </w:rPr>
              <w:t>6%</w:t>
            </w:r>
          </w:p>
        </w:tc>
        <w:tc>
          <w:tcPr>
            <w:tcW w:w="1120" w:type="dxa"/>
            <w:vAlign w:val="bottom"/>
            <w:gridSpan w:val="2"/>
          </w:tcPr>
          <w:p>
            <w:pPr>
              <w:jc w:val="right"/>
              <w:ind w:right="220"/>
              <w:spacing w:after="0" w:line="150" w:lineRule="exact"/>
              <w:rPr>
                <w:sz w:val="20"/>
                <w:szCs w:val="20"/>
                <w:color w:val="auto"/>
              </w:rPr>
            </w:pPr>
            <w:r>
              <w:rPr>
                <w:rFonts w:ascii="Arial" w:cs="Arial" w:eastAsia="Arial" w:hAnsi="Arial"/>
                <w:sz w:val="14"/>
                <w:szCs w:val="14"/>
                <w:b w:val="1"/>
                <w:bCs w:val="1"/>
                <w:color w:val="auto"/>
              </w:rPr>
              <w:t>571,302</w:t>
            </w:r>
          </w:p>
        </w:tc>
        <w:tc>
          <w:tcPr>
            <w:tcW w:w="240" w:type="dxa"/>
            <w:vAlign w:val="bottom"/>
          </w:tcPr>
          <w:p>
            <w:pPr>
              <w:spacing w:after="0"/>
              <w:rPr>
                <w:sz w:val="13"/>
                <w:szCs w:val="13"/>
                <w:color w:val="auto"/>
              </w:rPr>
            </w:pPr>
          </w:p>
        </w:tc>
        <w:tc>
          <w:tcPr>
            <w:tcW w:w="880" w:type="dxa"/>
            <w:vAlign w:val="bottom"/>
            <w:gridSpan w:val="2"/>
          </w:tcPr>
          <w:p>
            <w:pPr>
              <w:jc w:val="right"/>
              <w:ind w:right="220"/>
              <w:spacing w:after="0" w:line="150" w:lineRule="exact"/>
              <w:rPr>
                <w:sz w:val="20"/>
                <w:szCs w:val="20"/>
                <w:color w:val="auto"/>
              </w:rPr>
            </w:pPr>
            <w:r>
              <w:rPr>
                <w:rFonts w:ascii="Arial" w:cs="Arial" w:eastAsia="Arial" w:hAnsi="Arial"/>
                <w:sz w:val="14"/>
                <w:szCs w:val="14"/>
                <w:b w:val="1"/>
                <w:bCs w:val="1"/>
                <w:color w:val="auto"/>
              </w:rPr>
              <w:t>469,784</w:t>
            </w:r>
          </w:p>
        </w:tc>
        <w:tc>
          <w:tcPr>
            <w:tcW w:w="1080" w:type="dxa"/>
            <w:vAlign w:val="bottom"/>
            <w:gridSpan w:val="2"/>
          </w:tcPr>
          <w:p>
            <w:pPr>
              <w:jc w:val="right"/>
              <w:spacing w:after="0" w:line="150" w:lineRule="exact"/>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Banco de Crédito de Bolivia and Edyficar.</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Grupo Crédito, Servicorp and Prima AFP.</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taxes on BCP's and PPS's dividends, and other expenses at the holding company level.</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BCP Bolivia reported this 4Q flat earnings contribution of US$ 3.4 million which reflect the new level of income generation of Bolivia after all the intervention of the government that led to the reduction of margins and fees and despite a robust loan growth which again reached 6.0% QoQ. Overall, performance for the year 2010 revealed robust loan growth of 25.7%, but profitability has come down to a total contribution for the year of US$ 15.8 million down from US$ 30.4 million in 2009 and even higher contributions in the past. Nevertheless, ROAE remains at an acceptable 14.7%.</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Financiera Edyficar obtained positive results in 4Q10, which contributed to consolidating the company’s excellent performance throughout 2010. Net earnings in 4Q10 were US$ 4.5 million, which is lower than the figure reported in 3Q10 (-16.9%) due primarily to higher income tax provisions for 2010 realized in the 4Q and due to a slight loss on local currency exposure after the Nuevo Sol depreciated 1% against the US Dollar during 4Q10. Nevertheless, business evolution was excellent with a loan portfolio up 42.6% for the year maintaining its PDL ratio low at 4.0%.</w:t>
      </w:r>
    </w:p>
    <w:p>
      <w:pPr>
        <w:spacing w:after="0" w:line="19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ASHC reported an increase in contribution of 10.4% reaching US$ 11.7 million for 4Q10. The QoQ increase is primarily attributable to higher margins in 4Q10, which were associated with a strategy to seek higher returns by reshuffling the investment portfolio. Aligned with this move, US$ 1.8 million in provisions were set aside this quarter in keeping with the bank’s conservative policy. This result brought ASHC’s contribution to Credicorp to a record sum of US$ 48.8 million, an unprecedented figure for our asset management &amp; private banking business.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Pacifico insurance group reported net income of US$ 16.5 million in 4Q10, similar to the figure of US$ 16.4 million recorded in 3Q10. However, accumulated results in 2010 reported record net income of US$ 68.3 million, which tops 2009’s result of US$ 61.7 million by 10.8%. This increase is due primarily an improvement in the underwriting result. The underwriting result obtained in 2010 totaled US$ 93.4 million, which exceeds last year’s result by 16.9%. This significant growth is due to a lower loss ratio of 63.6% versus 65.2% in 2009, which is in turn attributable to a disciplined approach to underwriting and portfolio diversification. The expense side however, increased enough to offset the improvement in the loss ratio, though leaving enough room for the 10.8% expansion of net earnings referred to above.</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Pacifico’s contribution to Credicorp benefitted this last 4Q from the acquisition of ALICO’s shares of the Pacifico group, especially since the profitable life insurance business contributes now almost 100% of its income to the group vs. about 50 % before the acquisition. Such contribution reached this 4Q US$ 16.0 million which exceeded 3Q10’s figure and topped the earnings of US$ 12.4 million reported in 4Q09. For the year, PPS contributed US$ 47.4 million to Credicorp’s bottom line, becoming this way a significant player that offers also a large growth potential.</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5" w:name="page6"/>
    <w:bookmarkEnd w:id="5"/>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Finally, Prima AFP outperformed its previous results and reported US$ 8.0 million contribution for the 4Q, up 40.6%. This is the result of the reversal of some provisions for taxes &amp; profit sharing and a slight increase in fee income. On a yearly basis, Prima also reports an extraordinary 22.6% increase in net income contribution reaching a total US$ 25.5 million, an outstanding result for a business that is still constraint by temporary regulatory measures. Furthermore, Prima has finally consolidated its leadership in the industry including its volumes of assets under management.</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Credicorp Ltd.’s line includes the provisions for withholding taxes on dividends paid to Credicorp and eventually dividend &amp; interest income from investments in some selected Peruvian stocks and bonds recorded during the period, which are today held at Credicorp Ltd. and previously booked at Grupo Crédito. However, the change in the holding structure with the relevance given to Grupo Credito as a local holding has reduced significantly the withholding taxes paid and therefore the provisions needed for these every Q, which explains the drop in the provisions reported at Credicorp Ltd. It is also worth mentioning, that the cost of executing the changes in holding structure summed approximately US$9 million (partly booked at Grupo Credito under </w:t>
      </w:r>
      <w:r>
        <w:rPr>
          <w:rFonts w:ascii="Arial" w:cs="Arial" w:eastAsia="Arial" w:hAnsi="Arial"/>
          <w:sz w:val="18"/>
          <w:szCs w:val="18"/>
          <w:i w:val="1"/>
          <w:iCs w:val="1"/>
          <w:color w:val="auto"/>
        </w:rPr>
        <w:t>others</w:t>
      </w:r>
      <w:r>
        <w:rPr>
          <w:rFonts w:ascii="Arial" w:cs="Arial" w:eastAsia="Arial" w:hAnsi="Arial"/>
          <w:sz w:val="18"/>
          <w:szCs w:val="18"/>
          <w:color w:val="auto"/>
        </w:rPr>
        <w:t xml:space="preserve"> and partly at Credicorp Ltd.), but were more than compensated by the savings in withholding taxes the change generated for which provisions had been created and were now reversed.</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described above, all business segments are today aligned with Credicorp’s overall objectives and have become significant and profitable contributors to the growth targets set by Credicorp.</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II. Banco de Crédito – BCP - Consolidated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4Q10</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BCP’s net income in 4Q10 totaled US$ 101.6 million. Although this result reflects a 26% drop QoQ, it in no way indicates that business is deteriorating given that the bank’s core earnings registered a 3.6% expansion during the same period.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bank’s core earning, in fact, reported significant growth and demonstrate that the upward trend seen earlier in the year remains in play. In this context, net interest and dividend income grew 5.1% QoQ while fee income remained at levels similar to those seen in the previous quarter. Net gain on FX transactions grew 9.7% this quarter.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Core earnings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Quarter</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Change %</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20" w:type="dxa"/>
            <w:vAlign w:val="bottom"/>
            <w:gridSpan w:val="4"/>
          </w:tcPr>
          <w:p>
            <w:pPr>
              <w:ind w:left="640"/>
              <w:spacing w:after="0"/>
              <w:rPr>
                <w:sz w:val="20"/>
                <w:szCs w:val="20"/>
                <w:color w:val="auto"/>
              </w:rPr>
            </w:pPr>
            <w:r>
              <w:rPr>
                <w:rFonts w:ascii="Arial" w:cs="Arial" w:eastAsia="Arial" w:hAnsi="Arial"/>
                <w:sz w:val="14"/>
                <w:szCs w:val="14"/>
                <w:b w:val="1"/>
                <w:bCs w:val="1"/>
                <w:color w:val="auto"/>
              </w:rPr>
              <w:t>Year to date</w:t>
            </w:r>
          </w:p>
        </w:tc>
        <w:tc>
          <w:tcPr>
            <w:tcW w:w="120" w:type="dxa"/>
            <w:vAlign w:val="bottom"/>
          </w:tcPr>
          <w:p>
            <w:pPr>
              <w:spacing w:after="0"/>
              <w:rPr>
                <w:sz w:val="15"/>
                <w:szCs w:val="15"/>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Change %</w:t>
            </w:r>
          </w:p>
        </w:tc>
        <w:tc>
          <w:tcPr>
            <w:tcW w:w="0" w:type="dxa"/>
            <w:vAlign w:val="bottom"/>
          </w:tcPr>
          <w:p>
            <w:pPr>
              <w:spacing w:after="0"/>
              <w:rPr>
                <w:sz w:val="1"/>
                <w:szCs w:val="1"/>
                <w:color w:val="auto"/>
              </w:rPr>
            </w:pPr>
          </w:p>
        </w:tc>
      </w:tr>
      <w:tr>
        <w:trPr>
          <w:trHeight w:val="149"/>
        </w:trPr>
        <w:tc>
          <w:tcPr>
            <w:tcW w:w="224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US$ 000</w:t>
            </w:r>
          </w:p>
        </w:tc>
        <w:tc>
          <w:tcPr>
            <w:tcW w:w="100" w:type="dxa"/>
            <w:vAlign w:val="bottom"/>
          </w:tcPr>
          <w:p>
            <w:pPr>
              <w:spacing w:after="0"/>
              <w:rPr>
                <w:sz w:val="12"/>
                <w:szCs w:val="12"/>
                <w:color w:val="auto"/>
              </w:rPr>
            </w:pPr>
          </w:p>
        </w:tc>
        <w:tc>
          <w:tcPr>
            <w:tcW w:w="1120" w:type="dxa"/>
            <w:vAlign w:val="bottom"/>
            <w:tcBorders>
              <w:top w:val="single" w:sz="8" w:color="auto"/>
            </w:tcBorders>
            <w:gridSpan w:val="2"/>
          </w:tcPr>
          <w:p>
            <w:pPr>
              <w:ind w:left="300"/>
              <w:spacing w:after="0" w:line="149" w:lineRule="exact"/>
              <w:rPr>
                <w:sz w:val="20"/>
                <w:szCs w:val="20"/>
                <w:color w:val="auto"/>
              </w:rPr>
            </w:pPr>
            <w:r>
              <w:rPr>
                <w:rFonts w:ascii="Arial" w:cs="Arial" w:eastAsia="Arial" w:hAnsi="Arial"/>
                <w:sz w:val="14"/>
                <w:szCs w:val="14"/>
                <w:b w:val="1"/>
                <w:bCs w:val="1"/>
                <w:color w:val="auto"/>
              </w:rPr>
              <w:t>4Q10</w:t>
            </w:r>
          </w:p>
        </w:tc>
        <w:tc>
          <w:tcPr>
            <w:tcW w:w="1120" w:type="dxa"/>
            <w:vAlign w:val="bottom"/>
            <w:tcBorders>
              <w:top w:val="single" w:sz="8" w:color="auto"/>
            </w:tcBorders>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3Q10</w:t>
            </w:r>
          </w:p>
        </w:tc>
        <w:tc>
          <w:tcPr>
            <w:tcW w:w="920" w:type="dxa"/>
            <w:vAlign w:val="bottom"/>
            <w:tcBorders>
              <w:top w:val="single" w:sz="8" w:color="auto"/>
            </w:tcBorders>
          </w:tcPr>
          <w:p>
            <w:pPr>
              <w:jc w:val="right"/>
              <w:ind w:right="228"/>
              <w:spacing w:after="0" w:line="149" w:lineRule="exact"/>
              <w:rPr>
                <w:sz w:val="20"/>
                <w:szCs w:val="20"/>
                <w:color w:val="auto"/>
              </w:rPr>
            </w:pPr>
            <w:r>
              <w:rPr>
                <w:rFonts w:ascii="Arial" w:cs="Arial" w:eastAsia="Arial" w:hAnsi="Arial"/>
                <w:sz w:val="14"/>
                <w:szCs w:val="14"/>
                <w:b w:val="1"/>
                <w:bCs w:val="1"/>
                <w:color w:val="auto"/>
              </w:rPr>
              <w:t>4Q09</w:t>
            </w:r>
          </w:p>
        </w:tc>
        <w:tc>
          <w:tcPr>
            <w:tcW w:w="200" w:type="dxa"/>
            <w:vAlign w:val="bottom"/>
          </w:tcPr>
          <w:p>
            <w:pPr>
              <w:spacing w:after="0"/>
              <w:rPr>
                <w:sz w:val="12"/>
                <w:szCs w:val="12"/>
                <w:color w:val="auto"/>
              </w:rPr>
            </w:pPr>
          </w:p>
        </w:tc>
        <w:tc>
          <w:tcPr>
            <w:tcW w:w="640" w:type="dxa"/>
            <w:vAlign w:val="bottom"/>
            <w:tcBorders>
              <w:top w:val="single" w:sz="8" w:color="auto"/>
            </w:tcBorders>
          </w:tcPr>
          <w:p>
            <w:pPr>
              <w:ind w:left="320"/>
              <w:spacing w:after="0" w:line="149" w:lineRule="exact"/>
              <w:rPr>
                <w:sz w:val="20"/>
                <w:szCs w:val="20"/>
                <w:color w:val="auto"/>
              </w:rPr>
            </w:pPr>
            <w:r>
              <w:rPr>
                <w:rFonts w:ascii="Arial" w:cs="Arial" w:eastAsia="Arial" w:hAnsi="Arial"/>
                <w:sz w:val="14"/>
                <w:szCs w:val="14"/>
                <w:b w:val="1"/>
                <w:bCs w:val="1"/>
                <w:color w:val="auto"/>
                <w:w w:val="98"/>
              </w:rPr>
              <w:t>QoQ</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320"/>
              <w:spacing w:after="0" w:line="149" w:lineRule="exact"/>
              <w:rPr>
                <w:sz w:val="20"/>
                <w:szCs w:val="20"/>
                <w:color w:val="auto"/>
              </w:rPr>
            </w:pPr>
            <w:r>
              <w:rPr>
                <w:rFonts w:ascii="Arial" w:cs="Arial" w:eastAsia="Arial" w:hAnsi="Arial"/>
                <w:sz w:val="14"/>
                <w:szCs w:val="14"/>
                <w:b w:val="1"/>
                <w:bCs w:val="1"/>
                <w:color w:val="auto"/>
              </w:rPr>
              <w:t>YoY</w:t>
            </w:r>
          </w:p>
        </w:tc>
        <w:tc>
          <w:tcPr>
            <w:tcW w:w="3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Borders>
              <w:top w:val="single" w:sz="8" w:color="auto"/>
            </w:tcBorders>
            <w:gridSpan w:val="2"/>
          </w:tcPr>
          <w:p>
            <w:pPr>
              <w:ind w:left="220"/>
              <w:spacing w:after="0" w:line="149" w:lineRule="exact"/>
              <w:rPr>
                <w:sz w:val="20"/>
                <w:szCs w:val="20"/>
                <w:color w:val="auto"/>
              </w:rPr>
            </w:pPr>
            <w:r>
              <w:rPr>
                <w:rFonts w:ascii="Arial" w:cs="Arial" w:eastAsia="Arial" w:hAnsi="Arial"/>
                <w:sz w:val="14"/>
                <w:szCs w:val="14"/>
                <w:b w:val="1"/>
                <w:bCs w:val="1"/>
                <w:color w:val="auto"/>
              </w:rPr>
              <w:t>Dec. 10</w:t>
            </w:r>
          </w:p>
        </w:tc>
        <w:tc>
          <w:tcPr>
            <w:tcW w:w="900" w:type="dxa"/>
            <w:vAlign w:val="bottom"/>
            <w:tcBorders>
              <w:top w:val="single" w:sz="8" w:color="auto"/>
            </w:tcBorders>
          </w:tcPr>
          <w:p>
            <w:pPr>
              <w:jc w:val="right"/>
              <w:ind w:right="168"/>
              <w:spacing w:after="0" w:line="149" w:lineRule="exact"/>
              <w:rPr>
                <w:sz w:val="20"/>
                <w:szCs w:val="20"/>
                <w:color w:val="auto"/>
              </w:rPr>
            </w:pPr>
            <w:r>
              <w:rPr>
                <w:rFonts w:ascii="Arial" w:cs="Arial" w:eastAsia="Arial" w:hAnsi="Arial"/>
                <w:sz w:val="14"/>
                <w:szCs w:val="14"/>
                <w:b w:val="1"/>
                <w:bCs w:val="1"/>
                <w:color w:val="auto"/>
              </w:rPr>
              <w:t>Dec. 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Dec. 10 / Dec. 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interest and dividend income</w:t>
            </w: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254,533</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242,274</w:t>
            </w: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211,233</w:t>
            </w:r>
          </w:p>
        </w:tc>
        <w:tc>
          <w:tcPr>
            <w:tcW w:w="20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5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5.1%</w:t>
            </w:r>
          </w:p>
        </w:tc>
        <w:tc>
          <w:tcPr>
            <w:tcW w:w="62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944,634</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798,217</w:t>
            </w:r>
          </w:p>
        </w:tc>
        <w:tc>
          <w:tcPr>
            <w:tcW w:w="1260" w:type="dxa"/>
            <w:vAlign w:val="bottom"/>
            <w:gridSpan w:val="3"/>
            <w:shd w:val="clear" w:color="auto" w:fill="CCFFCC"/>
          </w:tcPr>
          <w:p>
            <w:pPr>
              <w:ind w:left="860"/>
              <w:spacing w:after="0" w:line="149" w:lineRule="exact"/>
              <w:rPr>
                <w:sz w:val="20"/>
                <w:szCs w:val="20"/>
                <w:color w:val="auto"/>
              </w:rPr>
            </w:pPr>
            <w:r>
              <w:rPr>
                <w:rFonts w:ascii="Arial" w:cs="Arial" w:eastAsia="Arial" w:hAnsi="Arial"/>
                <w:sz w:val="14"/>
                <w:szCs w:val="14"/>
                <w:color w:val="auto"/>
                <w:w w:val="95"/>
              </w:rPr>
              <w:t>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Fee income, net</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120,136</w:t>
            </w:r>
          </w:p>
        </w:tc>
        <w:tc>
          <w:tcPr>
            <w:tcW w:w="22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120,839</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109,546</w:t>
            </w:r>
          </w:p>
        </w:tc>
        <w:tc>
          <w:tcPr>
            <w:tcW w:w="64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-0.6%</w:t>
            </w:r>
          </w:p>
        </w:tc>
        <w:tc>
          <w:tcPr>
            <w:tcW w:w="6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461,775</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368,067</w:t>
            </w:r>
          </w:p>
        </w:tc>
        <w:tc>
          <w:tcPr>
            <w:tcW w:w="1260" w:type="dxa"/>
            <w:vAlign w:val="bottom"/>
            <w:gridSpan w:val="3"/>
          </w:tcPr>
          <w:p>
            <w:pPr>
              <w:ind w:left="860"/>
              <w:spacing w:after="0" w:line="149" w:lineRule="exact"/>
              <w:rPr>
                <w:sz w:val="20"/>
                <w:szCs w:val="20"/>
                <w:color w:val="auto"/>
              </w:rPr>
            </w:pPr>
            <w:r>
              <w:rPr>
                <w:rFonts w:ascii="Arial" w:cs="Arial" w:eastAsia="Arial" w:hAnsi="Arial"/>
                <w:sz w:val="14"/>
                <w:szCs w:val="14"/>
                <w:color w:val="auto"/>
                <w:w w:val="95"/>
              </w:rPr>
              <w:t>25.5%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Net gain on foreign exchange</w:t>
            </w:r>
          </w:p>
        </w:tc>
        <w:tc>
          <w:tcPr>
            <w:tcW w:w="1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shd w:val="clear" w:color="auto" w:fill="CCFFCC"/>
          </w:tcPr>
          <w:p>
            <w:pPr>
              <w:spacing w:after="0"/>
              <w:rPr>
                <w:sz w:val="20"/>
                <w:szCs w:val="20"/>
                <w:color w:val="auto"/>
              </w:rPr>
            </w:pPr>
            <w:r>
              <w:rPr>
                <w:rFonts w:ascii="Arial" w:cs="Arial" w:eastAsia="Arial" w:hAnsi="Arial"/>
                <w:sz w:val="14"/>
                <w:szCs w:val="14"/>
                <w:color w:val="auto"/>
              </w:rPr>
              <w:t>transactions</w:t>
            </w:r>
          </w:p>
        </w:tc>
        <w:tc>
          <w:tcPr>
            <w:tcW w:w="100" w:type="dxa"/>
            <w:vAlign w:val="bottom"/>
            <w:shd w:val="clear" w:color="auto" w:fill="CCFFCC"/>
          </w:tcPr>
          <w:p>
            <w:pPr>
              <w:spacing w:after="0"/>
              <w:rPr>
                <w:sz w:val="14"/>
                <w:szCs w:val="1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28,909</w:t>
            </w:r>
          </w:p>
        </w:tc>
        <w:tc>
          <w:tcPr>
            <w:tcW w:w="220" w:type="dxa"/>
            <w:vAlign w:val="bottom"/>
            <w:shd w:val="clear" w:color="auto" w:fill="CCFFCC"/>
          </w:tcPr>
          <w:p>
            <w:pPr>
              <w:spacing w:after="0"/>
              <w:rPr>
                <w:sz w:val="14"/>
                <w:szCs w:val="14"/>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26,354</w:t>
            </w:r>
          </w:p>
        </w:tc>
        <w:tc>
          <w:tcPr>
            <w:tcW w:w="200" w:type="dxa"/>
            <w:vAlign w:val="bottom"/>
            <w:shd w:val="clear" w:color="auto" w:fill="CCFFCC"/>
          </w:tcPr>
          <w:p>
            <w:pPr>
              <w:spacing w:after="0"/>
              <w:rPr>
                <w:sz w:val="14"/>
                <w:szCs w:val="14"/>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23,430</w:t>
            </w:r>
          </w:p>
        </w:tc>
        <w:tc>
          <w:tcPr>
            <w:tcW w:w="20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5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9.7%</w:t>
            </w:r>
          </w:p>
        </w:tc>
        <w:tc>
          <w:tcPr>
            <w:tcW w:w="620" w:type="dxa"/>
            <w:vAlign w:val="bottom"/>
            <w:shd w:val="clear" w:color="auto" w:fill="CCFFCC"/>
          </w:tcPr>
          <w:p>
            <w:pPr>
              <w:spacing w:after="0"/>
              <w:rPr>
                <w:sz w:val="14"/>
                <w:szCs w:val="14"/>
                <w:color w:val="auto"/>
              </w:rPr>
            </w:pPr>
          </w:p>
        </w:tc>
        <w:tc>
          <w:tcPr>
            <w:tcW w:w="5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23.4%</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104,361</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93,462</w:t>
            </w:r>
          </w:p>
        </w:tc>
        <w:tc>
          <w:tcPr>
            <w:tcW w:w="1260" w:type="dxa"/>
            <w:vAlign w:val="bottom"/>
            <w:gridSpan w:val="3"/>
            <w:shd w:val="clear" w:color="auto" w:fill="CCFFCC"/>
          </w:tcPr>
          <w:p>
            <w:pPr>
              <w:ind w:left="860"/>
              <w:spacing w:after="0"/>
              <w:rPr>
                <w:sz w:val="20"/>
                <w:szCs w:val="20"/>
                <w:color w:val="auto"/>
              </w:rPr>
            </w:pPr>
            <w:r>
              <w:rPr>
                <w:rFonts w:ascii="Arial" w:cs="Arial" w:eastAsia="Arial" w:hAnsi="Arial"/>
                <w:sz w:val="14"/>
                <w:szCs w:val="14"/>
                <w:color w:val="auto"/>
                <w:w w:val="95"/>
              </w:rPr>
              <w:t>11.7%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b w:val="1"/>
                <w:bCs w:val="1"/>
                <w:color w:val="auto"/>
              </w:rPr>
              <w:t>Core earnings</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403,578</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389,467</w:t>
            </w:r>
          </w:p>
        </w:tc>
        <w:tc>
          <w:tcPr>
            <w:tcW w:w="2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344,209</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3.6%</w:t>
            </w:r>
          </w:p>
        </w:tc>
        <w:tc>
          <w:tcPr>
            <w:tcW w:w="6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17.2%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1,510,770</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1,259,746</w:t>
            </w:r>
          </w:p>
        </w:tc>
        <w:tc>
          <w:tcPr>
            <w:tcW w:w="1260" w:type="dxa"/>
            <w:vAlign w:val="bottom"/>
            <w:gridSpan w:val="3"/>
          </w:tcPr>
          <w:p>
            <w:pPr>
              <w:ind w:left="860"/>
              <w:spacing w:after="0" w:line="149" w:lineRule="exact"/>
              <w:rPr>
                <w:sz w:val="20"/>
                <w:szCs w:val="20"/>
                <w:color w:val="auto"/>
              </w:rPr>
            </w:pPr>
            <w:r>
              <w:rPr>
                <w:rFonts w:ascii="Arial" w:cs="Arial" w:eastAsia="Arial" w:hAnsi="Arial"/>
                <w:sz w:val="14"/>
                <w:szCs w:val="14"/>
                <w:b w:val="1"/>
                <w:bCs w:val="1"/>
                <w:color w:val="auto"/>
                <w:w w:val="95"/>
              </w:rPr>
              <w:t>19.9%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evolution clearly indicates that the decline is associated with significantly lower extraordinary income from sales of securities which reached substantial levels in the previous two quarters; higher operating expenses related to seasonal effects, the impact of variable remuneration and incentive compensation provisions during a quarter marked by strong loan growth and continuous growth of the network; and the global recovery of the US dollar, reflected in the exchange rate, generating translation losses that contrast with the translation gains posted in the previous quarter.</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aforementioned demonstrates that the banking business continues to experience the strong expansion reported in previous quarters. The year’s accumulated results leave no room for doubt that this expansive trend continues as BCP reported close to 24% growth in loans, 20% increase in net income of US$ 476.3 million and a 22.5% expansion in operating income.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w w:val="95"/>
              </w:rPr>
              <w:t>Banco de Credito and Subsidiaries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ind w:left="680"/>
              <w:spacing w:after="0"/>
              <w:rPr>
                <w:sz w:val="20"/>
                <w:szCs w:val="20"/>
                <w:color w:val="auto"/>
              </w:rPr>
            </w:pPr>
            <w:r>
              <w:rPr>
                <w:rFonts w:ascii="Arial" w:cs="Arial" w:eastAsia="Arial" w:hAnsi="Arial"/>
                <w:sz w:val="14"/>
                <w:szCs w:val="14"/>
                <w:b w:val="1"/>
                <w:bCs w:val="1"/>
                <w:color w:val="auto"/>
              </w:rPr>
              <w:t>Change %</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tcPr>
          <w:p>
            <w:pPr>
              <w:ind w:left="660"/>
              <w:spacing w:after="0"/>
              <w:rPr>
                <w:sz w:val="20"/>
                <w:szCs w:val="20"/>
                <w:color w:val="auto"/>
              </w:rPr>
            </w:pPr>
            <w:r>
              <w:rPr>
                <w:rFonts w:ascii="Arial" w:cs="Arial" w:eastAsia="Arial" w:hAnsi="Arial"/>
                <w:sz w:val="14"/>
                <w:szCs w:val="14"/>
                <w:b w:val="1"/>
                <w:bCs w:val="1"/>
                <w:color w:val="auto"/>
                <w:w w:val="89"/>
              </w:rPr>
              <w:t>Year to date</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Change %</w:t>
            </w:r>
          </w:p>
        </w:tc>
        <w:tc>
          <w:tcPr>
            <w:tcW w:w="0" w:type="dxa"/>
            <w:vAlign w:val="bottom"/>
          </w:tcPr>
          <w:p>
            <w:pPr>
              <w:spacing w:after="0"/>
              <w:rPr>
                <w:sz w:val="1"/>
                <w:szCs w:val="1"/>
                <w:color w:val="auto"/>
              </w:rPr>
            </w:pPr>
          </w:p>
        </w:tc>
      </w:tr>
      <w:tr>
        <w:trPr>
          <w:trHeight w:val="149"/>
        </w:trPr>
        <w:tc>
          <w:tcPr>
            <w:tcW w:w="224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US$ 000</w:t>
            </w:r>
          </w:p>
        </w:tc>
        <w:tc>
          <w:tcPr>
            <w:tcW w:w="10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4Q10</w:t>
            </w:r>
          </w:p>
        </w:tc>
        <w:tc>
          <w:tcPr>
            <w:tcW w:w="1120" w:type="dxa"/>
            <w:vAlign w:val="bottom"/>
            <w:tcBorders>
              <w:top w:val="single" w:sz="8" w:color="auto"/>
            </w:tcBorders>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3Q10</w:t>
            </w:r>
          </w:p>
        </w:tc>
        <w:tc>
          <w:tcPr>
            <w:tcW w:w="920" w:type="dxa"/>
            <w:vAlign w:val="bottom"/>
            <w:tcBorders>
              <w:top w:val="single" w:sz="8" w:color="auto"/>
            </w:tcBorders>
          </w:tcPr>
          <w:p>
            <w:pPr>
              <w:jc w:val="right"/>
              <w:ind w:right="228"/>
              <w:spacing w:after="0" w:line="149" w:lineRule="exact"/>
              <w:rPr>
                <w:sz w:val="20"/>
                <w:szCs w:val="20"/>
                <w:color w:val="auto"/>
              </w:rPr>
            </w:pPr>
            <w:r>
              <w:rPr>
                <w:rFonts w:ascii="Arial" w:cs="Arial" w:eastAsia="Arial" w:hAnsi="Arial"/>
                <w:sz w:val="14"/>
                <w:szCs w:val="14"/>
                <w:b w:val="1"/>
                <w:bCs w:val="1"/>
                <w:color w:val="auto"/>
              </w:rPr>
              <w:t>4Q09</w:t>
            </w:r>
          </w:p>
        </w:tc>
        <w:tc>
          <w:tcPr>
            <w:tcW w:w="220" w:type="dxa"/>
            <w:vAlign w:val="bottom"/>
          </w:tcPr>
          <w:p>
            <w:pPr>
              <w:spacing w:after="0"/>
              <w:rPr>
                <w:sz w:val="12"/>
                <w:szCs w:val="12"/>
                <w:color w:val="auto"/>
              </w:rPr>
            </w:pPr>
          </w:p>
        </w:tc>
        <w:tc>
          <w:tcPr>
            <w:tcW w:w="1400" w:type="dxa"/>
            <w:vAlign w:val="bottom"/>
            <w:tcBorders>
              <w:top w:val="single" w:sz="8" w:color="auto"/>
            </w:tcBorders>
            <w:gridSpan w:val="3"/>
          </w:tcPr>
          <w:p>
            <w:pPr>
              <w:ind w:left="300"/>
              <w:spacing w:after="0" w:line="149" w:lineRule="exact"/>
              <w:rPr>
                <w:sz w:val="20"/>
                <w:szCs w:val="20"/>
                <w:color w:val="auto"/>
              </w:rPr>
            </w:pPr>
            <w:r>
              <w:rPr>
                <w:rFonts w:ascii="Arial" w:cs="Arial" w:eastAsia="Arial" w:hAnsi="Arial"/>
                <w:sz w:val="14"/>
                <w:szCs w:val="14"/>
                <w:b w:val="1"/>
                <w:bCs w:val="1"/>
                <w:color w:val="auto"/>
              </w:rPr>
              <w:t>QoQ</w:t>
            </w:r>
          </w:p>
        </w:tc>
        <w:tc>
          <w:tcPr>
            <w:tcW w:w="620" w:type="dxa"/>
            <w:vAlign w:val="bottom"/>
            <w:tcBorders>
              <w:top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Dec. 10</w:t>
            </w:r>
          </w:p>
        </w:tc>
        <w:tc>
          <w:tcPr>
            <w:tcW w:w="900" w:type="dxa"/>
            <w:vAlign w:val="bottom"/>
            <w:tcBorders>
              <w:top w:val="single" w:sz="8" w:color="auto"/>
            </w:tcBorders>
            <w:gridSpan w:val="2"/>
          </w:tcPr>
          <w:p>
            <w:pPr>
              <w:jc w:val="right"/>
              <w:ind w:right="148"/>
              <w:spacing w:after="0" w:line="149" w:lineRule="exact"/>
              <w:rPr>
                <w:sz w:val="20"/>
                <w:szCs w:val="20"/>
                <w:color w:val="auto"/>
              </w:rPr>
            </w:pPr>
            <w:r>
              <w:rPr>
                <w:rFonts w:ascii="Arial" w:cs="Arial" w:eastAsia="Arial" w:hAnsi="Arial"/>
                <w:sz w:val="14"/>
                <w:szCs w:val="14"/>
                <w:b w:val="1"/>
                <w:bCs w:val="1"/>
                <w:color w:val="auto"/>
              </w:rPr>
              <w:t>Dec. 09</w:t>
            </w:r>
          </w:p>
        </w:tc>
        <w:tc>
          <w:tcPr>
            <w:tcW w:w="24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Dec. 10 / Dec. 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financial income</w:t>
            </w: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254,533</w:t>
            </w: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242,274</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211,233</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5.1%</w:t>
            </w:r>
          </w:p>
        </w:tc>
        <w:tc>
          <w:tcPr>
            <w:tcW w:w="2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20.5%</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944,634</w:t>
            </w:r>
          </w:p>
        </w:tc>
        <w:tc>
          <w:tcPr>
            <w:tcW w:w="260" w:type="dxa"/>
            <w:vAlign w:val="bottom"/>
            <w:shd w:val="clear" w:color="auto" w:fill="CCFFCC"/>
          </w:tcPr>
          <w:p>
            <w:pPr>
              <w:spacing w:after="0"/>
              <w:rPr>
                <w:sz w:val="12"/>
                <w:szCs w:val="12"/>
                <w:color w:val="auto"/>
              </w:rPr>
            </w:pPr>
          </w:p>
        </w:tc>
        <w:tc>
          <w:tcPr>
            <w:tcW w:w="88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798,217</w:t>
            </w:r>
          </w:p>
        </w:tc>
        <w:tc>
          <w:tcPr>
            <w:tcW w:w="11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Total provisions for loan loasses</w:t>
            </w:r>
          </w:p>
        </w:tc>
        <w:tc>
          <w:tcPr>
            <w:tcW w:w="12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(48,531)</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(52,614)</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(44,933)</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w:t>
            </w:r>
          </w:p>
        </w:tc>
        <w:tc>
          <w:tcPr>
            <w:tcW w:w="2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8.0%</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(175,773)</w:t>
            </w:r>
          </w:p>
        </w:tc>
        <w:tc>
          <w:tcPr>
            <w:tcW w:w="2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(165,104)</w:t>
            </w:r>
          </w:p>
        </w:tc>
        <w:tc>
          <w:tcPr>
            <w:tcW w:w="1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159,912</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167,348</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144,977</w:t>
            </w: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-4.4%</w:t>
            </w:r>
          </w:p>
        </w:tc>
        <w:tc>
          <w:tcPr>
            <w:tcW w:w="2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10.3%</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634,642</w:t>
            </w:r>
          </w:p>
        </w:tc>
        <w:tc>
          <w:tcPr>
            <w:tcW w:w="260" w:type="dxa"/>
            <w:vAlign w:val="bottom"/>
            <w:shd w:val="clear" w:color="auto" w:fill="CCFFCC"/>
          </w:tcPr>
          <w:p>
            <w:pPr>
              <w:spacing w:after="0"/>
              <w:rPr>
                <w:sz w:val="12"/>
                <w:szCs w:val="12"/>
                <w:color w:val="auto"/>
              </w:rPr>
            </w:pPr>
          </w:p>
        </w:tc>
        <w:tc>
          <w:tcPr>
            <w:tcW w:w="88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577,945</w:t>
            </w:r>
          </w:p>
        </w:tc>
        <w:tc>
          <w:tcPr>
            <w:tcW w:w="11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12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(214,813)</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(184,751)</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(197,956)</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16.3%</w:t>
            </w:r>
          </w:p>
        </w:tc>
        <w:tc>
          <w:tcPr>
            <w:tcW w:w="2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(768,077)</w:t>
            </w:r>
          </w:p>
        </w:tc>
        <w:tc>
          <w:tcPr>
            <w:tcW w:w="2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(692,423)</w:t>
            </w:r>
          </w:p>
        </w:tc>
        <w:tc>
          <w:tcPr>
            <w:tcW w:w="1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 (1)</w:t>
            </w: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151,101</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172,257</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113,321</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-12.3%</w:t>
            </w:r>
          </w:p>
        </w:tc>
        <w:tc>
          <w:tcPr>
            <w:tcW w:w="2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33.3%</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635,426</w:t>
            </w:r>
          </w:p>
        </w:tc>
        <w:tc>
          <w:tcPr>
            <w:tcW w:w="260" w:type="dxa"/>
            <w:vAlign w:val="bottom"/>
            <w:shd w:val="clear" w:color="auto" w:fill="CCFFCC"/>
          </w:tcPr>
          <w:p>
            <w:pPr>
              <w:spacing w:after="0"/>
              <w:rPr>
                <w:sz w:val="12"/>
                <w:szCs w:val="12"/>
                <w:color w:val="auto"/>
              </w:rPr>
            </w:pPr>
          </w:p>
        </w:tc>
        <w:tc>
          <w:tcPr>
            <w:tcW w:w="88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518,635</w:t>
            </w:r>
          </w:p>
        </w:tc>
        <w:tc>
          <w:tcPr>
            <w:tcW w:w="11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160"/>
              <w:spacing w:after="0" w:line="149" w:lineRule="exact"/>
              <w:rPr>
                <w:sz w:val="20"/>
                <w:szCs w:val="20"/>
                <w:color w:val="auto"/>
              </w:rPr>
            </w:pPr>
            <w:r>
              <w:rPr>
                <w:rFonts w:ascii="Arial" w:cs="Arial" w:eastAsia="Arial" w:hAnsi="Arial"/>
                <w:sz w:val="14"/>
                <w:szCs w:val="14"/>
                <w:color w:val="auto"/>
              </w:rPr>
              <w:t>Core operating income (2)</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151,101</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162,620</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113,321</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w:t>
            </w:r>
          </w:p>
        </w:tc>
        <w:tc>
          <w:tcPr>
            <w:tcW w:w="2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33.3%</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600,440</w:t>
            </w:r>
          </w:p>
        </w:tc>
        <w:tc>
          <w:tcPr>
            <w:tcW w:w="2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445,908</w:t>
            </w:r>
          </w:p>
        </w:tc>
        <w:tc>
          <w:tcPr>
            <w:tcW w:w="1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Non core operating income (3)</w:t>
            </w: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9,637</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2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34,986</w:t>
            </w:r>
          </w:p>
        </w:tc>
        <w:tc>
          <w:tcPr>
            <w:tcW w:w="260" w:type="dxa"/>
            <w:vAlign w:val="bottom"/>
            <w:shd w:val="clear" w:color="auto" w:fill="CCFFCC"/>
          </w:tcPr>
          <w:p>
            <w:pPr>
              <w:spacing w:after="0"/>
              <w:rPr>
                <w:sz w:val="12"/>
                <w:szCs w:val="12"/>
                <w:color w:val="auto"/>
              </w:rPr>
            </w:pPr>
          </w:p>
        </w:tc>
        <w:tc>
          <w:tcPr>
            <w:tcW w:w="88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72,727</w:t>
            </w:r>
          </w:p>
        </w:tc>
        <w:tc>
          <w:tcPr>
            <w:tcW w:w="11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Translation results</w:t>
            </w:r>
          </w:p>
        </w:tc>
        <w:tc>
          <w:tcPr>
            <w:tcW w:w="12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(6,281)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12,896</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12,609</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-148.7%</w:t>
            </w:r>
          </w:p>
        </w:tc>
        <w:tc>
          <w:tcPr>
            <w:tcW w:w="2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-149.8%</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23,267</w:t>
            </w:r>
          </w:p>
        </w:tc>
        <w:tc>
          <w:tcPr>
            <w:tcW w:w="2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7,802</w:t>
            </w:r>
          </w:p>
        </w:tc>
        <w:tc>
          <w:tcPr>
            <w:tcW w:w="1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198.2%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Worker's profit sharing and income</w:t>
            </w:r>
          </w:p>
        </w:tc>
        <w:tc>
          <w:tcPr>
            <w:tcW w:w="1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40" w:type="dxa"/>
            <w:vAlign w:val="bottom"/>
            <w:tcBorders>
              <w:right w:val="single" w:sz="8" w:color="CCFFCC"/>
            </w:tcBorders>
            <w:shd w:val="clear" w:color="auto" w:fill="CCFFCC"/>
          </w:tcPr>
          <w:p>
            <w:pPr>
              <w:spacing w:after="0"/>
              <w:rPr>
                <w:sz w:val="11"/>
                <w:szCs w:val="11"/>
                <w:color w:val="auto"/>
              </w:rPr>
            </w:pPr>
          </w:p>
        </w:tc>
        <w:tc>
          <w:tcPr>
            <w:tcW w:w="10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shd w:val="clear" w:color="auto" w:fill="CCFFCC"/>
          </w:tcPr>
          <w:p>
            <w:pPr>
              <w:spacing w:after="0"/>
              <w:rPr>
                <w:sz w:val="20"/>
                <w:szCs w:val="20"/>
                <w:color w:val="auto"/>
              </w:rPr>
            </w:pPr>
            <w:r>
              <w:rPr>
                <w:rFonts w:ascii="Arial" w:cs="Arial" w:eastAsia="Arial" w:hAnsi="Arial"/>
                <w:sz w:val="14"/>
                <w:szCs w:val="14"/>
                <w:color w:val="auto"/>
              </w:rPr>
              <w:t>taxes</w:t>
            </w:r>
          </w:p>
        </w:tc>
        <w:tc>
          <w:tcPr>
            <w:tcW w:w="1220" w:type="dxa"/>
            <w:vAlign w:val="bottom"/>
            <w:gridSpan w:val="3"/>
            <w:shd w:val="clear" w:color="auto" w:fill="CCFFCC"/>
          </w:tcPr>
          <w:p>
            <w:pPr>
              <w:jc w:val="right"/>
              <w:ind w:right="180"/>
              <w:spacing w:after="0"/>
              <w:rPr>
                <w:sz w:val="20"/>
                <w:szCs w:val="20"/>
                <w:color w:val="auto"/>
              </w:rPr>
            </w:pPr>
            <w:r>
              <w:rPr>
                <w:rFonts w:ascii="Arial" w:cs="Arial" w:eastAsia="Arial" w:hAnsi="Arial"/>
                <w:sz w:val="14"/>
                <w:szCs w:val="14"/>
                <w:color w:val="auto"/>
              </w:rPr>
              <w:t>(43,103)</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(46,382)</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(18,207)</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-7.1%</w:t>
            </w:r>
          </w:p>
        </w:tc>
        <w:tc>
          <w:tcPr>
            <w:tcW w:w="26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136.7%</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(181,685)</w:t>
            </w:r>
          </w:p>
        </w:tc>
        <w:tc>
          <w:tcPr>
            <w:tcW w:w="260" w:type="dxa"/>
            <w:vAlign w:val="bottom"/>
            <w:shd w:val="clear" w:color="auto" w:fill="CCFFCC"/>
          </w:tcPr>
          <w:p>
            <w:pPr>
              <w:spacing w:after="0"/>
              <w:rPr>
                <w:sz w:val="14"/>
                <w:szCs w:val="14"/>
                <w:color w:val="auto"/>
              </w:rPr>
            </w:pPr>
          </w:p>
        </w:tc>
        <w:tc>
          <w:tcPr>
            <w:tcW w:w="88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(127,884)</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101,567</w:t>
            </w: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138,620</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107,398</w:t>
            </w:r>
          </w:p>
        </w:tc>
        <w:tc>
          <w:tcPr>
            <w:tcW w:w="22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-26.7%</w:t>
            </w:r>
          </w:p>
        </w:tc>
        <w:tc>
          <w:tcPr>
            <w:tcW w:w="2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-5.4%</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476,317</w:t>
            </w:r>
          </w:p>
        </w:tc>
        <w:tc>
          <w:tcPr>
            <w:tcW w:w="2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397,378</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income / share (US$)</w:t>
            </w: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0.040</w:t>
            </w: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0.054</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0.042</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-26.8%</w:t>
            </w:r>
          </w:p>
        </w:tc>
        <w:tc>
          <w:tcPr>
            <w:tcW w:w="2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-5.5%</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0.186</w:t>
            </w:r>
          </w:p>
        </w:tc>
        <w:tc>
          <w:tcPr>
            <w:tcW w:w="260" w:type="dxa"/>
            <w:vAlign w:val="bottom"/>
            <w:shd w:val="clear" w:color="auto" w:fill="CCFFCC"/>
          </w:tcPr>
          <w:p>
            <w:pPr>
              <w:spacing w:after="0"/>
              <w:rPr>
                <w:sz w:val="12"/>
                <w:szCs w:val="12"/>
                <w:color w:val="auto"/>
              </w:rPr>
            </w:pPr>
          </w:p>
        </w:tc>
        <w:tc>
          <w:tcPr>
            <w:tcW w:w="88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0.155</w:t>
            </w:r>
          </w:p>
        </w:tc>
        <w:tc>
          <w:tcPr>
            <w:tcW w:w="11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Borders>
              <w:right w:val="single" w:sz="8" w:color="CCFFCC"/>
            </w:tcBorders>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Total loans</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14,334,841</w:t>
            </w: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13,326,601</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11,577,303</w:t>
            </w:r>
          </w:p>
        </w:tc>
        <w:tc>
          <w:tcPr>
            <w:tcW w:w="2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7.6%</w:t>
            </w:r>
          </w:p>
        </w:tc>
        <w:tc>
          <w:tcPr>
            <w:tcW w:w="2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23.8%</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14,334,841</w:t>
            </w:r>
          </w:p>
        </w:tc>
        <w:tc>
          <w:tcPr>
            <w:tcW w:w="2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8"/>
              </w:rPr>
              <w:t>11,577,303</w:t>
            </w:r>
          </w:p>
        </w:tc>
        <w:tc>
          <w:tcPr>
            <w:tcW w:w="1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Deposits and obligations</w:t>
            </w: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17,069,817</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15,642,366</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14,465,809</w:t>
            </w: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9.1%</w:t>
            </w:r>
          </w:p>
        </w:tc>
        <w:tc>
          <w:tcPr>
            <w:tcW w:w="2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18.0%</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17,069,817</w:t>
            </w: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88"/>
              </w:rPr>
              <w:t>14,465,809</w:t>
            </w:r>
          </w:p>
        </w:tc>
        <w:tc>
          <w:tcPr>
            <w:tcW w:w="240" w:type="dxa"/>
            <w:vAlign w:val="bottom"/>
            <w:tcBorders>
              <w:right w:val="single" w:sz="8" w:color="CCFFCC"/>
            </w:tcBorders>
            <w:shd w:val="clear" w:color="auto" w:fill="CCFFCC"/>
          </w:tcPr>
          <w:p>
            <w:pPr>
              <w:spacing w:after="0"/>
              <w:rPr>
                <w:sz w:val="12"/>
                <w:szCs w:val="12"/>
                <w:color w:val="auto"/>
              </w:rPr>
            </w:pPr>
          </w:p>
        </w:tc>
        <w:tc>
          <w:tcPr>
            <w:tcW w:w="11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Net shareholders´ equity</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1,992,545</w:t>
            </w: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1,864,471</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1,675,533</w:t>
            </w:r>
          </w:p>
        </w:tc>
        <w:tc>
          <w:tcPr>
            <w:tcW w:w="2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w:t>
            </w:r>
          </w:p>
        </w:tc>
        <w:tc>
          <w:tcPr>
            <w:tcW w:w="2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18.9%</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1,992,545</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1,675,533</w:t>
            </w:r>
          </w:p>
        </w:tc>
        <w:tc>
          <w:tcPr>
            <w:tcW w:w="240" w:type="dxa"/>
            <w:vAlign w:val="bottom"/>
          </w:tcPr>
          <w:p>
            <w:pPr>
              <w:spacing w:after="0"/>
              <w:rPr>
                <w:sz w:val="12"/>
                <w:szCs w:val="12"/>
                <w:color w:val="auto"/>
              </w:rPr>
            </w:pPr>
          </w:p>
        </w:tc>
        <w:tc>
          <w:tcPr>
            <w:tcW w:w="1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financial margin</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4.5%</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4.8%</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8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260" w:type="dxa"/>
            <w:vAlign w:val="bottom"/>
            <w:shd w:val="clear" w:color="auto" w:fill="CCFFCC"/>
          </w:tcPr>
          <w:p>
            <w:pPr>
              <w:spacing w:after="0"/>
              <w:rPr>
                <w:sz w:val="12"/>
                <w:szCs w:val="12"/>
                <w:color w:val="auto"/>
              </w:rPr>
            </w:pPr>
          </w:p>
        </w:tc>
        <w:tc>
          <w:tcPr>
            <w:tcW w:w="880" w:type="dxa"/>
            <w:vAlign w:val="bottom"/>
            <w:tcBorders>
              <w:right w:val="single" w:sz="8" w:color="CCFFCC"/>
            </w:tcBorders>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4.9%</w:t>
            </w:r>
          </w:p>
        </w:tc>
        <w:tc>
          <w:tcPr>
            <w:tcW w:w="10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Efficiency ratio</w:t>
            </w:r>
          </w:p>
        </w:tc>
        <w:tc>
          <w:tcPr>
            <w:tcW w:w="12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50.9%</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46.3%</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53.8%</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49.1%</w:t>
            </w:r>
          </w:p>
        </w:tc>
        <w:tc>
          <w:tcPr>
            <w:tcW w:w="2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51.9%</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Return on average equity</w:t>
            </w:r>
          </w:p>
        </w:tc>
        <w:tc>
          <w:tcPr>
            <w:tcW w:w="122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21.1%</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31.3%</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26.6%</w:t>
            </w:r>
          </w:p>
        </w:tc>
        <w:tc>
          <w:tcPr>
            <w:tcW w:w="8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26.8%</w:t>
            </w:r>
          </w:p>
        </w:tc>
        <w:tc>
          <w:tcPr>
            <w:tcW w:w="260" w:type="dxa"/>
            <w:vAlign w:val="bottom"/>
            <w:shd w:val="clear" w:color="auto" w:fill="CCFFCC"/>
          </w:tcPr>
          <w:p>
            <w:pPr>
              <w:spacing w:after="0"/>
              <w:rPr>
                <w:sz w:val="12"/>
                <w:szCs w:val="12"/>
                <w:color w:val="auto"/>
              </w:rPr>
            </w:pPr>
          </w:p>
        </w:tc>
        <w:tc>
          <w:tcPr>
            <w:tcW w:w="880" w:type="dxa"/>
            <w:vAlign w:val="bottom"/>
            <w:tcBorders>
              <w:right w:val="single" w:sz="8" w:color="CCFFCC"/>
            </w:tcBorders>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26.6%</w:t>
            </w:r>
          </w:p>
        </w:tc>
        <w:tc>
          <w:tcPr>
            <w:tcW w:w="10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PDL / Total loans</w:t>
            </w:r>
          </w:p>
        </w:tc>
        <w:tc>
          <w:tcPr>
            <w:tcW w:w="12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1.5%</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2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Coverage ratio of PDLs</w:t>
            </w:r>
          </w:p>
        </w:tc>
        <w:tc>
          <w:tcPr>
            <w:tcW w:w="122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198.5%</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193.3%</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192.3%</w:t>
            </w:r>
          </w:p>
        </w:tc>
        <w:tc>
          <w:tcPr>
            <w:tcW w:w="8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198.5%</w:t>
            </w:r>
          </w:p>
        </w:tc>
        <w:tc>
          <w:tcPr>
            <w:tcW w:w="260" w:type="dxa"/>
            <w:vAlign w:val="bottom"/>
            <w:shd w:val="clear" w:color="auto" w:fill="CCFFCC"/>
          </w:tcPr>
          <w:p>
            <w:pPr>
              <w:spacing w:after="0"/>
              <w:rPr>
                <w:sz w:val="12"/>
                <w:szCs w:val="12"/>
                <w:color w:val="auto"/>
              </w:rPr>
            </w:pPr>
          </w:p>
        </w:tc>
        <w:tc>
          <w:tcPr>
            <w:tcW w:w="880" w:type="dxa"/>
            <w:vAlign w:val="bottom"/>
            <w:tcBorders>
              <w:right w:val="single" w:sz="8" w:color="CCFFCC"/>
            </w:tcBorders>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192.3%</w:t>
            </w:r>
          </w:p>
        </w:tc>
        <w:tc>
          <w:tcPr>
            <w:tcW w:w="10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BIS ratio</w:t>
            </w:r>
          </w:p>
        </w:tc>
        <w:tc>
          <w:tcPr>
            <w:tcW w:w="12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12.8%</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13.9%</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14.5%</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12.8%</w:t>
            </w:r>
          </w:p>
        </w:tc>
        <w:tc>
          <w:tcPr>
            <w:tcW w:w="2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14.5%</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Branches</w:t>
            </w: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327</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324</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334</w:t>
            </w:r>
          </w:p>
        </w:tc>
        <w:tc>
          <w:tcPr>
            <w:tcW w:w="8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327</w:t>
            </w: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334</w:t>
            </w:r>
          </w:p>
        </w:tc>
        <w:tc>
          <w:tcPr>
            <w:tcW w:w="240" w:type="dxa"/>
            <w:vAlign w:val="bottom"/>
            <w:tcBorders>
              <w:right w:val="single" w:sz="8" w:color="CCFFCC"/>
            </w:tcBorders>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Agentes BCP</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3,513</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3,354</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2,801</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3,513</w:t>
            </w:r>
          </w:p>
        </w:tc>
        <w:tc>
          <w:tcPr>
            <w:tcW w:w="2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2,801</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ATMs</w:t>
            </w: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1,159</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1,109</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996</w:t>
            </w:r>
          </w:p>
        </w:tc>
        <w:tc>
          <w:tcPr>
            <w:tcW w:w="8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1,159</w:t>
            </w: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996</w:t>
            </w:r>
          </w:p>
        </w:tc>
        <w:tc>
          <w:tcPr>
            <w:tcW w:w="240" w:type="dxa"/>
            <w:vAlign w:val="bottom"/>
            <w:tcBorders>
              <w:right w:val="single" w:sz="8" w:color="CCFFCC"/>
            </w:tcBorders>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Employees</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16,148</w:t>
            </w: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15,650</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16,748</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16,148</w:t>
            </w:r>
          </w:p>
        </w:tc>
        <w:tc>
          <w:tcPr>
            <w:tcW w:w="2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16,748</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workers' profit sharing and income taxes.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Core operating income = Operating income - non core operating income.</w:t>
      </w:r>
    </w:p>
    <w:p>
      <w:pPr>
        <w:spacing w:after="0" w:line="9" w:lineRule="exact"/>
        <w:rPr>
          <w:rFonts w:ascii="Arial" w:cs="Arial" w:eastAsia="Arial" w:hAnsi="Arial"/>
          <w:sz w:val="18"/>
          <w:szCs w:val="18"/>
          <w:i w:val="1"/>
          <w:iCs w:val="1"/>
          <w:color w:val="auto"/>
        </w:rPr>
      </w:pPr>
    </w:p>
    <w:p>
      <w:pPr>
        <w:ind w:right="20" w:firstLine="8"/>
        <w:spacing w:after="0" w:line="261" w:lineRule="auto"/>
        <w:tabs>
          <w:tab w:leader="none" w:pos="2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 core operating income from net gains on sales of securities of US$ 43.406 million in 1Q09, US$ 29.321 milliom in 2Q09, US$ 25.349 million in 2Q10 and US$ 9.637 million in 3Q10.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we look at the differences that explain the lower result this quarter in greater detail, the following points stand out:</w:t>
      </w:r>
    </w:p>
    <w:p>
      <w:pPr>
        <w:spacing w:after="0" w:line="252" w:lineRule="exact"/>
        <w:rPr>
          <w:sz w:val="20"/>
          <w:szCs w:val="20"/>
          <w:color w:val="auto"/>
        </w:rPr>
      </w:pPr>
    </w:p>
    <w:p>
      <w:pPr>
        <w:ind w:left="900"/>
        <w:spacing w:after="0"/>
        <w:tabs>
          <w:tab w:leader="none" w:pos="11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The lower income from sales of securities explains the decline of close to US$ 10 million;</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7" w:name="page8"/>
    <w:bookmarkEnd w:id="7"/>
    <w:p>
      <w:pPr>
        <w:ind w:left="1060" w:hanging="161"/>
        <w:spacing w:after="0" w:line="258" w:lineRule="auto"/>
        <w:tabs>
          <w:tab w:leader="none" w:pos="1364"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Translation losses due to the recovery of the US currency, contrasted with the translation gains posted last quarter, which account for a decline of almost US$ 19 million; and</w:t>
      </w:r>
    </w:p>
    <w:p>
      <w:pPr>
        <w:spacing w:after="0" w:line="1" w:lineRule="exact"/>
        <w:rPr>
          <w:rFonts w:ascii="Arial" w:cs="Arial" w:eastAsia="Arial" w:hAnsi="Arial"/>
          <w:sz w:val="18"/>
          <w:szCs w:val="18"/>
          <w:color w:val="auto"/>
        </w:rPr>
      </w:pPr>
    </w:p>
    <w:p>
      <w:pPr>
        <w:jc w:val="both"/>
        <w:ind w:left="1060" w:hanging="161"/>
        <w:spacing w:after="0" w:line="255" w:lineRule="auto"/>
        <w:tabs>
          <w:tab w:leader="none" w:pos="1256"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expenses for personnel, an increase of the impact of variable remuneration due to strong loan expansion and the provisions required for the incentive compensation packages, and seasonally higher administrative expenses increased total operating expenses for the Q in about US$ 30 million.</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loan provisions remained historically high due to the bank’s decision to implement pro-cyclical provisions prior to the date required by the Supervisor as well as the conservative approach of management. These high levels were maintained despite a drop in the past-due loans and the subsequent improvement in the past-due-loan ratio, which fell from 1.6% to 1.5% at the end of the year.</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assets level grew substantially, reporting 8.1% growth QoQ due to an increase in total loans (+7.8% QoQ) and the bank’s higher liquidity levels (+10.9%), the latter of which suffered a re-composition after the BCRP decided not to renew a significant quantity of CDs (securities available for sale), choosing instead to replace them by auctioning BCRP time deposits. This move was meant to reduce the supply of investments denominated in Nuevos Soles made available to non-banking entities (such as funds), which had been selling their positions in dollars to invest in these attractive local currency CDs, generating significant revaluation pressure on the exchange rate.</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strong growth in assets went hand-in-hand with substantial growth in deposits –mainly time-deposits- , which increased 9.1% QoQ and the expansion of 14.6% QoQ in due to banks, an evolution that spurred funding cost in this 4Q.</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After three consecutive quarters of improvement in operating efficiency, this indicator increased in 4Q10 due to higher spending reaching a level of 50.9%.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level represents the high end of the new range of the efficiency ratio that we hope to maintain after implementing a series of measures.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lower result this quarter also affected ROAE, which only reached 21.1% this quarter while ROAA fell to 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2010 vs. 2009</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Accumulated results this year, in contrast to quarterly results, reflect the excellent business evolution in terms of expansion of the loan portfolio and assets level as well as increased earnings. The accumulated results also reported an increase in ROAE, which went from 26.6% to 26.8%.</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Total loans grew 24% and subsequently, net interest income also increased 18.3%, which was in line with loan growth, while NIM was sustained at its 4.8%.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Nevertheless, provisions, which were high during the last two quarters, only grew 6.5%.</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Fee income experienced record growth of 25.5% in 2010, which led to 9.8% growth in non-financial income despite income from securities sales did not reach the extraordinarily high levels registered the previous year.</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expenses side, although operating expenses grew substantially this last quarter, accumulated results for the year reported a very modest 10.9%. As such, the efficiency ratio reflects the year’s true achievements in terms of this indicator, which fell from 51.9% to 49.1%. This result is in line with our goal to improve the bank’s efficiency.</w:t>
      </w:r>
    </w:p>
    <w:p>
      <w:pPr>
        <w:spacing w:after="0" w:line="20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Despite a minor translation loss in 4Q10, the year’s accumulated results report translations gains for triple the amount registered last year. This confirms that bank’s policy in terms of FX positions in a context marked by a revaluation in the Nuevo Sol, which reached 2.8% in 2010, was on-target.</w:t>
      </w:r>
    </w:p>
    <w:p>
      <w:pPr>
        <w:spacing w:after="0" w:line="322"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In this scenario, accumulated income in 2010 totaled US$ 476 million, which is a new record for the bank and reflects 19.9% growth in earnings this year.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II.1 Interest Earning Assets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Interest earning assets reported a significant increase of 8.9% QoQ. This was attributable to growth in current loans (+7.7%) and in other liquidity positions, which were restructured to include BCRP time deposits.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5"/>
              </w:rPr>
              <w:t>Quarter</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98"/>
              </w:rPr>
              <w:t>Change %</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4Q10</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3Q10</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4Q09</w:t>
            </w:r>
          </w:p>
        </w:tc>
        <w:tc>
          <w:tcPr>
            <w:tcW w:w="220" w:type="dxa"/>
            <w:vAlign w:val="bottom"/>
          </w:tcPr>
          <w:p>
            <w:pPr>
              <w:spacing w:after="0"/>
              <w:rPr>
                <w:sz w:val="18"/>
                <w:szCs w:val="18"/>
                <w:color w:val="auto"/>
              </w:rPr>
            </w:pPr>
          </w:p>
        </w:tc>
        <w:tc>
          <w:tcPr>
            <w:tcW w:w="1760" w:type="dxa"/>
            <w:vAlign w:val="bottom"/>
            <w:gridSpan w:val="3"/>
          </w:tcPr>
          <w:p>
            <w:pPr>
              <w:ind w:left="380"/>
              <w:spacing w:after="0"/>
              <w:rPr>
                <w:sz w:val="20"/>
                <w:szCs w:val="20"/>
                <w:color w:val="auto"/>
              </w:rPr>
            </w:pPr>
            <w:r>
              <w:rPr>
                <w:rFonts w:ascii="Arial" w:cs="Arial" w:eastAsia="Arial" w:hAnsi="Arial"/>
                <w:sz w:val="18"/>
                <w:szCs w:val="18"/>
                <w:b w:val="1"/>
                <w:bCs w:val="1"/>
                <w:color w:val="auto"/>
              </w:rPr>
              <w:t>QoQ</w:t>
            </w:r>
          </w:p>
        </w:tc>
        <w:tc>
          <w:tcPr>
            <w:tcW w:w="820" w:type="dxa"/>
            <w:vAlign w:val="bottom"/>
          </w:tcPr>
          <w:p>
            <w:pPr>
              <w:ind w:left="8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BCRP and other banks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7,661,891</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3,012,573</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2,980,575</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154.3%</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Interbank funds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59,000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114,430</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73,986</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70,318</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54.7%</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Securities available for sale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1,503,201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5,336,436</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3,026,542</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-71.8%</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Current loans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14,125,859</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13,114,103</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11,393,557</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Total interest earning assets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23,464,381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21,537,098</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17,545,992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most significant re-composition of assets came after BCRP decided to stop issuing CDs and replace them with Time deposits auctions. This restructuring has had little impact on investment yields for banks given that it generates no relevant effect on rates. Nevertheless, investment in BCRP deposits is only available to banking entities and cannot be accessed by other financial entities such as investment funds, which, on the contrary had access to BCRP CDs. This decision allowed BRCP to reduce revaluation pressures on the domestic currency, which were generated by investment funds’ attempts to improve profitability in Nuevos Soles through the investment in CDs for positions held in dollars.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we would like to point out that BCRP’s policy on legal reserves, which increased reserve requirements in approximately US$ 840 million throughout 2010, had some impact on the profitability of assets.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the other hand, current loans increased 7.7% QoQ while the rest of investments &amp; deposits in BCRP and other banks grew 10.9% QoQ, which changed the composition of interest-earning assets against the most profitable asset, having also a negative impact on NIM, as we explain later 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the end of 2010, current loans at BCP totaled US$ 14,125 million, which stands as evidence of sustained growth throughout the year and represents a 7.7% expansion QoQ and 24% YoY. The upward trend in 2010 is attributable to the highly dynamic local economy and the Bank’s continuous efforts to become market leader in all segments.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chart shows the evolution of average daily balances and end-of-period balances. It is evident that the upward trend in loans has been constant throughout the year. Quarterly evolution shows 7.8% growth, which tops the 5.5% recorded last quarter and represents the most significant quarterly expansion in 2010.</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2464435</wp:posOffset>
            </wp:positionH>
            <wp:positionV relativeFrom="page">
              <wp:posOffset>337820</wp:posOffset>
            </wp:positionV>
            <wp:extent cx="4939665" cy="2066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39665"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analyze daily balances for each loan unit, it is evident that all the segments have grown QoQ and YoY. Wholesale Banking reported increases of 8.3% QoQ and 29.9% YoY that are associated primarily with financing for investment projects. Retail Banking reported 7.5% growth QoQ and 21.1% YoY, which is attributable to efforts to increase banking penetration.</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9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Average Daily Balances</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5"/>
          </w:tcPr>
          <w:p>
            <w:pPr>
              <w:jc w:val="center"/>
              <w:ind w:left="670"/>
              <w:spacing w:after="0"/>
              <w:rPr>
                <w:sz w:val="20"/>
                <w:szCs w:val="20"/>
                <w:color w:val="auto"/>
              </w:rPr>
            </w:pPr>
            <w:r>
              <w:rPr>
                <w:rFonts w:ascii="Arial" w:cs="Arial" w:eastAsia="Arial" w:hAnsi="Arial"/>
                <w:sz w:val="18"/>
                <w:szCs w:val="18"/>
                <w:b w:val="1"/>
                <w:bCs w:val="1"/>
                <w:color w:val="auto"/>
                <w:w w:val="98"/>
              </w:rPr>
              <w:t>TOTAL LOANS (1)</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8"/>
                <w:szCs w:val="18"/>
                <w:i w:val="1"/>
                <w:iCs w:val="1"/>
                <w:color w:val="auto"/>
                <w:w w:val="95"/>
              </w:rPr>
              <w:t>(US$ million)</w:t>
            </w:r>
          </w:p>
        </w:tc>
        <w:tc>
          <w:tcPr>
            <w:tcW w:w="6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4Q10</w:t>
            </w:r>
          </w:p>
        </w:tc>
        <w:tc>
          <w:tcPr>
            <w:tcW w:w="160" w:type="dxa"/>
            <w:vAlign w:val="bottom"/>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3Q10</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4Q09</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TaT</w:t>
            </w:r>
          </w:p>
        </w:tc>
        <w:tc>
          <w:tcPr>
            <w:tcW w:w="260" w:type="dxa"/>
            <w:vAlign w:val="bottom"/>
          </w:tcPr>
          <w:p>
            <w:pPr>
              <w:spacing w:after="0"/>
              <w:rPr>
                <w:sz w:val="19"/>
                <w:szCs w:val="19"/>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AaA</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Wholesale Banking</w:t>
            </w:r>
          </w:p>
        </w:tc>
        <w:tc>
          <w:tcPr>
            <w:tcW w:w="18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7,650.8</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7,065.0</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5,891.3</w:t>
            </w:r>
          </w:p>
        </w:tc>
        <w:tc>
          <w:tcPr>
            <w:tcW w:w="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8.3%</w:t>
            </w:r>
          </w:p>
        </w:tc>
        <w:tc>
          <w:tcPr>
            <w:tcW w:w="1080" w:type="dxa"/>
            <w:vAlign w:val="bottom"/>
            <w:gridSpan w:val="2"/>
            <w:shd w:val="clear" w:color="auto" w:fill="CCFFCC"/>
          </w:tcPr>
          <w:p>
            <w:pPr>
              <w:ind w:left="580"/>
              <w:spacing w:after="0"/>
              <w:rPr>
                <w:sz w:val="20"/>
                <w:szCs w:val="20"/>
                <w:color w:val="auto"/>
              </w:rPr>
            </w:pPr>
            <w:r>
              <w:rPr>
                <w:rFonts w:ascii="Arial" w:cs="Arial" w:eastAsia="Arial" w:hAnsi="Arial"/>
                <w:sz w:val="18"/>
                <w:szCs w:val="18"/>
                <w:b w:val="1"/>
                <w:bCs w:val="1"/>
                <w:color w:val="auto"/>
                <w:w w:val="93"/>
              </w:rPr>
              <w:t>29.9%</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i w:val="1"/>
                <w:iCs w:val="1"/>
                <w:color w:val="auto"/>
              </w:rPr>
              <w:t>- Corporate</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5,087.8</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4,552.2</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3,987.2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w w:val="93"/>
              </w:rPr>
              <w:t>27.6%</w:t>
            </w:r>
          </w:p>
        </w:tc>
      </w:tr>
      <w:tr>
        <w:trPr>
          <w:trHeight w:val="216"/>
        </w:trPr>
        <w:tc>
          <w:tcPr>
            <w:tcW w:w="20" w:type="dxa"/>
            <w:vAlign w:val="bottom"/>
          </w:tcPr>
          <w:p>
            <w:pPr>
              <w:spacing w:after="0"/>
              <w:rPr>
                <w:sz w:val="18"/>
                <w:szCs w:val="18"/>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Middle Market</w:t>
            </w:r>
          </w:p>
        </w:tc>
        <w:tc>
          <w:tcPr>
            <w:tcW w:w="18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2,563.0</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2,512.7</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1,904.0</w:t>
            </w:r>
          </w:p>
        </w:tc>
        <w:tc>
          <w:tcPr>
            <w:tcW w:w="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w:t>
            </w:r>
          </w:p>
        </w:tc>
        <w:tc>
          <w:tcPr>
            <w:tcW w:w="1080" w:type="dxa"/>
            <w:vAlign w:val="bottom"/>
            <w:gridSpan w:val="2"/>
            <w:shd w:val="clear" w:color="auto" w:fill="CCFFCC"/>
          </w:tcPr>
          <w:p>
            <w:pPr>
              <w:ind w:left="580"/>
              <w:spacing w:after="0"/>
              <w:rPr>
                <w:sz w:val="20"/>
                <w:szCs w:val="20"/>
                <w:color w:val="auto"/>
              </w:rPr>
            </w:pPr>
            <w:r>
              <w:rPr>
                <w:rFonts w:ascii="Arial" w:cs="Arial" w:eastAsia="Arial" w:hAnsi="Arial"/>
                <w:sz w:val="18"/>
                <w:szCs w:val="18"/>
                <w:color w:val="auto"/>
                <w:w w:val="93"/>
              </w:rPr>
              <w:t>34.6%</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b w:val="1"/>
                <w:bCs w:val="1"/>
                <w:color w:val="auto"/>
              </w:rPr>
              <w:t>Retail Banking</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5,182.5</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4,821.0</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4,280.5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7.5%</w:t>
            </w:r>
          </w:p>
        </w:tc>
        <w:tc>
          <w:tcPr>
            <w:tcW w:w="1080" w:type="dxa"/>
            <w:vAlign w:val="bottom"/>
            <w:gridSpan w:val="2"/>
          </w:tcPr>
          <w:p>
            <w:pPr>
              <w:ind w:left="580"/>
              <w:spacing w:after="0"/>
              <w:rPr>
                <w:sz w:val="20"/>
                <w:szCs w:val="20"/>
                <w:color w:val="auto"/>
              </w:rPr>
            </w:pPr>
            <w:r>
              <w:rPr>
                <w:rFonts w:ascii="Arial" w:cs="Arial" w:eastAsia="Arial" w:hAnsi="Arial"/>
                <w:sz w:val="18"/>
                <w:szCs w:val="18"/>
                <w:b w:val="1"/>
                <w:bCs w:val="1"/>
                <w:color w:val="auto"/>
                <w:w w:val="93"/>
              </w:rPr>
              <w:t>21.1%</w:t>
            </w:r>
          </w:p>
        </w:tc>
      </w:tr>
      <w:tr>
        <w:trPr>
          <w:trHeight w:val="216"/>
        </w:trPr>
        <w:tc>
          <w:tcPr>
            <w:tcW w:w="20" w:type="dxa"/>
            <w:vAlign w:val="bottom"/>
          </w:tcPr>
          <w:p>
            <w:pPr>
              <w:spacing w:after="0"/>
              <w:rPr>
                <w:sz w:val="18"/>
                <w:szCs w:val="18"/>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SME + Business</w:t>
            </w:r>
          </w:p>
        </w:tc>
        <w:tc>
          <w:tcPr>
            <w:tcW w:w="18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1,798.3</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1,633.0</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1,401.8</w:t>
            </w:r>
          </w:p>
        </w:tc>
        <w:tc>
          <w:tcPr>
            <w:tcW w:w="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10.1%</w:t>
            </w:r>
          </w:p>
        </w:tc>
        <w:tc>
          <w:tcPr>
            <w:tcW w:w="1080" w:type="dxa"/>
            <w:vAlign w:val="bottom"/>
            <w:gridSpan w:val="2"/>
            <w:shd w:val="clear" w:color="auto" w:fill="CCFFCC"/>
          </w:tcPr>
          <w:p>
            <w:pPr>
              <w:ind w:left="580"/>
              <w:spacing w:after="0"/>
              <w:rPr>
                <w:sz w:val="20"/>
                <w:szCs w:val="20"/>
                <w:color w:val="auto"/>
              </w:rPr>
            </w:pPr>
            <w:r>
              <w:rPr>
                <w:rFonts w:ascii="Arial" w:cs="Arial" w:eastAsia="Arial" w:hAnsi="Arial"/>
                <w:sz w:val="18"/>
                <w:szCs w:val="18"/>
                <w:color w:val="auto"/>
                <w:w w:val="93"/>
              </w:rPr>
              <w:t>28.3%</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i w:val="1"/>
                <w:iCs w:val="1"/>
                <w:color w:val="auto"/>
              </w:rPr>
              <w:t>- Mortgages</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1,869.2</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1,753.4</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1,551.8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w w:val="93"/>
              </w:rPr>
              <w:t>20.5%</w:t>
            </w:r>
          </w:p>
        </w:tc>
      </w:tr>
      <w:tr>
        <w:trPr>
          <w:trHeight w:val="216"/>
        </w:trPr>
        <w:tc>
          <w:tcPr>
            <w:tcW w:w="20" w:type="dxa"/>
            <w:vAlign w:val="bottom"/>
          </w:tcPr>
          <w:p>
            <w:pPr>
              <w:spacing w:after="0"/>
              <w:rPr>
                <w:sz w:val="18"/>
                <w:szCs w:val="18"/>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Consumer</w:t>
            </w:r>
          </w:p>
        </w:tc>
        <w:tc>
          <w:tcPr>
            <w:tcW w:w="18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949.9</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898.3</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828.8</w:t>
            </w:r>
          </w:p>
        </w:tc>
        <w:tc>
          <w:tcPr>
            <w:tcW w:w="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5.7%</w:t>
            </w:r>
          </w:p>
        </w:tc>
        <w:tc>
          <w:tcPr>
            <w:tcW w:w="1080" w:type="dxa"/>
            <w:vAlign w:val="bottom"/>
            <w:gridSpan w:val="2"/>
            <w:shd w:val="clear" w:color="auto" w:fill="CCFFCC"/>
          </w:tcPr>
          <w:p>
            <w:pPr>
              <w:ind w:left="580"/>
              <w:spacing w:after="0"/>
              <w:rPr>
                <w:sz w:val="20"/>
                <w:szCs w:val="20"/>
                <w:color w:val="auto"/>
              </w:rPr>
            </w:pPr>
            <w:r>
              <w:rPr>
                <w:rFonts w:ascii="Arial" w:cs="Arial" w:eastAsia="Arial" w:hAnsi="Arial"/>
                <w:sz w:val="18"/>
                <w:szCs w:val="18"/>
                <w:color w:val="auto"/>
                <w:w w:val="93"/>
              </w:rPr>
              <w:t>14.6%</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i w:val="1"/>
                <w:iCs w:val="1"/>
                <w:color w:val="auto"/>
              </w:rPr>
              <w:t>- Credit Cards</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565.0</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536.3</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498.1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w w:val="93"/>
              </w:rPr>
              <w:t>13.4%</w:t>
            </w:r>
          </w:p>
        </w:tc>
      </w:tr>
      <w:tr>
        <w:trPr>
          <w:trHeight w:val="216"/>
        </w:trPr>
        <w:tc>
          <w:tcPr>
            <w:tcW w:w="20" w:type="dxa"/>
            <w:vAlign w:val="bottom"/>
          </w:tcPr>
          <w:p>
            <w:pPr>
              <w:spacing w:after="0"/>
              <w:rPr>
                <w:sz w:val="18"/>
                <w:szCs w:val="18"/>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Edyficar</w:t>
            </w:r>
          </w:p>
        </w:tc>
        <w:tc>
          <w:tcPr>
            <w:tcW w:w="18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333.3</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302.1</w:t>
            </w:r>
          </w:p>
        </w:tc>
        <w:tc>
          <w:tcPr>
            <w:tcW w:w="12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254.4*</w:t>
            </w:r>
          </w:p>
        </w:tc>
        <w:tc>
          <w:tcPr>
            <w:tcW w:w="2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10.3%</w:t>
            </w:r>
          </w:p>
        </w:tc>
        <w:tc>
          <w:tcPr>
            <w:tcW w:w="1080" w:type="dxa"/>
            <w:vAlign w:val="bottom"/>
            <w:gridSpan w:val="2"/>
            <w:shd w:val="clear" w:color="auto" w:fill="CCFFCC"/>
          </w:tcPr>
          <w:p>
            <w:pPr>
              <w:ind w:left="580"/>
              <w:spacing w:after="0"/>
              <w:rPr>
                <w:sz w:val="20"/>
                <w:szCs w:val="20"/>
                <w:color w:val="auto"/>
              </w:rPr>
            </w:pPr>
            <w:r>
              <w:rPr>
                <w:rFonts w:ascii="Arial" w:cs="Arial" w:eastAsia="Arial" w:hAnsi="Arial"/>
                <w:sz w:val="18"/>
                <w:szCs w:val="18"/>
                <w:b w:val="1"/>
                <w:bCs w:val="1"/>
                <w:color w:val="auto"/>
                <w:w w:val="93"/>
              </w:rPr>
              <w:t>31.0%</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b w:val="1"/>
                <w:bCs w:val="1"/>
                <w:color w:val="auto"/>
              </w:rPr>
              <w:t>Others (2)</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762.0</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735.1</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660.4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w:t>
            </w:r>
          </w:p>
        </w:tc>
        <w:tc>
          <w:tcPr>
            <w:tcW w:w="1080" w:type="dxa"/>
            <w:vAlign w:val="bottom"/>
            <w:gridSpan w:val="2"/>
          </w:tcPr>
          <w:p>
            <w:pPr>
              <w:ind w:left="580"/>
              <w:spacing w:after="0"/>
              <w:rPr>
                <w:sz w:val="20"/>
                <w:szCs w:val="20"/>
                <w:color w:val="auto"/>
              </w:rPr>
            </w:pPr>
            <w:r>
              <w:rPr>
                <w:rFonts w:ascii="Arial" w:cs="Arial" w:eastAsia="Arial" w:hAnsi="Arial"/>
                <w:sz w:val="18"/>
                <w:szCs w:val="18"/>
                <w:b w:val="1"/>
                <w:bCs w:val="1"/>
                <w:color w:val="auto"/>
                <w:w w:val="93"/>
              </w:rPr>
              <w:t>15.4%</w:t>
            </w:r>
          </w:p>
        </w:tc>
      </w:tr>
      <w:tr>
        <w:trPr>
          <w:trHeight w:val="223"/>
        </w:trPr>
        <w:tc>
          <w:tcPr>
            <w:tcW w:w="20" w:type="dxa"/>
            <w:vAlign w:val="bottom"/>
          </w:tcPr>
          <w:p>
            <w:pPr>
              <w:spacing w:after="0"/>
              <w:rPr>
                <w:sz w:val="19"/>
                <w:szCs w:val="19"/>
                <w:color w:val="auto"/>
              </w:rPr>
            </w:pPr>
          </w:p>
        </w:tc>
        <w:tc>
          <w:tcPr>
            <w:tcW w:w="2740" w:type="dxa"/>
            <w:vAlign w:val="bottom"/>
            <w:tcBorders>
              <w:bottom w:val="single" w:sz="8" w:color="CCFFCC"/>
            </w:tcBorders>
            <w:shd w:val="clear" w:color="auto" w:fill="CCFFCC"/>
          </w:tcPr>
          <w:p>
            <w:pPr>
              <w:spacing w:after="0"/>
              <w:rPr>
                <w:sz w:val="19"/>
                <w:szCs w:val="19"/>
                <w:color w:val="auto"/>
              </w:rPr>
            </w:pPr>
          </w:p>
        </w:tc>
        <w:tc>
          <w:tcPr>
            <w:tcW w:w="960" w:type="dxa"/>
            <w:vAlign w:val="bottom"/>
            <w:tcBorders>
              <w:bottom w:val="single" w:sz="8" w:color="CCFFCC"/>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spacing w:after="0"/>
              <w:rPr>
                <w:sz w:val="19"/>
                <w:szCs w:val="19"/>
                <w:color w:val="auto"/>
              </w:rPr>
            </w:pPr>
          </w:p>
        </w:tc>
        <w:tc>
          <w:tcPr>
            <w:tcW w:w="1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660" w:type="dxa"/>
            <w:vAlign w:val="bottom"/>
            <w:tcBorders>
              <w:bottom w:val="single" w:sz="8" w:color="auto"/>
            </w:tcBorders>
            <w:shd w:val="clear" w:color="auto" w:fill="CCFFCC"/>
          </w:tcPr>
          <w:p>
            <w:pPr>
              <w:spacing w:after="0"/>
              <w:rPr>
                <w:sz w:val="19"/>
                <w:szCs w:val="19"/>
                <w:color w:val="auto"/>
              </w:rPr>
            </w:pPr>
          </w:p>
        </w:tc>
        <w:tc>
          <w:tcPr>
            <w:tcW w:w="260" w:type="dxa"/>
            <w:vAlign w:val="bottom"/>
            <w:tcBorders>
              <w:bottom w:val="single" w:sz="8" w:color="CCFFCC"/>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spacing w:after="0"/>
              <w:rPr>
                <w:sz w:val="19"/>
                <w:szCs w:val="19"/>
                <w:color w:val="auto"/>
              </w:rPr>
            </w:pPr>
          </w:p>
        </w:tc>
        <w:tc>
          <w:tcPr>
            <w:tcW w:w="180" w:type="dxa"/>
            <w:vAlign w:val="bottom"/>
            <w:tcBorders>
              <w:bottom w:val="single" w:sz="8" w:color="CCFFCC"/>
            </w:tcBorders>
            <w:shd w:val="clear" w:color="auto" w:fill="CCFFCC"/>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b w:val="1"/>
                <w:bCs w:val="1"/>
                <w:color w:val="auto"/>
              </w:rPr>
              <w:t>Consolidated total loans</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13,928.5</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12,923.1</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11,086.5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7.8%</w:t>
            </w:r>
          </w:p>
        </w:tc>
        <w:tc>
          <w:tcPr>
            <w:tcW w:w="1080" w:type="dxa"/>
            <w:vAlign w:val="bottom"/>
            <w:gridSpan w:val="2"/>
          </w:tcPr>
          <w:p>
            <w:pPr>
              <w:ind w:left="580"/>
              <w:spacing w:after="0"/>
              <w:rPr>
                <w:sz w:val="20"/>
                <w:szCs w:val="20"/>
                <w:color w:val="auto"/>
              </w:rPr>
            </w:pPr>
            <w:r>
              <w:rPr>
                <w:rFonts w:ascii="Arial" w:cs="Arial" w:eastAsia="Arial" w:hAnsi="Arial"/>
                <w:sz w:val="18"/>
                <w:szCs w:val="18"/>
                <w:b w:val="1"/>
                <w:bCs w:val="1"/>
                <w:color w:val="auto"/>
                <w:w w:val="93"/>
              </w:rPr>
              <w:t>25.6%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-10795</wp:posOffset>
            </wp:positionV>
            <wp:extent cx="33191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19145" cy="17145"/>
                    </a:xfrm>
                    <a:prstGeom prst="rect">
                      <a:avLst/>
                    </a:prstGeom>
                    <a:noFill/>
                  </pic:spPr>
                </pic:pic>
              </a:graphicData>
            </a:graphic>
          </wp:anchor>
        </w:drawing>
      </w:r>
    </w:p>
    <w:p>
      <w:pPr>
        <w:ind w:left="1280" w:hanging="131"/>
        <w:spacing w:after="0"/>
        <w:tabs>
          <w:tab w:leader="none" w:pos="12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Monthly-end balance as of Dec. 09.</w:t>
      </w:r>
    </w:p>
    <w:p>
      <w:pPr>
        <w:spacing w:after="0" w:line="17" w:lineRule="exact"/>
        <w:rPr>
          <w:rFonts w:ascii="Arial" w:cs="Arial" w:eastAsia="Arial" w:hAnsi="Arial"/>
          <w:sz w:val="18"/>
          <w:szCs w:val="18"/>
          <w:i w:val="1"/>
          <w:iCs w:val="1"/>
          <w:color w:val="auto"/>
        </w:rPr>
      </w:pPr>
    </w:p>
    <w:p>
      <w:pPr>
        <w:ind w:left="114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(1) Average daily balance.</w:t>
      </w:r>
    </w:p>
    <w:p>
      <w:pPr>
        <w:spacing w:after="0" w:line="9" w:lineRule="exact"/>
        <w:rPr>
          <w:rFonts w:ascii="Arial" w:cs="Arial" w:eastAsia="Arial" w:hAnsi="Arial"/>
          <w:sz w:val="18"/>
          <w:szCs w:val="18"/>
          <w:i w:val="1"/>
          <w:iCs w:val="1"/>
          <w:color w:val="auto"/>
        </w:rPr>
      </w:pPr>
    </w:p>
    <w:p>
      <w:pPr>
        <w:ind w:left="1800" w:right="5900" w:hanging="648"/>
        <w:spacing w:after="0" w:line="261" w:lineRule="auto"/>
        <w:rPr>
          <w:rFonts w:ascii="Arial" w:cs="Arial" w:eastAsia="Arial" w:hAnsi="Arial"/>
          <w:sz w:val="18"/>
          <w:szCs w:val="18"/>
          <w:i w:val="1"/>
          <w:iCs w:val="1"/>
          <w:color w:val="auto"/>
        </w:rPr>
      </w:pPr>
      <w:r>
        <w:rPr>
          <w:rFonts w:ascii="Arial" w:cs="Arial" w:eastAsia="Arial" w:hAnsi="Arial"/>
          <w:sz w:val="18"/>
          <w:szCs w:val="18"/>
          <w:i w:val="1"/>
          <w:iCs w:val="1"/>
          <w:color w:val="auto"/>
        </w:rPr>
        <w:t>(2) Includes Work Out Unit, other banking and BCP Bolivia. Source: BCP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It is important to note the following with regard to the evolution within the two banking businesses:</w:t>
      </w:r>
    </w:p>
    <w:p>
      <w:pPr>
        <w:spacing w:after="0" w:line="252"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Corporate Banking portfolio reported the highest quarterly growth registered in the year (+11.8%), primarily due to significant mid-term financing that consolidated significant expansion of 27.6% YoY.</w:t>
      </w:r>
    </w:p>
    <w:p>
      <w:pPr>
        <w:spacing w:after="0" w:line="19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Middle-Market Banking portfolio registered a slight increase of 2% QoQ that was equivalent to US$50 million; this improvement was due primarily to mid-term and sales financing operations. Nevertheless, a final yearly review indicates that Middle-Market Banking’s portfolio increased a very strong 34.6%.</w:t>
      </w:r>
    </w:p>
    <w:p>
      <w:pPr>
        <w:spacing w:after="0" w:line="20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Within the Retail Banking segment, QoQ and YoY grew was most significant in the SME-Business and Mortgage segments, which grew 10.1% and 6.6% QoQ and 28.3% and 20.5% YoY, respectively.</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Finally, Edyficar’s loan portfolio continued to increase throughout 2010 to total US$ 333.3 million at the end of the year. This represented a QoQ increase of 10.3%.</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we look at loan evolution by currency type, it is evident that both portfolios expanded QoQ and YoY. Nevertheless, the foreign currency (FC) portfolio reported the highest growth.</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Average Daily Balances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2"/>
              </w:rPr>
              <w:t>Domestic Currency Loans (1)</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2"/>
              </w:rPr>
              <w:t>Foreign Currency Loans (1)</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jc w:val="center"/>
              <w:ind w:left="468"/>
              <w:spacing w:after="0"/>
              <w:rPr>
                <w:sz w:val="20"/>
                <w:szCs w:val="20"/>
                <w:color w:val="auto"/>
              </w:rPr>
            </w:pPr>
            <w:r>
              <w:rPr>
                <w:rFonts w:ascii="Arial" w:cs="Arial" w:eastAsia="Arial" w:hAnsi="Arial"/>
                <w:sz w:val="14"/>
                <w:szCs w:val="14"/>
                <w:i w:val="1"/>
                <w:iCs w:val="1"/>
                <w:color w:val="auto"/>
                <w:w w:val="94"/>
              </w:rPr>
              <w:t>(Nuevos Soles million)</w:t>
            </w: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i w:val="1"/>
                <w:iCs w:val="1"/>
                <w:color w:val="auto"/>
                <w:w w:val="97"/>
              </w:rPr>
              <w:t>(US$ million)</w:t>
            </w: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70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4Q10</w:t>
            </w:r>
          </w:p>
        </w:tc>
        <w:tc>
          <w:tcPr>
            <w:tcW w:w="220" w:type="dxa"/>
            <w:vAlign w:val="bottom"/>
          </w:tcPr>
          <w:p>
            <w:pPr>
              <w:spacing w:after="0"/>
              <w:rPr>
                <w:sz w:val="13"/>
                <w:szCs w:val="13"/>
                <w:color w:val="auto"/>
              </w:rPr>
            </w:pPr>
          </w:p>
        </w:tc>
        <w:tc>
          <w:tcPr>
            <w:tcW w:w="68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3Q10</w:t>
            </w:r>
          </w:p>
        </w:tc>
        <w:tc>
          <w:tcPr>
            <w:tcW w:w="220" w:type="dxa"/>
            <w:vAlign w:val="bottom"/>
          </w:tcPr>
          <w:p>
            <w:pPr>
              <w:spacing w:after="0"/>
              <w:rPr>
                <w:sz w:val="13"/>
                <w:szCs w:val="13"/>
                <w:color w:val="auto"/>
              </w:rPr>
            </w:pPr>
          </w:p>
        </w:tc>
        <w:tc>
          <w:tcPr>
            <w:tcW w:w="6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4Q09</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TaT</w:t>
            </w:r>
          </w:p>
        </w:tc>
        <w:tc>
          <w:tcPr>
            <w:tcW w:w="260" w:type="dxa"/>
            <w:vAlign w:val="bottom"/>
          </w:tcPr>
          <w:p>
            <w:pPr>
              <w:spacing w:after="0"/>
              <w:rPr>
                <w:sz w:val="13"/>
                <w:szCs w:val="13"/>
                <w:color w:val="auto"/>
              </w:rPr>
            </w:pPr>
          </w:p>
        </w:tc>
        <w:tc>
          <w:tcPr>
            <w:tcW w:w="6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b w:val="1"/>
                <w:bCs w:val="1"/>
                <w:color w:val="auto"/>
              </w:rPr>
              <w:t>AaA</w:t>
            </w:r>
          </w:p>
        </w:tc>
        <w:tc>
          <w:tcPr>
            <w:tcW w:w="260" w:type="dxa"/>
            <w:vAlign w:val="bottom"/>
          </w:tcPr>
          <w:p>
            <w:pPr>
              <w:spacing w:after="0"/>
              <w:rPr>
                <w:sz w:val="13"/>
                <w:szCs w:val="13"/>
                <w:color w:val="auto"/>
              </w:rPr>
            </w:pPr>
          </w:p>
        </w:tc>
        <w:tc>
          <w:tcPr>
            <w:tcW w:w="66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b w:val="1"/>
                <w:bCs w:val="1"/>
                <w:color w:val="auto"/>
              </w:rPr>
              <w:t>4Q10</w:t>
            </w:r>
          </w:p>
        </w:tc>
        <w:tc>
          <w:tcPr>
            <w:tcW w:w="220" w:type="dxa"/>
            <w:vAlign w:val="bottom"/>
          </w:tcPr>
          <w:p>
            <w:pPr>
              <w:spacing w:after="0"/>
              <w:rPr>
                <w:sz w:val="13"/>
                <w:szCs w:val="13"/>
                <w:color w:val="auto"/>
              </w:rPr>
            </w:pPr>
          </w:p>
        </w:tc>
        <w:tc>
          <w:tcPr>
            <w:tcW w:w="68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3Q10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4Q09</w:t>
            </w:r>
          </w:p>
        </w:tc>
        <w:tc>
          <w:tcPr>
            <w:tcW w:w="220" w:type="dxa"/>
            <w:vAlign w:val="bottom"/>
          </w:tcPr>
          <w:p>
            <w:pPr>
              <w:spacing w:after="0"/>
              <w:rPr>
                <w:sz w:val="13"/>
                <w:szCs w:val="13"/>
                <w:color w:val="auto"/>
              </w:rPr>
            </w:pPr>
          </w:p>
        </w:tc>
        <w:tc>
          <w:tcPr>
            <w:tcW w:w="68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b w:val="1"/>
                <w:bCs w:val="1"/>
                <w:color w:val="auto"/>
              </w:rPr>
              <w:t>TaT</w:t>
            </w:r>
          </w:p>
        </w:tc>
        <w:tc>
          <w:tcPr>
            <w:tcW w:w="260" w:type="dxa"/>
            <w:vAlign w:val="bottom"/>
          </w:tcPr>
          <w:p>
            <w:pPr>
              <w:spacing w:after="0"/>
              <w:rPr>
                <w:sz w:val="13"/>
                <w:szCs w:val="13"/>
                <w:color w:val="auto"/>
              </w:rPr>
            </w:pPr>
          </w:p>
        </w:tc>
        <w:tc>
          <w:tcPr>
            <w:tcW w:w="6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b w:val="1"/>
                <w:bCs w:val="1"/>
                <w:color w:val="auto"/>
              </w:rPr>
              <w:t>AaA</w:t>
            </w:r>
          </w:p>
        </w:tc>
        <w:tc>
          <w:tcPr>
            <w:tcW w:w="14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Wholesale Banking</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5,069.6</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5,052.1</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4,706.6</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0.3%</w:t>
            </w:r>
          </w:p>
        </w:tc>
        <w:tc>
          <w:tcPr>
            <w:tcW w:w="9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7.7%</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5,848.4</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5,262.1</w:t>
            </w:r>
          </w:p>
        </w:tc>
        <w:tc>
          <w:tcPr>
            <w:tcW w:w="80" w:type="dxa"/>
            <w:vAlign w:val="bottom"/>
            <w:shd w:val="clear" w:color="auto" w:fill="CCFFCC"/>
          </w:tcPr>
          <w:p>
            <w:pPr>
              <w:spacing w:after="0"/>
              <w:rPr>
                <w:sz w:val="12"/>
                <w:szCs w:val="12"/>
                <w:color w:val="auto"/>
              </w:rPr>
            </w:pPr>
          </w:p>
        </w:tc>
        <w:tc>
          <w:tcPr>
            <w:tcW w:w="10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4,263.3</w:t>
            </w:r>
          </w:p>
        </w:tc>
        <w:tc>
          <w:tcPr>
            <w:tcW w:w="9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11.1%</w:t>
            </w:r>
          </w:p>
        </w:tc>
        <w:tc>
          <w:tcPr>
            <w:tcW w:w="8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37.2%</w:t>
            </w: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i w:val="1"/>
                <w:iCs w:val="1"/>
                <w:color w:val="auto"/>
              </w:rPr>
              <w:t>- Corporate</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3,443.7</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3,475.6</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3,535.5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-0.9%</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3,863.4</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3,312.0</w:t>
            </w:r>
          </w:p>
        </w:tc>
        <w:tc>
          <w:tcPr>
            <w:tcW w:w="80" w:type="dxa"/>
            <w:vAlign w:val="bottom"/>
          </w:tcPr>
          <w:p>
            <w:pPr>
              <w:spacing w:after="0"/>
              <w:rPr>
                <w:sz w:val="12"/>
                <w:szCs w:val="12"/>
                <w:color w:val="auto"/>
              </w:rPr>
            </w:pP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2,764.4</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16.6%</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39.8%</w:t>
            </w: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Middle Market</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1,625.9</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1,576.6</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1,171.0</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38.8%</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1,985.0</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1,950.1</w:t>
            </w:r>
          </w:p>
        </w:tc>
        <w:tc>
          <w:tcPr>
            <w:tcW w:w="80" w:type="dxa"/>
            <w:vAlign w:val="bottom"/>
            <w:shd w:val="clear" w:color="auto" w:fill="CCFFCC"/>
          </w:tcPr>
          <w:p>
            <w:pPr>
              <w:spacing w:after="0"/>
              <w:rPr>
                <w:sz w:val="12"/>
                <w:szCs w:val="12"/>
                <w:color w:val="auto"/>
              </w:rPr>
            </w:pPr>
          </w:p>
        </w:tc>
        <w:tc>
          <w:tcPr>
            <w:tcW w:w="10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1,499.0</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32.4%</w:t>
            </w: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Retail Banking</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8,946.6</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8,258.6</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7,172.3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8.3%</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24.7%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2,001.7</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1,873.7</w:t>
            </w:r>
          </w:p>
        </w:tc>
        <w:tc>
          <w:tcPr>
            <w:tcW w:w="80" w:type="dxa"/>
            <w:vAlign w:val="bottom"/>
          </w:tcPr>
          <w:p>
            <w:pPr>
              <w:spacing w:after="0"/>
              <w:rPr>
                <w:sz w:val="12"/>
                <w:szCs w:val="12"/>
                <w:color w:val="auto"/>
              </w:rPr>
            </w:pP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1,799.7</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6.8%</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11.2%</w:t>
            </w: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SME + Business</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3,228.1</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2,876.7</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2,442.1</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12.2%</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32.2%</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650.7</w:t>
            </w:r>
          </w:p>
        </w:tc>
        <w:tc>
          <w:tcPr>
            <w:tcW w:w="7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b w:val="1"/>
                <w:bCs w:val="1"/>
                <w:color w:val="auto"/>
              </w:rPr>
              <w:t>606.3</w:t>
            </w:r>
          </w:p>
        </w:tc>
        <w:tc>
          <w:tcPr>
            <w:tcW w:w="10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557.1</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7.3%</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16.8%</w:t>
            </w: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i w:val="1"/>
                <w:iCs w:val="1"/>
                <w:color w:val="auto"/>
              </w:rPr>
              <w:t>- Mortgages</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2,378.8</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2,240.8</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1,826.3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30.3%</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1,023.5</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953.7</w:t>
            </w: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920.2</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11.2%</w:t>
            </w: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Consumer</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1,956.2</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1,830.5</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1,657.7</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6.9%</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18.0%</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254.4</w:t>
            </w:r>
          </w:p>
        </w:tc>
        <w:tc>
          <w:tcPr>
            <w:tcW w:w="7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b w:val="1"/>
                <w:bCs w:val="1"/>
                <w:color w:val="auto"/>
              </w:rPr>
              <w:t>245.0</w:t>
            </w:r>
          </w:p>
        </w:tc>
        <w:tc>
          <w:tcPr>
            <w:tcW w:w="10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255.5</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3.8%</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-0.4%</w:t>
            </w: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i w:val="1"/>
                <w:iCs w:val="1"/>
                <w:color w:val="auto"/>
              </w:rPr>
              <w:t>- Credit Cards</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1,383.5</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1,310.6</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1,246.3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11.0%</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73.2</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68.6</w:t>
            </w: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67.0</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9.2%</w:t>
            </w: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Edyficar</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900.9</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810.8</w:t>
            </w:r>
          </w:p>
        </w:tc>
        <w:tc>
          <w:tcPr>
            <w:tcW w:w="8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693.1*</w:t>
            </w: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11.1%</w:t>
            </w:r>
          </w:p>
        </w:tc>
        <w:tc>
          <w:tcPr>
            <w:tcW w:w="9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30.0%</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13.0</w:t>
            </w:r>
          </w:p>
        </w:tc>
        <w:tc>
          <w:tcPr>
            <w:tcW w:w="7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b w:val="1"/>
                <w:bCs w:val="1"/>
                <w:color w:val="auto"/>
              </w:rPr>
              <w:t>12.7</w:t>
            </w:r>
          </w:p>
        </w:tc>
        <w:tc>
          <w:tcPr>
            <w:tcW w:w="102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14.6*</w:t>
            </w:r>
          </w:p>
        </w:tc>
        <w:tc>
          <w:tcPr>
            <w:tcW w:w="9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1.9%</w:t>
            </w:r>
          </w:p>
        </w:tc>
        <w:tc>
          <w:tcPr>
            <w:tcW w:w="8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-11.2%</w:t>
            </w: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Others (2)</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165.2</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167.4</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138.7</w:t>
            </w: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-1.3%</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19.1%</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703.3</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675.3</w:t>
            </w: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612.4</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4.1%</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14.8%</w:t>
            </w:r>
          </w:p>
        </w:tc>
      </w:tr>
      <w:tr>
        <w:trPr>
          <w:trHeight w:val="156"/>
        </w:trPr>
        <w:tc>
          <w:tcPr>
            <w:tcW w:w="20" w:type="dxa"/>
            <w:vAlign w:val="bottom"/>
          </w:tcPr>
          <w:p>
            <w:pPr>
              <w:spacing w:after="0"/>
              <w:rPr>
                <w:sz w:val="13"/>
                <w:szCs w:val="13"/>
                <w:color w:val="auto"/>
              </w:rPr>
            </w:pPr>
          </w:p>
        </w:tc>
        <w:tc>
          <w:tcPr>
            <w:tcW w:w="2400" w:type="dxa"/>
            <w:vAlign w:val="bottom"/>
            <w:tcBorders>
              <w:bottom w:val="single" w:sz="8" w:color="CCFFCC"/>
            </w:tcBorders>
            <w:shd w:val="clear" w:color="auto" w:fill="CCFFCC"/>
          </w:tcPr>
          <w:p>
            <w:pPr>
              <w:spacing w:after="0"/>
              <w:rPr>
                <w:sz w:val="13"/>
                <w:szCs w:val="13"/>
                <w:color w:val="auto"/>
              </w:rPr>
            </w:pPr>
          </w:p>
        </w:tc>
        <w:tc>
          <w:tcPr>
            <w:tcW w:w="700" w:type="dxa"/>
            <w:vAlign w:val="bottom"/>
            <w:tcBorders>
              <w:bottom w:val="single" w:sz="8" w:color="auto"/>
            </w:tcBorders>
            <w:shd w:val="clear" w:color="auto" w:fill="CCFFCC"/>
          </w:tcPr>
          <w:p>
            <w:pPr>
              <w:spacing w:after="0"/>
              <w:rPr>
                <w:sz w:val="13"/>
                <w:szCs w:val="13"/>
                <w:color w:val="auto"/>
              </w:rPr>
            </w:pPr>
          </w:p>
        </w:tc>
        <w:tc>
          <w:tcPr>
            <w:tcW w:w="220" w:type="dxa"/>
            <w:vAlign w:val="bottom"/>
            <w:tcBorders>
              <w:bottom w:val="single" w:sz="8" w:color="CCFFCC"/>
            </w:tcBorders>
            <w:shd w:val="clear" w:color="auto" w:fill="CCFFCC"/>
          </w:tcPr>
          <w:p>
            <w:pPr>
              <w:spacing w:after="0"/>
              <w:rPr>
                <w:sz w:val="13"/>
                <w:szCs w:val="13"/>
                <w:color w:val="auto"/>
              </w:rPr>
            </w:pPr>
          </w:p>
        </w:tc>
        <w:tc>
          <w:tcPr>
            <w:tcW w:w="680" w:type="dxa"/>
            <w:vAlign w:val="bottom"/>
            <w:tcBorders>
              <w:bottom w:val="single" w:sz="8" w:color="auto"/>
            </w:tcBorders>
            <w:shd w:val="clear" w:color="auto" w:fill="CCFFCC"/>
          </w:tcPr>
          <w:p>
            <w:pPr>
              <w:spacing w:after="0"/>
              <w:rPr>
                <w:sz w:val="13"/>
                <w:szCs w:val="13"/>
                <w:color w:val="auto"/>
              </w:rPr>
            </w:pPr>
          </w:p>
        </w:tc>
        <w:tc>
          <w:tcPr>
            <w:tcW w:w="220" w:type="dxa"/>
            <w:vAlign w:val="bottom"/>
            <w:tcBorders>
              <w:bottom w:val="single" w:sz="8" w:color="CCFFCC"/>
            </w:tcBorders>
            <w:shd w:val="clear" w:color="auto" w:fill="CCFFCC"/>
          </w:tcPr>
          <w:p>
            <w:pPr>
              <w:spacing w:after="0"/>
              <w:rPr>
                <w:sz w:val="13"/>
                <w:szCs w:val="13"/>
                <w:color w:val="auto"/>
              </w:rPr>
            </w:pPr>
          </w:p>
        </w:tc>
        <w:tc>
          <w:tcPr>
            <w:tcW w:w="680" w:type="dxa"/>
            <w:vAlign w:val="bottom"/>
            <w:tcBorders>
              <w:bottom w:val="single" w:sz="8" w:color="auto"/>
            </w:tcBorders>
            <w:shd w:val="clear" w:color="auto" w:fill="CCFFCC"/>
          </w:tcPr>
          <w:p>
            <w:pPr>
              <w:spacing w:after="0"/>
              <w:rPr>
                <w:sz w:val="13"/>
                <w:szCs w:val="13"/>
                <w:color w:val="auto"/>
              </w:rPr>
            </w:pPr>
          </w:p>
        </w:tc>
        <w:tc>
          <w:tcPr>
            <w:tcW w:w="200" w:type="dxa"/>
            <w:vAlign w:val="bottom"/>
            <w:tcBorders>
              <w:bottom w:val="single" w:sz="8" w:color="CCFFCC"/>
            </w:tcBorders>
            <w:shd w:val="clear" w:color="auto" w:fill="CCFFCC"/>
          </w:tcPr>
          <w:p>
            <w:pPr>
              <w:spacing w:after="0"/>
              <w:rPr>
                <w:sz w:val="13"/>
                <w:szCs w:val="13"/>
                <w:color w:val="auto"/>
              </w:rPr>
            </w:pPr>
          </w:p>
        </w:tc>
        <w:tc>
          <w:tcPr>
            <w:tcW w:w="160" w:type="dxa"/>
            <w:vAlign w:val="bottom"/>
            <w:tcBorders>
              <w:bottom w:val="single" w:sz="8" w:color="auto"/>
            </w:tcBorders>
            <w:shd w:val="clear" w:color="auto" w:fill="CCFFCC"/>
          </w:tcPr>
          <w:p>
            <w:pPr>
              <w:spacing w:after="0"/>
              <w:rPr>
                <w:sz w:val="13"/>
                <w:szCs w:val="13"/>
                <w:color w:val="auto"/>
              </w:rPr>
            </w:pPr>
          </w:p>
        </w:tc>
        <w:tc>
          <w:tcPr>
            <w:tcW w:w="520" w:type="dxa"/>
            <w:vAlign w:val="bottom"/>
            <w:tcBorders>
              <w:bottom w:val="single" w:sz="8" w:color="auto"/>
            </w:tcBorders>
            <w:shd w:val="clear" w:color="auto" w:fill="CCFFCC"/>
          </w:tcPr>
          <w:p>
            <w:pPr>
              <w:spacing w:after="0"/>
              <w:rPr>
                <w:sz w:val="13"/>
                <w:szCs w:val="13"/>
                <w:color w:val="auto"/>
              </w:rPr>
            </w:pPr>
          </w:p>
        </w:tc>
        <w:tc>
          <w:tcPr>
            <w:tcW w:w="260" w:type="dxa"/>
            <w:vAlign w:val="bottom"/>
            <w:tcBorders>
              <w:bottom w:val="single" w:sz="8" w:color="CCFFCC"/>
            </w:tcBorders>
            <w:shd w:val="clear" w:color="auto" w:fill="CCFFCC"/>
          </w:tcPr>
          <w:p>
            <w:pPr>
              <w:spacing w:after="0"/>
              <w:rPr>
                <w:sz w:val="13"/>
                <w:szCs w:val="13"/>
                <w:color w:val="auto"/>
              </w:rPr>
            </w:pPr>
          </w:p>
        </w:tc>
        <w:tc>
          <w:tcPr>
            <w:tcW w:w="680" w:type="dxa"/>
            <w:vAlign w:val="bottom"/>
            <w:tcBorders>
              <w:bottom w:val="single" w:sz="8" w:color="auto"/>
            </w:tcBorders>
            <w:shd w:val="clear" w:color="auto" w:fill="CCFFCC"/>
          </w:tcPr>
          <w:p>
            <w:pPr>
              <w:spacing w:after="0"/>
              <w:rPr>
                <w:sz w:val="13"/>
                <w:szCs w:val="13"/>
                <w:color w:val="auto"/>
              </w:rPr>
            </w:pPr>
          </w:p>
        </w:tc>
        <w:tc>
          <w:tcPr>
            <w:tcW w:w="260" w:type="dxa"/>
            <w:vAlign w:val="bottom"/>
            <w:tcBorders>
              <w:bottom w:val="single" w:sz="8" w:color="CCFFCC"/>
            </w:tcBorders>
            <w:shd w:val="clear" w:color="auto" w:fill="CCFFCC"/>
          </w:tcPr>
          <w:p>
            <w:pPr>
              <w:spacing w:after="0"/>
              <w:rPr>
                <w:sz w:val="13"/>
                <w:szCs w:val="13"/>
                <w:color w:val="auto"/>
              </w:rPr>
            </w:pPr>
          </w:p>
        </w:tc>
        <w:tc>
          <w:tcPr>
            <w:tcW w:w="660" w:type="dxa"/>
            <w:vAlign w:val="bottom"/>
            <w:tcBorders>
              <w:bottom w:val="single" w:sz="8" w:color="auto"/>
            </w:tcBorders>
            <w:shd w:val="clear" w:color="auto" w:fill="CCFFCC"/>
          </w:tcPr>
          <w:p>
            <w:pPr>
              <w:spacing w:after="0"/>
              <w:rPr>
                <w:sz w:val="13"/>
                <w:szCs w:val="13"/>
                <w:color w:val="auto"/>
              </w:rPr>
            </w:pPr>
          </w:p>
        </w:tc>
        <w:tc>
          <w:tcPr>
            <w:tcW w:w="220" w:type="dxa"/>
            <w:vAlign w:val="bottom"/>
            <w:tcBorders>
              <w:bottom w:val="single" w:sz="8" w:color="CCFFCC"/>
            </w:tcBorders>
            <w:shd w:val="clear" w:color="auto" w:fill="CCFFCC"/>
          </w:tcPr>
          <w:p>
            <w:pPr>
              <w:spacing w:after="0"/>
              <w:rPr>
                <w:sz w:val="13"/>
                <w:szCs w:val="13"/>
                <w:color w:val="auto"/>
              </w:rPr>
            </w:pPr>
          </w:p>
        </w:tc>
        <w:tc>
          <w:tcPr>
            <w:tcW w:w="680" w:type="dxa"/>
            <w:vAlign w:val="bottom"/>
            <w:tcBorders>
              <w:bottom w:val="single" w:sz="8" w:color="auto"/>
            </w:tcBorders>
            <w:shd w:val="clear" w:color="auto" w:fill="CCFFCC"/>
          </w:tcPr>
          <w:p>
            <w:pPr>
              <w:spacing w:after="0"/>
              <w:rPr>
                <w:sz w:val="13"/>
                <w:szCs w:val="13"/>
                <w:color w:val="auto"/>
              </w:rPr>
            </w:pPr>
          </w:p>
        </w:tc>
        <w:tc>
          <w:tcPr>
            <w:tcW w:w="80" w:type="dxa"/>
            <w:vAlign w:val="bottom"/>
            <w:tcBorders>
              <w:bottom w:val="single" w:sz="8" w:color="CCFFCC"/>
            </w:tcBorders>
            <w:shd w:val="clear" w:color="auto" w:fill="CCFFCC"/>
          </w:tcPr>
          <w:p>
            <w:pPr>
              <w:spacing w:after="0"/>
              <w:rPr>
                <w:sz w:val="13"/>
                <w:szCs w:val="13"/>
                <w:color w:val="auto"/>
              </w:rPr>
            </w:pPr>
          </w:p>
        </w:tc>
        <w:tc>
          <w:tcPr>
            <w:tcW w:w="140" w:type="dxa"/>
            <w:vAlign w:val="bottom"/>
            <w:tcBorders>
              <w:bottom w:val="single" w:sz="8" w:color="CCFFCC"/>
            </w:tcBorders>
            <w:shd w:val="clear" w:color="auto" w:fill="CCFFCC"/>
          </w:tcPr>
          <w:p>
            <w:pPr>
              <w:spacing w:after="0"/>
              <w:rPr>
                <w:sz w:val="13"/>
                <w:szCs w:val="13"/>
                <w:color w:val="auto"/>
              </w:rPr>
            </w:pPr>
          </w:p>
        </w:tc>
        <w:tc>
          <w:tcPr>
            <w:tcW w:w="660" w:type="dxa"/>
            <w:vAlign w:val="bottom"/>
            <w:tcBorders>
              <w:bottom w:val="single" w:sz="8" w:color="auto"/>
            </w:tcBorders>
            <w:shd w:val="clear" w:color="auto" w:fill="CCFFCC"/>
          </w:tcPr>
          <w:p>
            <w:pPr>
              <w:spacing w:after="0"/>
              <w:rPr>
                <w:sz w:val="13"/>
                <w:szCs w:val="13"/>
                <w:color w:val="auto"/>
              </w:rPr>
            </w:pPr>
          </w:p>
        </w:tc>
        <w:tc>
          <w:tcPr>
            <w:tcW w:w="220" w:type="dxa"/>
            <w:vAlign w:val="bottom"/>
            <w:tcBorders>
              <w:bottom w:val="single" w:sz="8" w:color="CCFFCC"/>
            </w:tcBorders>
            <w:shd w:val="clear" w:color="auto" w:fill="CCFFCC"/>
          </w:tcPr>
          <w:p>
            <w:pPr>
              <w:spacing w:after="0"/>
              <w:rPr>
                <w:sz w:val="13"/>
                <w:szCs w:val="13"/>
                <w:color w:val="auto"/>
              </w:rPr>
            </w:pPr>
          </w:p>
        </w:tc>
        <w:tc>
          <w:tcPr>
            <w:tcW w:w="680" w:type="dxa"/>
            <w:vAlign w:val="bottom"/>
            <w:tcBorders>
              <w:bottom w:val="single" w:sz="8" w:color="auto"/>
            </w:tcBorders>
            <w:shd w:val="clear" w:color="auto" w:fill="CCFFCC"/>
          </w:tcPr>
          <w:p>
            <w:pPr>
              <w:spacing w:after="0"/>
              <w:rPr>
                <w:sz w:val="13"/>
                <w:szCs w:val="13"/>
                <w:color w:val="auto"/>
              </w:rPr>
            </w:pPr>
          </w:p>
        </w:tc>
        <w:tc>
          <w:tcPr>
            <w:tcW w:w="260" w:type="dxa"/>
            <w:vAlign w:val="bottom"/>
            <w:tcBorders>
              <w:bottom w:val="single" w:sz="8" w:color="CCFFCC"/>
            </w:tcBorders>
            <w:shd w:val="clear" w:color="auto" w:fill="CCFFCC"/>
          </w:tcPr>
          <w:p>
            <w:pPr>
              <w:spacing w:after="0"/>
              <w:rPr>
                <w:sz w:val="13"/>
                <w:szCs w:val="13"/>
                <w:color w:val="auto"/>
              </w:rPr>
            </w:pPr>
          </w:p>
        </w:tc>
        <w:tc>
          <w:tcPr>
            <w:tcW w:w="680" w:type="dxa"/>
            <w:vAlign w:val="bottom"/>
            <w:tcBorders>
              <w:bottom w:val="single" w:sz="8" w:color="auto"/>
            </w:tcBorders>
            <w:shd w:val="clear" w:color="auto" w:fill="CCFFCC"/>
          </w:tcPr>
          <w:p>
            <w:pPr>
              <w:spacing w:after="0"/>
              <w:rPr>
                <w:sz w:val="13"/>
                <w:szCs w:val="13"/>
                <w:color w:val="auto"/>
              </w:rPr>
            </w:pPr>
          </w:p>
        </w:tc>
        <w:tc>
          <w:tcPr>
            <w:tcW w:w="140" w:type="dxa"/>
            <w:vAlign w:val="bottom"/>
            <w:tcBorders>
              <w:bottom w:val="single" w:sz="8" w:color="CCFFCC"/>
            </w:tcBorders>
            <w:shd w:val="clear" w:color="auto" w:fill="CCFFCC"/>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Consolidated total loans</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15,082.3</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14,288.9</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12,710.8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5.6%</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18.7%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8,566.3</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7,823.8</w:t>
            </w:r>
          </w:p>
        </w:tc>
        <w:tc>
          <w:tcPr>
            <w:tcW w:w="80" w:type="dxa"/>
            <w:vAlign w:val="bottom"/>
          </w:tcPr>
          <w:p>
            <w:pPr>
              <w:spacing w:after="0"/>
              <w:rPr>
                <w:sz w:val="12"/>
                <w:szCs w:val="12"/>
                <w:color w:val="auto"/>
              </w:rPr>
            </w:pP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6,690.1</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9.5%</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28.0%</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ind w:left="140" w:hanging="132"/>
        <w:spacing w:after="0"/>
        <w:tabs>
          <w:tab w:leader="none" w:pos="1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Monthly-end balance as of Dec. 09.</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(1) Average daily balance.</w:t>
      </w:r>
    </w:p>
    <w:p>
      <w:pPr>
        <w:spacing w:after="0" w:line="9" w:lineRule="exact"/>
        <w:rPr>
          <w:rFonts w:ascii="Arial" w:cs="Arial" w:eastAsia="Arial" w:hAnsi="Arial"/>
          <w:sz w:val="18"/>
          <w:szCs w:val="18"/>
          <w:i w:val="1"/>
          <w:iCs w:val="1"/>
          <w:color w:val="auto"/>
        </w:rPr>
      </w:pPr>
    </w:p>
    <w:p>
      <w:pPr>
        <w:ind w:left="180" w:right="7040" w:hanging="162"/>
        <w:spacing w:after="0" w:line="261" w:lineRule="auto"/>
        <w:rPr>
          <w:rFonts w:ascii="Arial" w:cs="Arial" w:eastAsia="Arial" w:hAnsi="Arial"/>
          <w:sz w:val="18"/>
          <w:szCs w:val="18"/>
          <w:i w:val="1"/>
          <w:iCs w:val="1"/>
          <w:color w:val="auto"/>
        </w:rPr>
      </w:pPr>
      <w:r>
        <w:rPr>
          <w:rFonts w:ascii="Arial" w:cs="Arial" w:eastAsia="Arial" w:hAnsi="Arial"/>
          <w:sz w:val="18"/>
          <w:szCs w:val="18"/>
          <w:i w:val="1"/>
          <w:iCs w:val="1"/>
          <w:color w:val="auto"/>
        </w:rPr>
        <w:t>(2) Includes Work Out Unit, other banking and BCP Bolivia. Source: BCP</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expansion in the FC portfolio is due to significant loan growth in Wholesale Banking portfolio. As we have already mentioned, this situation is attributable to a weak US dollar and lower interest rates on FC loans. The wholesale sector is better prepared to manage FC exposure thanks to the natural cover provided by the nature of its business (in terms of assets and income in FC) and the fact that professionals working in this area are well prepared to seek out adequate market coverage.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Loan growth in the local currency (LC) portfolio is primarily attributable to an increase in Retail loans, particularly to the SME-Business and Mortgage segments, which grew 32.2% and 30.3% YoY,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Edyficar’s portfolio, which is still concentrated in local currency, grew 11.1% QoQ inn 4Q10 versus 8.0% in 3Q10.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169545</wp:posOffset>
            </wp:positionV>
            <wp:extent cx="4090670" cy="14236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90670"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end of November, BCP continued to be the market leader with a 31.5% market share, which is more than 10 percentage points above its closest competitor. This not only makes BCP the best positioned bank but also shows the growth in market share experimented in all segments. In this context, Corporate Banking and Middle-Market Banking boasted market shares of 47% and 33% respectively, which tops the figures obtained at the end of September 2010. Within Retail Banking, a slight increase is apparent in each of the segments and products. We would also like to point out the mortgage segment’s share has topped 34% consistently throughout the year.</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Dollarization</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FC portfolio’s participation in the total portfolio increased QoQ and YoY to total 61.8% at the end of 2010. This rise is closely tied to significant yearly expansion in the Wholesale Banking Portfolio, whose loans are mostly FC-denominated.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134620</wp:posOffset>
            </wp:positionV>
            <wp:extent cx="3138805" cy="1783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38805"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II.2 Deposits and Mutual Funds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Deposits grew 9.1% QoQ and 18.0% YoY and continue to be BCP’s primary funding source. Market recovery and our clients’ desire for higher yields generated a significant increase of 8.1% QoQ and 13.3% YoY in mutual funds.</w:t>
      </w:r>
    </w:p>
    <w:p>
      <w:pPr>
        <w:spacing w:after="0" w:line="193"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w w:val="98"/>
              </w:rPr>
              <w:t>Change %</w:t>
            </w: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8"/>
                <w:szCs w:val="18"/>
                <w:color w:val="auto"/>
              </w:rPr>
            </w:pPr>
          </w:p>
        </w:tc>
        <w:tc>
          <w:tcPr>
            <w:tcW w:w="1320" w:type="dxa"/>
            <w:vAlign w:val="bottom"/>
            <w:gridSpan w:val="2"/>
          </w:tcPr>
          <w:p>
            <w:pPr>
              <w:ind w:left="340"/>
              <w:spacing w:after="0"/>
              <w:rPr>
                <w:sz w:val="20"/>
                <w:szCs w:val="20"/>
                <w:color w:val="auto"/>
              </w:rPr>
            </w:pPr>
            <w:r>
              <w:rPr>
                <w:rFonts w:ascii="Arial" w:cs="Arial" w:eastAsia="Arial" w:hAnsi="Arial"/>
                <w:sz w:val="18"/>
                <w:szCs w:val="18"/>
                <w:b w:val="1"/>
                <w:bCs w:val="1"/>
                <w:color w:val="auto"/>
              </w:rPr>
              <w:t>4Q10</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3Q10</w:t>
            </w: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4Q09</w:t>
            </w:r>
          </w:p>
        </w:tc>
        <w:tc>
          <w:tcPr>
            <w:tcW w:w="220" w:type="dxa"/>
            <w:vAlign w:val="bottom"/>
          </w:tcPr>
          <w:p>
            <w:pPr>
              <w:spacing w:after="0"/>
              <w:rPr>
                <w:sz w:val="18"/>
                <w:szCs w:val="18"/>
                <w:color w:val="auto"/>
              </w:rPr>
            </w:pPr>
          </w:p>
        </w:tc>
        <w:tc>
          <w:tcPr>
            <w:tcW w:w="1700" w:type="dxa"/>
            <w:vAlign w:val="bottom"/>
            <w:gridSpan w:val="3"/>
          </w:tcPr>
          <w:p>
            <w:pPr>
              <w:ind w:left="360"/>
              <w:spacing w:after="0"/>
              <w:rPr>
                <w:sz w:val="20"/>
                <w:szCs w:val="20"/>
                <w:color w:val="auto"/>
              </w:rPr>
            </w:pPr>
            <w:r>
              <w:rPr>
                <w:rFonts w:ascii="Arial" w:cs="Arial" w:eastAsia="Arial" w:hAnsi="Arial"/>
                <w:sz w:val="18"/>
                <w:szCs w:val="18"/>
                <w:b w:val="1"/>
                <w:bCs w:val="1"/>
                <w:color w:val="auto"/>
              </w:rPr>
              <w:t>QoQ</w:t>
            </w:r>
          </w:p>
        </w:tc>
        <w:tc>
          <w:tcPr>
            <w:tcW w:w="780" w:type="dxa"/>
            <w:vAlign w:val="bottom"/>
          </w:tcPr>
          <w:p>
            <w:pPr>
              <w:ind w:left="6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 deposits</w:t>
            </w:r>
          </w:p>
        </w:tc>
        <w:tc>
          <w:tcPr>
            <w:tcW w:w="1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4,203,023</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3,918,653</w:t>
            </w: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3,261,009</w:t>
            </w:r>
          </w:p>
        </w:tc>
        <w:tc>
          <w:tcPr>
            <w:tcW w:w="22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Demand deposits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1,394,651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1,338,403</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1,179,634</w:t>
            </w: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4,244,940</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3,953,997</w:t>
            </w: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3,539,917</w:t>
            </w:r>
          </w:p>
        </w:tc>
        <w:tc>
          <w:tcPr>
            <w:tcW w:w="22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Time deposits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5,872,455</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5,267,355</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5,361,410</w:t>
            </w: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1,313,122</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1,127,933</w:t>
            </w: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1,069,267</w:t>
            </w:r>
          </w:p>
        </w:tc>
        <w:tc>
          <w:tcPr>
            <w:tcW w:w="22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16.4%</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payable</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41,627</w:t>
            </w: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36,026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54,572</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customer deposits</w:t>
            </w:r>
          </w:p>
        </w:tc>
        <w:tc>
          <w:tcPr>
            <w:tcW w:w="1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17,069,818</w:t>
            </w:r>
          </w:p>
        </w:tc>
        <w:tc>
          <w:tcPr>
            <w:tcW w:w="2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15,642,367</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14,465,809</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9.1%</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Mutual funds in Perú</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2,369,634</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2,164,067</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2,042,159</w:t>
            </w: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3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Mutual funds in Bolivia</w:t>
            </w:r>
          </w:p>
        </w:tc>
        <w:tc>
          <w:tcPr>
            <w:tcW w:w="1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102,586</w:t>
            </w:r>
          </w:p>
        </w:tc>
        <w:tc>
          <w:tcPr>
            <w:tcW w:w="2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123,312</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139,709</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-16.8%</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Total customer funds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19,542,038</w:t>
            </w: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17,929,746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16,647,677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9.0%</w:t>
            </w: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we look at deposit evolution by deposit type, growth in 4Q was led by time deposits (+11.5%) given that corporate clients in the Wholesale Banking segment maintained higher FC balances. Additionally, an increase was reported in savings deposits (+7.4%) and CTS accounts (+16.4%) mainly from deposits captured by Retail Banking as a result of intensive campaigns. Demand deposits increased 4.2% QoQ, led by Middle-Market Banking clients.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funding sources at BCP that reported significant increase were due to banks and correspondents (+14.6% TaT), which is attributable to a syndicated loan that was taken out in the month of October to maintain the matching of assets and liabilities especially in the FC portfolio where there is a relative shortage due to BCRP’s legal reserves requirements and a higher level of deposit de-dollarization.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evolution in funding sources represents BCP’s strong capacity to capture funds, which helps us ensure future portfolio growth and maintain market leadership. The aforementioned went hand-in-hand with a funding cost of 2.10%, which is similar to the 2.11% obtained in 3Q10, but does reflect increased funding cost of 2H10 given the stronger growth of more expensive funding sources, compared to the 1H10.</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BCP’s mutual funds reported significant 8.1% growth in the last quarter. This improvement is mainly attributable to growth in Credifondo’s funds under management (+9.5% QoQ), which is in turn due the positive evolution of international markets and the fact that the Peruvian economy remains dynamic. An additional factor in this success is linked to the constant sales campaigns undertaken by this segment. Credifondo continues to be market leader in terms of the volume managed and the number of affiliates, which reported 42.4% and 33.1%,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144780</wp:posOffset>
            </wp:positionV>
            <wp:extent cx="2727325" cy="2066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27325"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 in Deposits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December, BCP continued to lead the market for deposits with a 34.4% share, topping 3Q10's figure (34.1%) while outpacing the closest competitor by 14 percentage points. It is important to note the increase in the market share for FC deposits, which went from 35.6% in September to 37.4% at year-end. This last factor was due primarily to higher balances in FC time deposits in the Wholesale Banking segment.</w:t>
      </w:r>
    </w:p>
    <w:p>
      <w:pPr>
        <w:spacing w:after="0" w:line="20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Market share by type of deposit and currency</w:t>
      </w:r>
    </w:p>
    <w:p>
      <w:pPr>
        <w:spacing w:after="0" w:line="27" w:lineRule="exact"/>
        <w:rPr>
          <w:sz w:val="20"/>
          <w:szCs w:val="20"/>
          <w:color w:val="auto"/>
        </w:rPr>
      </w:pPr>
    </w:p>
    <w:tbl>
      <w:tblPr>
        <w:tblLayout w:type="fixed"/>
        <w:tblInd w:w="1160" w:type="dxa"/>
        <w:tblCellMar>
          <w:top w:w="0" w:type="dxa"/>
          <w:left w:w="0" w:type="dxa"/>
          <w:bottom w:w="0" w:type="dxa"/>
          <w:right w:w="0" w:type="dxa"/>
        </w:tblCellMar>
      </w:tblPr>
      <w:tr>
        <w:trPr>
          <w:trHeight w:val="209"/>
        </w:trPr>
        <w:tc>
          <w:tcPr>
            <w:tcW w:w="36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color w:val="auto"/>
              </w:rPr>
              <w:t>Demand</w:t>
            </w:r>
          </w:p>
        </w:tc>
        <w:tc>
          <w:tcPr>
            <w:tcW w:w="14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0"/>
              </w:rPr>
              <w:t>Saving</w:t>
            </w:r>
          </w:p>
        </w:tc>
        <w:tc>
          <w:tcPr>
            <w:tcW w:w="14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4"/>
              </w:rPr>
              <w:t>Time</w:t>
            </w:r>
          </w:p>
        </w:tc>
        <w:tc>
          <w:tcPr>
            <w:tcW w:w="116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Severance</w:t>
            </w:r>
          </w:p>
        </w:tc>
        <w:tc>
          <w:tcPr>
            <w:tcW w:w="160" w:type="dxa"/>
            <w:vAlign w:val="bottom"/>
          </w:tcPr>
          <w:p>
            <w:pPr>
              <w:spacing w:after="0"/>
              <w:rPr>
                <w:sz w:val="18"/>
                <w:szCs w:val="18"/>
                <w:color w:val="auto"/>
              </w:rPr>
            </w:pPr>
          </w:p>
        </w:tc>
      </w:tr>
      <w:tr>
        <w:trPr>
          <w:trHeight w:val="237"/>
        </w:trPr>
        <w:tc>
          <w:tcPr>
            <w:tcW w:w="3600" w:type="dxa"/>
            <w:vAlign w:val="bottom"/>
          </w:tcPr>
          <w:p>
            <w:pPr>
              <w:spacing w:after="0"/>
              <w:rPr>
                <w:sz w:val="20"/>
                <w:szCs w:val="20"/>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deposits</w:t>
            </w:r>
          </w:p>
        </w:tc>
        <w:tc>
          <w:tcPr>
            <w:tcW w:w="26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deposits</w:t>
            </w:r>
          </w:p>
        </w:tc>
        <w:tc>
          <w:tcPr>
            <w:tcW w:w="24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deposits</w:t>
            </w:r>
          </w:p>
        </w:tc>
        <w:tc>
          <w:tcPr>
            <w:tcW w:w="240" w:type="dxa"/>
            <w:vAlign w:val="bottom"/>
          </w:tcPr>
          <w:p>
            <w:pPr>
              <w:spacing w:after="0"/>
              <w:rPr>
                <w:sz w:val="20"/>
                <w:szCs w:val="20"/>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indemnity</w:t>
            </w:r>
          </w:p>
        </w:tc>
        <w:tc>
          <w:tcPr>
            <w:tcW w:w="160" w:type="dxa"/>
            <w:vAlign w:val="bottom"/>
          </w:tcPr>
          <w:p>
            <w:pPr>
              <w:spacing w:after="0"/>
              <w:rPr>
                <w:sz w:val="20"/>
                <w:szCs w:val="20"/>
                <w:color w:val="auto"/>
              </w:rPr>
            </w:pPr>
          </w:p>
        </w:tc>
      </w:tr>
      <w:tr>
        <w:trPr>
          <w:trHeight w:val="216"/>
        </w:trPr>
        <w:tc>
          <w:tcPr>
            <w:tcW w:w="3600" w:type="dxa"/>
            <w:vAlign w:val="bottom"/>
            <w:shd w:val="clear" w:color="auto" w:fill="CCFFCC"/>
          </w:tcPr>
          <w:p>
            <w:pPr>
              <w:ind w:left="1620"/>
              <w:spacing w:after="0"/>
              <w:rPr>
                <w:sz w:val="20"/>
                <w:szCs w:val="20"/>
                <w:color w:val="auto"/>
              </w:rPr>
            </w:pPr>
            <w:r>
              <w:rPr>
                <w:rFonts w:ascii="Arial" w:cs="Arial" w:eastAsia="Arial" w:hAnsi="Arial"/>
                <w:sz w:val="18"/>
                <w:szCs w:val="18"/>
                <w:b w:val="1"/>
                <w:bCs w:val="1"/>
                <w:color w:val="auto"/>
              </w:rPr>
              <w:t>LC</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38.9%</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36.9%</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27.0%</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39.5%</w:t>
            </w:r>
          </w:p>
        </w:tc>
      </w:tr>
      <w:tr>
        <w:trPr>
          <w:trHeight w:val="218"/>
        </w:trPr>
        <w:tc>
          <w:tcPr>
            <w:tcW w:w="3600" w:type="dxa"/>
            <w:vAlign w:val="bottom"/>
          </w:tcPr>
          <w:p>
            <w:pPr>
              <w:ind w:left="1640"/>
              <w:spacing w:after="0"/>
              <w:rPr>
                <w:sz w:val="20"/>
                <w:szCs w:val="20"/>
                <w:color w:val="auto"/>
              </w:rPr>
            </w:pPr>
            <w:r>
              <w:rPr>
                <w:rFonts w:ascii="Arial" w:cs="Arial" w:eastAsia="Arial" w:hAnsi="Arial"/>
                <w:sz w:val="18"/>
                <w:szCs w:val="18"/>
                <w:b w:val="1"/>
                <w:bCs w:val="1"/>
                <w:color w:val="auto"/>
              </w:rPr>
              <w:t>FC</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55.5%</w:t>
            </w:r>
          </w:p>
        </w:tc>
      </w:tr>
    </w:tbl>
    <w:p>
      <w:pPr>
        <w:ind w:left="1140"/>
        <w:spacing w:after="0"/>
        <w:rPr>
          <w:sz w:val="20"/>
          <w:szCs w:val="20"/>
          <w:color w:val="auto"/>
        </w:rPr>
      </w:pPr>
      <w:r>
        <w:rPr>
          <w:rFonts w:ascii="Arial" w:cs="Arial" w:eastAsia="Arial" w:hAnsi="Arial"/>
          <w:sz w:val="18"/>
          <w:szCs w:val="18"/>
          <w:i w:val="1"/>
          <w:iCs w:val="1"/>
          <w:color w:val="auto"/>
        </w:rPr>
        <w:t>LC: Local Currency</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FC: Foreign Currency</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 continues to hold a solid lead in all products in both LC and FC deposits. This quarter the highest increases in market shares for deposits were reported for FC time deposits (28.5% in 3Q10) and local currency CTS deposits (37.9% in 3Q10).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end of 4Q10, a slight increase in the percentage of FC deposits was evident. A YoY analysis shows that deposits have undergone significant de-dollarization- reflected in the percentage of LC deposits, which increased from 37.9% to 47.5% at the end of 2010. This is due to the fact that confidence in the local currency has risen especially considered that domestic currency appreciated 2.8% against the US dollar in 2010.</w:t>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2352675</wp:posOffset>
            </wp:positionH>
            <wp:positionV relativeFrom="page">
              <wp:posOffset>337820</wp:posOffset>
            </wp:positionV>
            <wp:extent cx="5051425" cy="21526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51425"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II.3 Net Interest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NII grew 5.1% QoQ while the interest-earning assets portfolio expanded 11.7%, which caused NIM to drop from 4.8% to 4.5%.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ind w:left="680"/>
              <w:spacing w:after="0"/>
              <w:rPr>
                <w:sz w:val="20"/>
                <w:szCs w:val="20"/>
                <w:color w:val="auto"/>
              </w:rPr>
            </w:pPr>
            <w:r>
              <w:rPr>
                <w:rFonts w:ascii="Arial" w:cs="Arial" w:eastAsia="Arial" w:hAnsi="Arial"/>
                <w:sz w:val="14"/>
                <w:szCs w:val="14"/>
                <w:b w:val="1"/>
                <w:bCs w:val="1"/>
                <w:color w:val="auto"/>
              </w:rPr>
              <w:t>Change %</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Year to date</w:t>
            </w: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Change %</w:t>
            </w:r>
          </w:p>
        </w:tc>
        <w:tc>
          <w:tcPr>
            <w:tcW w:w="0" w:type="dxa"/>
            <w:vAlign w:val="bottom"/>
          </w:tcPr>
          <w:p>
            <w:pPr>
              <w:spacing w:after="0"/>
              <w:rPr>
                <w:sz w:val="1"/>
                <w:szCs w:val="1"/>
                <w:color w:val="auto"/>
              </w:rPr>
            </w:pPr>
          </w:p>
        </w:tc>
      </w:tr>
      <w:tr>
        <w:trPr>
          <w:trHeight w:val="149"/>
        </w:trPr>
        <w:tc>
          <w:tcPr>
            <w:tcW w:w="212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US$ 000</w:t>
            </w:r>
          </w:p>
        </w:tc>
        <w:tc>
          <w:tcPr>
            <w:tcW w:w="12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4Q10</w:t>
            </w:r>
          </w:p>
        </w:tc>
        <w:tc>
          <w:tcPr>
            <w:tcW w:w="1160" w:type="dxa"/>
            <w:vAlign w:val="bottom"/>
            <w:tcBorders>
              <w:top w:val="single" w:sz="8" w:color="auto"/>
            </w:tcBorders>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3Q10</w:t>
            </w:r>
          </w:p>
        </w:tc>
        <w:tc>
          <w:tcPr>
            <w:tcW w:w="880" w:type="dxa"/>
            <w:vAlign w:val="bottom"/>
            <w:tcBorders>
              <w:top w:val="single" w:sz="8" w:color="auto"/>
            </w:tcBorders>
          </w:tcPr>
          <w:p>
            <w:pPr>
              <w:jc w:val="right"/>
              <w:ind w:right="208"/>
              <w:spacing w:after="0" w:line="149" w:lineRule="exact"/>
              <w:rPr>
                <w:sz w:val="20"/>
                <w:szCs w:val="20"/>
                <w:color w:val="auto"/>
              </w:rPr>
            </w:pPr>
            <w:r>
              <w:rPr>
                <w:rFonts w:ascii="Arial" w:cs="Arial" w:eastAsia="Arial" w:hAnsi="Arial"/>
                <w:sz w:val="14"/>
                <w:szCs w:val="14"/>
                <w:b w:val="1"/>
                <w:bCs w:val="1"/>
                <w:color w:val="auto"/>
              </w:rPr>
              <w:t>4Q09</w:t>
            </w:r>
          </w:p>
        </w:tc>
        <w:tc>
          <w:tcPr>
            <w:tcW w:w="260" w:type="dxa"/>
            <w:vAlign w:val="bottom"/>
          </w:tcPr>
          <w:p>
            <w:pPr>
              <w:spacing w:after="0"/>
              <w:rPr>
                <w:sz w:val="12"/>
                <w:szCs w:val="12"/>
                <w:color w:val="auto"/>
              </w:rPr>
            </w:pPr>
          </w:p>
        </w:tc>
        <w:tc>
          <w:tcPr>
            <w:tcW w:w="1380" w:type="dxa"/>
            <w:vAlign w:val="bottom"/>
            <w:tcBorders>
              <w:top w:val="single" w:sz="8" w:color="auto"/>
            </w:tcBorders>
            <w:gridSpan w:val="3"/>
          </w:tcPr>
          <w:p>
            <w:pPr>
              <w:ind w:left="300"/>
              <w:spacing w:after="0" w:line="149" w:lineRule="exact"/>
              <w:rPr>
                <w:sz w:val="20"/>
                <w:szCs w:val="20"/>
                <w:color w:val="auto"/>
              </w:rPr>
            </w:pPr>
            <w:r>
              <w:rPr>
                <w:rFonts w:ascii="Arial" w:cs="Arial" w:eastAsia="Arial" w:hAnsi="Arial"/>
                <w:sz w:val="14"/>
                <w:szCs w:val="14"/>
                <w:b w:val="1"/>
                <w:bCs w:val="1"/>
                <w:color w:val="auto"/>
              </w:rPr>
              <w:t>QoQ</w:t>
            </w:r>
          </w:p>
        </w:tc>
        <w:tc>
          <w:tcPr>
            <w:tcW w:w="640" w:type="dxa"/>
            <w:vAlign w:val="bottom"/>
            <w:tcBorders>
              <w:top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YoY</w:t>
            </w:r>
          </w:p>
        </w:tc>
        <w:tc>
          <w:tcPr>
            <w:tcW w:w="240" w:type="dxa"/>
            <w:vAlign w:val="bottom"/>
          </w:tcPr>
          <w:p>
            <w:pPr>
              <w:spacing w:after="0"/>
              <w:rPr>
                <w:sz w:val="12"/>
                <w:szCs w:val="12"/>
                <w:color w:val="auto"/>
              </w:rPr>
            </w:pPr>
          </w:p>
        </w:tc>
        <w:tc>
          <w:tcPr>
            <w:tcW w:w="1180" w:type="dxa"/>
            <w:vAlign w:val="bottom"/>
            <w:tcBorders>
              <w:top w:val="single" w:sz="8" w:color="auto"/>
            </w:tcBorders>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Dec. 10</w:t>
            </w:r>
          </w:p>
        </w:tc>
        <w:tc>
          <w:tcPr>
            <w:tcW w:w="900" w:type="dxa"/>
            <w:vAlign w:val="bottom"/>
            <w:tcBorders>
              <w:top w:val="single" w:sz="8" w:color="auto"/>
            </w:tcBorders>
          </w:tcPr>
          <w:p>
            <w:pPr>
              <w:jc w:val="right"/>
              <w:ind w:right="168"/>
              <w:spacing w:after="0" w:line="149" w:lineRule="exact"/>
              <w:rPr>
                <w:sz w:val="20"/>
                <w:szCs w:val="20"/>
                <w:color w:val="auto"/>
              </w:rPr>
            </w:pPr>
            <w:r>
              <w:rPr>
                <w:rFonts w:ascii="Arial" w:cs="Arial" w:eastAsia="Arial" w:hAnsi="Arial"/>
                <w:sz w:val="14"/>
                <w:szCs w:val="14"/>
                <w:b w:val="1"/>
                <w:bCs w:val="1"/>
                <w:color w:val="auto"/>
              </w:rPr>
              <w:t>Dec. 09</w:t>
            </w:r>
          </w:p>
        </w:tc>
        <w:tc>
          <w:tcPr>
            <w:tcW w:w="26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Dec. 10 / Dec. 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income</w:t>
            </w: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368,460</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345,937</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301,319</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6.5%</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22.3%</w:t>
            </w:r>
          </w:p>
        </w:tc>
        <w:tc>
          <w:tcPr>
            <w:tcW w:w="118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1,331,867</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1,204,914</w:t>
            </w:r>
          </w:p>
        </w:tc>
        <w:tc>
          <w:tcPr>
            <w:tcW w:w="260" w:type="dxa"/>
            <w:vAlign w:val="bottom"/>
            <w:tcBorders>
              <w:right w:val="single" w:sz="8" w:color="CCFFCC"/>
            </w:tcBorders>
            <w:shd w:val="clear" w:color="auto" w:fill="CCFFCC"/>
          </w:tcPr>
          <w:p>
            <w:pPr>
              <w:spacing w:after="0"/>
              <w:rPr>
                <w:sz w:val="12"/>
                <w:szCs w:val="12"/>
                <w:color w:val="auto"/>
              </w:rPr>
            </w:pPr>
          </w:p>
        </w:tc>
        <w:tc>
          <w:tcPr>
            <w:tcW w:w="11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ind w:left="160"/>
              <w:spacing w:after="0" w:line="149" w:lineRule="exact"/>
              <w:rPr>
                <w:sz w:val="20"/>
                <w:szCs w:val="20"/>
                <w:color w:val="auto"/>
              </w:rPr>
            </w:pPr>
            <w:r>
              <w:rPr>
                <w:rFonts w:ascii="Arial" w:cs="Arial" w:eastAsia="Arial" w:hAnsi="Arial"/>
                <w:sz w:val="14"/>
                <w:szCs w:val="14"/>
                <w:color w:val="auto"/>
              </w:rPr>
              <w:t>Interest on loans</w:t>
            </w:r>
          </w:p>
        </w:tc>
        <w:tc>
          <w:tcPr>
            <w:tcW w:w="12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330,701</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309,818</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274,340</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w:t>
            </w:r>
          </w:p>
        </w:tc>
        <w:tc>
          <w:tcPr>
            <w:tcW w:w="2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20.5%</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1,214,987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1,057,384</w:t>
            </w:r>
          </w:p>
        </w:tc>
        <w:tc>
          <w:tcPr>
            <w:tcW w:w="260" w:type="dxa"/>
            <w:vAlign w:val="bottom"/>
          </w:tcPr>
          <w:p>
            <w:pPr>
              <w:spacing w:after="0"/>
              <w:rPr>
                <w:sz w:val="12"/>
                <w:szCs w:val="12"/>
                <w:color w:val="auto"/>
              </w:rPr>
            </w:pPr>
          </w:p>
        </w:tc>
        <w:tc>
          <w:tcPr>
            <w:tcW w:w="1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0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Interest and dividends on</w:t>
            </w:r>
          </w:p>
        </w:tc>
        <w:tc>
          <w:tcPr>
            <w:tcW w:w="12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tcBorders>
              <w:right w:val="single" w:sz="8" w:color="CCFFCC"/>
            </w:tcBorders>
            <w:shd w:val="clear" w:color="auto" w:fill="CCFFCC"/>
          </w:tcPr>
          <w:p>
            <w:pPr>
              <w:spacing w:after="0"/>
              <w:rPr>
                <w:sz w:val="11"/>
                <w:szCs w:val="11"/>
                <w:color w:val="auto"/>
              </w:rPr>
            </w:pPr>
          </w:p>
        </w:tc>
        <w:tc>
          <w:tcPr>
            <w:tcW w:w="10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FFCC"/>
          </w:tcPr>
          <w:p>
            <w:pPr>
              <w:ind w:left="160"/>
              <w:spacing w:after="0"/>
              <w:rPr>
                <w:sz w:val="20"/>
                <w:szCs w:val="20"/>
                <w:color w:val="auto"/>
              </w:rPr>
            </w:pPr>
            <w:r>
              <w:rPr>
                <w:rFonts w:ascii="Arial" w:cs="Arial" w:eastAsia="Arial" w:hAnsi="Arial"/>
                <w:sz w:val="14"/>
                <w:szCs w:val="14"/>
                <w:color w:val="auto"/>
              </w:rPr>
              <w:t>investments</w:t>
            </w:r>
          </w:p>
        </w:tc>
        <w:tc>
          <w:tcPr>
            <w:tcW w:w="1260" w:type="dxa"/>
            <w:vAlign w:val="bottom"/>
            <w:gridSpan w:val="3"/>
            <w:shd w:val="clear" w:color="auto" w:fill="CCFFCC"/>
          </w:tcPr>
          <w:p>
            <w:pPr>
              <w:jc w:val="right"/>
              <w:ind w:right="260"/>
              <w:spacing w:after="0"/>
              <w:rPr>
                <w:sz w:val="20"/>
                <w:szCs w:val="20"/>
                <w:color w:val="auto"/>
              </w:rPr>
            </w:pPr>
            <w:r>
              <w:rPr>
                <w:rFonts w:ascii="Arial" w:cs="Arial" w:eastAsia="Arial" w:hAnsi="Arial"/>
                <w:sz w:val="14"/>
                <w:szCs w:val="14"/>
                <w:color w:val="auto"/>
              </w:rPr>
              <w:t>59</w:t>
            </w:r>
          </w:p>
        </w:tc>
        <w:tc>
          <w:tcPr>
            <w:tcW w:w="1160" w:type="dxa"/>
            <w:vAlign w:val="bottom"/>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33</w:t>
            </w: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43</w:t>
            </w:r>
          </w:p>
        </w:tc>
        <w:tc>
          <w:tcPr>
            <w:tcW w:w="260" w:type="dxa"/>
            <w:vAlign w:val="bottom"/>
            <w:shd w:val="clear" w:color="auto" w:fill="CCFFCC"/>
          </w:tcPr>
          <w:p>
            <w:pPr>
              <w:spacing w:after="0"/>
              <w:rPr>
                <w:sz w:val="14"/>
                <w:szCs w:val="14"/>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78.8%</w:t>
            </w:r>
          </w:p>
        </w:tc>
        <w:tc>
          <w:tcPr>
            <w:tcW w:w="24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37.2%</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3,591</w:t>
            </w:r>
          </w:p>
        </w:tc>
        <w:tc>
          <w:tcPr>
            <w:tcW w:w="1160" w:type="dxa"/>
            <w:vAlign w:val="bottom"/>
            <w:tcBorders>
              <w:right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3,131</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ind w:left="160"/>
              <w:spacing w:after="0" w:line="149" w:lineRule="exact"/>
              <w:rPr>
                <w:sz w:val="20"/>
                <w:szCs w:val="20"/>
                <w:color w:val="auto"/>
              </w:rPr>
            </w:pPr>
            <w:r>
              <w:rPr>
                <w:rFonts w:ascii="Arial" w:cs="Arial" w:eastAsia="Arial" w:hAnsi="Arial"/>
                <w:sz w:val="14"/>
                <w:szCs w:val="14"/>
                <w:color w:val="auto"/>
                <w:w w:val="99"/>
              </w:rPr>
              <w:t>Interest on deposits with banks</w:t>
            </w:r>
          </w:p>
        </w:tc>
        <w:tc>
          <w:tcPr>
            <w:tcW w:w="12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26,823</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1,643</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2,327</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1532.6%</w:t>
            </w:r>
          </w:p>
        </w:tc>
        <w:tc>
          <w:tcPr>
            <w:tcW w:w="2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1052.7%</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31,881</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13,775</w:t>
            </w:r>
          </w:p>
        </w:tc>
        <w:tc>
          <w:tcPr>
            <w:tcW w:w="1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on trading securities</w:t>
            </w:r>
          </w:p>
        </w:tc>
        <w:tc>
          <w:tcPr>
            <w:tcW w:w="126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12,431</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21,035</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22,008</w:t>
            </w: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-40.9%</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-43.5%</w:t>
            </w:r>
          </w:p>
        </w:tc>
        <w:tc>
          <w:tcPr>
            <w:tcW w:w="118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72,815</w:t>
            </w:r>
          </w:p>
        </w:tc>
        <w:tc>
          <w:tcPr>
            <w:tcW w:w="116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109,723</w:t>
            </w:r>
          </w:p>
        </w:tc>
        <w:tc>
          <w:tcPr>
            <w:tcW w:w="11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ind w:left="160"/>
              <w:spacing w:after="0" w:line="149" w:lineRule="exact"/>
              <w:rPr>
                <w:sz w:val="20"/>
                <w:szCs w:val="20"/>
                <w:color w:val="auto"/>
              </w:rPr>
            </w:pPr>
            <w:r>
              <w:rPr>
                <w:rFonts w:ascii="Arial" w:cs="Arial" w:eastAsia="Arial" w:hAnsi="Arial"/>
                <w:sz w:val="14"/>
                <w:szCs w:val="14"/>
                <w:color w:val="auto"/>
              </w:rPr>
              <w:t>Other interest income</w:t>
            </w: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(1,554)</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13,408</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2,601</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-111.6%</w:t>
            </w:r>
          </w:p>
        </w:tc>
        <w:tc>
          <w:tcPr>
            <w:tcW w:w="2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-159.7%</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8,593</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20,901</w:t>
            </w:r>
          </w:p>
        </w:tc>
        <w:tc>
          <w:tcPr>
            <w:tcW w:w="1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26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113,927</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103,663</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90,086</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9.9%</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26.5%</w:t>
            </w:r>
          </w:p>
        </w:tc>
        <w:tc>
          <w:tcPr>
            <w:tcW w:w="118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387,233</w:t>
            </w:r>
          </w:p>
        </w:tc>
        <w:tc>
          <w:tcPr>
            <w:tcW w:w="116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406,697</w:t>
            </w:r>
          </w:p>
        </w:tc>
        <w:tc>
          <w:tcPr>
            <w:tcW w:w="11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ind w:left="160"/>
              <w:spacing w:after="0" w:line="149" w:lineRule="exact"/>
              <w:rPr>
                <w:sz w:val="20"/>
                <w:szCs w:val="20"/>
                <w:color w:val="auto"/>
              </w:rPr>
            </w:pPr>
            <w:r>
              <w:rPr>
                <w:rFonts w:ascii="Arial" w:cs="Arial" w:eastAsia="Arial" w:hAnsi="Arial"/>
                <w:sz w:val="14"/>
                <w:szCs w:val="14"/>
                <w:color w:val="auto"/>
              </w:rPr>
              <w:t>Interest on deposits</w:t>
            </w:r>
          </w:p>
        </w:tc>
        <w:tc>
          <w:tcPr>
            <w:tcW w:w="12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40,152</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36,706</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49,258</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9.4%</w:t>
            </w:r>
          </w:p>
        </w:tc>
        <w:tc>
          <w:tcPr>
            <w:tcW w:w="2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-18.5%</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120,128</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269,361</w:t>
            </w:r>
          </w:p>
        </w:tc>
        <w:tc>
          <w:tcPr>
            <w:tcW w:w="1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on borrowed funds</w:t>
            </w:r>
          </w:p>
        </w:tc>
        <w:tc>
          <w:tcPr>
            <w:tcW w:w="126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48,953</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40,430</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6,681</w:t>
            </w: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21.1%</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632.7%</w:t>
            </w:r>
          </w:p>
        </w:tc>
        <w:tc>
          <w:tcPr>
            <w:tcW w:w="118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130,013</w:t>
            </w:r>
          </w:p>
        </w:tc>
        <w:tc>
          <w:tcPr>
            <w:tcW w:w="116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27,925</w:t>
            </w:r>
          </w:p>
        </w:tc>
        <w:tc>
          <w:tcPr>
            <w:tcW w:w="11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365.6%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00" w:type="dxa"/>
            <w:vAlign w:val="bottom"/>
          </w:tcPr>
          <w:p>
            <w:pPr>
              <w:ind w:left="160"/>
              <w:spacing w:after="0" w:line="130" w:lineRule="exact"/>
              <w:rPr>
                <w:sz w:val="20"/>
                <w:szCs w:val="20"/>
                <w:color w:val="auto"/>
              </w:rPr>
            </w:pPr>
            <w:r>
              <w:rPr>
                <w:rFonts w:ascii="Arial" w:cs="Arial" w:eastAsia="Arial" w:hAnsi="Arial"/>
                <w:sz w:val="14"/>
                <w:szCs w:val="14"/>
                <w:color w:val="auto"/>
              </w:rPr>
              <w:t>Interest on bonds and</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tcPr>
          <w:p>
            <w:pPr>
              <w:ind w:left="160"/>
              <w:spacing w:after="0"/>
              <w:rPr>
                <w:sz w:val="20"/>
                <w:szCs w:val="20"/>
                <w:color w:val="auto"/>
              </w:rPr>
            </w:pPr>
            <w:r>
              <w:rPr>
                <w:rFonts w:ascii="Arial" w:cs="Arial" w:eastAsia="Arial" w:hAnsi="Arial"/>
                <w:sz w:val="14"/>
                <w:szCs w:val="14"/>
                <w:color w:val="auto"/>
              </w:rPr>
              <w:t>subordinated note</w:t>
            </w:r>
          </w:p>
        </w:tc>
        <w:tc>
          <w:tcPr>
            <w:tcW w:w="1260" w:type="dxa"/>
            <w:vAlign w:val="bottom"/>
            <w:gridSpan w:val="3"/>
          </w:tcPr>
          <w:p>
            <w:pPr>
              <w:jc w:val="right"/>
              <w:ind w:right="260"/>
              <w:spacing w:after="0"/>
              <w:rPr>
                <w:sz w:val="20"/>
                <w:szCs w:val="20"/>
                <w:color w:val="auto"/>
              </w:rPr>
            </w:pPr>
            <w:r>
              <w:rPr>
                <w:rFonts w:ascii="Arial" w:cs="Arial" w:eastAsia="Arial" w:hAnsi="Arial"/>
                <w:sz w:val="14"/>
                <w:szCs w:val="14"/>
                <w:color w:val="auto"/>
              </w:rPr>
              <w:t>9,742</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10,648</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20,916</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-8.5%</w:t>
            </w:r>
          </w:p>
        </w:tc>
        <w:tc>
          <w:tcPr>
            <w:tcW w:w="2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-53.4%</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104,760</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67,929</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Other interest expense</w:t>
            </w: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15,081</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15,879</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13,231</w:t>
            </w: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14.0%</w:t>
            </w:r>
          </w:p>
        </w:tc>
        <w:tc>
          <w:tcPr>
            <w:tcW w:w="118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32,332</w:t>
            </w:r>
          </w:p>
        </w:tc>
        <w:tc>
          <w:tcPr>
            <w:tcW w:w="116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41,482</w:t>
            </w:r>
          </w:p>
        </w:tc>
        <w:tc>
          <w:tcPr>
            <w:tcW w:w="11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CCFFCC"/>
            </w:tcBorders>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00" w:type="dxa"/>
            <w:vAlign w:val="bottom"/>
          </w:tcPr>
          <w:p>
            <w:pPr>
              <w:spacing w:after="0" w:line="149" w:lineRule="exact"/>
              <w:rPr>
                <w:sz w:val="20"/>
                <w:szCs w:val="20"/>
                <w:color w:val="auto"/>
              </w:rPr>
            </w:pPr>
            <w:r>
              <w:rPr>
                <w:rFonts w:ascii="Arial" w:cs="Arial" w:eastAsia="Arial" w:hAnsi="Arial"/>
                <w:sz w:val="14"/>
                <w:szCs w:val="14"/>
                <w:b w:val="1"/>
                <w:bCs w:val="1"/>
                <w:color w:val="auto"/>
              </w:rPr>
              <w:t>Net interest income</w:t>
            </w:r>
          </w:p>
        </w:tc>
        <w:tc>
          <w:tcPr>
            <w:tcW w:w="12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254,533</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242,274</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211,233</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5.1%</w:t>
            </w:r>
          </w:p>
        </w:tc>
        <w:tc>
          <w:tcPr>
            <w:tcW w:w="2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20.5%</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944,634</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798,217</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Average interest earning assets</w:t>
            </w: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22,500,740</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20,147,428</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16,826,904</w:t>
            </w: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11.7%</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33.7%</w:t>
            </w:r>
          </w:p>
        </w:tc>
        <w:tc>
          <w:tcPr>
            <w:tcW w:w="118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19,832,358</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16,579,634</w:t>
            </w:r>
          </w:p>
        </w:tc>
        <w:tc>
          <w:tcPr>
            <w:tcW w:w="260" w:type="dxa"/>
            <w:vAlign w:val="bottom"/>
            <w:tcBorders>
              <w:right w:val="single" w:sz="8" w:color="CCFFCC"/>
            </w:tcBorders>
            <w:shd w:val="clear" w:color="auto" w:fill="CCFFCC"/>
          </w:tcPr>
          <w:p>
            <w:pPr>
              <w:spacing w:after="0"/>
              <w:rPr>
                <w:sz w:val="12"/>
                <w:szCs w:val="12"/>
                <w:color w:val="auto"/>
              </w:rPr>
            </w:pPr>
          </w:p>
        </w:tc>
        <w:tc>
          <w:tcPr>
            <w:tcW w:w="11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CCFFCC"/>
            </w:tcBorders>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00" w:type="dxa"/>
            <w:vAlign w:val="bottom"/>
          </w:tcPr>
          <w:p>
            <w:pPr>
              <w:spacing w:after="0" w:line="149" w:lineRule="exact"/>
              <w:rPr>
                <w:sz w:val="20"/>
                <w:szCs w:val="20"/>
                <w:color w:val="auto"/>
              </w:rPr>
            </w:pPr>
            <w:r>
              <w:rPr>
                <w:rFonts w:ascii="Arial" w:cs="Arial" w:eastAsia="Arial" w:hAnsi="Arial"/>
                <w:sz w:val="14"/>
                <w:szCs w:val="14"/>
                <w:b w:val="1"/>
                <w:bCs w:val="1"/>
                <w:color w:val="auto"/>
              </w:rPr>
              <w:t>Net interest margin*</w:t>
            </w:r>
          </w:p>
        </w:tc>
        <w:tc>
          <w:tcPr>
            <w:tcW w:w="12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4.52%</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4.81%</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5.02%</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4.76%</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4.81%</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*Annualized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quarterly evolution of NII shows 5.1% growth. This was attributable to a 6.7% increase in interest on loans due to the significant loan growth, which was however attenuated by the 9.9% increase QoQ in interest expenses as a result of higher interests on due to banks (+21.1% QoQ) and deposits (+9.4% QoQ). The latter is related to changes in the funding structure, particularly in terms of needs for funding in US dollars abroad, as well as higher interest expenses due to an increase in interest rates on time deposits and especially on FC time deposits given the fact that BCR’s aggressive policy on legal reserves has made this currency scarce.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Furthermore, the reduction in other interest income was related to derivatives for trading, which was the result of a scenario with devaluation of Nuevo Sol and higher swap rates in Nuevos Soles during 4Q10 in contrast to a scenario with appreciation of Nuevo Sol and lower swap rates in Nuevos Soles as such of 3Q10’s.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Accumulated results showed a significantly better evolution reporting an 18.3% increase of NII explained not only by a 10.5% rise in interest income but also by the 4.8% reduction of interest expenses. Interest income grew mainly as an effect of higher interest income on loans (+14.9%), which in turn was related to the loan expansion achieved in 2010 (+23.8%). On the expenses side, the contraction reported came mainly from the 55.4% reduction of interest expenses on deposits that off set the higher expenses in interest on borrowed funds and bonds. It is important to highlight that the decrease in interest on deposits was the result of lower average interest rate in 2010 in comparison with the average rate in 2009 (1.03% vs 1.82%), hence even when the volume of deposits grew 18% in 2010 most of this increase came from demand deposits and savings, which earn very low or null interests.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Consequent with this evolution, NIM reported a drop from 4.8% to 4.5%. This decrease was the effect of:</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 w:name="page15"/>
    <w:bookmarkEnd w:id="14"/>
    <w:p>
      <w:pPr>
        <w:jc w:val="both"/>
        <w:ind w:left="1060" w:hanging="161"/>
        <w:spacing w:after="0" w:line="286" w:lineRule="auto"/>
        <w:tabs>
          <w:tab w:leader="none" w:pos="1116" w:val="left"/>
        </w:tabs>
        <w:numPr>
          <w:ilvl w:val="0"/>
          <w:numId w:val="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interest income not growing at the same pace of interest-earning assets due to the aforementioned re-composition of these assets in favor of lower yielding assets (the sum of investments, deposits in BCRP and other banks expanded +10.9%; while loans increased +7.8% and within loans, Wholesale Banking portfolio with its lower margins reported higher growth than the other segments); and</w:t>
      </w:r>
    </w:p>
    <w:p>
      <w:pPr>
        <w:spacing w:after="0" w:line="192" w:lineRule="exact"/>
        <w:rPr>
          <w:rFonts w:ascii="Arial" w:cs="Arial" w:eastAsia="Arial" w:hAnsi="Arial"/>
          <w:sz w:val="17"/>
          <w:szCs w:val="17"/>
          <w:color w:val="auto"/>
        </w:rPr>
      </w:pPr>
    </w:p>
    <w:p>
      <w:pPr>
        <w:jc w:val="both"/>
        <w:ind w:left="1060" w:hanging="161"/>
        <w:spacing w:after="0" w:line="264" w:lineRule="auto"/>
        <w:tabs>
          <w:tab w:leader="none" w:pos="1103"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expense increasing in this 4Q as a result of a change in the funding structure towards more expensive sources (with time deposits and borrowed funds growing faster), all of which made NII increase only 5.1% QoQ, while interest-earning assets grew 11.7%, causing a drop in NIM.</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Loan NIM remained at levels similar to those seen in 3Q10, which is reflected in the fact that NIM levels for different products have remained relatively stable.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Despite this quarterly evolution, the accumulated results for the year show that NIM has been stable given that the different forces that act on it tended to cancel each other out. As such, the NIM at year-end reflected the same margin obtained last year of 4.8%.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 Deposit Ratio</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Another aspect that affects NIM’s evolution is our conservative policy to match assets and liabilities in terms of currency and maturities, which implies incurring an opportunity cost. In this regard, even when the aggregated ratio of loan to deposits is 84.0%, there is significant growth in LC deposits while FC deposit levels grew little, which is reflected in the loan-to-deposit ratio that is currently 67.5% in LC and 98.9% in FC. This in turn translated into a need for FC funds to finance portfolio growth while maintaining adequate matching. To accomplish this, new issuances and loans are needed, which entail higher funding costs than deposits. At the same time, this scenario generates a surplus of LC deposits, which are invested in BCR instruments causing further downward pressure on NIM given that interest income on investment is low and the tax benefit that boosts the profitability of these instruments is not captured by NIM.</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II.4 Past Due Portfolio and Provisions for Loan Losses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For the second consecutive quarter, the past due ratio fell, situating at 1.46% (vs. 1.59% in 3Q10). This was attributable to a contraction in the past due loan portfolio (-1.7% QoQ) and growth in total loans (+7.6% QoQ).</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Provision for loan losses</w:t>
            </w:r>
          </w:p>
        </w:tc>
        <w:tc>
          <w:tcPr>
            <w:tcW w:w="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w w:val="98"/>
              </w:rPr>
              <w:t>Change %</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4Q10</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3Q10</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4Q09</w:t>
            </w:r>
          </w:p>
        </w:tc>
        <w:tc>
          <w:tcPr>
            <w:tcW w:w="280" w:type="dxa"/>
            <w:vAlign w:val="bottom"/>
          </w:tcPr>
          <w:p>
            <w:pPr>
              <w:spacing w:after="0"/>
              <w:rPr>
                <w:sz w:val="18"/>
                <w:szCs w:val="18"/>
                <w:color w:val="auto"/>
              </w:rPr>
            </w:pPr>
          </w:p>
        </w:tc>
        <w:tc>
          <w:tcPr>
            <w:tcW w:w="1720" w:type="dxa"/>
            <w:vAlign w:val="bottom"/>
            <w:gridSpan w:val="3"/>
          </w:tcPr>
          <w:p>
            <w:pPr>
              <w:ind w:left="360"/>
              <w:spacing w:after="0"/>
              <w:rPr>
                <w:sz w:val="20"/>
                <w:szCs w:val="20"/>
                <w:color w:val="auto"/>
              </w:rPr>
            </w:pPr>
            <w:r>
              <w:rPr>
                <w:rFonts w:ascii="Arial" w:cs="Arial" w:eastAsia="Arial" w:hAnsi="Arial"/>
                <w:sz w:val="18"/>
                <w:szCs w:val="18"/>
                <w:b w:val="1"/>
                <w:bCs w:val="1"/>
                <w:color w:val="auto"/>
              </w:rPr>
              <w:t>QoQ</w:t>
            </w:r>
          </w:p>
        </w:tc>
        <w:tc>
          <w:tcPr>
            <w:tcW w:w="800" w:type="dxa"/>
            <w:vAlign w:val="bottom"/>
          </w:tcPr>
          <w:p>
            <w:pPr>
              <w:ind w:left="8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color w:val="auto"/>
              </w:rPr>
              <w:t>Provisions</w:t>
            </w:r>
          </w:p>
        </w:tc>
        <w:tc>
          <w:tcPr>
            <w:tcW w:w="1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(56,171)</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(59,018)</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(50,554)</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Loan loss recoveries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7,640</w:t>
            </w:r>
          </w:p>
        </w:tc>
        <w:tc>
          <w:tcPr>
            <w:tcW w:w="26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6,404</w:t>
            </w:r>
          </w:p>
        </w:tc>
        <w:tc>
          <w:tcPr>
            <w:tcW w:w="1120" w:type="dxa"/>
            <w:vAlign w:val="bottom"/>
          </w:tcPr>
          <w:p>
            <w:pPr>
              <w:jc w:val="right"/>
              <w:spacing w:after="0"/>
              <w:rPr>
                <w:sz w:val="20"/>
                <w:szCs w:val="20"/>
                <w:color w:val="auto"/>
              </w:rPr>
            </w:pPr>
            <w:r>
              <w:rPr>
                <w:rFonts w:ascii="Arial" w:cs="Arial" w:eastAsia="Arial" w:hAnsi="Arial"/>
                <w:sz w:val="18"/>
                <w:szCs w:val="18"/>
                <w:color w:val="auto"/>
              </w:rPr>
              <w:t>5,620</w:t>
            </w:r>
          </w:p>
        </w:tc>
        <w:tc>
          <w:tcPr>
            <w:tcW w:w="2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19.3%</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provisions, for loan losses</w:t>
            </w:r>
          </w:p>
        </w:tc>
        <w:tc>
          <w:tcPr>
            <w:tcW w:w="1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(48,531)</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(52,614)</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(44,934)</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-7.8%</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Total loans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14,334,841</w:t>
            </w:r>
          </w:p>
        </w:tc>
        <w:tc>
          <w:tcPr>
            <w:tcW w:w="26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13,326,601</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11,577,303</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Reserve for loan losses (RLL)</w:t>
            </w: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414,806</w:t>
            </w:r>
          </w:p>
        </w:tc>
        <w:tc>
          <w:tcPr>
            <w:tcW w:w="2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410,814</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353,348</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1.0%</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Charge-Off amount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38,938</w:t>
            </w:r>
          </w:p>
        </w:tc>
        <w:tc>
          <w:tcPr>
            <w:tcW w:w="26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35,801</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31,652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8.8%</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loans (PDL)</w:t>
            </w: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208,982</w:t>
            </w:r>
          </w:p>
        </w:tc>
        <w:tc>
          <w:tcPr>
            <w:tcW w:w="2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212,498</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183,746</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-1.7%</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PDL / Total loans</w:t>
            </w: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color w:val="auto"/>
              </w:rPr>
              <w:t>Coverage</w:t>
            </w:r>
          </w:p>
        </w:tc>
        <w:tc>
          <w:tcPr>
            <w:tcW w:w="1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198.5%</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193.3%</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192.3%</w:t>
            </w:r>
          </w:p>
        </w:tc>
        <w:tc>
          <w:tcPr>
            <w:tcW w:w="1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80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4Q10, the past due ratio dropped significantly to 1.46%, which is 14 bps below last quarter’s ratio (1.59%). This decline was reflected primarily in the past due ratios for SME, Credit Cards, Consumer lending, Edyficar and Wholesale Banking. It is also important to point out that the 90-day past due loan ratio was also satisfactory at the end of 4Q10, when it reported 0.99% (vs. 0.97% in 3Q10).</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analyze the YoY evolution, it is evident that past due ratios year-to-year have been similar given that the past due ratio at the end of 2009 was 1.59% whereas the figure at the close of 2010 was 1.46%. The aforementioned was the result of significant growth in total loans (+23.8%), which helped offset the increase in the past due portfolio (+13.7%).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141605</wp:posOffset>
            </wp:positionV>
            <wp:extent cx="4810760" cy="2040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10760"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Provisions expenses fell in 4Q10 (-7.8% QoQ) due to lower net provisions for reversals (-4.8% QoQ) and an increase in the number of recoveries reported during the quarter (+19.3% QoQ). Additionally, coverage for the past due portfolio was 198.5%, which is higher than the 193.3% reported in 3Q10 due to higher provisions and a drop in the past due portfolio.</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the other hand, net provisions increased 8.0% YoY. This is due to portfolio growth, new product segmentation, and the Regulator’s decision to reactivate pro-cyclical provisions in 3Q10.</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II.5 Non Financial Income</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Banking service fees took center stage this year in terms of non financial income. These levels continued to be high, as seen initially in 3Q10, and reflect accumulated yearly growth of 25.5%. Nevertheless, total non financial income reported only 9.8% accumulated growth for the year due to strong difference in the extraordinary results for securities sales.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Non financial income</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Quarter</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3"/>
          </w:tcPr>
          <w:p>
            <w:pPr>
              <w:ind w:left="720"/>
              <w:spacing w:after="0"/>
              <w:rPr>
                <w:sz w:val="20"/>
                <w:szCs w:val="20"/>
                <w:color w:val="auto"/>
              </w:rPr>
            </w:pPr>
            <w:r>
              <w:rPr>
                <w:rFonts w:ascii="Arial" w:cs="Arial" w:eastAsia="Arial" w:hAnsi="Arial"/>
                <w:sz w:val="14"/>
                <w:szCs w:val="14"/>
                <w:b w:val="1"/>
                <w:bCs w:val="1"/>
                <w:color w:val="auto"/>
              </w:rPr>
              <w:t>Change %</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20" w:type="dxa"/>
            <w:vAlign w:val="bottom"/>
            <w:gridSpan w:val="4"/>
          </w:tcPr>
          <w:p>
            <w:pPr>
              <w:ind w:left="640"/>
              <w:spacing w:after="0"/>
              <w:rPr>
                <w:sz w:val="20"/>
                <w:szCs w:val="20"/>
                <w:color w:val="auto"/>
              </w:rPr>
            </w:pPr>
            <w:r>
              <w:rPr>
                <w:rFonts w:ascii="Arial" w:cs="Arial" w:eastAsia="Arial" w:hAnsi="Arial"/>
                <w:sz w:val="14"/>
                <w:szCs w:val="14"/>
                <w:b w:val="1"/>
                <w:bCs w:val="1"/>
                <w:color w:val="auto"/>
              </w:rPr>
              <w:t>Year to date</w:t>
            </w:r>
          </w:p>
        </w:tc>
        <w:tc>
          <w:tcPr>
            <w:tcW w:w="120" w:type="dxa"/>
            <w:vAlign w:val="bottom"/>
          </w:tcPr>
          <w:p>
            <w:pPr>
              <w:spacing w:after="0"/>
              <w:rPr>
                <w:sz w:val="15"/>
                <w:szCs w:val="15"/>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Change %</w:t>
            </w:r>
          </w:p>
        </w:tc>
        <w:tc>
          <w:tcPr>
            <w:tcW w:w="0" w:type="dxa"/>
            <w:vAlign w:val="bottom"/>
          </w:tcPr>
          <w:p>
            <w:pPr>
              <w:spacing w:after="0"/>
              <w:rPr>
                <w:sz w:val="1"/>
                <w:szCs w:val="1"/>
                <w:color w:val="auto"/>
              </w:rPr>
            </w:pPr>
          </w:p>
        </w:tc>
      </w:tr>
      <w:tr>
        <w:trPr>
          <w:trHeight w:val="149"/>
        </w:trPr>
        <w:tc>
          <w:tcPr>
            <w:tcW w:w="224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US$ 000</w:t>
            </w:r>
          </w:p>
        </w:tc>
        <w:tc>
          <w:tcPr>
            <w:tcW w:w="10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4Q10</w:t>
            </w:r>
          </w:p>
        </w:tc>
        <w:tc>
          <w:tcPr>
            <w:tcW w:w="1120" w:type="dxa"/>
            <w:vAlign w:val="bottom"/>
            <w:tcBorders>
              <w:top w:val="single" w:sz="8" w:color="auto"/>
            </w:tcBorders>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3Q10</w:t>
            </w:r>
          </w:p>
        </w:tc>
        <w:tc>
          <w:tcPr>
            <w:tcW w:w="920" w:type="dxa"/>
            <w:vAlign w:val="bottom"/>
            <w:tcBorders>
              <w:top w:val="single" w:sz="8" w:color="auto"/>
            </w:tcBorders>
          </w:tcPr>
          <w:p>
            <w:pPr>
              <w:jc w:val="right"/>
              <w:ind w:right="228"/>
              <w:spacing w:after="0" w:line="149" w:lineRule="exact"/>
              <w:rPr>
                <w:sz w:val="20"/>
                <w:szCs w:val="20"/>
                <w:color w:val="auto"/>
              </w:rPr>
            </w:pPr>
            <w:r>
              <w:rPr>
                <w:rFonts w:ascii="Arial" w:cs="Arial" w:eastAsia="Arial" w:hAnsi="Arial"/>
                <w:sz w:val="14"/>
                <w:szCs w:val="14"/>
                <w:b w:val="1"/>
                <w:bCs w:val="1"/>
                <w:color w:val="auto"/>
              </w:rPr>
              <w:t>4Q09</w:t>
            </w:r>
          </w:p>
        </w:tc>
        <w:tc>
          <w:tcPr>
            <w:tcW w:w="200" w:type="dxa"/>
            <w:vAlign w:val="bottom"/>
          </w:tcPr>
          <w:p>
            <w:pPr>
              <w:spacing w:after="0"/>
              <w:rPr>
                <w:sz w:val="12"/>
                <w:szCs w:val="12"/>
                <w:color w:val="auto"/>
              </w:rPr>
            </w:pPr>
          </w:p>
        </w:tc>
        <w:tc>
          <w:tcPr>
            <w:tcW w:w="1420" w:type="dxa"/>
            <w:vAlign w:val="bottom"/>
            <w:tcBorders>
              <w:top w:val="single" w:sz="8" w:color="auto"/>
            </w:tcBorders>
            <w:gridSpan w:val="3"/>
          </w:tcPr>
          <w:p>
            <w:pPr>
              <w:ind w:left="320"/>
              <w:spacing w:after="0" w:line="149" w:lineRule="exact"/>
              <w:rPr>
                <w:sz w:val="20"/>
                <w:szCs w:val="20"/>
                <w:color w:val="auto"/>
              </w:rPr>
            </w:pPr>
            <w:r>
              <w:rPr>
                <w:rFonts w:ascii="Arial" w:cs="Arial" w:eastAsia="Arial" w:hAnsi="Arial"/>
                <w:sz w:val="14"/>
                <w:szCs w:val="14"/>
                <w:b w:val="1"/>
                <w:bCs w:val="1"/>
                <w:color w:val="auto"/>
              </w:rPr>
              <w:t>QoQ</w:t>
            </w:r>
          </w:p>
        </w:tc>
        <w:tc>
          <w:tcPr>
            <w:tcW w:w="660" w:type="dxa"/>
            <w:vAlign w:val="bottom"/>
            <w:tcBorders>
              <w:top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2"/>
                <w:szCs w:val="12"/>
                <w:color w:val="auto"/>
              </w:rPr>
            </w:pPr>
          </w:p>
        </w:tc>
        <w:tc>
          <w:tcPr>
            <w:tcW w:w="1120" w:type="dxa"/>
            <w:vAlign w:val="bottom"/>
            <w:tcBorders>
              <w:top w:val="single" w:sz="8" w:color="auto"/>
            </w:tcBorders>
            <w:gridSpan w:val="2"/>
          </w:tcPr>
          <w:p>
            <w:pPr>
              <w:ind w:left="220"/>
              <w:spacing w:after="0" w:line="149" w:lineRule="exact"/>
              <w:rPr>
                <w:sz w:val="20"/>
                <w:szCs w:val="20"/>
                <w:color w:val="auto"/>
              </w:rPr>
            </w:pPr>
            <w:r>
              <w:rPr>
                <w:rFonts w:ascii="Arial" w:cs="Arial" w:eastAsia="Arial" w:hAnsi="Arial"/>
                <w:sz w:val="14"/>
                <w:szCs w:val="14"/>
                <w:b w:val="1"/>
                <w:bCs w:val="1"/>
                <w:color w:val="auto"/>
              </w:rPr>
              <w:t>Dec. 10</w:t>
            </w:r>
          </w:p>
        </w:tc>
        <w:tc>
          <w:tcPr>
            <w:tcW w:w="900" w:type="dxa"/>
            <w:vAlign w:val="bottom"/>
            <w:tcBorders>
              <w:top w:val="single" w:sz="8" w:color="auto"/>
            </w:tcBorders>
          </w:tcPr>
          <w:p>
            <w:pPr>
              <w:jc w:val="right"/>
              <w:ind w:right="168"/>
              <w:spacing w:after="0" w:line="149" w:lineRule="exact"/>
              <w:rPr>
                <w:sz w:val="20"/>
                <w:szCs w:val="20"/>
                <w:color w:val="auto"/>
              </w:rPr>
            </w:pPr>
            <w:r>
              <w:rPr>
                <w:rFonts w:ascii="Arial" w:cs="Arial" w:eastAsia="Arial" w:hAnsi="Arial"/>
                <w:sz w:val="14"/>
                <w:szCs w:val="14"/>
                <w:b w:val="1"/>
                <w:bCs w:val="1"/>
                <w:color w:val="auto"/>
              </w:rPr>
              <w:t>Dec. 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Dec. 10 / Dec. 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Fee income</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120,136</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120,839</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109,546</w:t>
            </w:r>
          </w:p>
        </w:tc>
        <w:tc>
          <w:tcPr>
            <w:tcW w:w="11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-0.6%</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461,775</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368,067</w:t>
            </w:r>
          </w:p>
        </w:tc>
        <w:tc>
          <w:tcPr>
            <w:tcW w:w="12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tcPr>
          <w:p>
            <w:pPr>
              <w:spacing w:after="0" w:line="130" w:lineRule="exact"/>
              <w:rPr>
                <w:sz w:val="20"/>
                <w:szCs w:val="20"/>
                <w:color w:val="auto"/>
              </w:rPr>
            </w:pPr>
            <w:r>
              <w:rPr>
                <w:rFonts w:ascii="Arial" w:cs="Arial" w:eastAsia="Arial" w:hAnsi="Arial"/>
                <w:sz w:val="14"/>
                <w:szCs w:val="14"/>
                <w:color w:val="auto"/>
              </w:rPr>
              <w:t>Net gain on foreign exchange</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gridSpan w:val="2"/>
          </w:tcPr>
          <w:p>
            <w:pPr>
              <w:spacing w:after="0"/>
              <w:rPr>
                <w:sz w:val="20"/>
                <w:szCs w:val="20"/>
                <w:color w:val="auto"/>
              </w:rPr>
            </w:pPr>
            <w:r>
              <w:rPr>
                <w:rFonts w:ascii="Arial" w:cs="Arial" w:eastAsia="Arial" w:hAnsi="Arial"/>
                <w:sz w:val="14"/>
                <w:szCs w:val="14"/>
                <w:color w:val="auto"/>
              </w:rPr>
              <w:t>transactions</w:t>
            </w:r>
          </w:p>
        </w:tc>
        <w:tc>
          <w:tcPr>
            <w:tcW w:w="1220" w:type="dxa"/>
            <w:vAlign w:val="bottom"/>
            <w:gridSpan w:val="3"/>
          </w:tcPr>
          <w:p>
            <w:pPr>
              <w:jc w:val="right"/>
              <w:ind w:right="220"/>
              <w:spacing w:after="0"/>
              <w:rPr>
                <w:sz w:val="20"/>
                <w:szCs w:val="20"/>
                <w:color w:val="auto"/>
              </w:rPr>
            </w:pPr>
            <w:r>
              <w:rPr>
                <w:rFonts w:ascii="Arial" w:cs="Arial" w:eastAsia="Arial" w:hAnsi="Arial"/>
                <w:sz w:val="14"/>
                <w:szCs w:val="14"/>
                <w:color w:val="auto"/>
              </w:rPr>
              <w:t>28,909</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26,354</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23,430</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9.7%</w:t>
            </w:r>
          </w:p>
        </w:tc>
        <w:tc>
          <w:tcPr>
            <w:tcW w:w="2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23.4%</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104,361</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93,462</w:t>
            </w:r>
          </w:p>
        </w:tc>
        <w:tc>
          <w:tcPr>
            <w:tcW w:w="1260" w:type="dxa"/>
            <w:vAlign w:val="bottom"/>
            <w:gridSpan w:val="3"/>
          </w:tcPr>
          <w:p>
            <w:pPr>
              <w:jc w:val="right"/>
              <w:ind w:right="20"/>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gain on sales of securities</w:t>
            </w:r>
          </w:p>
        </w:tc>
        <w:tc>
          <w:tcPr>
            <w:tcW w:w="12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2,264</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18,987</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9,185</w:t>
            </w:r>
          </w:p>
        </w:tc>
        <w:tc>
          <w:tcPr>
            <w:tcW w:w="11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-88.1%</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-75.4%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51,139</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101,349</w:t>
            </w:r>
          </w:p>
        </w:tc>
        <w:tc>
          <w:tcPr>
            <w:tcW w:w="12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10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8,603</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1,168</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2,816</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636.6%</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205.5%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17,367</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15,067</w:t>
            </w:r>
          </w:p>
        </w:tc>
        <w:tc>
          <w:tcPr>
            <w:tcW w:w="12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non financial income</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159,912</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167,348</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144,977</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-4.4%</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10.3%</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634,642</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577,945</w:t>
            </w:r>
          </w:p>
        </w:tc>
        <w:tc>
          <w:tcPr>
            <w:tcW w:w="126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Banking service fees reported high levels similar to those seen in the previous quarter; nevertheless, some items reported noteworthy increases, including Miscellaneous Accounts (+3.8% QoQ), which is fundamentally related to higher fees for Saving Accounts &amp; Debit Cards, and Credit Cards (+4.9% QoQ). This offset contractions experimented in other items such as Corporate Finance fees, which reported record levels in 3Q10. In annual terms, fees rose a significant 25.5%.</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aforementioned, coupled with higher net gains on FX transactions, which rose 23% QoQ due to an increase in the transactions volume during the holiday period at year-end, and reported an annual growth of 11.7% in accumulated terms, helped offset the impact generated by a drop in net earnings on sales of securities.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important to remember that the extraordinary income on sales of securities recorded in 3Q and 2Q, which were associated with the Peruvian Government’s move to repurchase bonds denominated in Euros, were even lower than the extraordinary income registered the previous year. This distorts the evolution of traditional non-financial income, which was actually quite outstanding. Thus, and despite the aforementioned distortion, non financial income grew 9.8% in 2010.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Banking Fee Income</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Quarter</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Change %</w:t>
            </w:r>
          </w:p>
        </w:tc>
        <w:tc>
          <w:tcPr>
            <w:tcW w:w="2120" w:type="dxa"/>
            <w:vAlign w:val="bottom"/>
            <w:gridSpan w:val="4"/>
          </w:tcPr>
          <w:p>
            <w:pPr>
              <w:ind w:left="640"/>
              <w:spacing w:after="0"/>
              <w:rPr>
                <w:sz w:val="20"/>
                <w:szCs w:val="20"/>
                <w:color w:val="auto"/>
              </w:rPr>
            </w:pPr>
            <w:r>
              <w:rPr>
                <w:rFonts w:ascii="Arial" w:cs="Arial" w:eastAsia="Arial" w:hAnsi="Arial"/>
                <w:sz w:val="14"/>
                <w:szCs w:val="14"/>
                <w:b w:val="1"/>
                <w:bCs w:val="1"/>
                <w:color w:val="auto"/>
              </w:rPr>
              <w:t>Year to date</w:t>
            </w:r>
          </w:p>
        </w:tc>
        <w:tc>
          <w:tcPr>
            <w:tcW w:w="120" w:type="dxa"/>
            <w:vAlign w:val="bottom"/>
          </w:tcPr>
          <w:p>
            <w:pPr>
              <w:spacing w:after="0"/>
              <w:rPr>
                <w:sz w:val="15"/>
                <w:szCs w:val="15"/>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Change %</w:t>
            </w:r>
          </w:p>
        </w:tc>
        <w:tc>
          <w:tcPr>
            <w:tcW w:w="0" w:type="dxa"/>
            <w:vAlign w:val="bottom"/>
          </w:tcPr>
          <w:p>
            <w:pPr>
              <w:spacing w:after="0"/>
              <w:rPr>
                <w:sz w:val="1"/>
                <w:szCs w:val="1"/>
                <w:color w:val="auto"/>
              </w:rPr>
            </w:pPr>
          </w:p>
        </w:tc>
      </w:tr>
      <w:tr>
        <w:trPr>
          <w:trHeight w:val="149"/>
        </w:trPr>
        <w:tc>
          <w:tcPr>
            <w:tcW w:w="224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US$ 000</w:t>
            </w:r>
          </w:p>
        </w:tc>
        <w:tc>
          <w:tcPr>
            <w:tcW w:w="10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4Q10</w:t>
            </w:r>
          </w:p>
        </w:tc>
        <w:tc>
          <w:tcPr>
            <w:tcW w:w="1120" w:type="dxa"/>
            <w:vAlign w:val="bottom"/>
            <w:tcBorders>
              <w:top w:val="single" w:sz="8" w:color="auto"/>
            </w:tcBorders>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3Q10</w:t>
            </w:r>
          </w:p>
        </w:tc>
        <w:tc>
          <w:tcPr>
            <w:tcW w:w="920" w:type="dxa"/>
            <w:vAlign w:val="bottom"/>
            <w:tcBorders>
              <w:top w:val="single" w:sz="8" w:color="auto"/>
            </w:tcBorders>
          </w:tcPr>
          <w:p>
            <w:pPr>
              <w:jc w:val="right"/>
              <w:ind w:right="228"/>
              <w:spacing w:after="0" w:line="149" w:lineRule="exact"/>
              <w:rPr>
                <w:sz w:val="20"/>
                <w:szCs w:val="20"/>
                <w:color w:val="auto"/>
              </w:rPr>
            </w:pPr>
            <w:r>
              <w:rPr>
                <w:rFonts w:ascii="Arial" w:cs="Arial" w:eastAsia="Arial" w:hAnsi="Arial"/>
                <w:sz w:val="14"/>
                <w:szCs w:val="14"/>
                <w:b w:val="1"/>
                <w:bCs w:val="1"/>
                <w:color w:val="auto"/>
              </w:rPr>
              <w:t>4Q09</w:t>
            </w:r>
          </w:p>
        </w:tc>
        <w:tc>
          <w:tcPr>
            <w:tcW w:w="20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4Q10 / 3Q10</w:t>
            </w:r>
          </w:p>
        </w:tc>
        <w:tc>
          <w:tcPr>
            <w:tcW w:w="920" w:type="dxa"/>
            <w:vAlign w:val="bottom"/>
            <w:tcBorders>
              <w:top w:val="single" w:sz="8" w:color="auto"/>
            </w:tcBorders>
          </w:tcPr>
          <w:p>
            <w:pPr>
              <w:jc w:val="right"/>
              <w:ind w:right="8"/>
              <w:spacing w:after="0" w:line="149" w:lineRule="exact"/>
              <w:rPr>
                <w:sz w:val="20"/>
                <w:szCs w:val="20"/>
                <w:color w:val="auto"/>
              </w:rPr>
            </w:pPr>
            <w:r>
              <w:rPr>
                <w:rFonts w:ascii="Arial" w:cs="Arial" w:eastAsia="Arial" w:hAnsi="Arial"/>
                <w:sz w:val="14"/>
                <w:szCs w:val="14"/>
                <w:b w:val="1"/>
                <w:bCs w:val="1"/>
                <w:color w:val="auto"/>
              </w:rPr>
              <w:t>4Q10 / 4Q09</w:t>
            </w:r>
          </w:p>
        </w:tc>
        <w:tc>
          <w:tcPr>
            <w:tcW w:w="260" w:type="dxa"/>
            <w:vAlign w:val="bottom"/>
          </w:tcPr>
          <w:p>
            <w:pPr>
              <w:spacing w:after="0"/>
              <w:rPr>
                <w:sz w:val="12"/>
                <w:szCs w:val="12"/>
                <w:color w:val="auto"/>
              </w:rPr>
            </w:pPr>
          </w:p>
        </w:tc>
        <w:tc>
          <w:tcPr>
            <w:tcW w:w="1120" w:type="dxa"/>
            <w:vAlign w:val="bottom"/>
            <w:tcBorders>
              <w:top w:val="single" w:sz="8" w:color="auto"/>
            </w:tcBorders>
            <w:gridSpan w:val="2"/>
          </w:tcPr>
          <w:p>
            <w:pPr>
              <w:ind w:left="220"/>
              <w:spacing w:after="0" w:line="149" w:lineRule="exact"/>
              <w:rPr>
                <w:sz w:val="20"/>
                <w:szCs w:val="20"/>
                <w:color w:val="auto"/>
              </w:rPr>
            </w:pPr>
            <w:r>
              <w:rPr>
                <w:rFonts w:ascii="Arial" w:cs="Arial" w:eastAsia="Arial" w:hAnsi="Arial"/>
                <w:sz w:val="14"/>
                <w:szCs w:val="14"/>
                <w:b w:val="1"/>
                <w:bCs w:val="1"/>
                <w:color w:val="auto"/>
              </w:rPr>
              <w:t>Dec. 10</w:t>
            </w:r>
          </w:p>
        </w:tc>
        <w:tc>
          <w:tcPr>
            <w:tcW w:w="900" w:type="dxa"/>
            <w:vAlign w:val="bottom"/>
            <w:tcBorders>
              <w:top w:val="single" w:sz="8" w:color="auto"/>
            </w:tcBorders>
          </w:tcPr>
          <w:p>
            <w:pPr>
              <w:jc w:val="right"/>
              <w:ind w:right="168"/>
              <w:spacing w:after="0" w:line="149" w:lineRule="exact"/>
              <w:rPr>
                <w:sz w:val="20"/>
                <w:szCs w:val="20"/>
                <w:color w:val="auto"/>
              </w:rPr>
            </w:pPr>
            <w:r>
              <w:rPr>
                <w:rFonts w:ascii="Arial" w:cs="Arial" w:eastAsia="Arial" w:hAnsi="Arial"/>
                <w:sz w:val="14"/>
                <w:szCs w:val="14"/>
                <w:b w:val="1"/>
                <w:bCs w:val="1"/>
                <w:color w:val="auto"/>
              </w:rPr>
              <w:t>Dec. 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Dec. 10 / Dec. 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Miscellaneous Accounts*</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32,024</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30,863</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26,591</w:t>
            </w:r>
          </w:p>
        </w:tc>
        <w:tc>
          <w:tcPr>
            <w:tcW w:w="11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3.8%</w:t>
            </w:r>
          </w:p>
        </w:tc>
        <w:tc>
          <w:tcPr>
            <w:tcW w:w="11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118,964</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93,009</w:t>
            </w:r>
          </w:p>
        </w:tc>
        <w:tc>
          <w:tcPr>
            <w:tcW w:w="1260" w:type="dxa"/>
            <w:vAlign w:val="bottom"/>
            <w:gridSpan w:val="3"/>
            <w:shd w:val="clear" w:color="auto" w:fill="CCFFCC"/>
          </w:tcPr>
          <w:p>
            <w:pPr>
              <w:ind w:left="860"/>
              <w:spacing w:after="0" w:line="149" w:lineRule="exact"/>
              <w:rPr>
                <w:sz w:val="20"/>
                <w:szCs w:val="20"/>
                <w:color w:val="auto"/>
              </w:rPr>
            </w:pPr>
            <w:r>
              <w:rPr>
                <w:rFonts w:ascii="Arial" w:cs="Arial" w:eastAsia="Arial" w:hAnsi="Arial"/>
                <w:sz w:val="14"/>
                <w:szCs w:val="14"/>
                <w:color w:val="auto"/>
                <w:w w:val="95"/>
              </w:rPr>
              <w:t>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Contingents</w:t>
            </w:r>
          </w:p>
        </w:tc>
        <w:tc>
          <w:tcPr>
            <w:tcW w:w="12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7,445</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7,113</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5,611</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w:t>
            </w: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27,167</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15,781</w:t>
            </w:r>
          </w:p>
        </w:tc>
        <w:tc>
          <w:tcPr>
            <w:tcW w:w="1260" w:type="dxa"/>
            <w:vAlign w:val="bottom"/>
            <w:gridSpan w:val="3"/>
          </w:tcPr>
          <w:p>
            <w:pPr>
              <w:ind w:left="860"/>
              <w:spacing w:after="0" w:line="149" w:lineRule="exact"/>
              <w:rPr>
                <w:sz w:val="20"/>
                <w:szCs w:val="20"/>
                <w:color w:val="auto"/>
              </w:rPr>
            </w:pPr>
            <w:r>
              <w:rPr>
                <w:rFonts w:ascii="Arial" w:cs="Arial" w:eastAsia="Arial" w:hAnsi="Arial"/>
                <w:sz w:val="14"/>
                <w:szCs w:val="14"/>
                <w:color w:val="auto"/>
                <w:w w:val="95"/>
              </w:rPr>
              <w:t>72.1%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Payments and Collections</w:t>
            </w:r>
          </w:p>
        </w:tc>
        <w:tc>
          <w:tcPr>
            <w:tcW w:w="12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15,900</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15,376</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14,025</w:t>
            </w:r>
          </w:p>
        </w:tc>
        <w:tc>
          <w:tcPr>
            <w:tcW w:w="11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3.4%</w:t>
            </w:r>
          </w:p>
        </w:tc>
        <w:tc>
          <w:tcPr>
            <w:tcW w:w="11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13.4%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59,786</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51,022</w:t>
            </w:r>
          </w:p>
        </w:tc>
        <w:tc>
          <w:tcPr>
            <w:tcW w:w="1260" w:type="dxa"/>
            <w:vAlign w:val="bottom"/>
            <w:gridSpan w:val="3"/>
            <w:shd w:val="clear" w:color="auto" w:fill="CCFFCC"/>
          </w:tcPr>
          <w:p>
            <w:pPr>
              <w:ind w:left="860"/>
              <w:spacing w:after="0" w:line="149" w:lineRule="exact"/>
              <w:rPr>
                <w:sz w:val="20"/>
                <w:szCs w:val="20"/>
                <w:color w:val="auto"/>
              </w:rPr>
            </w:pPr>
            <w:r>
              <w:rPr>
                <w:rFonts w:ascii="Arial" w:cs="Arial" w:eastAsia="Arial" w:hAnsi="Arial"/>
                <w:sz w:val="14"/>
                <w:szCs w:val="14"/>
                <w:color w:val="auto"/>
                <w:w w:val="95"/>
              </w:rPr>
              <w:t>17.2%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Drafts and Transfers</w:t>
            </w:r>
          </w:p>
        </w:tc>
        <w:tc>
          <w:tcPr>
            <w:tcW w:w="12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7,105</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7,321</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6,883</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27,764</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24,146</w:t>
            </w:r>
          </w:p>
        </w:tc>
        <w:tc>
          <w:tcPr>
            <w:tcW w:w="1260" w:type="dxa"/>
            <w:vAlign w:val="bottom"/>
            <w:gridSpan w:val="3"/>
          </w:tcPr>
          <w:p>
            <w:pPr>
              <w:ind w:left="860"/>
              <w:spacing w:after="0" w:line="149" w:lineRule="exact"/>
              <w:rPr>
                <w:sz w:val="20"/>
                <w:szCs w:val="20"/>
                <w:color w:val="auto"/>
              </w:rPr>
            </w:pPr>
            <w:r>
              <w:rPr>
                <w:rFonts w:ascii="Arial" w:cs="Arial" w:eastAsia="Arial" w:hAnsi="Arial"/>
                <w:sz w:val="14"/>
                <w:szCs w:val="14"/>
                <w:color w:val="auto"/>
                <w:w w:val="95"/>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Credit Cards</w:t>
            </w:r>
          </w:p>
        </w:tc>
        <w:tc>
          <w:tcPr>
            <w:tcW w:w="12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16,029</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15,284</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14,155</w:t>
            </w:r>
          </w:p>
        </w:tc>
        <w:tc>
          <w:tcPr>
            <w:tcW w:w="11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4.9%</w:t>
            </w:r>
          </w:p>
        </w:tc>
        <w:tc>
          <w:tcPr>
            <w:tcW w:w="11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13.2%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59,792</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47,862</w:t>
            </w:r>
          </w:p>
        </w:tc>
        <w:tc>
          <w:tcPr>
            <w:tcW w:w="1260" w:type="dxa"/>
            <w:vAlign w:val="bottom"/>
            <w:gridSpan w:val="3"/>
            <w:shd w:val="clear" w:color="auto" w:fill="CCFFCC"/>
          </w:tcPr>
          <w:p>
            <w:pPr>
              <w:ind w:left="860"/>
              <w:spacing w:after="0" w:line="149" w:lineRule="exact"/>
              <w:rPr>
                <w:sz w:val="20"/>
                <w:szCs w:val="20"/>
                <w:color w:val="auto"/>
              </w:rPr>
            </w:pPr>
            <w:r>
              <w:rPr>
                <w:rFonts w:ascii="Arial" w:cs="Arial" w:eastAsia="Arial" w:hAnsi="Arial"/>
                <w:sz w:val="14"/>
                <w:szCs w:val="14"/>
                <w:color w:val="auto"/>
                <w:w w:val="95"/>
              </w:rPr>
              <w:t>24.9%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Others</w:t>
            </w:r>
          </w:p>
        </w:tc>
        <w:tc>
          <w:tcPr>
            <w:tcW w:w="10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41,632</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44,882</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42,282</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-7.2%</w:t>
            </w: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168,303</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136,248</w:t>
            </w:r>
          </w:p>
        </w:tc>
        <w:tc>
          <w:tcPr>
            <w:tcW w:w="1260" w:type="dxa"/>
            <w:vAlign w:val="bottom"/>
            <w:gridSpan w:val="3"/>
          </w:tcPr>
          <w:p>
            <w:pPr>
              <w:ind w:left="860"/>
              <w:spacing w:after="0" w:line="149" w:lineRule="exact"/>
              <w:rPr>
                <w:sz w:val="20"/>
                <w:szCs w:val="20"/>
                <w:color w:val="auto"/>
              </w:rPr>
            </w:pPr>
            <w:r>
              <w:rPr>
                <w:rFonts w:ascii="Arial" w:cs="Arial" w:eastAsia="Arial" w:hAnsi="Arial"/>
                <w:sz w:val="14"/>
                <w:szCs w:val="14"/>
                <w:color w:val="auto"/>
                <w:w w:val="95"/>
              </w:rPr>
              <w:t>23.5%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Fee Income</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120,136</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120,839</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109,546</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-0.6%</w:t>
            </w:r>
          </w:p>
        </w:tc>
        <w:tc>
          <w:tcPr>
            <w:tcW w:w="11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9.7%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461,775</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368,067</w:t>
            </w:r>
          </w:p>
        </w:tc>
        <w:tc>
          <w:tcPr>
            <w:tcW w:w="1260" w:type="dxa"/>
            <w:vAlign w:val="bottom"/>
            <w:gridSpan w:val="3"/>
            <w:shd w:val="clear" w:color="auto" w:fill="CCFFCC"/>
          </w:tcPr>
          <w:p>
            <w:pPr>
              <w:ind w:left="860"/>
              <w:spacing w:after="0" w:line="149" w:lineRule="exact"/>
              <w:rPr>
                <w:sz w:val="20"/>
                <w:szCs w:val="20"/>
                <w:color w:val="auto"/>
              </w:rPr>
            </w:pPr>
            <w:r>
              <w:rPr>
                <w:rFonts w:ascii="Arial" w:cs="Arial" w:eastAsia="Arial" w:hAnsi="Arial"/>
                <w:sz w:val="14"/>
                <w:szCs w:val="14"/>
                <w:b w:val="1"/>
                <w:bCs w:val="1"/>
                <w:color w:val="auto"/>
                <w:w w:val="95"/>
              </w:rPr>
              <w:t>25.5%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 Saving Accounts, Current Accounts and Debit Card.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positive evolution of fees is also related to the behavior of banking transactions, which experienced an 11.6% increase QoQ and 18.7% YoY. In disaggregated terms, electronic channels and new channels such as cell-phone banking contributed significantly to this growth. It is important to point out that the volume of transactions made through alternative electronic channels continues to rise as clients migrate from traditional teller services. In this context, the volume of teller transactions fell -1.5% this quarter and -7.3% in yearly terms. The impact of this evolution is reflected in the transaction costs, which boost the margins for these operations.</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80" w:type="dxa"/>
            <w:vAlign w:val="bottom"/>
          </w:tcPr>
          <w:p>
            <w:pPr>
              <w:ind w:left="1040"/>
              <w:spacing w:after="0"/>
              <w:rPr>
                <w:sz w:val="20"/>
                <w:szCs w:val="20"/>
                <w:color w:val="auto"/>
              </w:rPr>
            </w:pPr>
            <w:r>
              <w:rPr>
                <w:rFonts w:ascii="Arial" w:cs="Arial" w:eastAsia="Arial" w:hAnsi="Arial"/>
                <w:sz w:val="18"/>
                <w:szCs w:val="18"/>
                <w:b w:val="1"/>
                <w:bCs w:val="1"/>
                <w:color w:val="auto"/>
              </w:rPr>
              <w:t>N° de Transactions per channel</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Average 4Q10</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Average 3Q10</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Average 4Q09</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98"/>
              </w:rPr>
              <w:t>4Q10 / 3Q10</w:t>
            </w: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4Q10 / 4Q09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Teller</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9,949,522</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10,105,034</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10,733,475</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ATMs Via BCP</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10,312,343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8,957,045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8,193,738</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Balance Inquiries</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3,468,512</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2,931,377</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2,593,456</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Telephone Banking</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1,752,561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1,592,501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1,641,981</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Internet Banking Via BCP</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12,815,523</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11,458,877</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10,466,538</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Agente BCP</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6,656,935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5,383,892</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4,614,103</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23.6%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Telecrédito</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5,397,323</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4,725,407</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4,424,750</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Mobile banking</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399,498</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303,147</w:t>
            </w:r>
          </w:p>
        </w:tc>
        <w:tc>
          <w:tcPr>
            <w:tcW w:w="1120" w:type="dxa"/>
            <w:vAlign w:val="bottom"/>
          </w:tcPr>
          <w:p>
            <w:pPr>
              <w:jc w:val="right"/>
              <w:spacing w:after="0"/>
              <w:rPr>
                <w:sz w:val="20"/>
                <w:szCs w:val="20"/>
                <w:color w:val="auto"/>
              </w:rPr>
            </w:pPr>
            <w:r>
              <w:rPr>
                <w:rFonts w:ascii="Arial" w:cs="Arial" w:eastAsia="Arial" w:hAnsi="Arial"/>
                <w:sz w:val="18"/>
                <w:szCs w:val="18"/>
                <w:color w:val="auto"/>
              </w:rPr>
              <w:t>152,191</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31.8%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Direct Debit</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450,729</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417,399</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401,154</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Points of Sale P.O.S.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4,768,425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4,273,894</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3,911,271</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Other ATMs network</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351,283</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333,604</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314,287</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Total transactions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56,322,654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50,482,176</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47,446,943</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11.6%</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i w:val="1"/>
          <w:iCs w:val="1"/>
          <w:color w:val="auto"/>
        </w:rPr>
        <w:t>Source: BCP</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BCP’s distribution channels (only in Peru) continue to grow. In 4Q10, the total number of points of contact grew 4.4%. This expansion was concentrated in growth in the number of BCP Agents, which continues to demonstrate the highest growth potential (+4.7% QoQ). Nevertheless, ATM growth remains high at 4.5% and new branch openings are once again on the rise. A YoY analysis shows that the total number of points of contact has increased by more than 800, which represents an expansion of 21%.</w:t>
      </w: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43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Balance as of</w:t>
            </w:r>
          </w:p>
        </w:tc>
        <w:tc>
          <w:tcPr>
            <w:tcW w:w="10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4"/>
              </w:rPr>
              <w:t>Change %</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320" w:type="dxa"/>
            <w:vAlign w:val="bottom"/>
          </w:tcPr>
          <w:p>
            <w:pPr>
              <w:spacing w:after="0"/>
              <w:rPr>
                <w:sz w:val="19"/>
                <w:szCs w:val="19"/>
                <w:color w:val="auto"/>
              </w:rPr>
            </w:pPr>
          </w:p>
        </w:tc>
        <w:tc>
          <w:tcPr>
            <w:tcW w:w="10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4Q10</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3Q10</w:t>
            </w:r>
          </w:p>
        </w:tc>
        <w:tc>
          <w:tcPr>
            <w:tcW w:w="180" w:type="dxa"/>
            <w:vAlign w:val="bottom"/>
          </w:tcPr>
          <w:p>
            <w:pPr>
              <w:spacing w:after="0"/>
              <w:rPr>
                <w:sz w:val="19"/>
                <w:szCs w:val="19"/>
                <w:color w:val="auto"/>
              </w:rPr>
            </w:pPr>
          </w:p>
        </w:tc>
        <w:tc>
          <w:tcPr>
            <w:tcW w:w="10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4Q09</w:t>
            </w:r>
          </w:p>
        </w:tc>
        <w:tc>
          <w:tcPr>
            <w:tcW w:w="200" w:type="dxa"/>
            <w:vAlign w:val="bottom"/>
          </w:tcPr>
          <w:p>
            <w:pPr>
              <w:spacing w:after="0"/>
              <w:rPr>
                <w:sz w:val="19"/>
                <w:szCs w:val="19"/>
                <w:color w:val="auto"/>
              </w:rPr>
            </w:pPr>
          </w:p>
        </w:tc>
        <w:tc>
          <w:tcPr>
            <w:tcW w:w="7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7"/>
              </w:rPr>
              <w:t>QoQ</w:t>
            </w:r>
          </w:p>
        </w:tc>
        <w:tc>
          <w:tcPr>
            <w:tcW w:w="3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YoY</w:t>
            </w:r>
          </w:p>
        </w:tc>
        <w:tc>
          <w:tcPr>
            <w:tcW w:w="160" w:type="dxa"/>
            <w:vAlign w:val="bottom"/>
          </w:tcPr>
          <w:p>
            <w:pPr>
              <w:spacing w:after="0"/>
              <w:rPr>
                <w:sz w:val="19"/>
                <w:szCs w:val="19"/>
                <w:color w:val="auto"/>
              </w:rPr>
            </w:pPr>
          </w:p>
        </w:tc>
      </w:tr>
      <w:tr>
        <w:trPr>
          <w:trHeight w:val="216"/>
        </w:trPr>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327</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324</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334</w:t>
            </w:r>
          </w:p>
        </w:tc>
        <w:tc>
          <w:tcPr>
            <w:tcW w:w="72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ATMs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1,159</w:t>
            </w:r>
          </w:p>
        </w:tc>
        <w:tc>
          <w:tcPr>
            <w:tcW w:w="1040" w:type="dxa"/>
            <w:vAlign w:val="bottom"/>
          </w:tcPr>
          <w:p>
            <w:pPr>
              <w:jc w:val="right"/>
              <w:spacing w:after="0"/>
              <w:rPr>
                <w:sz w:val="20"/>
                <w:szCs w:val="20"/>
                <w:color w:val="auto"/>
              </w:rPr>
            </w:pPr>
            <w:r>
              <w:rPr>
                <w:rFonts w:ascii="Arial" w:cs="Arial" w:eastAsia="Arial" w:hAnsi="Arial"/>
                <w:sz w:val="18"/>
                <w:szCs w:val="18"/>
                <w:color w:val="auto"/>
              </w:rPr>
              <w:t>1,109</w:t>
            </w: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996</w:t>
            </w:r>
          </w:p>
        </w:tc>
        <w:tc>
          <w:tcPr>
            <w:tcW w:w="7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r>
      <w:tr>
        <w:trPr>
          <w:trHeight w:val="216"/>
        </w:trPr>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Agentes BCP</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3,513</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3,354</w:t>
            </w: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2,801</w:t>
            </w:r>
          </w:p>
        </w:tc>
        <w:tc>
          <w:tcPr>
            <w:tcW w:w="72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25.4%</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4,999</w:t>
            </w:r>
          </w:p>
        </w:tc>
        <w:tc>
          <w:tcPr>
            <w:tcW w:w="1040" w:type="dxa"/>
            <w:vAlign w:val="bottom"/>
          </w:tcPr>
          <w:p>
            <w:pPr>
              <w:jc w:val="right"/>
              <w:spacing w:after="0"/>
              <w:rPr>
                <w:sz w:val="20"/>
                <w:szCs w:val="20"/>
                <w:color w:val="auto"/>
              </w:rPr>
            </w:pPr>
            <w:r>
              <w:rPr>
                <w:rFonts w:ascii="Arial" w:cs="Arial" w:eastAsia="Arial" w:hAnsi="Arial"/>
                <w:sz w:val="18"/>
                <w:szCs w:val="18"/>
                <w:color w:val="auto"/>
              </w:rPr>
              <w:t>4,787</w:t>
            </w:r>
          </w:p>
        </w:tc>
        <w:tc>
          <w:tcPr>
            <w:tcW w:w="1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4,131</w:t>
            </w:r>
          </w:p>
        </w:tc>
        <w:tc>
          <w:tcPr>
            <w:tcW w:w="72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r>
    </w:tbl>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Source: BCP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II.6 Operating Expenses and Efficiency</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After three consecutive quarters of improvements, the increase in spending in 4Q10 led to an increase in the efficiency ratio, which rose to 50.9%. This level represents the highest point of the new range within which the efficiency ratio should move after implementing a series of measures.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tcPr>
          <w:p>
            <w:pPr>
              <w:ind w:left="680"/>
              <w:spacing w:after="0"/>
              <w:rPr>
                <w:sz w:val="20"/>
                <w:szCs w:val="20"/>
                <w:color w:val="auto"/>
              </w:rPr>
            </w:pPr>
            <w:r>
              <w:rPr>
                <w:rFonts w:ascii="Arial" w:cs="Arial" w:eastAsia="Arial" w:hAnsi="Arial"/>
                <w:sz w:val="14"/>
                <w:szCs w:val="14"/>
                <w:b w:val="1"/>
                <w:bCs w:val="1"/>
                <w:color w:val="auto"/>
              </w:rPr>
              <w:t>Change %</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Year to date</w:t>
            </w: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Change %</w:t>
            </w:r>
          </w:p>
        </w:tc>
        <w:tc>
          <w:tcPr>
            <w:tcW w:w="0" w:type="dxa"/>
            <w:vAlign w:val="bottom"/>
          </w:tcPr>
          <w:p>
            <w:pPr>
              <w:spacing w:after="0"/>
              <w:rPr>
                <w:sz w:val="1"/>
                <w:szCs w:val="1"/>
                <w:color w:val="auto"/>
              </w:rPr>
            </w:pPr>
          </w:p>
        </w:tc>
      </w:tr>
      <w:tr>
        <w:trPr>
          <w:trHeight w:val="149"/>
        </w:trPr>
        <w:tc>
          <w:tcPr>
            <w:tcW w:w="216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US$ 000</w:t>
            </w:r>
          </w:p>
        </w:tc>
        <w:tc>
          <w:tcPr>
            <w:tcW w:w="12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4Q10</w:t>
            </w:r>
          </w:p>
        </w:tc>
        <w:tc>
          <w:tcPr>
            <w:tcW w:w="1140" w:type="dxa"/>
            <w:vAlign w:val="bottom"/>
            <w:tcBorders>
              <w:top w:val="single" w:sz="8" w:color="auto"/>
            </w:tcBorders>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3Q10</w:t>
            </w:r>
          </w:p>
        </w:tc>
        <w:tc>
          <w:tcPr>
            <w:tcW w:w="900" w:type="dxa"/>
            <w:vAlign w:val="bottom"/>
            <w:tcBorders>
              <w:top w:val="single" w:sz="8" w:color="auto"/>
            </w:tcBorders>
          </w:tcPr>
          <w:p>
            <w:pPr>
              <w:jc w:val="right"/>
              <w:ind w:right="228"/>
              <w:spacing w:after="0" w:line="149" w:lineRule="exact"/>
              <w:rPr>
                <w:sz w:val="20"/>
                <w:szCs w:val="20"/>
                <w:color w:val="auto"/>
              </w:rPr>
            </w:pPr>
            <w:r>
              <w:rPr>
                <w:rFonts w:ascii="Arial" w:cs="Arial" w:eastAsia="Arial" w:hAnsi="Arial"/>
                <w:sz w:val="14"/>
                <w:szCs w:val="14"/>
                <w:b w:val="1"/>
                <w:bCs w:val="1"/>
                <w:color w:val="auto"/>
              </w:rPr>
              <w:t>4Q09</w:t>
            </w:r>
          </w:p>
        </w:tc>
        <w:tc>
          <w:tcPr>
            <w:tcW w:w="240" w:type="dxa"/>
            <w:vAlign w:val="bottom"/>
          </w:tcPr>
          <w:p>
            <w:pPr>
              <w:spacing w:after="0"/>
              <w:rPr>
                <w:sz w:val="12"/>
                <w:szCs w:val="12"/>
                <w:color w:val="auto"/>
              </w:rPr>
            </w:pPr>
          </w:p>
        </w:tc>
        <w:tc>
          <w:tcPr>
            <w:tcW w:w="1400" w:type="dxa"/>
            <w:vAlign w:val="bottom"/>
            <w:tcBorders>
              <w:top w:val="single" w:sz="8" w:color="auto"/>
            </w:tcBorders>
            <w:gridSpan w:val="3"/>
          </w:tcPr>
          <w:p>
            <w:pPr>
              <w:ind w:left="300"/>
              <w:spacing w:after="0" w:line="149" w:lineRule="exact"/>
              <w:rPr>
                <w:sz w:val="20"/>
                <w:szCs w:val="20"/>
                <w:color w:val="auto"/>
              </w:rPr>
            </w:pPr>
            <w:r>
              <w:rPr>
                <w:rFonts w:ascii="Arial" w:cs="Arial" w:eastAsia="Arial" w:hAnsi="Arial"/>
                <w:sz w:val="14"/>
                <w:szCs w:val="14"/>
                <w:b w:val="1"/>
                <w:bCs w:val="1"/>
                <w:color w:val="auto"/>
              </w:rPr>
              <w:t>QoQ</w:t>
            </w:r>
          </w:p>
        </w:tc>
        <w:tc>
          <w:tcPr>
            <w:tcW w:w="620" w:type="dxa"/>
            <w:vAlign w:val="bottom"/>
            <w:tcBorders>
              <w:top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Dec. 10</w:t>
            </w:r>
          </w:p>
        </w:tc>
        <w:tc>
          <w:tcPr>
            <w:tcW w:w="900" w:type="dxa"/>
            <w:vAlign w:val="bottom"/>
            <w:tcBorders>
              <w:top w:val="single" w:sz="8" w:color="auto"/>
            </w:tcBorders>
          </w:tcPr>
          <w:p>
            <w:pPr>
              <w:jc w:val="right"/>
              <w:ind w:right="148"/>
              <w:spacing w:after="0" w:line="149" w:lineRule="exact"/>
              <w:rPr>
                <w:sz w:val="20"/>
                <w:szCs w:val="20"/>
                <w:color w:val="auto"/>
              </w:rPr>
            </w:pPr>
            <w:r>
              <w:rPr>
                <w:rFonts w:ascii="Arial" w:cs="Arial" w:eastAsia="Arial" w:hAnsi="Arial"/>
                <w:sz w:val="14"/>
                <w:szCs w:val="14"/>
                <w:b w:val="1"/>
                <w:bCs w:val="1"/>
                <w:color w:val="auto"/>
              </w:rPr>
              <w:t>Dec. 09</w:t>
            </w:r>
          </w:p>
        </w:tc>
        <w:tc>
          <w:tcPr>
            <w:tcW w:w="26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Dec. 10 / Dec. 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Salaries and employees benefits</w:t>
            </w: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105,187</w:t>
            </w: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95,404</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89,486</w:t>
            </w: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10.3%</w:t>
            </w:r>
          </w:p>
        </w:tc>
        <w:tc>
          <w:tcPr>
            <w:tcW w:w="2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17.5%</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389,997</w:t>
            </w:r>
          </w:p>
        </w:tc>
        <w:tc>
          <w:tcPr>
            <w:tcW w:w="116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328,469</w:t>
            </w:r>
          </w:p>
        </w:tc>
        <w:tc>
          <w:tcPr>
            <w:tcW w:w="11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spacing w:after="0" w:line="130" w:lineRule="exact"/>
              <w:rPr>
                <w:sz w:val="20"/>
                <w:szCs w:val="20"/>
                <w:color w:val="auto"/>
              </w:rPr>
            </w:pPr>
            <w:r>
              <w:rPr>
                <w:rFonts w:ascii="Arial" w:cs="Arial" w:eastAsia="Arial" w:hAnsi="Arial"/>
                <w:sz w:val="14"/>
                <w:szCs w:val="14"/>
                <w:color w:val="auto"/>
              </w:rPr>
              <w:t>Administrative, general and tax</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gridSpan w:val="2"/>
          </w:tcPr>
          <w:p>
            <w:pPr>
              <w:spacing w:after="0"/>
              <w:rPr>
                <w:sz w:val="20"/>
                <w:szCs w:val="20"/>
                <w:color w:val="auto"/>
              </w:rPr>
            </w:pPr>
            <w:r>
              <w:rPr>
                <w:rFonts w:ascii="Arial" w:cs="Arial" w:eastAsia="Arial" w:hAnsi="Arial"/>
                <w:sz w:val="14"/>
                <w:szCs w:val="14"/>
                <w:color w:val="auto"/>
              </w:rPr>
              <w:t>expenses</w:t>
            </w:r>
          </w:p>
        </w:tc>
        <w:tc>
          <w:tcPr>
            <w:tcW w:w="1260" w:type="dxa"/>
            <w:vAlign w:val="bottom"/>
            <w:gridSpan w:val="3"/>
          </w:tcPr>
          <w:p>
            <w:pPr>
              <w:jc w:val="right"/>
              <w:ind w:right="260"/>
              <w:spacing w:after="0"/>
              <w:rPr>
                <w:sz w:val="20"/>
                <w:szCs w:val="20"/>
                <w:color w:val="auto"/>
              </w:rPr>
            </w:pPr>
            <w:r>
              <w:rPr>
                <w:rFonts w:ascii="Arial" w:cs="Arial" w:eastAsia="Arial" w:hAnsi="Arial"/>
                <w:sz w:val="14"/>
                <w:szCs w:val="14"/>
                <w:color w:val="auto"/>
              </w:rPr>
              <w:t>81,579</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67,549</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79,622</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20.8%</w:t>
            </w:r>
          </w:p>
        </w:tc>
        <w:tc>
          <w:tcPr>
            <w:tcW w:w="2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2.5%</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282,779</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266,363</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Depreciation and amortizacion</w:t>
            </w:r>
          </w:p>
        </w:tc>
        <w:tc>
          <w:tcPr>
            <w:tcW w:w="126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18,796</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17,392</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16,153</w:t>
            </w: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8.1%</w:t>
            </w:r>
          </w:p>
        </w:tc>
        <w:tc>
          <w:tcPr>
            <w:tcW w:w="2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16.4%</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69,448</w:t>
            </w:r>
          </w:p>
        </w:tc>
        <w:tc>
          <w:tcPr>
            <w:tcW w:w="116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58,709</w:t>
            </w:r>
          </w:p>
        </w:tc>
        <w:tc>
          <w:tcPr>
            <w:tcW w:w="11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Other expenses</w:t>
            </w: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9,251</w:t>
            </w:r>
          </w:p>
        </w:tc>
        <w:tc>
          <w:tcPr>
            <w:tcW w:w="26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4,406</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12,695</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110.0%</w:t>
            </w:r>
          </w:p>
        </w:tc>
        <w:tc>
          <w:tcPr>
            <w:tcW w:w="2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-27.1%</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25,853</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38,882</w:t>
            </w:r>
          </w:p>
        </w:tc>
        <w:tc>
          <w:tcPr>
            <w:tcW w:w="1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214,813</w:t>
            </w: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184,751</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197,956</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16.3%</w:t>
            </w:r>
          </w:p>
        </w:tc>
        <w:tc>
          <w:tcPr>
            <w:tcW w:w="2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8.5%</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768,077</w:t>
            </w:r>
          </w:p>
        </w:tc>
        <w:tc>
          <w:tcPr>
            <w:tcW w:w="116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692,423</w:t>
            </w:r>
          </w:p>
        </w:tc>
        <w:tc>
          <w:tcPr>
            <w:tcW w:w="11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CCFFCC"/>
            </w:tcBorders>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b w:val="1"/>
                <w:bCs w:val="1"/>
                <w:color w:val="auto"/>
              </w:rPr>
              <w:t>Efficiency ratio</w:t>
            </w:r>
          </w:p>
        </w:tc>
        <w:tc>
          <w:tcPr>
            <w:tcW w:w="12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50.9%</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46.3%</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53.8%</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49.1%</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51.9%</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Operating expenses demonstrated a significant increase this quarter, expanding 16.3% QoQ due to the seasonal effects which in the past have shown growth of around 19% in the 4</w:t>
      </w:r>
      <w:r>
        <w:rPr>
          <w:rFonts w:ascii="Arial" w:cs="Arial" w:eastAsia="Arial" w:hAnsi="Arial"/>
          <w:sz w:val="25"/>
          <w:szCs w:val="25"/>
          <w:color w:val="auto"/>
          <w:vertAlign w:val="superscript"/>
        </w:rPr>
        <w:t>th</w:t>
      </w:r>
      <w:r>
        <w:rPr>
          <w:rFonts w:ascii="Arial" w:cs="Arial" w:eastAsia="Arial" w:hAnsi="Arial"/>
          <w:sz w:val="18"/>
          <w:szCs w:val="18"/>
          <w:color w:val="auto"/>
        </w:rPr>
        <w:t>Qs when compared to the average expenses of the 3 first quarters. This strong increase is seen in salaries and employee benefits as well as administrative expenses and others.</w:t>
      </w:r>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salaries and employee benefits is due in part to higher variable remuneration and incentive compensation programs, which correspond to strong portfolio growth this quarter as well as increases in salary levels due to market competitive pressures, all of which led to a quarterly expansion of 10.3%.</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Administrative expenses grew 20% QoQ due to higher expenses for marketing, consultancy, legal expenses and systems, which are affected by seasonal components present at the end of each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Next, we will provide details on administrative expenses and their quarterly variations: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40" w:type="dxa"/>
            <w:vAlign w:val="bottom"/>
            <w:gridSpan w:val="2"/>
          </w:tcPr>
          <w:p>
            <w:pPr>
              <w:spacing w:after="0"/>
              <w:rPr>
                <w:sz w:val="20"/>
                <w:szCs w:val="20"/>
                <w:color w:val="auto"/>
              </w:rPr>
            </w:pPr>
            <w:r>
              <w:rPr>
                <w:rFonts w:ascii="Arial" w:cs="Arial" w:eastAsia="Arial" w:hAnsi="Arial"/>
                <w:sz w:val="14"/>
                <w:szCs w:val="14"/>
                <w:b w:val="1"/>
                <w:bCs w:val="1"/>
                <w:color w:val="auto"/>
                <w:w w:val="91"/>
              </w:rPr>
              <w:t>Administrative Expenses</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3"/>
          </w:tcPr>
          <w:p>
            <w:pPr>
              <w:ind w:left="560"/>
              <w:spacing w:after="0"/>
              <w:rPr>
                <w:sz w:val="20"/>
                <w:szCs w:val="20"/>
                <w:color w:val="auto"/>
              </w:rPr>
            </w:pPr>
            <w:r>
              <w:rPr>
                <w:rFonts w:ascii="Arial" w:cs="Arial" w:eastAsia="Arial" w:hAnsi="Arial"/>
                <w:sz w:val="14"/>
                <w:szCs w:val="14"/>
                <w:b w:val="1"/>
                <w:bCs w:val="1"/>
                <w:color w:val="auto"/>
                <w:w w:val="98"/>
              </w:rPr>
              <w:t>Quarter</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Change %</w:t>
            </w:r>
          </w:p>
        </w:tc>
        <w:tc>
          <w:tcPr>
            <w:tcW w:w="17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 to date</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49"/>
        </w:trPr>
        <w:tc>
          <w:tcPr>
            <w:tcW w:w="154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US$ (000)</w:t>
            </w:r>
          </w:p>
        </w:tc>
        <w:tc>
          <w:tcPr>
            <w:tcW w:w="80" w:type="dxa"/>
            <w:vAlign w:val="bottom"/>
          </w:tcPr>
          <w:p>
            <w:pPr>
              <w:spacing w:after="0"/>
              <w:rPr>
                <w:sz w:val="12"/>
                <w:szCs w:val="12"/>
                <w:color w:val="auto"/>
              </w:rPr>
            </w:pPr>
          </w:p>
        </w:tc>
        <w:tc>
          <w:tcPr>
            <w:tcW w:w="820" w:type="dxa"/>
            <w:vAlign w:val="bottom"/>
            <w:tcBorders>
              <w:top w:val="single" w:sz="8" w:color="auto"/>
            </w:tcBorders>
            <w:gridSpan w:val="2"/>
          </w:tcPr>
          <w:p>
            <w:pPr>
              <w:ind w:left="160"/>
              <w:spacing w:after="0" w:line="149" w:lineRule="exact"/>
              <w:rPr>
                <w:sz w:val="20"/>
                <w:szCs w:val="20"/>
                <w:color w:val="auto"/>
              </w:rPr>
            </w:pPr>
            <w:r>
              <w:rPr>
                <w:rFonts w:ascii="Arial" w:cs="Arial" w:eastAsia="Arial" w:hAnsi="Arial"/>
                <w:sz w:val="14"/>
                <w:szCs w:val="14"/>
                <w:b w:val="1"/>
                <w:bCs w:val="1"/>
                <w:color w:val="auto"/>
              </w:rPr>
              <w:t>4Q10</w:t>
            </w:r>
          </w:p>
        </w:tc>
        <w:tc>
          <w:tcPr>
            <w:tcW w:w="620" w:type="dxa"/>
            <w:vAlign w:val="bottom"/>
            <w:tcBorders>
              <w:top w:val="single" w:sz="8" w:color="auto"/>
            </w:tcBorders>
          </w:tcPr>
          <w:p>
            <w:pPr>
              <w:jc w:val="right"/>
              <w:ind w:right="168"/>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ind w:left="140"/>
              <w:spacing w:after="0" w:line="149" w:lineRule="exact"/>
              <w:rPr>
                <w:sz w:val="20"/>
                <w:szCs w:val="20"/>
                <w:color w:val="auto"/>
              </w:rPr>
            </w:pPr>
            <w:r>
              <w:rPr>
                <w:rFonts w:ascii="Arial" w:cs="Arial" w:eastAsia="Arial" w:hAnsi="Arial"/>
                <w:sz w:val="14"/>
                <w:szCs w:val="14"/>
                <w:b w:val="1"/>
                <w:bCs w:val="1"/>
                <w:color w:val="auto"/>
              </w:rPr>
              <w:t>3Q10</w:t>
            </w:r>
          </w:p>
        </w:tc>
        <w:tc>
          <w:tcPr>
            <w:tcW w:w="420" w:type="dxa"/>
            <w:vAlign w:val="bottom"/>
            <w:tcBorders>
              <w:top w:val="single" w:sz="8" w:color="auto"/>
            </w:tcBorders>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ind w:left="160"/>
              <w:spacing w:after="0" w:line="149" w:lineRule="exact"/>
              <w:rPr>
                <w:sz w:val="20"/>
                <w:szCs w:val="20"/>
                <w:color w:val="auto"/>
              </w:rPr>
            </w:pPr>
            <w:r>
              <w:rPr>
                <w:rFonts w:ascii="Arial" w:cs="Arial" w:eastAsia="Arial" w:hAnsi="Arial"/>
                <w:sz w:val="14"/>
                <w:szCs w:val="14"/>
                <w:b w:val="1"/>
                <w:bCs w:val="1"/>
                <w:color w:val="auto"/>
              </w:rPr>
              <w:t>4Q09</w:t>
            </w:r>
          </w:p>
        </w:tc>
        <w:tc>
          <w:tcPr>
            <w:tcW w:w="660" w:type="dxa"/>
            <w:vAlign w:val="bottom"/>
            <w:tcBorders>
              <w:top w:val="single" w:sz="8" w:color="auto"/>
            </w:tcBorders>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4Q10 / 3Q10</w:t>
            </w:r>
          </w:p>
        </w:tc>
        <w:tc>
          <w:tcPr>
            <w:tcW w:w="7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2"/>
              </w:rPr>
              <w:t>4Q10 / 4Q09</w:t>
            </w:r>
          </w:p>
        </w:tc>
        <w:tc>
          <w:tcPr>
            <w:tcW w:w="26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Dec 10</w:t>
            </w:r>
          </w:p>
        </w:tc>
        <w:tc>
          <w:tcPr>
            <w:tcW w:w="680" w:type="dxa"/>
            <w:vAlign w:val="bottom"/>
            <w:tcBorders>
              <w:top w:val="single" w:sz="8" w:color="auto"/>
            </w:tcBorders>
          </w:tcPr>
          <w:p>
            <w:pPr>
              <w:jc w:val="right"/>
              <w:ind w:right="68"/>
              <w:spacing w:after="0" w:line="149" w:lineRule="exact"/>
              <w:rPr>
                <w:sz w:val="20"/>
                <w:szCs w:val="20"/>
                <w:color w:val="auto"/>
              </w:rPr>
            </w:pPr>
            <w:r>
              <w:rPr>
                <w:rFonts w:ascii="Arial" w:cs="Arial" w:eastAsia="Arial" w:hAnsi="Arial"/>
                <w:sz w:val="14"/>
                <w:szCs w:val="14"/>
                <w:b w:val="1"/>
                <w:bCs w:val="1"/>
                <w:color w:val="auto"/>
              </w:rPr>
              <w:t>Dec 09</w:t>
            </w: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89"/>
              </w:rPr>
              <w:t>2010 / 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Marketing</w:t>
            </w:r>
          </w:p>
        </w:tc>
        <w:tc>
          <w:tcPr>
            <w:tcW w:w="8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11,291</w:t>
            </w:r>
          </w:p>
        </w:tc>
        <w:tc>
          <w:tcPr>
            <w:tcW w:w="200" w:type="dxa"/>
            <w:vAlign w:val="bottom"/>
            <w:tcBorders>
              <w:left w:val="single" w:sz="8" w:color="CCFFCC"/>
            </w:tcBorders>
            <w:shd w:val="clear" w:color="auto" w:fill="CCFFCC"/>
          </w:tcPr>
          <w:p>
            <w:pPr>
              <w:spacing w:after="0"/>
              <w:rPr>
                <w:sz w:val="12"/>
                <w:szCs w:val="12"/>
                <w:color w:val="auto"/>
              </w:rPr>
            </w:pPr>
          </w:p>
        </w:tc>
        <w:tc>
          <w:tcPr>
            <w:tcW w:w="8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13.8%</w:t>
            </w:r>
          </w:p>
        </w:tc>
        <w:tc>
          <w:tcPr>
            <w:tcW w:w="8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8,815</w:t>
            </w:r>
          </w:p>
        </w:tc>
        <w:tc>
          <w:tcPr>
            <w:tcW w:w="24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12.0%</w:t>
            </w:r>
          </w:p>
        </w:tc>
        <w:tc>
          <w:tcPr>
            <w:tcW w:w="8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11,152</w:t>
            </w:r>
          </w:p>
        </w:tc>
        <w:tc>
          <w:tcPr>
            <w:tcW w:w="880" w:type="dxa"/>
            <w:vAlign w:val="bottom"/>
            <w:tcBorders>
              <w:right w:val="single" w:sz="8" w:color="CCFFCC"/>
            </w:tcBorders>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14.0%</w:t>
            </w:r>
          </w:p>
        </w:tc>
        <w:tc>
          <w:tcPr>
            <w:tcW w:w="10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28.1%</w:t>
            </w:r>
          </w:p>
        </w:tc>
        <w:tc>
          <w:tcPr>
            <w:tcW w:w="10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33,547</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30,473</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Systems</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10,384</w:t>
            </w:r>
          </w:p>
        </w:tc>
        <w:tc>
          <w:tcPr>
            <w:tcW w:w="2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12.7%</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9,270</w:t>
            </w:r>
          </w:p>
        </w:tc>
        <w:tc>
          <w:tcPr>
            <w:tcW w:w="2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11.8%</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8,351</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10.5%</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12.0%</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24.3%</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37,000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34,563</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Transport</w:t>
            </w: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6,213</w:t>
            </w:r>
          </w:p>
        </w:tc>
        <w:tc>
          <w:tcPr>
            <w:tcW w:w="200" w:type="dxa"/>
            <w:vAlign w:val="bottom"/>
            <w:tcBorders>
              <w:left w:val="single" w:sz="8" w:color="CCFFCC"/>
            </w:tcBorders>
            <w:shd w:val="clear" w:color="auto" w:fill="CCFFCC"/>
          </w:tcPr>
          <w:p>
            <w:pPr>
              <w:spacing w:after="0"/>
              <w:rPr>
                <w:sz w:val="12"/>
                <w:szCs w:val="12"/>
                <w:color w:val="auto"/>
              </w:rPr>
            </w:pPr>
          </w:p>
        </w:tc>
        <w:tc>
          <w:tcPr>
            <w:tcW w:w="8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7.6%</w:t>
            </w:r>
          </w:p>
        </w:tc>
        <w:tc>
          <w:tcPr>
            <w:tcW w:w="8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6,057</w:t>
            </w:r>
          </w:p>
        </w:tc>
        <w:tc>
          <w:tcPr>
            <w:tcW w:w="24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8.1%</w:t>
            </w:r>
          </w:p>
        </w:tc>
        <w:tc>
          <w:tcPr>
            <w:tcW w:w="8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6,342</w:t>
            </w:r>
          </w:p>
        </w:tc>
        <w:tc>
          <w:tcPr>
            <w:tcW w:w="880" w:type="dxa"/>
            <w:vAlign w:val="bottom"/>
            <w:tcBorders>
              <w:right w:val="single" w:sz="8" w:color="CCFFCC"/>
            </w:tcBorders>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8.0%</w:t>
            </w:r>
          </w:p>
        </w:tc>
        <w:tc>
          <w:tcPr>
            <w:tcW w:w="10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10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23,745</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21,995</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Maintenance</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3,579</w:t>
            </w:r>
          </w:p>
        </w:tc>
        <w:tc>
          <w:tcPr>
            <w:tcW w:w="2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2,971</w:t>
            </w:r>
          </w:p>
        </w:tc>
        <w:tc>
          <w:tcPr>
            <w:tcW w:w="2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5,272</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20.5%</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-32.1%</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11,755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13,767</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Communications</w:t>
            </w: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4,337</w:t>
            </w:r>
          </w:p>
        </w:tc>
        <w:tc>
          <w:tcPr>
            <w:tcW w:w="200" w:type="dxa"/>
            <w:vAlign w:val="bottom"/>
            <w:tcBorders>
              <w:left w:val="single" w:sz="8" w:color="CCFFCC"/>
            </w:tcBorders>
            <w:shd w:val="clear" w:color="auto" w:fill="CCFFCC"/>
          </w:tcPr>
          <w:p>
            <w:pPr>
              <w:spacing w:after="0"/>
              <w:rPr>
                <w:sz w:val="12"/>
                <w:szCs w:val="12"/>
                <w:color w:val="auto"/>
              </w:rPr>
            </w:pPr>
          </w:p>
        </w:tc>
        <w:tc>
          <w:tcPr>
            <w:tcW w:w="8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5.3%</w:t>
            </w:r>
          </w:p>
        </w:tc>
        <w:tc>
          <w:tcPr>
            <w:tcW w:w="8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3,857</w:t>
            </w:r>
          </w:p>
        </w:tc>
        <w:tc>
          <w:tcPr>
            <w:tcW w:w="24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7.0%</w:t>
            </w:r>
          </w:p>
        </w:tc>
        <w:tc>
          <w:tcPr>
            <w:tcW w:w="8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3,575</w:t>
            </w:r>
          </w:p>
        </w:tc>
        <w:tc>
          <w:tcPr>
            <w:tcW w:w="880" w:type="dxa"/>
            <w:vAlign w:val="bottom"/>
            <w:tcBorders>
              <w:right w:val="single" w:sz="8" w:color="CCFFCC"/>
            </w:tcBorders>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4.5%</w:t>
            </w:r>
          </w:p>
        </w:tc>
        <w:tc>
          <w:tcPr>
            <w:tcW w:w="10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12.4%</w:t>
            </w:r>
          </w:p>
        </w:tc>
        <w:tc>
          <w:tcPr>
            <w:tcW w:w="10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21.3%</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16,539</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13,022</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Consulting</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4,928</w:t>
            </w:r>
          </w:p>
        </w:tc>
        <w:tc>
          <w:tcPr>
            <w:tcW w:w="2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3,076</w:t>
            </w:r>
          </w:p>
        </w:tc>
        <w:tc>
          <w:tcPr>
            <w:tcW w:w="2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7,344</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60.2%</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14,729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21,030</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Others</w:t>
            </w: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21,958</w:t>
            </w:r>
          </w:p>
        </w:tc>
        <w:tc>
          <w:tcPr>
            <w:tcW w:w="200" w:type="dxa"/>
            <w:vAlign w:val="bottom"/>
            <w:tcBorders>
              <w:left w:val="single" w:sz="8" w:color="CCFFCC"/>
            </w:tcBorders>
            <w:shd w:val="clear" w:color="auto" w:fill="CCFFCC"/>
          </w:tcPr>
          <w:p>
            <w:pPr>
              <w:spacing w:after="0"/>
              <w:rPr>
                <w:sz w:val="12"/>
                <w:szCs w:val="12"/>
                <w:color w:val="auto"/>
              </w:rPr>
            </w:pPr>
          </w:p>
        </w:tc>
        <w:tc>
          <w:tcPr>
            <w:tcW w:w="8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26.9%</w:t>
            </w:r>
          </w:p>
        </w:tc>
        <w:tc>
          <w:tcPr>
            <w:tcW w:w="8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17,621</w:t>
            </w:r>
          </w:p>
        </w:tc>
        <w:tc>
          <w:tcPr>
            <w:tcW w:w="24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28.4%</w:t>
            </w:r>
          </w:p>
        </w:tc>
        <w:tc>
          <w:tcPr>
            <w:tcW w:w="8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21,457</w:t>
            </w:r>
          </w:p>
        </w:tc>
        <w:tc>
          <w:tcPr>
            <w:tcW w:w="880" w:type="dxa"/>
            <w:vAlign w:val="bottom"/>
            <w:tcBorders>
              <w:right w:val="single" w:sz="8" w:color="CCFFCC"/>
            </w:tcBorders>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26.9%</w:t>
            </w:r>
          </w:p>
        </w:tc>
        <w:tc>
          <w:tcPr>
            <w:tcW w:w="10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24.6%</w:t>
            </w:r>
          </w:p>
        </w:tc>
        <w:tc>
          <w:tcPr>
            <w:tcW w:w="10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2.3%</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78,794</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77,871</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Taxes and contributions</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7,946</w:t>
            </w:r>
          </w:p>
        </w:tc>
        <w:tc>
          <w:tcPr>
            <w:tcW w:w="2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9.7%</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6,635</w:t>
            </w:r>
          </w:p>
        </w:tc>
        <w:tc>
          <w:tcPr>
            <w:tcW w:w="2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10.3%</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5,813</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19.8%</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28,283</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23,877</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Other subsidiaries and</w:t>
            </w:r>
          </w:p>
        </w:tc>
        <w:tc>
          <w:tcPr>
            <w:tcW w:w="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200" w:type="dxa"/>
            <w:vAlign w:val="bottom"/>
            <w:tcBorders>
              <w:left w:val="single" w:sz="8" w:color="CCFFCC"/>
            </w:tcBorders>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tcBorders>
              <w:right w:val="single" w:sz="8" w:color="CCFFCC"/>
            </w:tcBorders>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20" w:type="dxa"/>
            <w:vAlign w:val="bottom"/>
            <w:shd w:val="clear" w:color="auto" w:fill="CCFFCC"/>
          </w:tcPr>
          <w:p>
            <w:pPr>
              <w:spacing w:after="0"/>
              <w:rPr>
                <w:sz w:val="20"/>
                <w:szCs w:val="20"/>
                <w:color w:val="auto"/>
              </w:rPr>
            </w:pPr>
            <w:r>
              <w:rPr>
                <w:rFonts w:ascii="Arial" w:cs="Arial" w:eastAsia="Arial" w:hAnsi="Arial"/>
                <w:sz w:val="14"/>
                <w:szCs w:val="14"/>
                <w:color w:val="auto"/>
              </w:rPr>
              <w:t>eliminations, net</w:t>
            </w:r>
          </w:p>
        </w:tc>
        <w:tc>
          <w:tcPr>
            <w:tcW w:w="80" w:type="dxa"/>
            <w:vAlign w:val="bottom"/>
            <w:shd w:val="clear" w:color="auto" w:fill="CCFFCC"/>
          </w:tcPr>
          <w:p>
            <w:pPr>
              <w:spacing w:after="0"/>
              <w:rPr>
                <w:sz w:val="14"/>
                <w:szCs w:val="14"/>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10,943</w:t>
            </w:r>
          </w:p>
        </w:tc>
        <w:tc>
          <w:tcPr>
            <w:tcW w:w="200" w:type="dxa"/>
            <w:vAlign w:val="bottom"/>
            <w:tcBorders>
              <w:left w:val="single" w:sz="8" w:color="CCFFCC"/>
            </w:tcBorders>
            <w:shd w:val="clear" w:color="auto" w:fill="CCFFCC"/>
          </w:tcPr>
          <w:p>
            <w:pPr>
              <w:spacing w:after="0"/>
              <w:rPr>
                <w:sz w:val="14"/>
                <w:szCs w:val="14"/>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13.4%</w:t>
            </w:r>
          </w:p>
        </w:tc>
        <w:tc>
          <w:tcPr>
            <w:tcW w:w="8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9,247</w:t>
            </w:r>
          </w:p>
        </w:tc>
        <w:tc>
          <w:tcPr>
            <w:tcW w:w="24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12.1%</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10,318</w:t>
            </w:r>
          </w:p>
        </w:tc>
        <w:tc>
          <w:tcPr>
            <w:tcW w:w="8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13.0%</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18.3%</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6.1%</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38,388</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29,765</w:t>
            </w:r>
          </w:p>
        </w:tc>
        <w:tc>
          <w:tcPr>
            <w:tcW w:w="82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2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left w:val="single" w:sz="8" w:color="CCFFCC"/>
            </w:tcBorders>
            <w:shd w:val="clear" w:color="auto" w:fill="CCFFC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Borders>
              <w:right w:val="single" w:sz="8" w:color="CCFFCC"/>
            </w:tcBorders>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1520" w:type="dxa"/>
            <w:vAlign w:val="bottom"/>
          </w:tcPr>
          <w:p>
            <w:pPr>
              <w:spacing w:after="0" w:line="126" w:lineRule="exact"/>
              <w:rPr>
                <w:sz w:val="20"/>
                <w:szCs w:val="20"/>
                <w:color w:val="auto"/>
              </w:rPr>
            </w:pPr>
            <w:r>
              <w:rPr>
                <w:rFonts w:ascii="Arial" w:cs="Arial" w:eastAsia="Arial" w:hAnsi="Arial"/>
                <w:sz w:val="14"/>
                <w:szCs w:val="14"/>
                <w:b w:val="1"/>
                <w:bCs w:val="1"/>
                <w:color w:val="auto"/>
              </w:rPr>
              <w:t>Total Administrative</w:t>
            </w:r>
          </w:p>
        </w:tc>
        <w:tc>
          <w:tcPr>
            <w:tcW w:w="80" w:type="dxa"/>
            <w:vAlign w:val="bottom"/>
            <w:vMerge w:val="restart"/>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81,579</w:t>
            </w: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67,549</w:t>
            </w:r>
          </w:p>
        </w:tc>
        <w:tc>
          <w:tcPr>
            <w:tcW w:w="24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100.0%</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79,622</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20.8%</w:t>
            </w: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2.5%</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282,779</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266,363</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6.2%</w:t>
            </w:r>
          </w:p>
        </w:tc>
        <w:tc>
          <w:tcPr>
            <w:tcW w:w="0" w:type="dxa"/>
            <w:vAlign w:val="bottom"/>
          </w:tcPr>
          <w:p>
            <w:pPr>
              <w:spacing w:after="0"/>
              <w:rPr>
                <w:sz w:val="1"/>
                <w:szCs w:val="1"/>
                <w:color w:val="auto"/>
              </w:rPr>
            </w:pPr>
          </w:p>
        </w:tc>
      </w:tr>
      <w:tr>
        <w:trPr>
          <w:trHeight w:val="171"/>
        </w:trPr>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Expenses</w:t>
            </w:r>
          </w:p>
        </w:tc>
        <w:tc>
          <w:tcPr>
            <w:tcW w:w="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8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10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II.7 Shareholders’ Equity and Regulatory Capital</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significant expansion in loans increased capital requirements to cover credit risk capital requirement, which in turn translated into a BIS ratio of 12.8%.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Additionally, ROAE experienced a contraction this quarter due to lower earnings and growth in net shareholders’ equity.</w:t>
      </w:r>
    </w:p>
    <w:p>
      <w:pPr>
        <w:spacing w:after="0" w:line="234"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0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w w:val="96"/>
              </w:rPr>
              <w:t>Change %</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4Q10</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3Q10</w:t>
            </w:r>
          </w:p>
        </w:tc>
        <w:tc>
          <w:tcPr>
            <w:tcW w:w="1080" w:type="dxa"/>
            <w:vAlign w:val="bottom"/>
          </w:tcPr>
          <w:p>
            <w:pPr>
              <w:ind w:left="340"/>
              <w:spacing w:after="0"/>
              <w:rPr>
                <w:sz w:val="20"/>
                <w:szCs w:val="20"/>
                <w:color w:val="auto"/>
              </w:rPr>
            </w:pPr>
            <w:r>
              <w:rPr>
                <w:rFonts w:ascii="Arial" w:cs="Arial" w:eastAsia="Arial" w:hAnsi="Arial"/>
                <w:sz w:val="18"/>
                <w:szCs w:val="18"/>
                <w:b w:val="1"/>
                <w:bCs w:val="1"/>
                <w:color w:val="auto"/>
              </w:rPr>
              <w:t>4Q09</w:t>
            </w:r>
          </w:p>
        </w:tc>
        <w:tc>
          <w:tcPr>
            <w:tcW w:w="300" w:type="dxa"/>
            <w:vAlign w:val="bottom"/>
          </w:tcPr>
          <w:p>
            <w:pPr>
              <w:spacing w:after="0"/>
              <w:rPr>
                <w:sz w:val="18"/>
                <w:szCs w:val="18"/>
                <w:color w:val="auto"/>
              </w:rPr>
            </w:pPr>
          </w:p>
        </w:tc>
        <w:tc>
          <w:tcPr>
            <w:tcW w:w="1680" w:type="dxa"/>
            <w:vAlign w:val="bottom"/>
            <w:gridSpan w:val="3"/>
          </w:tcPr>
          <w:p>
            <w:pPr>
              <w:ind w:left="360"/>
              <w:spacing w:after="0"/>
              <w:rPr>
                <w:sz w:val="20"/>
                <w:szCs w:val="20"/>
                <w:color w:val="auto"/>
              </w:rPr>
            </w:pPr>
            <w:r>
              <w:rPr>
                <w:rFonts w:ascii="Arial" w:cs="Arial" w:eastAsia="Arial" w:hAnsi="Arial"/>
                <w:sz w:val="18"/>
                <w:szCs w:val="18"/>
                <w:b w:val="1"/>
                <w:bCs w:val="1"/>
                <w:color w:val="auto"/>
              </w:rPr>
              <w:t>QoQ</w:t>
            </w:r>
          </w:p>
        </w:tc>
        <w:tc>
          <w:tcPr>
            <w:tcW w:w="760" w:type="dxa"/>
            <w:vAlign w:val="bottom"/>
          </w:tcPr>
          <w:p>
            <w:pPr>
              <w:ind w:left="6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783,213</w:t>
            </w:r>
          </w:p>
        </w:tc>
        <w:tc>
          <w:tcPr>
            <w:tcW w:w="2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783,213</w:t>
            </w: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667,250</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Reserves</w:t>
            </w: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388,309</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388,309</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388,275</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Unrealized gains and losses</w:t>
            </w:r>
          </w:p>
        </w:tc>
        <w:tc>
          <w:tcPr>
            <w:tcW w:w="148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157,564</w:t>
            </w: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131,056</w:t>
            </w: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106,708</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20.2%</w:t>
            </w:r>
          </w:p>
        </w:tc>
        <w:tc>
          <w:tcPr>
            <w:tcW w:w="3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Retained earnings</w:t>
            </w: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187,143</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187,143</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115,922</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Income for the year</w:t>
            </w:r>
          </w:p>
        </w:tc>
        <w:tc>
          <w:tcPr>
            <w:tcW w:w="1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476,316</w:t>
            </w:r>
          </w:p>
        </w:tc>
        <w:tc>
          <w:tcPr>
            <w:tcW w:w="2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374,750</w:t>
            </w: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397,378</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27.1%</w:t>
            </w:r>
          </w:p>
        </w:tc>
        <w:tc>
          <w:tcPr>
            <w:tcW w:w="3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Net shareholders' equity</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1,992,545</w:t>
            </w: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1,864,471</w:t>
            </w:r>
          </w:p>
        </w:tc>
        <w:tc>
          <w:tcPr>
            <w:tcW w:w="1080" w:type="dxa"/>
            <w:vAlign w:val="bottom"/>
          </w:tcPr>
          <w:p>
            <w:pPr>
              <w:ind w:left="360"/>
              <w:spacing w:after="0"/>
              <w:rPr>
                <w:sz w:val="20"/>
                <w:szCs w:val="20"/>
                <w:color w:val="auto"/>
              </w:rPr>
            </w:pPr>
            <w:r>
              <w:rPr>
                <w:rFonts w:ascii="Arial" w:cs="Arial" w:eastAsia="Arial" w:hAnsi="Arial"/>
                <w:sz w:val="18"/>
                <w:szCs w:val="18"/>
                <w:b w:val="1"/>
                <w:bCs w:val="1"/>
                <w:color w:val="auto"/>
                <w:w w:val="87"/>
              </w:rPr>
              <w:t>1,675,533</w:t>
            </w: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6.9%</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Return on average equity (ROAE)</w:t>
            </w:r>
          </w:p>
        </w:tc>
        <w:tc>
          <w:tcPr>
            <w:tcW w:w="1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21.1%</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31.3%</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26.6%</w:t>
            </w:r>
          </w:p>
        </w:tc>
        <w:tc>
          <w:tcPr>
            <w:tcW w:w="10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8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QoQ analysis indicates that net shareholders’ equity increased 6.9% QoQ, which is primarily attributable to higher income for the year (+27.1%) and to a lesser extent to the increase in unrealized earnings (+20.2%) in 4Q10.</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regard ROAE, a slight QoQ decline is evident in 4Q10 due to lower quarterly earnings (-26.7% QoQ) and the aforementioned increase in net shareholders’ equity. Nevertheless, ROAE remained at a good level of 21.1% in 4Q10. The annual evolution is evident in the ROAE of 26.8% reported for 2010, which is slightly higher than 2009’s figure (26.6%).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Risk weighted assets (RWA) grew 7.0% QoQ due mainly to an increase in RWA for credit risk (+7.5%). This is in line with 7.6% QoQ growth in total loans.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During 4Q10, Regulatory Capital remained relatively stable, demonstrating a slight 1.0% decline QoQ due primarily to:</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higher investment in subsidiaries (after unrealized earnings) (+6.3%) and</w:t>
      </w:r>
    </w:p>
    <w:p>
      <w:pPr>
        <w:spacing w:after="0" w:line="252" w:lineRule="exact"/>
        <w:rPr>
          <w:sz w:val="20"/>
          <w:szCs w:val="20"/>
          <w:color w:val="auto"/>
        </w:rPr>
      </w:pPr>
    </w:p>
    <w:p>
      <w:pPr>
        <w:ind w:left="800" w:hanging="157"/>
        <w:spacing w:after="0" w:line="277" w:lineRule="auto"/>
        <w:tabs>
          <w:tab w:leader="none" w:pos="11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decline in the subordinated debt level (-1.8%) due to drop in the calculated value of regulatory capital. These factors were offset by higher provisions (+7.5%) for loan growth.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this context, the BIS ratio was 12.8% at the end of 4Q10, which is slightly lower than 3Q10’s figure (13.9%).</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8"/>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Regulatory Capital and Capital Adequacy Ratios</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Balance as of</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49"/>
        </w:trPr>
        <w:tc>
          <w:tcPr>
            <w:tcW w:w="454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US$ (000)</w:t>
            </w:r>
          </w:p>
        </w:tc>
        <w:tc>
          <w:tcPr>
            <w:tcW w:w="120" w:type="dxa"/>
            <w:vAlign w:val="bottom"/>
          </w:tcPr>
          <w:p>
            <w:pPr>
              <w:spacing w:after="0"/>
              <w:rPr>
                <w:sz w:val="12"/>
                <w:szCs w:val="12"/>
                <w:color w:val="auto"/>
              </w:rPr>
            </w:pPr>
          </w:p>
        </w:tc>
        <w:tc>
          <w:tcPr>
            <w:tcW w:w="1360" w:type="dxa"/>
            <w:vAlign w:val="bottom"/>
            <w:tcBorders>
              <w:top w:val="single" w:sz="8" w:color="auto"/>
            </w:tcBorders>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Dec 10</w:t>
            </w:r>
          </w:p>
        </w:tc>
        <w:tc>
          <w:tcPr>
            <w:tcW w:w="1360" w:type="dxa"/>
            <w:vAlign w:val="bottom"/>
            <w:tcBorders>
              <w:top w:val="single" w:sz="8" w:color="auto"/>
            </w:tcBorders>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Sep 10</w:t>
            </w:r>
          </w:p>
        </w:tc>
        <w:tc>
          <w:tcPr>
            <w:tcW w:w="1140" w:type="dxa"/>
            <w:vAlign w:val="bottom"/>
            <w:tcBorders>
              <w:top w:val="single" w:sz="8" w:color="auto"/>
            </w:tcBorders>
          </w:tcPr>
          <w:p>
            <w:pPr>
              <w:jc w:val="right"/>
              <w:ind w:right="288"/>
              <w:spacing w:after="0" w:line="149" w:lineRule="exact"/>
              <w:rPr>
                <w:sz w:val="20"/>
                <w:szCs w:val="20"/>
                <w:color w:val="auto"/>
              </w:rPr>
            </w:pPr>
            <w:r>
              <w:rPr>
                <w:rFonts w:ascii="Arial" w:cs="Arial" w:eastAsia="Arial" w:hAnsi="Arial"/>
                <w:sz w:val="14"/>
                <w:szCs w:val="14"/>
                <w:b w:val="1"/>
                <w:bCs w:val="1"/>
                <w:color w:val="auto"/>
              </w:rPr>
              <w:t>Dec 09</w:t>
            </w:r>
          </w:p>
        </w:tc>
        <w:tc>
          <w:tcPr>
            <w:tcW w:w="220" w:type="dxa"/>
            <w:vAlign w:val="bottom"/>
          </w:tcPr>
          <w:p>
            <w:pPr>
              <w:spacing w:after="0"/>
              <w:rPr>
                <w:sz w:val="12"/>
                <w:szCs w:val="12"/>
                <w:color w:val="auto"/>
              </w:rPr>
            </w:pPr>
          </w:p>
        </w:tc>
        <w:tc>
          <w:tcPr>
            <w:tcW w:w="1400" w:type="dxa"/>
            <w:vAlign w:val="bottom"/>
            <w:tcBorders>
              <w:top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Dec 10 / Sep 10</w:t>
            </w:r>
          </w:p>
        </w:tc>
        <w:tc>
          <w:tcPr>
            <w:tcW w:w="1140" w:type="dxa"/>
            <w:vAlign w:val="bottom"/>
            <w:tcBorders>
              <w:top w:val="single" w:sz="8" w:color="auto"/>
            </w:tcBorders>
          </w:tcPr>
          <w:p>
            <w:pPr>
              <w:jc w:val="right"/>
              <w:ind w:right="48"/>
              <w:spacing w:after="0" w:line="149" w:lineRule="exact"/>
              <w:rPr>
                <w:sz w:val="20"/>
                <w:szCs w:val="20"/>
                <w:color w:val="auto"/>
              </w:rPr>
            </w:pPr>
            <w:r>
              <w:rPr>
                <w:rFonts w:ascii="Arial" w:cs="Arial" w:eastAsia="Arial" w:hAnsi="Arial"/>
                <w:sz w:val="14"/>
                <w:szCs w:val="14"/>
                <w:b w:val="1"/>
                <w:bCs w:val="1"/>
                <w:color w:val="auto"/>
              </w:rPr>
              <w:t>Dec 10 / Dic 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Capital Stock</w:t>
            </w: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910,551</w:t>
            </w:r>
          </w:p>
        </w:tc>
        <w:tc>
          <w:tcPr>
            <w:tcW w:w="24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917,739</w:t>
            </w: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771,034</w:t>
            </w:r>
          </w:p>
        </w:tc>
        <w:tc>
          <w:tcPr>
            <w:tcW w:w="2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-0.8%</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Legal and Other capital reserves</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473,177</w:t>
            </w:r>
          </w:p>
        </w:tc>
        <w:tc>
          <w:tcPr>
            <w:tcW w:w="24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476,912</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459,881</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-0.8%</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Accumulated earnings with capitalization agreement</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113,997</w:t>
            </w:r>
          </w:p>
        </w:tc>
        <w:tc>
          <w:tcPr>
            <w:tcW w:w="140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Loan loss reserves (1)</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180,292</w:t>
            </w:r>
          </w:p>
        </w:tc>
        <w:tc>
          <w:tcPr>
            <w:tcW w:w="24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167,661</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148,355</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Perpetual subordinated debt</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250,000</w:t>
            </w:r>
          </w:p>
        </w:tc>
        <w:tc>
          <w:tcPr>
            <w:tcW w:w="24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250,000</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250,000</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Subordinated Debt</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440,614</w:t>
            </w:r>
          </w:p>
        </w:tc>
        <w:tc>
          <w:tcPr>
            <w:tcW w:w="24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448,728</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426,264</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Unrealized profit (loss)</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Investment in subsidiaries and others, net of unrealized profit</w:t>
            </w:r>
          </w:p>
        </w:tc>
        <w:tc>
          <w:tcPr>
            <w:tcW w:w="14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(247,031)</w:t>
            </w:r>
          </w:p>
        </w:tc>
        <w:tc>
          <w:tcPr>
            <w:tcW w:w="1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(232,388)</w:t>
            </w:r>
          </w:p>
        </w:tc>
        <w:tc>
          <w:tcPr>
            <w:tcW w:w="1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(226,319)</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Goodwill</w:t>
            </w:r>
          </w:p>
        </w:tc>
        <w:tc>
          <w:tcPr>
            <w:tcW w:w="148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(43,461)</w:t>
            </w:r>
          </w:p>
        </w:tc>
        <w:tc>
          <w:tcPr>
            <w:tcW w:w="13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(43,805)</w:t>
            </w:r>
          </w:p>
        </w:tc>
        <w:tc>
          <w:tcPr>
            <w:tcW w:w="13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(54,933)</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-0.8%</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b w:val="1"/>
                <w:bCs w:val="1"/>
                <w:color w:val="auto"/>
              </w:rPr>
              <w:t>Total Regulatory Capital</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1,964,142</w:t>
            </w:r>
          </w:p>
        </w:tc>
        <w:tc>
          <w:tcPr>
            <w:tcW w:w="240" w:type="dxa"/>
            <w:vAlign w:val="bottom"/>
          </w:tcPr>
          <w:p>
            <w:pPr>
              <w:spacing w:after="0"/>
              <w:rPr>
                <w:sz w:val="13"/>
                <w:szCs w:val="13"/>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1,984,848</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1,888,278</w:t>
            </w: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5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Tier 1 (2)</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1,558,944</w:t>
            </w:r>
          </w:p>
        </w:tc>
        <w:tc>
          <w:tcPr>
            <w:tcW w:w="24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1,560,999</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1,449,953</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-0.1%</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Tier 2 (3) + Tier 3 (4)</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405,197</w:t>
            </w:r>
          </w:p>
        </w:tc>
        <w:tc>
          <w:tcPr>
            <w:tcW w:w="240" w:type="dxa"/>
            <w:vAlign w:val="bottom"/>
            <w:shd w:val="clear" w:color="auto" w:fill="CCFFCC"/>
          </w:tcPr>
          <w:p>
            <w:pPr>
              <w:spacing w:after="0"/>
              <w:rPr>
                <w:sz w:val="13"/>
                <w:szCs w:val="13"/>
                <w:color w:val="auto"/>
              </w:rPr>
            </w:pP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423,850</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438,325</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-4.4%</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520" w:type="dxa"/>
            <w:vAlign w:val="bottom"/>
            <w:tcBorders>
              <w:top w:val="single" w:sz="8" w:color="CCFFCC"/>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6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risk-weighted assets</w:t>
            </w: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15,295,727</w:t>
            </w:r>
          </w:p>
        </w:tc>
        <w:tc>
          <w:tcPr>
            <w:tcW w:w="24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14,290,912</w:t>
            </w: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13,007,788</w:t>
            </w:r>
          </w:p>
        </w:tc>
        <w:tc>
          <w:tcPr>
            <w:tcW w:w="2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7.0%</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Market risk-weighted assets (5)</w:t>
            </w:r>
          </w:p>
        </w:tc>
        <w:tc>
          <w:tcPr>
            <w:tcW w:w="1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381,103</w:t>
            </w:r>
          </w:p>
        </w:tc>
        <w:tc>
          <w:tcPr>
            <w:tcW w:w="2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410,725</w:t>
            </w:r>
          </w:p>
        </w:tc>
        <w:tc>
          <w:tcPr>
            <w:tcW w:w="2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681,671</w:t>
            </w:r>
          </w:p>
        </w:tc>
        <w:tc>
          <w:tcPr>
            <w:tcW w:w="22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Credit risk-weighted assets</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14,406,737</w:t>
            </w:r>
          </w:p>
        </w:tc>
        <w:tc>
          <w:tcPr>
            <w:tcW w:w="24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13,396,056</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11,868,364</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7.5%</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Operational risk-weighted assets (6)</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507,887</w:t>
            </w:r>
          </w:p>
        </w:tc>
        <w:tc>
          <w:tcPr>
            <w:tcW w:w="240" w:type="dxa"/>
            <w:vAlign w:val="bottom"/>
          </w:tcPr>
          <w:p>
            <w:pPr>
              <w:spacing w:after="0"/>
              <w:rPr>
                <w:sz w:val="13"/>
                <w:szCs w:val="13"/>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484,132</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457,752</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5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Market risk capital requirement (5)</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37,348</w:t>
            </w:r>
          </w:p>
        </w:tc>
        <w:tc>
          <w:tcPr>
            <w:tcW w:w="24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40,251</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64,759</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Credit risk capital requirement</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1,411,860</w:t>
            </w:r>
          </w:p>
        </w:tc>
        <w:tc>
          <w:tcPr>
            <w:tcW w:w="24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1,312,813</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1,127,495</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7.5%</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Operational risk capital requirement (6)</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49,773</w:t>
            </w:r>
          </w:p>
        </w:tc>
        <w:tc>
          <w:tcPr>
            <w:tcW w:w="240" w:type="dxa"/>
            <w:vAlign w:val="bottom"/>
          </w:tcPr>
          <w:p>
            <w:pPr>
              <w:spacing w:after="0"/>
              <w:rPr>
                <w:sz w:val="13"/>
                <w:szCs w:val="13"/>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47,445</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43,486</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5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b w:val="1"/>
                <w:bCs w:val="1"/>
                <w:color w:val="auto"/>
              </w:rPr>
              <w:t>Capital ratios</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BIS ratio (7)</w:t>
            </w:r>
          </w:p>
        </w:tc>
        <w:tc>
          <w:tcPr>
            <w:tcW w:w="120" w:type="dxa"/>
            <w:vAlign w:val="bottom"/>
            <w:shd w:val="clear" w:color="auto" w:fill="CCFFCC"/>
          </w:tcPr>
          <w:p>
            <w:pPr>
              <w:spacing w:after="0"/>
              <w:rPr>
                <w:sz w:val="13"/>
                <w:szCs w:val="13"/>
                <w:color w:val="auto"/>
              </w:rPr>
            </w:pPr>
          </w:p>
        </w:tc>
        <w:tc>
          <w:tcPr>
            <w:tcW w:w="13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12.8%</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13.9%</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14.5%</w:t>
            </w:r>
          </w:p>
        </w:tc>
        <w:tc>
          <w:tcPr>
            <w:tcW w:w="114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114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Borders>
              <w:top w:val="single" w:sz="8" w:color="CCFFCC"/>
            </w:tcBorders>
          </w:tcPr>
          <w:p>
            <w:pPr>
              <w:spacing w:after="0" w:line="149" w:lineRule="exact"/>
              <w:rPr>
                <w:sz w:val="20"/>
                <w:szCs w:val="20"/>
                <w:color w:val="auto"/>
              </w:rPr>
            </w:pPr>
            <w:r>
              <w:rPr>
                <w:rFonts w:ascii="Arial" w:cs="Arial" w:eastAsia="Arial" w:hAnsi="Arial"/>
                <w:sz w:val="14"/>
                <w:szCs w:val="14"/>
                <w:color w:val="auto"/>
              </w:rPr>
              <w:t>Risk-weighted assets (8) / Regulatory Capital</w:t>
            </w:r>
          </w:p>
        </w:tc>
        <w:tc>
          <w:tcPr>
            <w:tcW w:w="120" w:type="dxa"/>
            <w:vAlign w:val="bottom"/>
            <w:tcBorders>
              <w:top w:val="single" w:sz="8" w:color="CCFFCC"/>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7.79</w:t>
            </w:r>
          </w:p>
        </w:tc>
        <w:tc>
          <w:tcPr>
            <w:tcW w:w="240" w:type="dxa"/>
            <w:vAlign w:val="bottom"/>
            <w:tcBorders>
              <w:top w:val="single" w:sz="8" w:color="CCFFCC"/>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7.20</w:t>
            </w:r>
          </w:p>
        </w:tc>
        <w:tc>
          <w:tcPr>
            <w:tcW w:w="220" w:type="dxa"/>
            <w:vAlign w:val="bottom"/>
            <w:tcBorders>
              <w:top w:val="single" w:sz="8" w:color="CCFFCC"/>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6.89</w:t>
            </w:r>
          </w:p>
        </w:tc>
        <w:tc>
          <w:tcPr>
            <w:tcW w:w="220" w:type="dxa"/>
            <w:vAlign w:val="bottom"/>
            <w:tcBorders>
              <w:top w:val="single" w:sz="8" w:color="CCFFCC"/>
            </w:tcBorders>
          </w:tcPr>
          <w:p>
            <w:pPr>
              <w:spacing w:after="0"/>
              <w:rPr>
                <w:sz w:val="13"/>
                <w:szCs w:val="13"/>
                <w:color w:val="auto"/>
              </w:rPr>
            </w:pPr>
          </w:p>
        </w:tc>
        <w:tc>
          <w:tcPr>
            <w:tcW w:w="1140" w:type="dxa"/>
            <w:vAlign w:val="bottom"/>
            <w:tcBorders>
              <w:top w:val="single" w:sz="8" w:color="CCFFCC"/>
            </w:tcBorders>
          </w:tcPr>
          <w:p>
            <w:pPr>
              <w:spacing w:after="0"/>
              <w:rPr>
                <w:sz w:val="13"/>
                <w:szCs w:val="13"/>
                <w:color w:val="auto"/>
              </w:rPr>
            </w:pPr>
          </w:p>
        </w:tc>
        <w:tc>
          <w:tcPr>
            <w:tcW w:w="260" w:type="dxa"/>
            <w:vAlign w:val="bottom"/>
            <w:tcBorders>
              <w:top w:val="single" w:sz="8" w:color="CCFFCC"/>
            </w:tcBorders>
          </w:tcPr>
          <w:p>
            <w:pPr>
              <w:spacing w:after="0"/>
              <w:rPr>
                <w:sz w:val="13"/>
                <w:szCs w:val="13"/>
                <w:color w:val="auto"/>
              </w:rPr>
            </w:pPr>
          </w:p>
        </w:tc>
        <w:tc>
          <w:tcPr>
            <w:tcW w:w="1140" w:type="dxa"/>
            <w:vAlign w:val="bottom"/>
            <w:tcBorders>
              <w:top w:val="single" w:sz="8" w:color="CCFFCC"/>
            </w:tcBorders>
          </w:tcPr>
          <w:p>
            <w:pPr>
              <w:spacing w:after="0"/>
              <w:rPr>
                <w:sz w:val="13"/>
                <w:szCs w:val="13"/>
                <w:color w:val="auto"/>
              </w:rPr>
            </w:pPr>
          </w:p>
        </w:tc>
        <w:tc>
          <w:tcPr>
            <w:tcW w:w="140" w:type="dxa"/>
            <w:vAlign w:val="bottom"/>
            <w:tcBorders>
              <w:top w:val="single" w:sz="8" w:color="CCFFCC"/>
            </w:tcBorders>
          </w:tcPr>
          <w:p>
            <w:pPr>
              <w:spacing w:after="0"/>
              <w:rPr>
                <w:sz w:val="13"/>
                <w:szCs w:val="13"/>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Until June 2009, loan loss reserves up to 1% of gross loans.  Since July 2009, up to 1.25% of total risk-weighted assets.</w:t>
      </w:r>
    </w:p>
    <w:p>
      <w:pPr>
        <w:spacing w:after="0" w:line="9" w:lineRule="exact"/>
        <w:rPr>
          <w:rFonts w:ascii="Arial" w:cs="Arial" w:eastAsia="Arial" w:hAnsi="Arial"/>
          <w:sz w:val="18"/>
          <w:szCs w:val="18"/>
          <w:i w:val="1"/>
          <w:iCs w:val="1"/>
          <w:color w:val="auto"/>
        </w:rPr>
      </w:pPr>
    </w:p>
    <w:p>
      <w:pPr>
        <w:ind w:right="20" w:firstLine="8"/>
        <w:spacing w:after="0" w:line="250" w:lineRule="auto"/>
        <w:tabs>
          <w:tab w:leader="none" w:pos="25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Tier 1 = Capital + Legal and other capital Reserves + Accumulated earnings with capitalization agreement + Unrealized profit in subsidiaries - Goodwill - (0.5 x Inverstment in Subsidiaries) + Perpetual subordinated debt (maximum amount that can be included is 17.65% of Capital + Legal and other capital Reserves + Accumulated earnings with capitalization agreement + Unrealized gains - Goodwill).</w:t>
      </w:r>
    </w:p>
    <w:p>
      <w:pPr>
        <w:spacing w:after="0" w:line="1" w:lineRule="exact"/>
        <w:rPr>
          <w:rFonts w:ascii="Arial" w:cs="Arial" w:eastAsia="Arial" w:hAnsi="Arial"/>
          <w:sz w:val="18"/>
          <w:szCs w:val="18"/>
          <w:i w:val="1"/>
          <w:iCs w:val="1"/>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Tier 2 = Subordinated debt + Loan loss reserves - (0.5 x Investment in subsidiaries).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Tier 3 = Subordinated debt covering market risk only. Tier 3 exists since 1Q10.</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Since July 2009, it includes capital requirement to cover price and rate risk.</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as of July 2009.</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Risk-weighted assets (legal minimum = 9.8% since July 2010).</w:t>
      </w:r>
    </w:p>
    <w:p>
      <w:pPr>
        <w:spacing w:after="0" w:line="9" w:lineRule="exact"/>
        <w:rPr>
          <w:rFonts w:ascii="Arial" w:cs="Arial" w:eastAsia="Arial" w:hAnsi="Arial"/>
          <w:sz w:val="18"/>
          <w:szCs w:val="18"/>
          <w:i w:val="1"/>
          <w:iCs w:val="1"/>
          <w:color w:val="auto"/>
        </w:rPr>
      </w:pPr>
    </w:p>
    <w:p>
      <w:pPr>
        <w:ind w:right="220" w:firstLine="8"/>
        <w:spacing w:after="0" w:line="323" w:lineRule="auto"/>
        <w:tabs>
          <w:tab w:leader="none" w:pos="255"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Until June 2009, Risk-weighted assets = Credit risk-weighted assets + Capital requirement to cover market risk * 11. Since July 2009, Risk-weighted assets = Credit risk-weighted assets * 0.96 + Capital requirement to cover market risk * 10.5 + Capital requirement to cover operational risk * 10.5.</w:t>
      </w:r>
    </w:p>
    <w:p>
      <w:pPr>
        <w:spacing w:after="0" w:line="31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III. Banco de Crédito de Bolivia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4Q10, BCP Bolivia obtained net income of US$ 3.4 million, which represents a slight 0.1% increase QoQ and a 63.9% contraction YoY. BCP Bolivia was able to sustain its level of income thanks to an increase in net interest income (9.6%) due to sustained growth in the loan portfolio and better interest rates which helped offset an increase in operating expenses (14.2% QoQ), which was mainly attributable to a US$ 1.2 million reclassification of loan provisions. The YOY decline in net income was due primarily to a contraction in net interest income (-27.1% YoY) and a drop in non-financial income (-12.8% YoY).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income has been affected by surplus liquidity; limitations on foreign investment (50% of net shareholder’s equity); restrictions on active rates for loans to the productive sector; and an increase in passive rates for individuals. Additionally, some fees have been eliminated (regulated by ASFI), which has blocked the banking system’s efforts to offset a drop in net interest income. The Boliviano’s appreciation has increased the demand for dollar-denominated loans.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bank’s prudent strategy for loan risk helped it achieve a past due ratio of 1.5% in 4Q10 (1.4% in 3Q10 and 1.8% in 4Q09) and a coverage ratio of 272.6% (304.5% in 3Q10 and 257.9% in 4Q09). These figures prove that BCP Bolivia is a top performer in the Bolivian banking system, which reported 2.2% and 220.8% respectively at the end of 4Q10 for the aforementioned ratios. BCP Bolivia’s ROAE was 14.7%, which represents a 0.5% decline with regard to September 2010 and 36.5% in terms of December 2009’s figure.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BCP Bolivia’s loan balance at the end of December 2010 was US$ 605.2 million, 6.0% higher than the US$ 570.7 million reported in September 2010 and 25.7% above the level registered in December 2009. Loan growth in the fourth quarter of the year was attributable to two factors: i) the bank relaxed some of its loan guidelines due to good macroeconomic indicators and ii) BCP Bolivia currently boasts one of the lowest past due ratios in the banking system.</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quarter, Retail Banking’s performance, was particularly noteworthy, reporting 9.1% growth QoQ and 28.1% YoY. This increase had a significant impact on the bank’s results given that Retail Banking loans represent 54.8% of the total portfolio (Wholesale Banking accounts for 42.2% and Special Accounts 3.0%) and generate the highest interest rates. The retail banking product that demonstrated the highest QoQ growth came mainly from the Pyme segment (17.2% QoQ), which represented 25.5% of the portfolio. The Home Mortgage segment accounted for 43.5% of total retail loans and reported 5.6% growth QoQ and 20.3% YoY.</w:t>
      </w:r>
    </w:p>
    <w:p>
      <w:pPr>
        <w:spacing w:after="0" w:line="21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terms of liabilities, BCP’s total deposits grew 11.3% QoQ and 4.7% YoY. The QoQ increase is due primarily to 15.7% growth in demand deposits and a 13.7% increase in term deposits. The YoY increase, on the other hand, can be explained by the 27.5% increase in term deposits with regard to 2009’s figures.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Growth in term deposits is in keeping with the bank’s policy to match assets and liabilities as well as efforts to capture new deposits while rates in national currency are at an all-time 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Net shareholder’s equity increased 3.2% QoQ but fell 11.8% YoY due to lower earnings in 2010.</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21" w:name="page22"/>
    <w:bookmarkEnd w:id="21"/>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In terms of the financial system, BCP Bolivia has a market share of 11.5% in current loans (not including rescheduled loans) and 12.8% of total deposits. This situates the bank in third place in the banking system in terms of loans and fourth place with regard to deposits. BCP Bolivia continues to position itself as a bank on the move that provides simple and efficient technological solutions by offering innovative transactional products and increasingly sophisticated on-line services.</w:t>
      </w:r>
    </w:p>
    <w:p>
      <w:pPr>
        <w:spacing w:after="0" w:line="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Finally, in accumulated terms, BCP Bolivia reported net income of US$ 15.8 million in 2010. This figure is 48.1% lower than 2009’s figure and it will probably set the new level of income that can be achieved within the existent economic framework.</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Banco de Crédito de Bolivia</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 %</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tcPr>
          <w:p>
            <w:pPr>
              <w:ind w:left="660"/>
              <w:spacing w:after="0"/>
              <w:rPr>
                <w:sz w:val="20"/>
                <w:szCs w:val="20"/>
                <w:color w:val="auto"/>
              </w:rPr>
            </w:pPr>
            <w:r>
              <w:rPr>
                <w:rFonts w:ascii="Arial" w:cs="Arial" w:eastAsia="Arial" w:hAnsi="Arial"/>
                <w:sz w:val="14"/>
                <w:szCs w:val="14"/>
                <w:b w:val="1"/>
                <w:bCs w:val="1"/>
                <w:color w:val="auto"/>
                <w:w w:val="90"/>
              </w:rPr>
              <w:t>Year ended</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Change %</w:t>
            </w:r>
          </w:p>
        </w:tc>
        <w:tc>
          <w:tcPr>
            <w:tcW w:w="0" w:type="dxa"/>
            <w:vAlign w:val="bottom"/>
          </w:tcPr>
          <w:p>
            <w:pPr>
              <w:spacing w:after="0"/>
              <w:rPr>
                <w:sz w:val="1"/>
                <w:szCs w:val="1"/>
                <w:color w:val="auto"/>
              </w:rPr>
            </w:pPr>
          </w:p>
        </w:tc>
      </w:tr>
      <w:tr>
        <w:trPr>
          <w:trHeight w:val="149"/>
        </w:trPr>
        <w:tc>
          <w:tcPr>
            <w:tcW w:w="226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US$ million</w:t>
            </w:r>
          </w:p>
        </w:tc>
        <w:tc>
          <w:tcPr>
            <w:tcW w:w="120" w:type="dxa"/>
            <w:vAlign w:val="bottom"/>
          </w:tcPr>
          <w:p>
            <w:pPr>
              <w:spacing w:after="0"/>
              <w:rPr>
                <w:sz w:val="12"/>
                <w:szCs w:val="12"/>
                <w:color w:val="auto"/>
              </w:rPr>
            </w:pPr>
          </w:p>
        </w:tc>
        <w:tc>
          <w:tcPr>
            <w:tcW w:w="1120" w:type="dxa"/>
            <w:vAlign w:val="bottom"/>
            <w:tcBorders>
              <w:top w:val="single" w:sz="8" w:color="auto"/>
            </w:tcBorders>
            <w:gridSpan w:val="2"/>
          </w:tcPr>
          <w:p>
            <w:pPr>
              <w:ind w:left="280"/>
              <w:spacing w:after="0" w:line="149" w:lineRule="exact"/>
              <w:rPr>
                <w:sz w:val="20"/>
                <w:szCs w:val="20"/>
                <w:color w:val="auto"/>
              </w:rPr>
            </w:pPr>
            <w:r>
              <w:rPr>
                <w:rFonts w:ascii="Arial" w:cs="Arial" w:eastAsia="Arial" w:hAnsi="Arial"/>
                <w:sz w:val="14"/>
                <w:szCs w:val="14"/>
                <w:b w:val="1"/>
                <w:bCs w:val="1"/>
                <w:color w:val="auto"/>
              </w:rPr>
              <w:t>4Q10</w:t>
            </w:r>
          </w:p>
        </w:tc>
        <w:tc>
          <w:tcPr>
            <w:tcW w:w="1140" w:type="dxa"/>
            <w:vAlign w:val="bottom"/>
            <w:tcBorders>
              <w:top w:val="single" w:sz="8" w:color="auto"/>
            </w:tcBorders>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3Q10</w:t>
            </w:r>
          </w:p>
        </w:tc>
        <w:tc>
          <w:tcPr>
            <w:tcW w:w="900" w:type="dxa"/>
            <w:vAlign w:val="bottom"/>
            <w:tcBorders>
              <w:top w:val="single" w:sz="8" w:color="auto"/>
            </w:tcBorders>
          </w:tcPr>
          <w:p>
            <w:pPr>
              <w:ind w:left="280"/>
              <w:spacing w:after="0" w:line="149" w:lineRule="exact"/>
              <w:rPr>
                <w:sz w:val="20"/>
                <w:szCs w:val="20"/>
                <w:color w:val="auto"/>
              </w:rPr>
            </w:pPr>
            <w:r>
              <w:rPr>
                <w:rFonts w:ascii="Arial" w:cs="Arial" w:eastAsia="Arial" w:hAnsi="Arial"/>
                <w:sz w:val="14"/>
                <w:szCs w:val="14"/>
                <w:b w:val="1"/>
                <w:bCs w:val="1"/>
                <w:color w:val="auto"/>
              </w:rPr>
              <w:t>4Q09</w:t>
            </w:r>
          </w:p>
        </w:tc>
        <w:tc>
          <w:tcPr>
            <w:tcW w:w="240" w:type="dxa"/>
            <w:vAlign w:val="bottom"/>
          </w:tcPr>
          <w:p>
            <w:pPr>
              <w:spacing w:after="0"/>
              <w:rPr>
                <w:sz w:val="12"/>
                <w:szCs w:val="12"/>
                <w:color w:val="auto"/>
              </w:rPr>
            </w:pPr>
          </w:p>
        </w:tc>
        <w:tc>
          <w:tcPr>
            <w:tcW w:w="1420" w:type="dxa"/>
            <w:vAlign w:val="bottom"/>
            <w:tcBorders>
              <w:top w:val="single" w:sz="8" w:color="auto"/>
            </w:tcBorders>
            <w:gridSpan w:val="3"/>
          </w:tcPr>
          <w:p>
            <w:pPr>
              <w:ind w:left="300"/>
              <w:spacing w:after="0" w:line="149" w:lineRule="exact"/>
              <w:rPr>
                <w:sz w:val="20"/>
                <w:szCs w:val="20"/>
                <w:color w:val="auto"/>
              </w:rPr>
            </w:pPr>
            <w:r>
              <w:rPr>
                <w:rFonts w:ascii="Arial" w:cs="Arial" w:eastAsia="Arial" w:hAnsi="Arial"/>
                <w:sz w:val="14"/>
                <w:szCs w:val="14"/>
                <w:b w:val="1"/>
                <w:bCs w:val="1"/>
                <w:color w:val="auto"/>
              </w:rPr>
              <w:t>QoQ</w:t>
            </w:r>
          </w:p>
        </w:tc>
        <w:tc>
          <w:tcPr>
            <w:tcW w:w="640" w:type="dxa"/>
            <w:vAlign w:val="bottom"/>
            <w:tcBorders>
              <w:top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2"/>
                <w:szCs w:val="12"/>
                <w:color w:val="auto"/>
              </w:rPr>
            </w:pPr>
          </w:p>
        </w:tc>
        <w:tc>
          <w:tcPr>
            <w:tcW w:w="1360" w:type="dxa"/>
            <w:vAlign w:val="bottom"/>
            <w:tcBorders>
              <w:top w:val="single" w:sz="8" w:color="auto"/>
            </w:tcBorders>
            <w:gridSpan w:val="3"/>
          </w:tcPr>
          <w:p>
            <w:pPr>
              <w:ind w:left="240"/>
              <w:spacing w:after="0" w:line="149" w:lineRule="exact"/>
              <w:rPr>
                <w:sz w:val="20"/>
                <w:szCs w:val="20"/>
                <w:color w:val="auto"/>
              </w:rPr>
            </w:pPr>
            <w:r>
              <w:rPr>
                <w:rFonts w:ascii="Arial" w:cs="Arial" w:eastAsia="Arial" w:hAnsi="Arial"/>
                <w:sz w:val="14"/>
                <w:szCs w:val="14"/>
                <w:b w:val="1"/>
                <w:bCs w:val="1"/>
                <w:color w:val="auto"/>
              </w:rPr>
              <w:t>Dec 10</w:t>
            </w:r>
          </w:p>
        </w:tc>
        <w:tc>
          <w:tcPr>
            <w:tcW w:w="66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Dec 09</w:t>
            </w:r>
          </w:p>
        </w:tc>
        <w:tc>
          <w:tcPr>
            <w:tcW w:w="2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Dec 10 / Dec 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interest income</w:t>
            </w: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8.4</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7.7</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11.5</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9.6%</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-27.1%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33.0</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50.2</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Net provisions for loan losses</w:t>
            </w:r>
          </w:p>
        </w:tc>
        <w:tc>
          <w:tcPr>
            <w:tcW w:w="12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0.9</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-81.1%</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-126.7%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12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9.4</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9.4</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10.8</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-0.5%</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36.3</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38.4</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12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-13.2</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-11.6</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14.2%</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-46.9</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-50.2</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Translation result</w:t>
            </w:r>
          </w:p>
        </w:tc>
        <w:tc>
          <w:tcPr>
            <w:tcW w:w="12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0.0</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245.1%</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458.7%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Income tax</w:t>
            </w:r>
          </w:p>
        </w:tc>
        <w:tc>
          <w:tcPr>
            <w:tcW w:w="12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-0.8</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32.9%</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vMerge w:val="restart"/>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2360" w:type="dxa"/>
            <w:vAlign w:val="bottom"/>
            <w:shd w:val="clear" w:color="auto" w:fill="CCFFCC"/>
          </w:tcPr>
          <w:p>
            <w:pPr>
              <w:spacing w:after="0" w:line="136" w:lineRule="exact"/>
              <w:rPr>
                <w:sz w:val="20"/>
                <w:szCs w:val="20"/>
                <w:color w:val="auto"/>
              </w:rPr>
            </w:pPr>
            <w:r>
              <w:rPr>
                <w:rFonts w:ascii="Arial" w:cs="Arial" w:eastAsia="Arial" w:hAnsi="Arial"/>
                <w:sz w:val="14"/>
                <w:szCs w:val="14"/>
                <w:b w:val="1"/>
                <w:bCs w:val="1"/>
                <w:color w:val="auto"/>
              </w:rPr>
              <w:t>Net Income</w:t>
            </w:r>
          </w:p>
        </w:tc>
        <w:tc>
          <w:tcPr>
            <w:tcW w:w="900" w:type="dxa"/>
            <w:vAlign w:val="bottom"/>
            <w:shd w:val="clear" w:color="auto" w:fill="CCFFCC"/>
          </w:tcPr>
          <w:p>
            <w:pPr>
              <w:jc w:val="right"/>
              <w:spacing w:after="0" w:line="136" w:lineRule="exact"/>
              <w:rPr>
                <w:sz w:val="20"/>
                <w:szCs w:val="20"/>
                <w:color w:val="auto"/>
              </w:rPr>
            </w:pPr>
            <w:r>
              <w:rPr>
                <w:rFonts w:ascii="Arial" w:cs="Arial" w:eastAsia="Arial" w:hAnsi="Arial"/>
                <w:sz w:val="14"/>
                <w:szCs w:val="14"/>
                <w:b w:val="1"/>
                <w:bCs w:val="1"/>
                <w:color w:val="auto"/>
              </w:rPr>
              <w:t>3.4</w:t>
            </w: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jc w:val="right"/>
              <w:spacing w:after="0" w:line="136" w:lineRule="exact"/>
              <w:rPr>
                <w:sz w:val="20"/>
                <w:szCs w:val="20"/>
                <w:color w:val="auto"/>
              </w:rPr>
            </w:pPr>
            <w:r>
              <w:rPr>
                <w:rFonts w:ascii="Arial" w:cs="Arial" w:eastAsia="Arial" w:hAnsi="Arial"/>
                <w:sz w:val="14"/>
                <w:szCs w:val="14"/>
                <w:b w:val="1"/>
                <w:bCs w:val="1"/>
                <w:color w:val="auto"/>
              </w:rPr>
              <w:t>3.4</w:t>
            </w:r>
          </w:p>
        </w:tc>
        <w:tc>
          <w:tcPr>
            <w:tcW w:w="220" w:type="dxa"/>
            <w:vAlign w:val="bottom"/>
            <w:shd w:val="clear" w:color="auto" w:fill="CCFFCC"/>
          </w:tcPr>
          <w:p>
            <w:pPr>
              <w:spacing w:after="0"/>
              <w:rPr>
                <w:sz w:val="11"/>
                <w:szCs w:val="11"/>
                <w:color w:val="auto"/>
              </w:rPr>
            </w:pPr>
          </w:p>
        </w:tc>
        <w:tc>
          <w:tcPr>
            <w:tcW w:w="1140" w:type="dxa"/>
            <w:vAlign w:val="bottom"/>
            <w:gridSpan w:val="2"/>
            <w:shd w:val="clear" w:color="auto" w:fill="CCFFCC"/>
          </w:tcPr>
          <w:p>
            <w:pPr>
              <w:jc w:val="right"/>
              <w:ind w:right="240"/>
              <w:spacing w:after="0" w:line="136" w:lineRule="exact"/>
              <w:rPr>
                <w:sz w:val="20"/>
                <w:szCs w:val="20"/>
                <w:color w:val="auto"/>
              </w:rPr>
            </w:pPr>
            <w:r>
              <w:rPr>
                <w:rFonts w:ascii="Arial" w:cs="Arial" w:eastAsia="Arial" w:hAnsi="Arial"/>
                <w:sz w:val="14"/>
                <w:szCs w:val="14"/>
                <w:b w:val="1"/>
                <w:bCs w:val="1"/>
                <w:color w:val="auto"/>
              </w:rPr>
              <w:t>9.5</w:t>
            </w:r>
          </w:p>
        </w:tc>
        <w:tc>
          <w:tcPr>
            <w:tcW w:w="1160" w:type="dxa"/>
            <w:vAlign w:val="bottom"/>
            <w:gridSpan w:val="2"/>
            <w:shd w:val="clear" w:color="auto" w:fill="CCFFCC"/>
          </w:tcPr>
          <w:p>
            <w:pPr>
              <w:jc w:val="right"/>
              <w:ind w:right="120"/>
              <w:spacing w:after="0" w:line="136" w:lineRule="exact"/>
              <w:rPr>
                <w:sz w:val="20"/>
                <w:szCs w:val="20"/>
                <w:color w:val="auto"/>
              </w:rPr>
            </w:pPr>
            <w:r>
              <w:rPr>
                <w:rFonts w:ascii="Arial" w:cs="Arial" w:eastAsia="Arial" w:hAnsi="Arial"/>
                <w:sz w:val="14"/>
                <w:szCs w:val="14"/>
                <w:b w:val="1"/>
                <w:bCs w:val="1"/>
                <w:color w:val="auto"/>
              </w:rPr>
              <w:t>0.1%</w:t>
            </w:r>
          </w:p>
        </w:tc>
        <w:tc>
          <w:tcPr>
            <w:tcW w:w="1160" w:type="dxa"/>
            <w:vAlign w:val="bottom"/>
            <w:gridSpan w:val="2"/>
            <w:shd w:val="clear" w:color="auto" w:fill="CCFFCC"/>
          </w:tcPr>
          <w:p>
            <w:pPr>
              <w:jc w:val="right"/>
              <w:ind w:right="120"/>
              <w:spacing w:after="0" w:line="136" w:lineRule="exact"/>
              <w:rPr>
                <w:sz w:val="20"/>
                <w:szCs w:val="20"/>
                <w:color w:val="auto"/>
              </w:rPr>
            </w:pPr>
            <w:r>
              <w:rPr>
                <w:rFonts w:ascii="Arial" w:cs="Arial" w:eastAsia="Arial" w:hAnsi="Arial"/>
                <w:sz w:val="14"/>
                <w:szCs w:val="14"/>
                <w:b w:val="1"/>
                <w:bCs w:val="1"/>
                <w:color w:val="auto"/>
              </w:rPr>
              <w:t>-63.9%</w:t>
            </w:r>
          </w:p>
        </w:tc>
        <w:tc>
          <w:tcPr>
            <w:tcW w:w="1120" w:type="dxa"/>
            <w:vAlign w:val="bottom"/>
            <w:gridSpan w:val="2"/>
            <w:shd w:val="clear" w:color="auto" w:fill="CCFFCC"/>
          </w:tcPr>
          <w:p>
            <w:pPr>
              <w:jc w:val="right"/>
              <w:ind w:right="220"/>
              <w:spacing w:after="0" w:line="136" w:lineRule="exact"/>
              <w:rPr>
                <w:sz w:val="20"/>
                <w:szCs w:val="20"/>
                <w:color w:val="auto"/>
              </w:rPr>
            </w:pPr>
            <w:r>
              <w:rPr>
                <w:rFonts w:ascii="Arial" w:cs="Arial" w:eastAsia="Arial" w:hAnsi="Arial"/>
                <w:sz w:val="14"/>
                <w:szCs w:val="14"/>
                <w:b w:val="1"/>
                <w:bCs w:val="1"/>
                <w:color w:val="auto"/>
              </w:rPr>
              <w:t>15.8</w:t>
            </w:r>
          </w:p>
        </w:tc>
        <w:tc>
          <w:tcPr>
            <w:tcW w:w="1120" w:type="dxa"/>
            <w:vAlign w:val="bottom"/>
            <w:gridSpan w:val="2"/>
            <w:shd w:val="clear" w:color="auto" w:fill="CCFFCC"/>
          </w:tcPr>
          <w:p>
            <w:pPr>
              <w:jc w:val="right"/>
              <w:ind w:right="220"/>
              <w:spacing w:after="0" w:line="136" w:lineRule="exact"/>
              <w:rPr>
                <w:sz w:val="20"/>
                <w:szCs w:val="20"/>
                <w:color w:val="auto"/>
              </w:rPr>
            </w:pPr>
            <w:r>
              <w:rPr>
                <w:rFonts w:ascii="Arial" w:cs="Arial" w:eastAsia="Arial" w:hAnsi="Arial"/>
                <w:sz w:val="14"/>
                <w:szCs w:val="14"/>
                <w:b w:val="1"/>
                <w:bCs w:val="1"/>
                <w:color w:val="auto"/>
              </w:rPr>
              <w:t>30.4</w:t>
            </w:r>
          </w:p>
        </w:tc>
        <w:tc>
          <w:tcPr>
            <w:tcW w:w="1080" w:type="dxa"/>
            <w:vAlign w:val="bottom"/>
            <w:gridSpan w:val="2"/>
            <w:shd w:val="clear" w:color="auto" w:fill="CCFFCC"/>
          </w:tcPr>
          <w:p>
            <w:pPr>
              <w:jc w:val="right"/>
              <w:spacing w:after="0" w:line="136" w:lineRule="exact"/>
              <w:rPr>
                <w:sz w:val="20"/>
                <w:szCs w:val="20"/>
                <w:color w:val="auto"/>
              </w:rPr>
            </w:pPr>
            <w:r>
              <w:rPr>
                <w:rFonts w:ascii="Arial" w:cs="Arial" w:eastAsia="Arial" w:hAnsi="Arial"/>
                <w:sz w:val="14"/>
                <w:szCs w:val="14"/>
                <w:b w:val="1"/>
                <w:bCs w:val="1"/>
                <w:color w:val="auto"/>
              </w:rPr>
              <w:t>-48.1%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Total loans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605.2</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570.7</w:t>
            </w:r>
          </w:p>
        </w:tc>
        <w:tc>
          <w:tcPr>
            <w:tcW w:w="22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481.3</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25.7%</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Past due loans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8.8</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7.9</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12.2%</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w w:val="98"/>
              </w:rPr>
              <w:t>Net provisions for possible loan losses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-23.0</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-23.1</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-21.0</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9.1%</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investments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223.0</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224.5</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305.4</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-27.0%</w:t>
            </w: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1,122.0</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1,014.2</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1,097.8</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deposits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988.3</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888.2</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943.6</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11.3%</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4.7%</w:t>
            </w: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Net shareholders' equity</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95.5</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92.6</w:t>
            </w:r>
          </w:p>
        </w:tc>
        <w:tc>
          <w:tcPr>
            <w:tcW w:w="22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108.3</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-11.8%</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PDL / total loans</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1.47%</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1.39%</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1.81%</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Coverage ratio of PDLs</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272.6%</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304.5%</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257.9%</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ROAE*</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14.7%</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15.1%</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36.5%</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Branches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65</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Agentes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34</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35</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50</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ATMs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176</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172</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172</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Employees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1,415</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1,396</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1,518</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4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 ROAE: (Annualized net income / average Net shareholders' equity).</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IV. Financiera Edyficar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Edyficar</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Quarter</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3"/>
          </w:tcPr>
          <w:p>
            <w:pPr>
              <w:ind w:left="940"/>
              <w:spacing w:after="0"/>
              <w:rPr>
                <w:sz w:val="20"/>
                <w:szCs w:val="20"/>
                <w:color w:val="auto"/>
              </w:rPr>
            </w:pPr>
            <w:r>
              <w:rPr>
                <w:rFonts w:ascii="Arial" w:cs="Arial" w:eastAsia="Arial" w:hAnsi="Arial"/>
                <w:sz w:val="14"/>
                <w:szCs w:val="14"/>
                <w:b w:val="1"/>
                <w:bCs w:val="1"/>
                <w:color w:val="auto"/>
              </w:rPr>
              <w:t>Change %</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318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US$ 000</w:t>
            </w:r>
          </w:p>
        </w:tc>
        <w:tc>
          <w:tcPr>
            <w:tcW w:w="100" w:type="dxa"/>
            <w:vAlign w:val="bottom"/>
          </w:tcPr>
          <w:p>
            <w:pPr>
              <w:spacing w:after="0"/>
              <w:rPr>
                <w:sz w:val="12"/>
                <w:szCs w:val="12"/>
                <w:color w:val="auto"/>
              </w:rPr>
            </w:pPr>
          </w:p>
        </w:tc>
        <w:tc>
          <w:tcPr>
            <w:tcW w:w="1380" w:type="dxa"/>
            <w:vAlign w:val="bottom"/>
            <w:tcBorders>
              <w:top w:val="single" w:sz="8" w:color="auto"/>
            </w:tcBorders>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4Q10</w:t>
            </w:r>
          </w:p>
        </w:tc>
        <w:tc>
          <w:tcPr>
            <w:tcW w:w="1360" w:type="dxa"/>
            <w:vAlign w:val="bottom"/>
            <w:tcBorders>
              <w:top w:val="single" w:sz="8" w:color="auto"/>
            </w:tcBorders>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3Q10</w:t>
            </w:r>
          </w:p>
        </w:tc>
        <w:tc>
          <w:tcPr>
            <w:tcW w:w="1140" w:type="dxa"/>
            <w:vAlign w:val="bottom"/>
            <w:tcBorders>
              <w:top w:val="single" w:sz="8" w:color="auto"/>
            </w:tcBorders>
          </w:tcPr>
          <w:p>
            <w:pPr>
              <w:jc w:val="right"/>
              <w:ind w:right="348"/>
              <w:spacing w:after="0" w:line="149" w:lineRule="exact"/>
              <w:rPr>
                <w:sz w:val="20"/>
                <w:szCs w:val="20"/>
                <w:color w:val="auto"/>
              </w:rPr>
            </w:pPr>
            <w:r>
              <w:rPr>
                <w:rFonts w:ascii="Arial" w:cs="Arial" w:eastAsia="Arial" w:hAnsi="Arial"/>
                <w:sz w:val="14"/>
                <w:szCs w:val="14"/>
                <w:b w:val="1"/>
                <w:bCs w:val="1"/>
                <w:color w:val="auto"/>
              </w:rPr>
              <w:t>4Q09</w:t>
            </w:r>
          </w:p>
        </w:tc>
        <w:tc>
          <w:tcPr>
            <w:tcW w:w="220" w:type="dxa"/>
            <w:vAlign w:val="bottom"/>
          </w:tcPr>
          <w:p>
            <w:pPr>
              <w:spacing w:after="0"/>
              <w:rPr>
                <w:sz w:val="12"/>
                <w:szCs w:val="12"/>
                <w:color w:val="auto"/>
              </w:rPr>
            </w:pPr>
          </w:p>
        </w:tc>
        <w:tc>
          <w:tcPr>
            <w:tcW w:w="1700" w:type="dxa"/>
            <w:vAlign w:val="bottom"/>
            <w:tcBorders>
              <w:top w:val="single" w:sz="8" w:color="auto"/>
            </w:tcBorders>
            <w:gridSpan w:val="3"/>
          </w:tcPr>
          <w:p>
            <w:pPr>
              <w:ind w:left="420"/>
              <w:spacing w:after="0" w:line="149" w:lineRule="exact"/>
              <w:rPr>
                <w:sz w:val="20"/>
                <w:szCs w:val="20"/>
                <w:color w:val="auto"/>
              </w:rPr>
            </w:pPr>
            <w:r>
              <w:rPr>
                <w:rFonts w:ascii="Arial" w:cs="Arial" w:eastAsia="Arial" w:hAnsi="Arial"/>
                <w:sz w:val="14"/>
                <w:szCs w:val="14"/>
                <w:b w:val="1"/>
                <w:bCs w:val="1"/>
                <w:color w:val="auto"/>
              </w:rPr>
              <w:t>QoQ</w:t>
            </w:r>
          </w:p>
        </w:tc>
        <w:tc>
          <w:tcPr>
            <w:tcW w:w="820" w:type="dxa"/>
            <w:vAlign w:val="bottom"/>
            <w:tcBorders>
              <w:top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2"/>
                <w:szCs w:val="12"/>
                <w:color w:val="auto"/>
              </w:rPr>
            </w:pPr>
          </w:p>
        </w:tc>
        <w:tc>
          <w:tcPr>
            <w:tcW w:w="1140" w:type="dxa"/>
            <w:vAlign w:val="bottom"/>
            <w:tcBorders>
              <w:top w:val="single" w:sz="8" w:color="auto"/>
            </w:tcBorders>
          </w:tcPr>
          <w:p>
            <w:pPr>
              <w:jc w:val="right"/>
              <w:ind w:right="288"/>
              <w:spacing w:after="0" w:line="149" w:lineRule="exact"/>
              <w:rPr>
                <w:sz w:val="20"/>
                <w:szCs w:val="20"/>
                <w:color w:val="auto"/>
              </w:rPr>
            </w:pPr>
            <w:r>
              <w:rPr>
                <w:rFonts w:ascii="Arial" w:cs="Arial" w:eastAsia="Arial" w:hAnsi="Arial"/>
                <w:sz w:val="14"/>
                <w:szCs w:val="14"/>
                <w:b w:val="1"/>
                <w:bCs w:val="1"/>
                <w:color w:val="auto"/>
              </w:rPr>
              <w:t>Dec 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financial income</w:t>
            </w: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24,060</w:t>
            </w:r>
          </w:p>
        </w:tc>
        <w:tc>
          <w:tcPr>
            <w:tcW w:w="24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21,571</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16,164</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11.5%</w:t>
            </w:r>
          </w:p>
        </w:tc>
        <w:tc>
          <w:tcPr>
            <w:tcW w:w="30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48.9%</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82,431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Total provisions for loan loasses</w:t>
            </w:r>
          </w:p>
        </w:tc>
        <w:tc>
          <w:tcPr>
            <w:tcW w:w="14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(2,443)</w:t>
            </w:r>
          </w:p>
        </w:tc>
        <w:tc>
          <w:tcPr>
            <w:tcW w:w="1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(1,887)</w:t>
            </w:r>
          </w:p>
        </w:tc>
        <w:tc>
          <w:tcPr>
            <w:tcW w:w="1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(5,790)</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29.5%</w:t>
            </w:r>
          </w:p>
        </w:tc>
        <w:tc>
          <w:tcPr>
            <w:tcW w:w="3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-57.8%</w:t>
            </w:r>
          </w:p>
        </w:tc>
        <w:tc>
          <w:tcPr>
            <w:tcW w:w="1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190</w:t>
            </w:r>
          </w:p>
        </w:tc>
        <w:tc>
          <w:tcPr>
            <w:tcW w:w="24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223</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590</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-15.2%</w:t>
            </w:r>
          </w:p>
        </w:tc>
        <w:tc>
          <w:tcPr>
            <w:tcW w:w="30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-67.9%</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723</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14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(13,318)</w:t>
            </w:r>
          </w:p>
        </w:tc>
        <w:tc>
          <w:tcPr>
            <w:tcW w:w="1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(13,147)</w:t>
            </w:r>
          </w:p>
        </w:tc>
        <w:tc>
          <w:tcPr>
            <w:tcW w:w="1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(8,785)</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3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51.6%</w:t>
            </w:r>
          </w:p>
        </w:tc>
        <w:tc>
          <w:tcPr>
            <w:tcW w:w="1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(47,223)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8,489</w:t>
            </w:r>
          </w:p>
        </w:tc>
        <w:tc>
          <w:tcPr>
            <w:tcW w:w="24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6,761</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2,179</w:t>
            </w: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25.6%</w:t>
            </w:r>
          </w:p>
        </w:tc>
        <w:tc>
          <w:tcPr>
            <w:tcW w:w="30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289.6%</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30,500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Translation results</w:t>
            </w:r>
          </w:p>
        </w:tc>
        <w:tc>
          <w:tcPr>
            <w:tcW w:w="14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(676)</w:t>
            </w: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1,138</w:t>
            </w:r>
          </w:p>
        </w:tc>
        <w:tc>
          <w:tcPr>
            <w:tcW w:w="1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(376)</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-159.5%</w:t>
            </w:r>
          </w:p>
        </w:tc>
        <w:tc>
          <w:tcPr>
            <w:tcW w:w="3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-79.8%</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Worker's profit sharing and income taxes</w:t>
            </w:r>
          </w:p>
        </w:tc>
        <w:tc>
          <w:tcPr>
            <w:tcW w:w="148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(3,274)</w:t>
            </w:r>
          </w:p>
        </w:tc>
        <w:tc>
          <w:tcPr>
            <w:tcW w:w="13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(2,440)</w:t>
            </w:r>
          </w:p>
        </w:tc>
        <w:tc>
          <w:tcPr>
            <w:tcW w:w="13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(659)</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34.2%</w:t>
            </w:r>
          </w:p>
        </w:tc>
        <w:tc>
          <w:tcPr>
            <w:tcW w:w="30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397.1%</w:t>
            </w:r>
          </w:p>
        </w:tc>
        <w:tc>
          <w:tcPr>
            <w:tcW w:w="12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(10,682)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4,538</w:t>
            </w:r>
          </w:p>
        </w:tc>
        <w:tc>
          <w:tcPr>
            <w:tcW w:w="240" w:type="dxa"/>
            <w:vAlign w:val="bottom"/>
          </w:tcPr>
          <w:p>
            <w:pPr>
              <w:spacing w:after="0"/>
              <w:rPr>
                <w:sz w:val="12"/>
                <w:szCs w:val="12"/>
                <w:color w:val="auto"/>
              </w:rPr>
            </w:pP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5,459</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1,144</w:t>
            </w: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-16.9%</w:t>
            </w:r>
          </w:p>
        </w:tc>
        <w:tc>
          <w:tcPr>
            <w:tcW w:w="3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296.6%</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22,110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Contribution to BCP</w:t>
            </w: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4,529</w:t>
            </w:r>
          </w:p>
        </w:tc>
        <w:tc>
          <w:tcPr>
            <w:tcW w:w="24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5,447</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1,142</w:t>
            </w: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-16.9%</w:t>
            </w:r>
          </w:p>
        </w:tc>
        <w:tc>
          <w:tcPr>
            <w:tcW w:w="30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396.6%</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22,063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Total loans</w:t>
            </w: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356,235</w:t>
            </w:r>
          </w:p>
        </w:tc>
        <w:tc>
          <w:tcPr>
            <w:tcW w:w="240" w:type="dxa"/>
            <w:vAlign w:val="bottom"/>
          </w:tcPr>
          <w:p>
            <w:pPr>
              <w:spacing w:after="0"/>
              <w:rPr>
                <w:sz w:val="12"/>
                <w:szCs w:val="12"/>
                <w:color w:val="auto"/>
              </w:rPr>
            </w:pP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318,708</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249,768</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11.8%</w:t>
            </w:r>
          </w:p>
        </w:tc>
        <w:tc>
          <w:tcPr>
            <w:tcW w:w="3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42.6%</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356,235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Past due loans</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14,281</w:t>
            </w:r>
          </w:p>
        </w:tc>
        <w:tc>
          <w:tcPr>
            <w:tcW w:w="24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13,352</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9,688</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7.0%</w:t>
            </w:r>
          </w:p>
        </w:tc>
        <w:tc>
          <w:tcPr>
            <w:tcW w:w="30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47.4%</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Net provisions for possible loan losses</w:t>
            </w:r>
          </w:p>
        </w:tc>
        <w:tc>
          <w:tcPr>
            <w:tcW w:w="14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(26,223)</w:t>
            </w:r>
          </w:p>
        </w:tc>
        <w:tc>
          <w:tcPr>
            <w:tcW w:w="1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(24,987)</w:t>
            </w:r>
          </w:p>
        </w:tc>
        <w:tc>
          <w:tcPr>
            <w:tcW w:w="1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(25,242)</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w:t>
            </w:r>
          </w:p>
        </w:tc>
        <w:tc>
          <w:tcPr>
            <w:tcW w:w="3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w:t>
            </w:r>
          </w:p>
        </w:tc>
        <w:tc>
          <w:tcPr>
            <w:tcW w:w="1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(26,223)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465,888</w:t>
            </w:r>
          </w:p>
        </w:tc>
        <w:tc>
          <w:tcPr>
            <w:tcW w:w="24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375,773</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275,282</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24.0%</w:t>
            </w:r>
          </w:p>
        </w:tc>
        <w:tc>
          <w:tcPr>
            <w:tcW w:w="30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69.2%</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465,888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Deposits and obligations</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154,173</w:t>
            </w:r>
          </w:p>
        </w:tc>
        <w:tc>
          <w:tcPr>
            <w:tcW w:w="240" w:type="dxa"/>
            <w:vAlign w:val="bottom"/>
          </w:tcPr>
          <w:p>
            <w:pPr>
              <w:spacing w:after="0"/>
              <w:rPr>
                <w:sz w:val="12"/>
                <w:szCs w:val="12"/>
                <w:color w:val="auto"/>
              </w:rPr>
            </w:pP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74,271</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36,082</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107.6%</w:t>
            </w:r>
          </w:p>
        </w:tc>
        <w:tc>
          <w:tcPr>
            <w:tcW w:w="3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327.3%</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154,173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shareholders´ equity</w:t>
            </w: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52,419</w:t>
            </w:r>
          </w:p>
        </w:tc>
        <w:tc>
          <w:tcPr>
            <w:tcW w:w="24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47,878</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41,418</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9.5%</w:t>
            </w:r>
          </w:p>
        </w:tc>
        <w:tc>
          <w:tcPr>
            <w:tcW w:w="30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26.6%</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52,419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PDL / Total loans</w:t>
            </w:r>
          </w:p>
        </w:tc>
        <w:tc>
          <w:tcPr>
            <w:tcW w:w="100" w:type="dxa"/>
            <w:vAlign w:val="bottom"/>
          </w:tcPr>
          <w:p>
            <w:pPr>
              <w:spacing w:after="0"/>
              <w:rPr>
                <w:sz w:val="12"/>
                <w:szCs w:val="12"/>
                <w:color w:val="auto"/>
              </w:rPr>
            </w:pPr>
          </w:p>
        </w:tc>
        <w:tc>
          <w:tcPr>
            <w:tcW w:w="1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w:t>
            </w:r>
          </w:p>
        </w:tc>
        <w:tc>
          <w:tcPr>
            <w:tcW w:w="1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w:t>
            </w: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Coverage ratio of PDLs</w:t>
            </w:r>
          </w:p>
        </w:tc>
        <w:tc>
          <w:tcPr>
            <w:tcW w:w="148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183.6%</w:t>
            </w:r>
          </w:p>
        </w:tc>
        <w:tc>
          <w:tcPr>
            <w:tcW w:w="13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187.1%</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260.6%</w:t>
            </w:r>
          </w:p>
        </w:tc>
        <w:tc>
          <w:tcPr>
            <w:tcW w:w="1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Return on average equity*</w:t>
            </w:r>
          </w:p>
        </w:tc>
        <w:tc>
          <w:tcPr>
            <w:tcW w:w="100" w:type="dxa"/>
            <w:vAlign w:val="bottom"/>
          </w:tcPr>
          <w:p>
            <w:pPr>
              <w:spacing w:after="0"/>
              <w:rPr>
                <w:sz w:val="12"/>
                <w:szCs w:val="12"/>
                <w:color w:val="auto"/>
              </w:rPr>
            </w:pPr>
          </w:p>
        </w:tc>
        <w:tc>
          <w:tcPr>
            <w:tcW w:w="1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18.0%</w:t>
            </w:r>
          </w:p>
        </w:tc>
        <w:tc>
          <w:tcPr>
            <w:tcW w:w="1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22.8%</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Branches</w:t>
            </w: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101</w:t>
            </w:r>
          </w:p>
        </w:tc>
        <w:tc>
          <w:tcPr>
            <w:tcW w:w="24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105</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97</w:t>
            </w:r>
          </w:p>
        </w:tc>
        <w:tc>
          <w:tcPr>
            <w:tcW w:w="1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Employees</w:t>
            </w: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1,693</w:t>
            </w:r>
          </w:p>
        </w:tc>
        <w:tc>
          <w:tcPr>
            <w:tcW w:w="240" w:type="dxa"/>
            <w:vAlign w:val="bottom"/>
          </w:tcPr>
          <w:p>
            <w:pPr>
              <w:spacing w:after="0"/>
              <w:rPr>
                <w:sz w:val="12"/>
                <w:szCs w:val="12"/>
                <w:color w:val="auto"/>
              </w:rPr>
            </w:pP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1,534</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1,247</w:t>
            </w: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*Net shareholders' equity includes US$ 50.7 millions from goodwill.</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Financiera Edyficar obtained positive results in 4Q10, which contributed to consolidating the company’s excellent performance throughout 2010. Net earnings in 4Q10 were US$ 4.5 million, which is lower than the figure reported in 3Q10 (-16.9%) due primarily to higher income tax provisions for 2010 realized in the 4Q and due to a slight loss on local currency exposure after the Nuevo Sol depreciated 1% against the US Dollar during 4Q10.</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YoY analysis shows a 296.6% increase over 4Q09’s result, which demonstrates that the improvements implemented after BCP’s purchase of Edyficar have been positive. The main indicators in 4Q10 were:</w:t>
      </w:r>
    </w:p>
    <w:p>
      <w:pPr>
        <w:spacing w:after="0" w:line="197" w:lineRule="exact"/>
        <w:rPr>
          <w:sz w:val="20"/>
          <w:szCs w:val="20"/>
          <w:color w:val="auto"/>
        </w:rPr>
      </w:pPr>
    </w:p>
    <w:p>
      <w:pPr>
        <w:ind w:left="660" w:hanging="152"/>
        <w:spacing w:after="0" w:line="277" w:lineRule="auto"/>
        <w:tabs>
          <w:tab w:leader="none" w:pos="69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loans reached US$ 356.2 million, maintaining the upward trend evident throughout the year to report 11.8% growth QoQ, which represents the most significant quarterly expansion in 2010.</w:t>
      </w:r>
    </w:p>
    <w:p>
      <w:pPr>
        <w:spacing w:after="0" w:line="197" w:lineRule="exact"/>
        <w:rPr>
          <w:rFonts w:ascii="Arial" w:cs="Arial" w:eastAsia="Arial" w:hAnsi="Arial"/>
          <w:sz w:val="18"/>
          <w:szCs w:val="18"/>
          <w:color w:val="auto"/>
        </w:rPr>
      </w:pPr>
    </w:p>
    <w:p>
      <w:pPr>
        <w:jc w:val="both"/>
        <w:ind w:left="660" w:hanging="152"/>
        <w:spacing w:after="0" w:line="312" w:lineRule="auto"/>
        <w:tabs>
          <w:tab w:leader="none" w:pos="703"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past due ratio fell to 4.0% due to an increase in the loan portfolio (+11.8% QoQ), which helped offset slower growth in the past due portfolio (+7.0% QoQ). This allowed Edyficar to achieve a past due ratio similar to that reported at the end of 2009 (3.9%). Additionally, net provisions for possible loan losses increased 4.9% QoQ. This was in line with portfolio growth, which translated into a coverage ratio for overdue loans of 183.6%.</w:t>
      </w:r>
    </w:p>
    <w:p>
      <w:pPr>
        <w:spacing w:after="0" w:line="173" w:lineRule="exact"/>
        <w:rPr>
          <w:rFonts w:ascii="Arial" w:cs="Arial" w:eastAsia="Arial" w:hAnsi="Arial"/>
          <w:sz w:val="16"/>
          <w:szCs w:val="16"/>
          <w:color w:val="auto"/>
        </w:rPr>
      </w:pPr>
    </w:p>
    <w:p>
      <w:pPr>
        <w:ind w:left="660" w:hanging="152"/>
        <w:spacing w:after="0" w:line="277" w:lineRule="auto"/>
        <w:tabs>
          <w:tab w:leader="none" w:pos="79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 share has consolidated in the micro finance segment, concentrating 6.9% of total loans- topping the 6.4% share reported at the end of 3Q10.</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emphasize Edyficar’s excellent operating earnings in 4Q10, which grew 25.6% QoQ due to 11.5% QoQ growth in NII. This last factor was attributable to a significant expansion in the loan portfolio and adequate financial management based on lower financial expenses and hedge for exchange rate risk with forward contracts.</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Deposits and obligations grew 107.6% QoQ due to an increase in institutional funds such as Mutual Funds, Insurance Companies and AFPs, in line with the company’s strategy to diversify funding sources. The majority of these resources were used in the Money Market portfolio that Edyficar has invested in Time Deposits in the Central Bank and other Financial Institutions. During 4Q10, this portfolio maintained a solid average balance of US$ 87 million. Additionally, in the month of November, Financiera Edyficar issued 1-year Certificates of Deposit for S/. 25 million that can be increased to S/. 50 million. The demand for these securities was S/. 150 million at an interest rate of 4.23% (estimated spread of 68 bps on 297-day BCR’s CD).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in 2010</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23" w:name="page24"/>
    <w:bookmarkEnd w:id="2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In 2010, Edyficar reported earnings of US$ 22.1 million, which represents a return on average equity, including goodwill, of 22.7% and 47.1% without including the same.</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Another important aspect worth pointing out is the fact that the loan portfolio expanded 42.6%. This portfolio’s past due ratio was only 4.0% while the coverage ratio on overdue loans was 183.6%.</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Finally, it is evident that Edyficar continues to contribute to BCP’s objectives in terms of loan levels, profitability and efforts to increase the use of banking services through increased penetration of the micro financing system.</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V. Atlantic Security Holding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Results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ASHC</w:t>
            </w:r>
          </w:p>
        </w:tc>
        <w:tc>
          <w:tcPr>
            <w:tcW w:w="1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3"/>
                <w:szCs w:val="13"/>
                <w:b w:val="1"/>
                <w:bCs w:val="1"/>
                <w:color w:val="auto"/>
              </w:rPr>
              <w:t>Quarter</w:t>
            </w: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Borders>
              <w:bottom w:val="single" w:sz="8" w:color="auto"/>
            </w:tcBorders>
            <w:gridSpan w:val="3"/>
          </w:tcPr>
          <w:p>
            <w:pPr>
              <w:ind w:left="580"/>
              <w:spacing w:after="0"/>
              <w:rPr>
                <w:sz w:val="20"/>
                <w:szCs w:val="20"/>
                <w:color w:val="auto"/>
              </w:rPr>
            </w:pPr>
            <w:r>
              <w:rPr>
                <w:rFonts w:ascii="Arial" w:cs="Arial" w:eastAsia="Arial" w:hAnsi="Arial"/>
                <w:sz w:val="13"/>
                <w:szCs w:val="13"/>
                <w:b w:val="1"/>
                <w:bCs w:val="1"/>
                <w:color w:val="auto"/>
                <w:w w:val="83"/>
              </w:rPr>
              <w:t>Year to date</w:t>
            </w:r>
          </w:p>
        </w:tc>
        <w:tc>
          <w:tcPr>
            <w:tcW w:w="5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3"/>
                <w:szCs w:val="13"/>
                <w:b w:val="1"/>
                <w:bCs w:val="1"/>
                <w:color w:val="auto"/>
              </w:rPr>
              <w:t>Change %</w:t>
            </w:r>
          </w:p>
        </w:tc>
        <w:tc>
          <w:tcPr>
            <w:tcW w:w="8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US$ million</w:t>
            </w:r>
          </w:p>
        </w:tc>
        <w:tc>
          <w:tcPr>
            <w:tcW w:w="120" w:type="dxa"/>
            <w:vAlign w:val="bottom"/>
          </w:tcPr>
          <w:p>
            <w:pPr>
              <w:spacing w:after="0"/>
              <w:rPr>
                <w:sz w:val="11"/>
                <w:szCs w:val="11"/>
                <w:color w:val="auto"/>
              </w:rPr>
            </w:pPr>
          </w:p>
        </w:tc>
        <w:tc>
          <w:tcPr>
            <w:tcW w:w="100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4Q10</w:t>
            </w:r>
          </w:p>
        </w:tc>
        <w:tc>
          <w:tcPr>
            <w:tcW w:w="102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3Q10</w:t>
            </w:r>
          </w:p>
        </w:tc>
        <w:tc>
          <w:tcPr>
            <w:tcW w:w="80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4Q09</w:t>
            </w:r>
          </w:p>
        </w:tc>
        <w:tc>
          <w:tcPr>
            <w:tcW w:w="220" w:type="dxa"/>
            <w:vAlign w:val="bottom"/>
          </w:tcPr>
          <w:p>
            <w:pPr>
              <w:spacing w:after="0"/>
              <w:rPr>
                <w:sz w:val="11"/>
                <w:szCs w:val="11"/>
                <w:color w:val="auto"/>
              </w:rPr>
            </w:pPr>
          </w:p>
        </w:tc>
        <w:tc>
          <w:tcPr>
            <w:tcW w:w="1220" w:type="dxa"/>
            <w:vAlign w:val="bottom"/>
            <w:gridSpan w:val="3"/>
          </w:tcPr>
          <w:p>
            <w:pPr>
              <w:ind w:left="220"/>
              <w:spacing w:after="0" w:line="135" w:lineRule="exact"/>
              <w:rPr>
                <w:sz w:val="20"/>
                <w:szCs w:val="20"/>
                <w:color w:val="auto"/>
              </w:rPr>
            </w:pPr>
            <w:r>
              <w:rPr>
                <w:rFonts w:ascii="Arial" w:cs="Arial" w:eastAsia="Arial" w:hAnsi="Arial"/>
                <w:sz w:val="13"/>
                <w:szCs w:val="13"/>
                <w:b w:val="1"/>
                <w:bCs w:val="1"/>
                <w:color w:val="auto"/>
              </w:rPr>
              <w:t>Dec 10</w:t>
            </w:r>
          </w:p>
        </w:tc>
        <w:tc>
          <w:tcPr>
            <w:tcW w:w="580" w:type="dxa"/>
            <w:vAlign w:val="bottom"/>
          </w:tcPr>
          <w:p>
            <w:pPr>
              <w:spacing w:after="0" w:line="135" w:lineRule="exact"/>
              <w:rPr>
                <w:sz w:val="20"/>
                <w:szCs w:val="20"/>
                <w:color w:val="auto"/>
              </w:rPr>
            </w:pPr>
            <w:r>
              <w:rPr>
                <w:rFonts w:ascii="Arial" w:cs="Arial" w:eastAsia="Arial" w:hAnsi="Arial"/>
                <w:sz w:val="13"/>
                <w:szCs w:val="13"/>
                <w:b w:val="1"/>
                <w:bCs w:val="1"/>
                <w:color w:val="auto"/>
              </w:rPr>
              <w:t>Dec 09</w:t>
            </w:r>
          </w:p>
        </w:tc>
        <w:tc>
          <w:tcPr>
            <w:tcW w:w="220" w:type="dxa"/>
            <w:vAlign w:val="bottom"/>
          </w:tcPr>
          <w:p>
            <w:pPr>
              <w:spacing w:after="0"/>
              <w:rPr>
                <w:sz w:val="11"/>
                <w:szCs w:val="11"/>
                <w:color w:val="auto"/>
              </w:rPr>
            </w:pPr>
          </w:p>
        </w:tc>
        <w:tc>
          <w:tcPr>
            <w:tcW w:w="1040" w:type="dxa"/>
            <w:vAlign w:val="bottom"/>
            <w:gridSpan w:val="2"/>
          </w:tcPr>
          <w:p>
            <w:pPr>
              <w:jc w:val="right"/>
              <w:ind w:right="520"/>
              <w:spacing w:after="0" w:line="135" w:lineRule="exact"/>
              <w:rPr>
                <w:sz w:val="20"/>
                <w:szCs w:val="20"/>
                <w:color w:val="auto"/>
              </w:rPr>
            </w:pPr>
            <w:r>
              <w:rPr>
                <w:rFonts w:ascii="Arial" w:cs="Arial" w:eastAsia="Arial" w:hAnsi="Arial"/>
                <w:sz w:val="13"/>
                <w:szCs w:val="13"/>
                <w:b w:val="1"/>
                <w:bCs w:val="1"/>
                <w:color w:val="auto"/>
              </w:rPr>
              <w:t>QoQ</w:t>
            </w:r>
          </w:p>
        </w:tc>
        <w:tc>
          <w:tcPr>
            <w:tcW w:w="1040" w:type="dxa"/>
            <w:vAlign w:val="bottom"/>
            <w:gridSpan w:val="2"/>
          </w:tcPr>
          <w:p>
            <w:pPr>
              <w:jc w:val="right"/>
              <w:ind w:right="520"/>
              <w:spacing w:after="0" w:line="135" w:lineRule="exact"/>
              <w:rPr>
                <w:sz w:val="20"/>
                <w:szCs w:val="20"/>
                <w:color w:val="auto"/>
              </w:rPr>
            </w:pPr>
            <w:r>
              <w:rPr>
                <w:rFonts w:ascii="Arial" w:cs="Arial" w:eastAsia="Arial" w:hAnsi="Arial"/>
                <w:sz w:val="13"/>
                <w:szCs w:val="13"/>
                <w:b w:val="1"/>
                <w:bCs w:val="1"/>
                <w:color w:val="auto"/>
              </w:rPr>
              <w:t>YoY</w:t>
            </w:r>
          </w:p>
        </w:tc>
        <w:tc>
          <w:tcPr>
            <w:tcW w:w="820" w:type="dxa"/>
            <w:vAlign w:val="bottom"/>
          </w:tcPr>
          <w:p>
            <w:pPr>
              <w:spacing w:after="0" w:line="135" w:lineRule="exact"/>
              <w:rPr>
                <w:sz w:val="20"/>
                <w:szCs w:val="20"/>
                <w:color w:val="auto"/>
              </w:rPr>
            </w:pPr>
            <w:r>
              <w:rPr>
                <w:rFonts w:ascii="Arial" w:cs="Arial" w:eastAsia="Arial" w:hAnsi="Arial"/>
                <w:sz w:val="13"/>
                <w:szCs w:val="13"/>
                <w:b w:val="1"/>
                <w:bCs w:val="1"/>
                <w:color w:val="auto"/>
                <w:w w:val="84"/>
              </w:rPr>
              <w:t>Dec 10 / Dec 09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Net interest income</w:t>
            </w: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10.0</w:t>
            </w:r>
          </w:p>
        </w:tc>
        <w:tc>
          <w:tcPr>
            <w:tcW w:w="2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8.7</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9.4</w:t>
            </w:r>
          </w:p>
        </w:tc>
        <w:tc>
          <w:tcPr>
            <w:tcW w:w="2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36.7</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29.4</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15.2%</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6.4%</w:t>
            </w:r>
          </w:p>
        </w:tc>
        <w:tc>
          <w:tcPr>
            <w:tcW w:w="96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Dividend income</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0.3</w:t>
            </w:r>
          </w:p>
        </w:tc>
        <w:tc>
          <w:tcPr>
            <w:tcW w:w="200" w:type="dxa"/>
            <w:vAlign w:val="bottom"/>
          </w:tcPr>
          <w:p>
            <w:pPr>
              <w:spacing w:after="0"/>
              <w:rPr>
                <w:sz w:val="11"/>
                <w:szCs w:val="11"/>
                <w:color w:val="auto"/>
              </w:rPr>
            </w:pP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0.2</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0.2</w:t>
            </w:r>
          </w:p>
        </w:tc>
        <w:tc>
          <w:tcPr>
            <w:tcW w:w="22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25.6</w:t>
            </w:r>
          </w:p>
        </w:tc>
        <w:tc>
          <w:tcPr>
            <w:tcW w:w="2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22.3</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67.1%</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57.3%</w:t>
            </w:r>
          </w:p>
        </w:tc>
        <w:tc>
          <w:tcPr>
            <w:tcW w:w="9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Fees and commissions from services</w:t>
            </w:r>
          </w:p>
        </w:tc>
        <w:tc>
          <w:tcPr>
            <w:tcW w:w="9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1.9</w:t>
            </w:r>
          </w:p>
        </w:tc>
        <w:tc>
          <w:tcPr>
            <w:tcW w:w="2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2.1</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2.5</w:t>
            </w:r>
          </w:p>
        </w:tc>
        <w:tc>
          <w:tcPr>
            <w:tcW w:w="2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8.3</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6.5</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-10.8%</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-22.2%</w:t>
            </w:r>
          </w:p>
        </w:tc>
        <w:tc>
          <w:tcPr>
            <w:tcW w:w="96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Net gains on foreign exchange transactions</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0.0</w:t>
            </w:r>
          </w:p>
        </w:tc>
        <w:tc>
          <w:tcPr>
            <w:tcW w:w="200" w:type="dxa"/>
            <w:vAlign w:val="bottom"/>
          </w:tcPr>
          <w:p>
            <w:pPr>
              <w:spacing w:after="0"/>
              <w:rPr>
                <w:sz w:val="11"/>
                <w:szCs w:val="11"/>
                <w:color w:val="auto"/>
              </w:rPr>
            </w:pP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0.0</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22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-0.3</w:t>
            </w:r>
          </w:p>
        </w:tc>
        <w:tc>
          <w:tcPr>
            <w:tcW w:w="2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-0.6</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-153.3%</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78.9%</w:t>
            </w:r>
          </w:p>
        </w:tc>
        <w:tc>
          <w:tcPr>
            <w:tcW w:w="9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Total earnings</w:t>
            </w: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12.2</w:t>
            </w:r>
          </w:p>
        </w:tc>
        <w:tc>
          <w:tcPr>
            <w:tcW w:w="2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11.0</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12.0</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70.3</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57.6</w:t>
            </w:r>
          </w:p>
        </w:tc>
        <w:tc>
          <w:tcPr>
            <w:tcW w:w="10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10.4%</w:t>
            </w:r>
          </w:p>
        </w:tc>
        <w:tc>
          <w:tcPr>
            <w:tcW w:w="10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1.8%</w:t>
            </w:r>
          </w:p>
        </w:tc>
        <w:tc>
          <w:tcPr>
            <w:tcW w:w="96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Net Provisions</w:t>
            </w: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200" w:type="dxa"/>
            <w:vAlign w:val="bottom"/>
          </w:tcPr>
          <w:p>
            <w:pPr>
              <w:spacing w:after="0"/>
              <w:rPr>
                <w:sz w:val="11"/>
                <w:szCs w:val="11"/>
                <w:color w:val="auto"/>
              </w:rPr>
            </w:pP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-2.3</w:t>
            </w:r>
          </w:p>
        </w:tc>
        <w:tc>
          <w:tcPr>
            <w:tcW w:w="22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-3.3</w:t>
            </w:r>
          </w:p>
        </w:tc>
        <w:tc>
          <w:tcPr>
            <w:tcW w:w="2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-10.7</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16.7%</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-24.3%</w:t>
            </w:r>
          </w:p>
        </w:tc>
        <w:tc>
          <w:tcPr>
            <w:tcW w:w="9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Net gains from sale of securities</w:t>
            </w:r>
          </w:p>
        </w:tc>
        <w:tc>
          <w:tcPr>
            <w:tcW w:w="9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3.4</w:t>
            </w:r>
          </w:p>
        </w:tc>
        <w:tc>
          <w:tcPr>
            <w:tcW w:w="2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3.1</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4.1</w:t>
            </w:r>
          </w:p>
        </w:tc>
        <w:tc>
          <w:tcPr>
            <w:tcW w:w="2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13.8</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7.3</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12.6%</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-15.7%</w:t>
            </w:r>
          </w:p>
        </w:tc>
        <w:tc>
          <w:tcPr>
            <w:tcW w:w="96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88.3%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Other income</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0.0</w:t>
            </w:r>
          </w:p>
        </w:tc>
        <w:tc>
          <w:tcPr>
            <w:tcW w:w="200" w:type="dxa"/>
            <w:vAlign w:val="bottom"/>
          </w:tcPr>
          <w:p>
            <w:pPr>
              <w:spacing w:after="0"/>
              <w:rPr>
                <w:sz w:val="11"/>
                <w:szCs w:val="11"/>
                <w:color w:val="auto"/>
              </w:rPr>
            </w:pP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-0.1</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5.5</w:t>
            </w:r>
          </w:p>
        </w:tc>
        <w:tc>
          <w:tcPr>
            <w:tcW w:w="22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0.2</w:t>
            </w:r>
          </w:p>
        </w:tc>
        <w:tc>
          <w:tcPr>
            <w:tcW w:w="2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7.6</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51.1%</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-100.8%</w:t>
            </w:r>
          </w:p>
        </w:tc>
        <w:tc>
          <w:tcPr>
            <w:tcW w:w="9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-96.8%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Operating expenses</w:t>
            </w: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-2.1</w:t>
            </w:r>
          </w:p>
        </w:tc>
        <w:tc>
          <w:tcPr>
            <w:tcW w:w="2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-1.9</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-2.2</w:t>
            </w:r>
          </w:p>
        </w:tc>
        <w:tc>
          <w:tcPr>
            <w:tcW w:w="2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-7.7</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-7.8</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-11.3%</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4.3%</w:t>
            </w:r>
          </w:p>
        </w:tc>
        <w:tc>
          <w:tcPr>
            <w:tcW w:w="96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b w:val="1"/>
                <w:bCs w:val="1"/>
                <w:color w:val="auto"/>
              </w:rPr>
              <w:t>Net income</w:t>
            </w: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11.7</w:t>
            </w:r>
          </w:p>
        </w:tc>
        <w:tc>
          <w:tcPr>
            <w:tcW w:w="200" w:type="dxa"/>
            <w:vAlign w:val="bottom"/>
          </w:tcPr>
          <w:p>
            <w:pPr>
              <w:spacing w:after="0"/>
              <w:rPr>
                <w:sz w:val="11"/>
                <w:szCs w:val="11"/>
                <w:color w:val="auto"/>
              </w:rPr>
            </w:pP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10.6</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17.1</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73.4</w:t>
            </w:r>
          </w:p>
        </w:tc>
        <w:tc>
          <w:tcPr>
            <w:tcW w:w="2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54.1</w:t>
            </w: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10.6%</w:t>
            </w: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-31.3%</w:t>
            </w:r>
          </w:p>
        </w:tc>
        <w:tc>
          <w:tcPr>
            <w:tcW w:w="9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35.9%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Net income / share</w:t>
            </w: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0.1</w:t>
            </w:r>
          </w:p>
        </w:tc>
        <w:tc>
          <w:tcPr>
            <w:tcW w:w="2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0.1</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0.2</w:t>
            </w:r>
          </w:p>
        </w:tc>
        <w:tc>
          <w:tcPr>
            <w:tcW w:w="2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0.8</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0.6</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10.6%</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-31.3%</w:t>
            </w:r>
          </w:p>
        </w:tc>
        <w:tc>
          <w:tcPr>
            <w:tcW w:w="96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b w:val="1"/>
                <w:bCs w:val="1"/>
                <w:color w:val="auto"/>
              </w:rPr>
              <w:t>Contribution to Credicorp</w:t>
            </w: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11.7</w:t>
            </w:r>
          </w:p>
        </w:tc>
        <w:tc>
          <w:tcPr>
            <w:tcW w:w="200" w:type="dxa"/>
            <w:vAlign w:val="bottom"/>
          </w:tcPr>
          <w:p>
            <w:pPr>
              <w:spacing w:after="0"/>
              <w:rPr>
                <w:sz w:val="11"/>
                <w:szCs w:val="11"/>
                <w:color w:val="auto"/>
              </w:rPr>
            </w:pP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10.6</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14.9</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48.8</w:t>
            </w:r>
          </w:p>
        </w:tc>
        <w:tc>
          <w:tcPr>
            <w:tcW w:w="2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29.7</w:t>
            </w: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10.5%</w:t>
            </w: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-21.4%</w:t>
            </w:r>
          </w:p>
        </w:tc>
        <w:tc>
          <w:tcPr>
            <w:tcW w:w="9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64.2%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Total loans</w:t>
            </w: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468.1</w:t>
            </w:r>
          </w:p>
        </w:tc>
        <w:tc>
          <w:tcPr>
            <w:tcW w:w="2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493.0</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132.3</w:t>
            </w:r>
          </w:p>
        </w:tc>
        <w:tc>
          <w:tcPr>
            <w:tcW w:w="2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468.1</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132.3</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-5.0%</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254.0%</w:t>
            </w:r>
          </w:p>
        </w:tc>
        <w:tc>
          <w:tcPr>
            <w:tcW w:w="8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Total investments available for sale</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747.5</w:t>
            </w:r>
          </w:p>
        </w:tc>
        <w:tc>
          <w:tcPr>
            <w:tcW w:w="200" w:type="dxa"/>
            <w:vAlign w:val="bottom"/>
          </w:tcPr>
          <w:p>
            <w:pPr>
              <w:spacing w:after="0"/>
              <w:rPr>
                <w:sz w:val="11"/>
                <w:szCs w:val="11"/>
                <w:color w:val="auto"/>
              </w:rPr>
            </w:pP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781.5</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779.3</w:t>
            </w:r>
          </w:p>
        </w:tc>
        <w:tc>
          <w:tcPr>
            <w:tcW w:w="22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747.5</w:t>
            </w:r>
          </w:p>
        </w:tc>
        <w:tc>
          <w:tcPr>
            <w:tcW w:w="2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779.3</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-4.4%</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-4.1%</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Total assets</w:t>
            </w:r>
          </w:p>
        </w:tc>
        <w:tc>
          <w:tcPr>
            <w:tcW w:w="9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1,400.8</w:t>
            </w:r>
          </w:p>
        </w:tc>
        <w:tc>
          <w:tcPr>
            <w:tcW w:w="2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1,527.2</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1,483.6</w:t>
            </w:r>
          </w:p>
        </w:tc>
        <w:tc>
          <w:tcPr>
            <w:tcW w:w="2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1,400.8</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1,483.6</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-8.3%</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-5.6%</w:t>
            </w:r>
          </w:p>
        </w:tc>
        <w:tc>
          <w:tcPr>
            <w:tcW w:w="8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Total deposits</w:t>
            </w:r>
          </w:p>
        </w:tc>
        <w:tc>
          <w:tcPr>
            <w:tcW w:w="11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1,116.8</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1,249.8</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1,220.6</w:t>
            </w:r>
          </w:p>
        </w:tc>
        <w:tc>
          <w:tcPr>
            <w:tcW w:w="22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1,116.8</w:t>
            </w:r>
          </w:p>
        </w:tc>
        <w:tc>
          <w:tcPr>
            <w:tcW w:w="2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1,220.6</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-10.6%</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-8.5%</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Net shareholder's equity</w:t>
            </w: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265.8</w:t>
            </w:r>
          </w:p>
        </w:tc>
        <w:tc>
          <w:tcPr>
            <w:tcW w:w="2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261.2</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239.8</w:t>
            </w:r>
          </w:p>
        </w:tc>
        <w:tc>
          <w:tcPr>
            <w:tcW w:w="2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265.8</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239.8</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1.8%</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10.9%</w:t>
            </w:r>
          </w:p>
        </w:tc>
        <w:tc>
          <w:tcPr>
            <w:tcW w:w="8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2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Net interest margin</w:t>
            </w:r>
          </w:p>
        </w:tc>
        <w:tc>
          <w:tcPr>
            <w:tcW w:w="12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3.13%</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2.57%</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2.74%</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2.78%</w:t>
            </w:r>
          </w:p>
        </w:tc>
        <w:tc>
          <w:tcPr>
            <w:tcW w:w="22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2.11%</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Efficiency ratio</w:t>
            </w:r>
          </w:p>
        </w:tc>
        <w:tc>
          <w:tcPr>
            <w:tcW w:w="1120" w:type="dxa"/>
            <w:vAlign w:val="bottom"/>
            <w:gridSpan w:val="3"/>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13.6%</w:t>
            </w:r>
          </w:p>
        </w:tc>
        <w:tc>
          <w:tcPr>
            <w:tcW w:w="10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13.6%</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10.3%</w:t>
            </w:r>
          </w:p>
        </w:tc>
        <w:tc>
          <w:tcPr>
            <w:tcW w:w="10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9.1%</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10.8%</w:t>
            </w: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Return on average equity</w:t>
            </w:r>
          </w:p>
        </w:tc>
        <w:tc>
          <w:tcPr>
            <w:tcW w:w="11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17.8%</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16.8%</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29.8%</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29.1%</w:t>
            </w:r>
          </w:p>
        </w:tc>
        <w:tc>
          <w:tcPr>
            <w:tcW w:w="22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30.4%</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PDL / Total loans</w:t>
            </w: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0.00</w:t>
            </w:r>
          </w:p>
        </w:tc>
        <w:tc>
          <w:tcPr>
            <w:tcW w:w="2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0.00</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0.00</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0.00</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0.00</w:t>
            </w: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0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2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Coverge ratio</w:t>
            </w:r>
          </w:p>
        </w:tc>
        <w:tc>
          <w:tcPr>
            <w:tcW w:w="12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0.2%</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0.2%</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0.8%</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0.2%</w:t>
            </w:r>
          </w:p>
        </w:tc>
        <w:tc>
          <w:tcPr>
            <w:tcW w:w="22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0.8%</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BIS ratio</w:t>
            </w:r>
          </w:p>
        </w:tc>
        <w:tc>
          <w:tcPr>
            <w:tcW w:w="1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23.43%</w:t>
            </w:r>
          </w:p>
        </w:tc>
        <w:tc>
          <w:tcPr>
            <w:tcW w:w="10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20.54%</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19.62%</w:t>
            </w:r>
          </w:p>
        </w:tc>
        <w:tc>
          <w:tcPr>
            <w:tcW w:w="10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23.43%</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19.62%</w:t>
            </w: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0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2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Atlantic Security Holding Corporation (ASHC) reported net income of US$ 11.7 million in 4Q10, which is 10.6% higher than the figure reported in 3Q10. In accumulated terms, net income in 2010 totaled US$ 73.4 million, representing a 35.9% increase YoY. ASCH's contribution to Credicorp totaled US$ 48.8 million, which represents a significant 64.2% improvement YoY.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QoQ increase is primarily attributable to higher margins in 4Q10, which were associated with a strategy to seek higher returns by moving some investments to longer term positions and increasing investments in instruments without an investment grade. It is important to point out that US$ 1.8 million in provisions were set aside this quarter in keeping with the bank’s conservative policy.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growth obtained in accumulated results is attributable to</w:t>
      </w:r>
    </w:p>
    <w:p>
      <w:pPr>
        <w:spacing w:after="0" w:line="252" w:lineRule="exact"/>
        <w:rPr>
          <w:sz w:val="20"/>
          <w:szCs w:val="20"/>
          <w:color w:val="auto"/>
        </w:rPr>
      </w:pPr>
    </w:p>
    <w:p>
      <w:pPr>
        <w:jc w:val="both"/>
        <w:ind w:left="820" w:right="20" w:hanging="326"/>
        <w:spacing w:after="0" w:line="264"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increase in the financial margin and earnings for securities sales, which are attributable to the aforementioned strategy to invest in higher yield instruments as well as adequate management of portfolio segmentation, which helped increase the total return on productive assets and contributed to higher earnings for securities sales; and</w:t>
      </w:r>
    </w:p>
    <w:p>
      <w:pPr>
        <w:spacing w:after="0" w:line="208"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increase in fee income due to growth in AuM associated with Fondos ASB and direct third-party investments, which were in turn attributable to higher market values and efforts to capture new clients.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terms of operating efficiency, the efficiency ratio this quarter remained at last quarter’s level- 13.6%. Nevertheless, the result for the whole of 2010 was 9.1%, which marks an improvement over 2009’s result (10.8%) and was due to higher earnings, lower reserves and reduced expenses.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ROAE reached 17.8%, which is higher than 3Q10’s figure (16.8%) but 12 percentage points below 4Q09’s result. The YoY result was due to lower unrealized earnings on the investment portfolio at the end of 4Q10. In accumulated terms, ROAE in 2010 was 29.1%, which is lower than the 20.4% obtained in 2009. This was attributable primarily to an increase in average shareholder’s equity in 2010 due to higher earnings during the period as well as higher average unrealized earnings.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Assets and Liabilities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earning assets totaled US$ 1,288 million, as is evident in the table below. The 9.6% decline QoQ was due primarily to a 40.4% drop in Cash and Banks, which is in turn associated with clients’ decision to cancel deposits to invest some of their funds in the bank’s investment products. A YoY comparison indicates a net decline of 6.5% due to loan amortization and securities sales, which were in turn used to complement cash requirements to cover deposit cancellation and client investments.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most significant variation in the structure of interest earning assets was evident in the YoY result for Cash, Banks and Loans. This is primarily attributable to a move to transfer deposits held in BCP until 4Q09 to ASHC’s loan portfolio at the beginning of 2010.</w:t>
      </w:r>
    </w:p>
    <w:p>
      <w:pPr>
        <w:spacing w:after="0" w:line="193" w:lineRule="exact"/>
        <w:rPr>
          <w:sz w:val="20"/>
          <w:szCs w:val="20"/>
          <w:color w:val="auto"/>
        </w:rPr>
      </w:pPr>
    </w:p>
    <w:tbl>
      <w:tblPr>
        <w:tblLayout w:type="fixed"/>
        <w:tblInd w:w="240" w:type="dxa"/>
        <w:tblCellMar>
          <w:top w:w="0" w:type="dxa"/>
          <w:left w:w="0" w:type="dxa"/>
          <w:bottom w:w="0" w:type="dxa"/>
          <w:right w:w="0" w:type="dxa"/>
        </w:tblCellMar>
      </w:tblPr>
      <w:tr>
        <w:trPr>
          <w:trHeight w:val="241"/>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w w:val="98"/>
              </w:rPr>
              <w:t>Change %</w:t>
            </w: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US$ million</w:t>
            </w:r>
          </w:p>
        </w:tc>
        <w:tc>
          <w:tcPr>
            <w:tcW w:w="12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b w:val="1"/>
                <w:bCs w:val="1"/>
                <w:color w:val="auto"/>
              </w:rPr>
              <w:t>4Q10</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3Q10</w:t>
            </w: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4Q09</w:t>
            </w:r>
          </w:p>
        </w:tc>
        <w:tc>
          <w:tcPr>
            <w:tcW w:w="100" w:type="dxa"/>
            <w:vAlign w:val="bottom"/>
          </w:tcPr>
          <w:p>
            <w:pPr>
              <w:spacing w:after="0"/>
              <w:rPr>
                <w:sz w:val="18"/>
                <w:szCs w:val="18"/>
                <w:color w:val="auto"/>
              </w:rPr>
            </w:pPr>
          </w:p>
        </w:tc>
        <w:tc>
          <w:tcPr>
            <w:tcW w:w="1700" w:type="dxa"/>
            <w:vAlign w:val="bottom"/>
            <w:gridSpan w:val="3"/>
          </w:tcPr>
          <w:p>
            <w:pPr>
              <w:ind w:left="360"/>
              <w:spacing w:after="0"/>
              <w:rPr>
                <w:sz w:val="20"/>
                <w:szCs w:val="20"/>
                <w:color w:val="auto"/>
              </w:rPr>
            </w:pPr>
            <w:r>
              <w:rPr>
                <w:rFonts w:ascii="Arial" w:cs="Arial" w:eastAsia="Arial" w:hAnsi="Arial"/>
                <w:sz w:val="18"/>
                <w:szCs w:val="18"/>
                <w:b w:val="1"/>
                <w:bCs w:val="1"/>
                <w:color w:val="auto"/>
              </w:rPr>
              <w:t>QoQ</w:t>
            </w:r>
          </w:p>
        </w:tc>
        <w:tc>
          <w:tcPr>
            <w:tcW w:w="760" w:type="dxa"/>
            <w:vAlign w:val="bottom"/>
          </w:tcPr>
          <w:p>
            <w:pPr>
              <w:ind w:left="60"/>
              <w:spacing w:after="0"/>
              <w:rPr>
                <w:sz w:val="20"/>
                <w:szCs w:val="20"/>
                <w:color w:val="auto"/>
              </w:rPr>
            </w:pPr>
            <w:r>
              <w:rPr>
                <w:rFonts w:ascii="Arial" w:cs="Arial" w:eastAsia="Arial" w:hAnsi="Arial"/>
                <w:sz w:val="18"/>
                <w:szCs w:val="18"/>
                <w:b w:val="1"/>
                <w:bCs w:val="1"/>
                <w:color w:val="auto"/>
              </w:rPr>
              <w:t>YoY</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color w:val="auto"/>
              </w:rPr>
              <w:t>Due from banks</w:t>
            </w:r>
          </w:p>
        </w:tc>
        <w:tc>
          <w:tcPr>
            <w:tcW w:w="1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164</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483</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-40.4%</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Loans</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468</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493</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767</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763</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vMerge w:val="continue"/>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Total interest-earning assets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1,288</w:t>
            </w:r>
          </w:p>
        </w:tc>
        <w:tc>
          <w:tcPr>
            <w:tcW w:w="1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1,424</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1,377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-9.6%</w:t>
            </w:r>
          </w:p>
        </w:tc>
        <w:tc>
          <w:tcPr>
            <w:tcW w:w="3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-10795</wp:posOffset>
            </wp:positionV>
            <wp:extent cx="382460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24605" cy="171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i w:val="1"/>
          <w:iCs w:val="1"/>
          <w:color w:val="auto"/>
        </w:rPr>
        <w:t>(*) Excludes investments in equities and mutual funds.</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significant portion of the instruments are investment grade (70%), which reflects the bank’s prudent policy to concentrate portfolio investment in instruments with a good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134620</wp:posOffset>
            </wp:positionV>
            <wp:extent cx="1663700" cy="16979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63700" cy="16979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134620</wp:posOffset>
            </wp:positionV>
            <wp:extent cx="1697990" cy="1663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97990"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obtain higher yields for its shareholders, ASCH has been using healthy strategies and implementing the necessary controls to successfully invest in higher yield instruments. The latter, as previously mentioned, hinges on investing in longer term instruments and instruments without an investment grade. It is important to emphasize that the increase in products without an investment grade has risen only 1 percentage point above 2009’s figure.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 deposits fell 10.6% QoQ and 8.5% YoY due to low reference levels post-crisis, which led customers to invest their deposits in ASHC’s investment products.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Shareholder’s equity only grew 1.8% QoQ but demonstrated a significant 10.9% increase YoY. This was due primarily to higher earnings during the period (US$ 73.4 million) and the dividends of US$49.9 million paid to Credicorp Ltd.</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Asset Administration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deposits’ total and AuM include investments in proprietary mutual funds and financial instruments in custody. The total of these funds increased 0.6% QoQ and 26.7% YoY.</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AuM increased 5.2% QoQ, continuing an upward trend but at a slower pace. A YoY comparison shows 46.5% growth, which is attributable to value recovery and renewed investor confidence in international securities markets. Both of these factors have led clients to invest in managed funds and increase their positions through direct purchases.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Deposits fell 10.6% QoQ and 8.5% YoY as clients moved to use funds from deposits to increase their off-balance 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169545</wp:posOffset>
            </wp:positionV>
            <wp:extent cx="2855595" cy="19894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55595"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VI. Prima AFP</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Prima’s net income in 4Q10 totaled US$ 8.0 million, which represents a 40.6% increase QoQ. This improvement is due primarily to reversals in the tax and employee profit sharing account and a slight increase in fee income. Net accumulated income in 2010 was US$ 25.5 million, which represents an increase of 22.6% YoY.</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Prima’s commercial management strategy continued to focus on new captures, particularly in the provinces, and concentrated on the mining, construction, agro-industry and commercial sectors. The volume of new captures in the fourth quarter rose 28% QoQ.</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the fourth quarter of 2010, PRIMA’s funds under management represented 31.4% of the total managed by the private pension system. This figure indicates a QoQ improvement in market share.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PRIMA’s collections contribution level increased in 4Q10 to account for 33.35% of total collections contributions. Good profitability levels for managed funds led clients to increase their voluntary contributions and helped consolidate the company’s market position for this product.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PRIMA</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System</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Part.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PRIMA</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System</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Part.</w:t>
            </w:r>
          </w:p>
        </w:tc>
        <w:tc>
          <w:tcPr>
            <w:tcW w:w="0" w:type="dxa"/>
            <w:vAlign w:val="bottom"/>
          </w:tcPr>
          <w:p>
            <w:pPr>
              <w:spacing w:after="0"/>
              <w:rPr>
                <w:sz w:val="1"/>
                <w:szCs w:val="1"/>
                <w:color w:val="auto"/>
              </w:rPr>
            </w:pPr>
          </w:p>
        </w:tc>
      </w:tr>
      <w:tr>
        <w:trPr>
          <w:trHeight w:val="234"/>
        </w:trPr>
        <w:tc>
          <w:tcPr>
            <w:tcW w:w="3800" w:type="dxa"/>
            <w:vAlign w:val="bottom"/>
            <w:gridSpan w:val="4"/>
          </w:tcPr>
          <w:p>
            <w:pPr>
              <w:spacing w:after="0"/>
              <w:rPr>
                <w:sz w:val="20"/>
                <w:szCs w:val="20"/>
                <w:color w:val="auto"/>
              </w:rPr>
            </w:pPr>
            <w:r>
              <w:rPr>
                <w:rFonts w:ascii="Arial" w:cs="Arial" w:eastAsia="Arial" w:hAnsi="Arial"/>
                <w:sz w:val="18"/>
                <w:szCs w:val="18"/>
                <w:b w:val="1"/>
                <w:bCs w:val="1"/>
                <w:color w:val="auto"/>
              </w:rPr>
              <w:t>Quarterly main indicators and market share</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4Q10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4Q10</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4Q10 %</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3Q10</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3Q10</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3Q10 %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Affiliates</w:t>
            </w: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1,124,457</w:t>
            </w: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4,641,688</w:t>
            </w:r>
          </w:p>
        </w:tc>
        <w:tc>
          <w:tcPr>
            <w:tcW w:w="1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24.2%</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1,110,105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4,587,455</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New affiliations (1)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17,450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67,853</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13,592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56,112</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Funds under management US$ million</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9,765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31,077</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31.4%</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8,911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28,836</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Collections US$ million (1)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33.3%</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460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Voluntary contributions US$ million</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268</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45.5%</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233</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gridSpan w:val="3"/>
          </w:tcPr>
          <w:p>
            <w:pPr>
              <w:spacing w:after="0" w:line="201" w:lineRule="exact"/>
              <w:rPr>
                <w:sz w:val="20"/>
                <w:szCs w:val="20"/>
                <w:color w:val="auto"/>
              </w:rPr>
            </w:pPr>
            <w:r>
              <w:rPr>
                <w:rFonts w:ascii="Arial" w:cs="Arial" w:eastAsia="Arial" w:hAnsi="Arial"/>
                <w:sz w:val="18"/>
                <w:szCs w:val="18"/>
                <w:color w:val="auto"/>
              </w:rPr>
              <w:t>RAM US$ million (2)</w:t>
            </w: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433</w:t>
            </w:r>
          </w:p>
        </w:tc>
        <w:tc>
          <w:tcPr>
            <w:tcW w:w="12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1,371</w:t>
            </w:r>
          </w:p>
        </w:tc>
        <w:tc>
          <w:tcPr>
            <w:tcW w:w="14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31.6%</w:t>
            </w:r>
          </w:p>
        </w:tc>
        <w:tc>
          <w:tcPr>
            <w:tcW w:w="12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423</w:t>
            </w:r>
          </w:p>
        </w:tc>
        <w:tc>
          <w:tcPr>
            <w:tcW w:w="13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1,325</w:t>
            </w:r>
          </w:p>
        </w:tc>
        <w:tc>
          <w:tcPr>
            <w:tcW w:w="13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3800" w:type="dxa"/>
            <w:vAlign w:val="bottom"/>
            <w:gridSpan w:val="4"/>
          </w:tcPr>
          <w:p>
            <w:pPr>
              <w:spacing w:after="0"/>
              <w:rPr>
                <w:sz w:val="20"/>
                <w:szCs w:val="20"/>
                <w:color w:val="auto"/>
              </w:rPr>
            </w:pPr>
            <w:r>
              <w:rPr>
                <w:rFonts w:ascii="Arial" w:cs="Arial" w:eastAsia="Arial" w:hAnsi="Arial"/>
                <w:sz w:val="18"/>
                <w:szCs w:val="18"/>
                <w:i w:val="1"/>
                <w:iCs w:val="1"/>
                <w:color w:val="auto"/>
                <w:w w:val="90"/>
              </w:rPr>
              <w:t>Source: Superintendencia de Banca, Seguros y AFP</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Accumulated to the Quarter.</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PRIMA AFP estimates: average of aggregated income during the last 4 months excluding special collections and voluntary contribution fees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Results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4Q10, significant growth was evident in the volume of new affiliations while the volume of transfers remained stable. Total captures in 4Q10 topped 19,800 people, including 17,450 new affiliations and approximately 2,350 transfers. This result is in line with the company’s commercial strategy. In terms of the previous quarter, new affiliations increased 28% and transfers rose 3%. It is important to point out that the net results for affiliations and transfers (entry and exist) produced a positive impact on PRIMA’s balance and bolstered QoQ RAM results. RAM continues to follow an upward trend, which has helped the company maintain market leadership with a 31.6% share.</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end of the fourth quarter, Prima’s funds under management totaled US$ 9,765 million, which represents 31.4% of total funds under management in the system. This confirms Prima’s market leadership in terms of this indicator.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profitability of Prima’s managed funds over the last 12 months (December 2010/December 2009) was 8.90%, 21.11% and 35.65% for funds 1, 2 and 3 respectively. With these results, PRIMA is market leader in profitability for funds 2 and 3 and second with regard to fund 1. Meanwhile the value of funds managed by PRIMA totaled US$ 9,765 million at the end of December, which represents close to 10% growth QoQ in the volume managed.</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Annualized profitability over a five-year period (December 2010/December 2005) for Prima’s Fund 2 was 15.34% while the average profitability of the private pension system was 14.56%. It is important to point out that Prima was the system leader during this period.</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If we extend the period of analysis to include the time period ranging from the system’s start-up to present day (December 2010/December 1993), the funds managed by the AFP system achieved an annual nominal annualized yield of 14.41% and 9.33% in real terms.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structure of the fund managed by Prima in the fourth quarter of 2010:</w:t>
      </w:r>
    </w:p>
    <w:p>
      <w:pPr>
        <w:spacing w:after="0" w:line="248"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Funds under management as of December 2010</w:t>
            </w:r>
          </w:p>
        </w:tc>
        <w:tc>
          <w:tcPr>
            <w:tcW w:w="10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Dec 10</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Share %</w:t>
            </w:r>
          </w:p>
        </w:tc>
        <w:tc>
          <w:tcPr>
            <w:tcW w:w="1280" w:type="dxa"/>
            <w:vAlign w:val="bottom"/>
            <w:gridSpan w:val="2"/>
          </w:tcPr>
          <w:p>
            <w:pPr>
              <w:ind w:left="280"/>
              <w:spacing w:after="0"/>
              <w:rPr>
                <w:sz w:val="20"/>
                <w:szCs w:val="20"/>
                <w:color w:val="auto"/>
              </w:rPr>
            </w:pPr>
            <w:r>
              <w:rPr>
                <w:rFonts w:ascii="Arial" w:cs="Arial" w:eastAsia="Arial" w:hAnsi="Arial"/>
                <w:sz w:val="18"/>
                <w:szCs w:val="18"/>
                <w:b w:val="1"/>
                <w:bCs w:val="1"/>
                <w:color w:val="auto"/>
              </w:rPr>
              <w:t>Sep 10</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Share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Fund 1</w:t>
            </w: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713</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7.3%</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699</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Fund 2</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6,364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65.2%</w:t>
            </w:r>
          </w:p>
        </w:tc>
        <w:tc>
          <w:tcPr>
            <w:tcW w:w="1080" w:type="dxa"/>
            <w:vAlign w:val="bottom"/>
          </w:tcPr>
          <w:p>
            <w:pPr>
              <w:jc w:val="right"/>
              <w:spacing w:after="0"/>
              <w:rPr>
                <w:sz w:val="20"/>
                <w:szCs w:val="20"/>
                <w:color w:val="auto"/>
              </w:rPr>
            </w:pPr>
            <w:r>
              <w:rPr>
                <w:rFonts w:ascii="Arial" w:cs="Arial" w:eastAsia="Arial" w:hAnsi="Arial"/>
                <w:sz w:val="18"/>
                <w:szCs w:val="18"/>
                <w:color w:val="auto"/>
              </w:rPr>
              <w:t>5,889</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Fund 3</w:t>
            </w: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2,688</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27.5%</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2,323</w:t>
            </w:r>
          </w:p>
        </w:tc>
        <w:tc>
          <w:tcPr>
            <w:tcW w:w="2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Total US$ millon</w:t>
            </w:r>
          </w:p>
        </w:tc>
        <w:tc>
          <w:tcPr>
            <w:tcW w:w="1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9,765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8,911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-8255</wp:posOffset>
            </wp:positionV>
            <wp:extent cx="319024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90240"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i w:val="1"/>
          <w:iCs w:val="1"/>
          <w:color w:val="auto"/>
        </w:rPr>
        <w:t>Source: Superintendencia de Banca, Seguros y AFP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Income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fourth quarter of 2010, PRIMA earned fee income of US$ 21.9 million, which represents 0.4% growth QoQ. Accumulated income for the year totaled US$ 85.2 million, which indicates an increase of 8.1%. This improvement was due to the fact that our income base grew during the period and the national economy continued to strengthen. It is also necessary to point out that the income calculation in 2010 contains one contribution period less than in 2009, when the government implemented a measure to exonerate affiliates from obligatory contributions on the additional salary payments that Peruvian Law requires employers to make in July and December.</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terms of RAM volume, which indicates aggregate salaries of system affiliates and represents each company’s income base, Prima has maintained a solid market position with a RAM base of US$ 433 million at the end of December 2010.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ind w:left="480"/>
              <w:spacing w:after="0"/>
              <w:rPr>
                <w:sz w:val="20"/>
                <w:szCs w:val="20"/>
                <w:color w:val="auto"/>
              </w:rPr>
            </w:pPr>
            <w:r>
              <w:rPr>
                <w:rFonts w:ascii="Arial" w:cs="Arial" w:eastAsia="Arial" w:hAnsi="Arial"/>
                <w:sz w:val="18"/>
                <w:szCs w:val="18"/>
                <w:b w:val="1"/>
                <w:bCs w:val="1"/>
                <w:color w:val="auto"/>
              </w:rPr>
              <w:t>Estimate of base to calculate earnings</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US$ million</w:t>
            </w:r>
          </w:p>
        </w:tc>
        <w:tc>
          <w:tcPr>
            <w:tcW w:w="17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9"/>
              </w:rPr>
              <w:t>PRIMA - Dec 2010</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System - Dec 2010</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Share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color w:val="auto"/>
              </w:rPr>
              <w:t>Income (1)</w:t>
            </w:r>
          </w:p>
        </w:tc>
        <w:tc>
          <w:tcPr>
            <w:tcW w:w="100" w:type="dxa"/>
            <w:vAlign w:val="bottom"/>
            <w:shd w:val="clear" w:color="auto" w:fill="CCFFCC"/>
          </w:tcPr>
          <w:p>
            <w:pPr>
              <w:spacing w:after="0"/>
              <w:rPr>
                <w:sz w:val="18"/>
                <w:szCs w:val="18"/>
                <w:color w:val="auto"/>
              </w:rPr>
            </w:pP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25.9</w:t>
            </w:r>
          </w:p>
        </w:tc>
        <w:tc>
          <w:tcPr>
            <w:tcW w:w="14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Administrative fees</w:t>
            </w:r>
          </w:p>
        </w:tc>
        <w:tc>
          <w:tcPr>
            <w:tcW w:w="1780" w:type="dxa"/>
            <w:vAlign w:val="bottom"/>
            <w:gridSpan w:val="3"/>
          </w:tcPr>
          <w:p>
            <w:pPr>
              <w:jc w:val="right"/>
              <w:ind w:right="100"/>
              <w:spacing w:after="0"/>
              <w:rPr>
                <w:sz w:val="20"/>
                <w:szCs w:val="20"/>
                <w:color w:val="auto"/>
              </w:rPr>
            </w:pPr>
            <w:r>
              <w:rPr>
                <w:rFonts w:ascii="Arial" w:cs="Arial" w:eastAsia="Arial" w:hAnsi="Arial"/>
                <w:sz w:val="18"/>
                <w:szCs w:val="18"/>
                <w:color w:val="auto"/>
              </w:rPr>
              <w:t>1.75%</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color w:val="auto"/>
              </w:rPr>
              <w:t>RAM base (2)</w:t>
            </w:r>
          </w:p>
        </w:tc>
        <w:tc>
          <w:tcPr>
            <w:tcW w:w="178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433</w:t>
            </w:r>
          </w:p>
        </w:tc>
        <w:tc>
          <w:tcPr>
            <w:tcW w:w="16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1,371</w:t>
            </w:r>
          </w:p>
        </w:tc>
        <w:tc>
          <w:tcPr>
            <w:tcW w:w="14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40" w:hanging="246"/>
        <w:spacing w:after="0"/>
        <w:tabs>
          <w:tab w:leader="none" w:pos="7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Average income from the last four months, excluding special collections and voluntary contribution fees</w:t>
      </w:r>
    </w:p>
    <w:p>
      <w:pPr>
        <w:spacing w:after="0" w:line="23" w:lineRule="exact"/>
        <w:rPr>
          <w:rFonts w:ascii="Arial" w:cs="Arial" w:eastAsia="Arial" w:hAnsi="Arial"/>
          <w:sz w:val="18"/>
          <w:szCs w:val="18"/>
          <w:i w:val="1"/>
          <w:iCs w:val="1"/>
          <w:color w:val="auto"/>
        </w:rPr>
      </w:pPr>
    </w:p>
    <w:p>
      <w:pPr>
        <w:ind w:left="740" w:hanging="246"/>
        <w:spacing w:after="0"/>
        <w:tabs>
          <w:tab w:leader="none" w:pos="7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RAM: average of aggregated income during the last 4 months excluding special collections and voluntary contributions fees.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Expenditures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 the fourth quarter rose 17.5% QoQ due to increases in the following:</w:t>
      </w:r>
    </w:p>
    <w:p>
      <w:pPr>
        <w:spacing w:after="0" w:line="252" w:lineRule="exact"/>
        <w:rPr>
          <w:sz w:val="20"/>
          <w:szCs w:val="20"/>
          <w:color w:val="auto"/>
        </w:rPr>
      </w:pPr>
    </w:p>
    <w:p>
      <w:pPr>
        <w:ind w:left="760" w:hanging="42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provisions for personnel expenses,</w:t>
      </w:r>
    </w:p>
    <w:p>
      <w:pPr>
        <w:spacing w:after="0" w:line="252" w:lineRule="exact"/>
        <w:rPr>
          <w:rFonts w:ascii="Arial" w:cs="Arial" w:eastAsia="Arial" w:hAnsi="Arial"/>
          <w:sz w:val="18"/>
          <w:szCs w:val="18"/>
          <w:color w:val="auto"/>
        </w:rPr>
      </w:pPr>
    </w:p>
    <w:p>
      <w:pPr>
        <w:ind w:left="760" w:hanging="42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expenses for investment management and,</w:t>
      </w:r>
    </w:p>
    <w:p>
      <w:pPr>
        <w:spacing w:after="0" w:line="252" w:lineRule="exact"/>
        <w:rPr>
          <w:rFonts w:ascii="Arial" w:cs="Arial" w:eastAsia="Arial" w:hAnsi="Arial"/>
          <w:sz w:val="18"/>
          <w:szCs w:val="18"/>
          <w:color w:val="auto"/>
        </w:rPr>
      </w:pPr>
    </w:p>
    <w:p>
      <w:pPr>
        <w:ind w:left="760" w:hanging="42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advertising and marketing expenses, which were highest in the last quarter of the year.</w:t>
      </w:r>
    </w:p>
    <w:p>
      <w:pPr>
        <w:spacing w:after="0" w:line="25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All of the aforementioned affected operating income, which fell 14.6% QoQ. An accumulated comparison of administrative expenses and sales totaled US$ 38.5 million, which indicates an increase of 7.9% YoY. This was due primarily to an increase in charges for administrative personnel, fund investment and expenses for operating and system support.</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9" w:name="page30"/>
    <w:bookmarkEnd w:id="29"/>
    <w:p>
      <w:pPr>
        <w:jc w:val="both"/>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Expenses for depreciation and amortization totaled US$ 2.3 million in 4Q10, including intangible asset amortization (obtained following the merger with Union Vida) as well as depreciation and amortization of real estate, equipment and systems.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Finally, PRIMA’s net income in the fourth quarter was US$ 8.0 million, which represents a 40.6% increase QoQ. This improvement was associated primarily with reversals in the income tax and employee profit sharing account due to changes in IFRS accounting standards. In annual terms, net earnings totaled US$ 25.5 million, which represents a 22.6% increase YoY.</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December 2010, PRIMA reported an asset level of US$ 276.1 million. Shareholders’ equity reached US$ 183.7 million while assets totaled US$ 92.4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financial results: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2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Main financial indicators (US$ thousand) (1)</w:t>
            </w:r>
          </w:p>
        </w:tc>
        <w:tc>
          <w:tcPr>
            <w:tcW w:w="140" w:type="dxa"/>
            <w:vAlign w:val="bottom"/>
          </w:tcPr>
          <w:p>
            <w:pPr>
              <w:spacing w:after="0"/>
              <w:rPr>
                <w:sz w:val="13"/>
                <w:szCs w:val="13"/>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rPr>
              <w:t>4Q10</w:t>
            </w: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3"/>
                <w:szCs w:val="13"/>
                <w:b w:val="1"/>
                <w:bCs w:val="1"/>
                <w:color w:val="auto"/>
              </w:rPr>
              <w:t>3Q10</w:t>
            </w:r>
          </w:p>
        </w:tc>
        <w:tc>
          <w:tcPr>
            <w:tcW w:w="1040" w:type="dxa"/>
            <w:vAlign w:val="bottom"/>
            <w:gridSpan w:val="2"/>
            <w:vMerge w:val="restart"/>
          </w:tcPr>
          <w:p>
            <w:pPr>
              <w:jc w:val="right"/>
              <w:ind w:right="440"/>
              <w:spacing w:after="0"/>
              <w:rPr>
                <w:sz w:val="20"/>
                <w:szCs w:val="20"/>
                <w:color w:val="auto"/>
              </w:rPr>
            </w:pPr>
            <w:r>
              <w:rPr>
                <w:rFonts w:ascii="Arial" w:cs="Arial" w:eastAsia="Arial" w:hAnsi="Arial"/>
                <w:sz w:val="13"/>
                <w:szCs w:val="13"/>
                <w:b w:val="1"/>
                <w:bCs w:val="1"/>
                <w:color w:val="auto"/>
              </w:rPr>
              <w:t>4Q09</w:t>
            </w:r>
          </w:p>
        </w:tc>
        <w:tc>
          <w:tcPr>
            <w:tcW w:w="1320" w:type="dxa"/>
            <w:vAlign w:val="bottom"/>
            <w:gridSpan w:val="3"/>
          </w:tcPr>
          <w:p>
            <w:pPr>
              <w:ind w:left="660"/>
              <w:spacing w:after="0"/>
              <w:rPr>
                <w:sz w:val="20"/>
                <w:szCs w:val="20"/>
                <w:color w:val="auto"/>
              </w:rPr>
            </w:pPr>
            <w:r>
              <w:rPr>
                <w:rFonts w:ascii="Arial" w:cs="Arial" w:eastAsia="Arial" w:hAnsi="Arial"/>
                <w:sz w:val="13"/>
                <w:szCs w:val="13"/>
                <w:b w:val="1"/>
                <w:bCs w:val="1"/>
                <w:color w:val="auto"/>
              </w:rPr>
              <w:t>Change %</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4"/>
          </w:tcPr>
          <w:p>
            <w:pPr>
              <w:jc w:val="right"/>
              <w:ind w:right="700"/>
              <w:spacing w:after="0"/>
              <w:rPr>
                <w:sz w:val="20"/>
                <w:szCs w:val="20"/>
                <w:color w:val="auto"/>
              </w:rPr>
            </w:pPr>
            <w:r>
              <w:rPr>
                <w:rFonts w:ascii="Arial" w:cs="Arial" w:eastAsia="Arial" w:hAnsi="Arial"/>
                <w:sz w:val="13"/>
                <w:szCs w:val="13"/>
                <w:b w:val="1"/>
                <w:bCs w:val="1"/>
                <w:color w:val="auto"/>
              </w:rPr>
              <w:t>Year ended</w:t>
            </w: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Change %</w:t>
            </w:r>
          </w:p>
        </w:tc>
        <w:tc>
          <w:tcPr>
            <w:tcW w:w="0" w:type="dxa"/>
            <w:vAlign w:val="bottom"/>
          </w:tcPr>
          <w:p>
            <w:pPr>
              <w:spacing w:after="0"/>
              <w:rPr>
                <w:sz w:val="1"/>
                <w:szCs w:val="1"/>
                <w:color w:val="auto"/>
              </w:rPr>
            </w:pPr>
          </w:p>
        </w:tc>
      </w:tr>
      <w:tr>
        <w:trPr>
          <w:trHeight w:val="135"/>
        </w:trPr>
        <w:tc>
          <w:tcPr>
            <w:tcW w:w="3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320" w:type="dxa"/>
            <w:vAlign w:val="bottom"/>
            <w:tcBorders>
              <w:top w:val="single" w:sz="8" w:color="auto"/>
            </w:tcBorders>
            <w:gridSpan w:val="3"/>
          </w:tcPr>
          <w:p>
            <w:pPr>
              <w:ind w:left="320"/>
              <w:spacing w:after="0" w:line="135" w:lineRule="exact"/>
              <w:rPr>
                <w:sz w:val="20"/>
                <w:szCs w:val="20"/>
                <w:color w:val="auto"/>
              </w:rPr>
            </w:pPr>
            <w:r>
              <w:rPr>
                <w:rFonts w:ascii="Arial" w:cs="Arial" w:eastAsia="Arial" w:hAnsi="Arial"/>
                <w:sz w:val="13"/>
                <w:szCs w:val="13"/>
                <w:b w:val="1"/>
                <w:bCs w:val="1"/>
                <w:color w:val="auto"/>
              </w:rPr>
              <w:t>QoQ</w:t>
            </w:r>
          </w:p>
        </w:tc>
        <w:tc>
          <w:tcPr>
            <w:tcW w:w="600" w:type="dxa"/>
            <w:vAlign w:val="bottom"/>
            <w:tcBorders>
              <w:top w:val="single" w:sz="8" w:color="auto"/>
            </w:tcBorders>
          </w:tcPr>
          <w:p>
            <w:pPr>
              <w:ind w:left="80"/>
              <w:spacing w:after="0" w:line="135" w:lineRule="exact"/>
              <w:rPr>
                <w:sz w:val="20"/>
                <w:szCs w:val="20"/>
                <w:color w:val="auto"/>
              </w:rPr>
            </w:pPr>
            <w:r>
              <w:rPr>
                <w:rFonts w:ascii="Arial" w:cs="Arial" w:eastAsia="Arial" w:hAnsi="Arial"/>
                <w:sz w:val="13"/>
                <w:szCs w:val="13"/>
                <w:b w:val="1"/>
                <w:bCs w:val="1"/>
                <w:color w:val="auto"/>
              </w:rPr>
              <w:t>YoY</w:t>
            </w:r>
          </w:p>
        </w:tc>
        <w:tc>
          <w:tcPr>
            <w:tcW w:w="20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rPr>
              <w:t>Dec 10</w:t>
            </w:r>
          </w:p>
        </w:tc>
        <w:tc>
          <w:tcPr>
            <w:tcW w:w="900" w:type="dxa"/>
            <w:vAlign w:val="bottom"/>
            <w:tcBorders>
              <w:top w:val="single" w:sz="8" w:color="auto"/>
            </w:tcBorders>
          </w:tcPr>
          <w:p>
            <w:pPr>
              <w:jc w:val="right"/>
              <w:ind w:right="217"/>
              <w:spacing w:after="0" w:line="135" w:lineRule="exact"/>
              <w:rPr>
                <w:sz w:val="20"/>
                <w:szCs w:val="20"/>
                <w:color w:val="auto"/>
              </w:rPr>
            </w:pPr>
            <w:r>
              <w:rPr>
                <w:rFonts w:ascii="Arial" w:cs="Arial" w:eastAsia="Arial" w:hAnsi="Arial"/>
                <w:sz w:val="13"/>
                <w:szCs w:val="13"/>
                <w:b w:val="1"/>
                <w:bCs w:val="1"/>
                <w:color w:val="auto"/>
              </w:rPr>
              <w:t>Dec 09</w:t>
            </w:r>
          </w:p>
        </w:tc>
        <w:tc>
          <w:tcPr>
            <w:tcW w:w="100" w:type="dxa"/>
            <w:vAlign w:val="bottom"/>
          </w:tcPr>
          <w:p>
            <w:pPr>
              <w:spacing w:after="0"/>
              <w:rPr>
                <w:sz w:val="11"/>
                <w:szCs w:val="11"/>
                <w:color w:val="auto"/>
              </w:rPr>
            </w:pPr>
          </w:p>
        </w:tc>
        <w:tc>
          <w:tcPr>
            <w:tcW w:w="92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4"/>
              </w:rPr>
              <w:t>Dec 10 / Dec 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Income from commissions</w:t>
            </w: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21,909</w:t>
            </w:r>
          </w:p>
        </w:tc>
        <w:tc>
          <w:tcPr>
            <w:tcW w:w="120" w:type="dxa"/>
            <w:vAlign w:val="bottom"/>
            <w:shd w:val="clear" w:color="auto" w:fill="CCFFCC"/>
          </w:tcPr>
          <w:p>
            <w:pPr>
              <w:spacing w:after="0"/>
              <w:rPr>
                <w:sz w:val="11"/>
                <w:szCs w:val="11"/>
                <w:color w:val="auto"/>
              </w:rPr>
            </w:pPr>
          </w:p>
        </w:tc>
        <w:tc>
          <w:tcPr>
            <w:tcW w:w="9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21,812</w:t>
            </w:r>
          </w:p>
        </w:tc>
        <w:tc>
          <w:tcPr>
            <w:tcW w:w="12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19,904</w:t>
            </w:r>
          </w:p>
        </w:tc>
        <w:tc>
          <w:tcPr>
            <w:tcW w:w="11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0.4%</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10.1%</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85,158</w:t>
            </w:r>
          </w:p>
        </w:tc>
        <w:tc>
          <w:tcPr>
            <w:tcW w:w="10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78,791</w:t>
            </w:r>
          </w:p>
        </w:tc>
        <w:tc>
          <w:tcPr>
            <w:tcW w:w="10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Administrative and sale expenses</w:t>
            </w:r>
          </w:p>
        </w:tc>
        <w:tc>
          <w:tcPr>
            <w:tcW w:w="10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(11,181)</w:t>
            </w:r>
          </w:p>
        </w:tc>
        <w:tc>
          <w:tcPr>
            <w:tcW w:w="10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(9,516)</w:t>
            </w:r>
          </w:p>
        </w:tc>
        <w:tc>
          <w:tcPr>
            <w:tcW w:w="10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(10,181)</w:t>
            </w: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17.5%</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9.8%</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(38,507)</w:t>
            </w: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(35,678)</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Depreciation and amortization</w:t>
            </w:r>
          </w:p>
        </w:tc>
        <w:tc>
          <w:tcPr>
            <w:tcW w:w="1060" w:type="dxa"/>
            <w:vAlign w:val="bottom"/>
            <w:gridSpan w:val="3"/>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(2,314)</w:t>
            </w:r>
          </w:p>
        </w:tc>
        <w:tc>
          <w:tcPr>
            <w:tcW w:w="106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(2,443)</w:t>
            </w:r>
          </w:p>
        </w:tc>
        <w:tc>
          <w:tcPr>
            <w:tcW w:w="104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(2,363)</w:t>
            </w:r>
          </w:p>
        </w:tc>
        <w:tc>
          <w:tcPr>
            <w:tcW w:w="11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-5.3%</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-2.1%</w:t>
            </w:r>
          </w:p>
        </w:tc>
        <w:tc>
          <w:tcPr>
            <w:tcW w:w="92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(9,689)</w:t>
            </w:r>
          </w:p>
        </w:tc>
        <w:tc>
          <w:tcPr>
            <w:tcW w:w="100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(9,330)</w:t>
            </w:r>
          </w:p>
        </w:tc>
        <w:tc>
          <w:tcPr>
            <w:tcW w:w="10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b w:val="1"/>
                <w:bCs w:val="1"/>
                <w:color w:val="auto"/>
              </w:rPr>
              <w:t>Operating income</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8,414</w:t>
            </w:r>
          </w:p>
        </w:tc>
        <w:tc>
          <w:tcPr>
            <w:tcW w:w="12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9,853</w:t>
            </w: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7,360</w:t>
            </w: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-14.6%</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14.3%</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36,962</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33,784</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Other income and expenses, net</w:t>
            </w:r>
          </w:p>
        </w:tc>
        <w:tc>
          <w:tcPr>
            <w:tcW w:w="1060" w:type="dxa"/>
            <w:vAlign w:val="bottom"/>
            <w:gridSpan w:val="3"/>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(505)</w:t>
            </w:r>
          </w:p>
        </w:tc>
        <w:tc>
          <w:tcPr>
            <w:tcW w:w="106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(298)</w:t>
            </w:r>
          </w:p>
        </w:tc>
        <w:tc>
          <w:tcPr>
            <w:tcW w:w="104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(906)</w:t>
            </w:r>
          </w:p>
        </w:tc>
        <w:tc>
          <w:tcPr>
            <w:tcW w:w="11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69.6%</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-44.3%</w:t>
            </w:r>
          </w:p>
        </w:tc>
        <w:tc>
          <w:tcPr>
            <w:tcW w:w="92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(2,168)</w:t>
            </w:r>
          </w:p>
        </w:tc>
        <w:tc>
          <w:tcPr>
            <w:tcW w:w="100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(3,378)</w:t>
            </w:r>
          </w:p>
        </w:tc>
        <w:tc>
          <w:tcPr>
            <w:tcW w:w="10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-35.8%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Employee profit sharing and income tax</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90</w:t>
            </w:r>
          </w:p>
        </w:tc>
        <w:tc>
          <w:tcPr>
            <w:tcW w:w="120" w:type="dxa"/>
            <w:vAlign w:val="bottom"/>
          </w:tcPr>
          <w:p>
            <w:pPr>
              <w:spacing w:after="0"/>
              <w:rPr>
                <w:sz w:val="11"/>
                <w:szCs w:val="11"/>
                <w:color w:val="auto"/>
              </w:rPr>
            </w:pPr>
          </w:p>
        </w:tc>
        <w:tc>
          <w:tcPr>
            <w:tcW w:w="10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(3,771)</w:t>
            </w:r>
          </w:p>
        </w:tc>
        <w:tc>
          <w:tcPr>
            <w:tcW w:w="10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(2,150)</w:t>
            </w: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-102.4%</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-104.2%</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(8,912)</w:t>
            </w: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(8,667)</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income before translation results</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8,000</w:t>
            </w:r>
          </w:p>
        </w:tc>
        <w:tc>
          <w:tcPr>
            <w:tcW w:w="120" w:type="dxa"/>
            <w:vAlign w:val="bottom"/>
            <w:shd w:val="clear" w:color="auto" w:fill="CCFFCC"/>
          </w:tcPr>
          <w:p>
            <w:pPr>
              <w:spacing w:after="0"/>
              <w:rPr>
                <w:sz w:val="11"/>
                <w:szCs w:val="11"/>
                <w:color w:val="auto"/>
              </w:rPr>
            </w:pPr>
          </w:p>
        </w:tc>
        <w:tc>
          <w:tcPr>
            <w:tcW w:w="10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5,784</w:t>
            </w:r>
          </w:p>
        </w:tc>
        <w:tc>
          <w:tcPr>
            <w:tcW w:w="10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4,304</w:t>
            </w:r>
          </w:p>
        </w:tc>
        <w:tc>
          <w:tcPr>
            <w:tcW w:w="11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38.3%</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85.9%</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25,881</w:t>
            </w:r>
          </w:p>
        </w:tc>
        <w:tc>
          <w:tcPr>
            <w:tcW w:w="10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21,738</w:t>
            </w:r>
          </w:p>
        </w:tc>
        <w:tc>
          <w:tcPr>
            <w:tcW w:w="10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Translations results and deferred liabilities</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w:t>
            </w:r>
          </w:p>
        </w:tc>
        <w:tc>
          <w:tcPr>
            <w:tcW w:w="120" w:type="dxa"/>
            <w:vAlign w:val="bottom"/>
          </w:tcPr>
          <w:p>
            <w:pPr>
              <w:spacing w:after="0"/>
              <w:rPr>
                <w:sz w:val="11"/>
                <w:szCs w:val="11"/>
                <w:color w:val="auto"/>
              </w:rPr>
            </w:pPr>
          </w:p>
        </w:tc>
        <w:tc>
          <w:tcPr>
            <w:tcW w:w="10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(88)</w:t>
            </w:r>
          </w:p>
        </w:tc>
        <w:tc>
          <w:tcPr>
            <w:tcW w:w="10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(82)</w:t>
            </w: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-109.2%</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-110.0%</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(375)</w:t>
            </w: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(942)</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income</w:t>
            </w: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8,008</w:t>
            </w:r>
          </w:p>
        </w:tc>
        <w:tc>
          <w:tcPr>
            <w:tcW w:w="120" w:type="dxa"/>
            <w:vAlign w:val="bottom"/>
            <w:shd w:val="clear" w:color="auto" w:fill="CCFFCC"/>
          </w:tcPr>
          <w:p>
            <w:pPr>
              <w:spacing w:after="0"/>
              <w:rPr>
                <w:sz w:val="11"/>
                <w:szCs w:val="11"/>
                <w:color w:val="auto"/>
              </w:rPr>
            </w:pPr>
          </w:p>
        </w:tc>
        <w:tc>
          <w:tcPr>
            <w:tcW w:w="9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5,696</w:t>
            </w:r>
          </w:p>
        </w:tc>
        <w:tc>
          <w:tcPr>
            <w:tcW w:w="12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4,222</w:t>
            </w:r>
          </w:p>
        </w:tc>
        <w:tc>
          <w:tcPr>
            <w:tcW w:w="11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40.6%</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89.7%</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25,506</w:t>
            </w:r>
          </w:p>
        </w:tc>
        <w:tc>
          <w:tcPr>
            <w:tcW w:w="10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20,796</w:t>
            </w:r>
          </w:p>
        </w:tc>
        <w:tc>
          <w:tcPr>
            <w:tcW w:w="10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Total assets</w:t>
            </w:r>
          </w:p>
        </w:tc>
        <w:tc>
          <w:tcPr>
            <w:tcW w:w="1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276,139</w:t>
            </w:r>
          </w:p>
        </w:tc>
        <w:tc>
          <w:tcPr>
            <w:tcW w:w="1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260,186</w:t>
            </w:r>
          </w:p>
        </w:tc>
        <w:tc>
          <w:tcPr>
            <w:tcW w:w="12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249,771</w:t>
            </w: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6.1%</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10.6%</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Total liabilities</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92,437</w:t>
            </w:r>
          </w:p>
        </w:tc>
        <w:tc>
          <w:tcPr>
            <w:tcW w:w="120" w:type="dxa"/>
            <w:vAlign w:val="bottom"/>
            <w:shd w:val="clear" w:color="auto" w:fill="CCFFCC"/>
          </w:tcPr>
          <w:p>
            <w:pPr>
              <w:spacing w:after="0"/>
              <w:rPr>
                <w:sz w:val="11"/>
                <w:szCs w:val="11"/>
                <w:color w:val="auto"/>
              </w:rPr>
            </w:pPr>
          </w:p>
        </w:tc>
        <w:tc>
          <w:tcPr>
            <w:tcW w:w="10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91,002</w:t>
            </w:r>
          </w:p>
        </w:tc>
        <w:tc>
          <w:tcPr>
            <w:tcW w:w="10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84,543</w:t>
            </w:r>
          </w:p>
        </w:tc>
        <w:tc>
          <w:tcPr>
            <w:tcW w:w="11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1.6%</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9.3%</w:t>
            </w: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Net shareholders' equity</w:t>
            </w:r>
          </w:p>
        </w:tc>
        <w:tc>
          <w:tcPr>
            <w:tcW w:w="1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183,703</w:t>
            </w:r>
          </w:p>
        </w:tc>
        <w:tc>
          <w:tcPr>
            <w:tcW w:w="1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169,184</w:t>
            </w:r>
          </w:p>
        </w:tc>
        <w:tc>
          <w:tcPr>
            <w:tcW w:w="12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165,228</w:t>
            </w: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8.6%</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11.2%</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(1) IFRS</w:t>
      </w:r>
    </w:p>
    <w:p>
      <w:pPr>
        <w:spacing w:after="0" w:line="38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VII. El Pacífico Peruano Suiza and Subsidiaries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Grupo Pacifico</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Pacifico Insurance Group, which is comprised of property and casualty lines (PPS), life insurance (PV) and health insurance (EPS), reported net income of US$16.5 million in 4Q10, similar to the figure of US$ 16.4 million recorded in 3Q10. The YoY evolution indicates that 4Q10’s results are 18.8% below the US$20.2 million registered in 4Q09 due to i) a decrease in the underwriting result in 4Q10 vs. 4Q09, and ii) the lower income tax provisions registered in 4Q09 as a result of a reversal made at the end of last year following a change in the treatment of FX related losses that corresponds to permanent investments in life insurance.</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Accumulated results in 2010 reported record net income of US$ 68.3 million, which tops 2009’s result of US$61.7 million by 10.8%. This increase is due primarily an improvement in the underwriting result.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underwriting result obtained in 4Q10 totaled US$ 24.3 million, which is similar to the US$ 24.2 million reported in 3Q10. In 4Q, premiums in the property and casualty, health and life segments increased significantly. Nevertheless, 4Q10’s result falls below 4Q09’s figure of US$ 29.0 million. This is mainly attributable to the evolution of the property and casualty business (PPS) this quarter, which was marked by a higher loss ratio of 54.8% compared to 35.6% in 4Q09 due to severity incurred during the last quarter of the year.</w:t>
      </w:r>
    </w:p>
    <w:p>
      <w:pPr>
        <w:spacing w:after="0" w:line="21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underwriting result obtained in 2010 totaled US$ 93.4 million, which exceeds last year’s result by 16.9%. This significant growth is due to a lower loss ratio of 63.6% versus 65.2% in 2009, which is in turn attributable to a disciplined approach to underwriting and portfolio diversification.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The quarterly result reported earnings of US$ 24.4 million in financial income in comparison to US$ 25.3 million in 3Q10 and US$ 19.0 million in 4Q09.</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expenses totaled US$ 29.4 million, remaining stable with regard to 3Q10 but falling below the US$ 31.4 million reported in 4Q09. This is due primarily to</w:t>
      </w:r>
    </w:p>
    <w:p>
      <w:pPr>
        <w:spacing w:after="0" w:line="224" w:lineRule="exact"/>
        <w:rPr>
          <w:sz w:val="20"/>
          <w:szCs w:val="20"/>
          <w:color w:val="auto"/>
        </w:rPr>
      </w:pPr>
    </w:p>
    <w:p>
      <w:pPr>
        <w:ind w:left="880" w:hanging="386"/>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provisions reversal for legal fees paid to third parties and</w:t>
      </w:r>
    </w:p>
    <w:p>
      <w:pPr>
        <w:spacing w:after="0" w:line="252" w:lineRule="exact"/>
        <w:rPr>
          <w:rFonts w:ascii="Arial" w:cs="Arial" w:eastAsia="Arial" w:hAnsi="Arial"/>
          <w:sz w:val="18"/>
          <w:szCs w:val="18"/>
          <w:color w:val="auto"/>
        </w:rPr>
      </w:pPr>
    </w:p>
    <w:p>
      <w:pPr>
        <w:ind w:left="840" w:hanging="346"/>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provisions release for uncollectible reinsurance reserves, both in the property and casualty segment (PPS).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2010, the ratio of general expenses over net earned premiums reached 21.5%, which is slightly higher than last year’s result of 20.8%.</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Pacifico’s contribution to Credicorp benefitted this last 4Q of the acquisition of ALICO’s shares of the Pacifico group, especially since the profitable life insurance business contributes now almost 100% of its income to the group vs. about 50 % before the acquisition. Such contribution reached this 4Q US$ 16.0 million which exceeded 3Q10’s figure and topped the earnings of US$ 12.4 million reported in 4Q09.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US$ thousand</w:t>
            </w:r>
          </w:p>
        </w:tc>
        <w:tc>
          <w:tcPr>
            <w:tcW w:w="1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w w:val="91"/>
              </w:rPr>
              <w:t>Net earnings</w:t>
            </w: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Total Contribution</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PPS</w:t>
            </w:r>
          </w:p>
        </w:tc>
        <w:tc>
          <w:tcPr>
            <w:tcW w:w="1940" w:type="dxa"/>
            <w:vAlign w:val="bottom"/>
            <w:gridSpan w:val="3"/>
          </w:tcPr>
          <w:p>
            <w:pPr>
              <w:ind w:left="520"/>
              <w:spacing w:after="0"/>
              <w:rPr>
                <w:sz w:val="20"/>
                <w:szCs w:val="20"/>
                <w:color w:val="auto"/>
              </w:rPr>
            </w:pPr>
            <w:r>
              <w:rPr>
                <w:rFonts w:ascii="Arial" w:cs="Arial" w:eastAsia="Arial" w:hAnsi="Arial"/>
                <w:sz w:val="18"/>
                <w:szCs w:val="18"/>
                <w:b w:val="1"/>
                <w:bCs w:val="1"/>
                <w:color w:val="auto"/>
              </w:rPr>
              <w:t>PV</w:t>
            </w:r>
          </w:p>
        </w:tc>
        <w:tc>
          <w:tcPr>
            <w:tcW w:w="11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97"/>
              </w:rPr>
              <w:t>EPS*</w:t>
            </w:r>
          </w:p>
        </w:tc>
        <w:tc>
          <w:tcPr>
            <w:tcW w:w="1280" w:type="dxa"/>
            <w:vAlign w:val="bottom"/>
          </w:tcPr>
          <w:p>
            <w:pPr>
              <w:ind w:left="460"/>
              <w:spacing w:after="0"/>
              <w:rPr>
                <w:sz w:val="20"/>
                <w:szCs w:val="20"/>
                <w:color w:val="auto"/>
              </w:rPr>
            </w:pPr>
            <w:r>
              <w:rPr>
                <w:rFonts w:ascii="Arial" w:cs="Arial" w:eastAsia="Arial" w:hAnsi="Arial"/>
                <w:sz w:val="18"/>
                <w:szCs w:val="18"/>
                <w:b w:val="1"/>
                <w:bCs w:val="1"/>
                <w:color w:val="auto"/>
              </w:rPr>
              <w:t>PGA</w:t>
            </w:r>
          </w:p>
        </w:tc>
        <w:tc>
          <w:tcPr>
            <w:tcW w:w="260" w:type="dxa"/>
            <w:vAlign w:val="bottom"/>
          </w:tcPr>
          <w:p>
            <w:pPr>
              <w:spacing w:after="0"/>
              <w:rPr>
                <w:sz w:val="18"/>
                <w:szCs w:val="18"/>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 BAP</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4Q09</w:t>
            </w:r>
          </w:p>
        </w:tc>
        <w:tc>
          <w:tcPr>
            <w:tcW w:w="10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9,093</w:t>
            </w:r>
          </w:p>
        </w:tc>
        <w:tc>
          <w:tcPr>
            <w:tcW w:w="26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10,476</w:t>
            </w:r>
          </w:p>
        </w:tc>
        <w:tc>
          <w:tcPr>
            <w:tcW w:w="4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700</w:t>
            </w:r>
          </w:p>
        </w:tc>
        <w:tc>
          <w:tcPr>
            <w:tcW w:w="1540" w:type="dxa"/>
            <w:vAlign w:val="bottom"/>
            <w:tcBorders>
              <w:right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20,264</w:t>
            </w:r>
          </w:p>
        </w:tc>
        <w:tc>
          <w:tcPr>
            <w:tcW w:w="16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b w:val="1"/>
                <w:bCs w:val="1"/>
                <w:color w:val="auto"/>
              </w:rPr>
              <w:t>1Q10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5,789</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7,759</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1,495</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15,043</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8,492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2Q10</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8,095</w:t>
            </w:r>
          </w:p>
        </w:tc>
        <w:tc>
          <w:tcPr>
            <w:tcW w:w="26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10,487</w:t>
            </w:r>
          </w:p>
        </w:tc>
        <w:tc>
          <w:tcPr>
            <w:tcW w:w="4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1,878</w:t>
            </w:r>
          </w:p>
        </w:tc>
        <w:tc>
          <w:tcPr>
            <w:tcW w:w="1540" w:type="dxa"/>
            <w:vAlign w:val="bottom"/>
            <w:tcBorders>
              <w:right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20,461</w:t>
            </w:r>
          </w:p>
        </w:tc>
        <w:tc>
          <w:tcPr>
            <w:tcW w:w="16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b w:val="1"/>
                <w:bCs w:val="1"/>
                <w:color w:val="auto"/>
              </w:rPr>
              <w:t>3Q10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7,599</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6,962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1,825</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16,386</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10,439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4Q10</w:t>
            </w:r>
          </w:p>
        </w:tc>
        <w:tc>
          <w:tcPr>
            <w:tcW w:w="10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6,737</w:t>
            </w:r>
          </w:p>
        </w:tc>
        <w:tc>
          <w:tcPr>
            <w:tcW w:w="26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8,667</w:t>
            </w:r>
          </w:p>
        </w:tc>
        <w:tc>
          <w:tcPr>
            <w:tcW w:w="2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1,045</w:t>
            </w:r>
          </w:p>
        </w:tc>
        <w:tc>
          <w:tcPr>
            <w:tcW w:w="1540" w:type="dxa"/>
            <w:vAlign w:val="bottom"/>
            <w:tcBorders>
              <w:right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16,450</w:t>
            </w:r>
          </w:p>
        </w:tc>
        <w:tc>
          <w:tcPr>
            <w:tcW w:w="16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15,962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Borders>
              <w:right w:val="single" w:sz="8" w:color="CCFFCC"/>
            </w:tcBorders>
            <w:shd w:val="clear" w:color="auto" w:fill="CCFFCC"/>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b w:val="1"/>
                <w:bCs w:val="1"/>
                <w:color w:val="auto"/>
              </w:rPr>
              <w:t>QoQ</w:t>
            </w:r>
          </w:p>
        </w:tc>
        <w:tc>
          <w:tcPr>
            <w:tcW w:w="1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YoY</w:t>
            </w:r>
          </w:p>
        </w:tc>
        <w:tc>
          <w:tcPr>
            <w:tcW w:w="1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-25.9%</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-17.3%</w:t>
            </w:r>
          </w:p>
        </w:tc>
        <w:tc>
          <w:tcPr>
            <w:tcW w:w="4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49.4%</w:t>
            </w:r>
          </w:p>
        </w:tc>
        <w:tc>
          <w:tcPr>
            <w:tcW w:w="154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-18.8%</w:t>
            </w:r>
          </w:p>
        </w:tc>
        <w:tc>
          <w:tcPr>
            <w:tcW w:w="16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Borders>
              <w:right w:val="single" w:sz="8" w:color="CCFFCC"/>
            </w:tcBorders>
            <w:shd w:val="clear" w:color="auto" w:fill="CCFFCC"/>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60"/>
        <w:spacing w:after="0"/>
        <w:rPr>
          <w:sz w:val="20"/>
          <w:szCs w:val="20"/>
          <w:color w:val="auto"/>
        </w:rPr>
      </w:pPr>
      <w:r>
        <w:rPr>
          <w:rFonts w:ascii="Arial" w:cs="Arial" w:eastAsia="Arial" w:hAnsi="Arial"/>
          <w:sz w:val="18"/>
          <w:szCs w:val="18"/>
          <w:i w:val="1"/>
          <w:iCs w:val="1"/>
          <w:color w:val="auto"/>
        </w:rPr>
        <w:t>*Includes Médica, an additional company which offers medical assistance services.</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Pacífico General Insurance (PPS)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PPS’s net income in 2010 totaled US$ 28.2 million, which is improvement over the US$ 26.2 million obtained in 2009. This is attributable primarily to: i) a loss ratio of 50.5% in 2010 versus 53.1% in 2009, ii) 5.0% growth in net earned premiums and iii) higher financial income, which reported an increase of 8.5% YoY.</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in 4Q10 reached US$ 6.7 million versus US$ 7.6 million in 3Q10 and US$ 9.1 million in 4Q09. This is mainly attributable to higher net claims corresponding to severity incurred in the property and casualty line.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Technical Results by Business Unit</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4Q10</w:t>
            </w: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3Q10</w:t>
            </w:r>
          </w:p>
        </w:tc>
        <w:tc>
          <w:tcPr>
            <w:tcW w:w="4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ind w:left="420"/>
              <w:spacing w:after="0"/>
              <w:rPr>
                <w:sz w:val="20"/>
                <w:szCs w:val="20"/>
                <w:color w:val="auto"/>
              </w:rPr>
            </w:pPr>
            <w:r>
              <w:rPr>
                <w:rFonts w:ascii="Arial" w:cs="Arial" w:eastAsia="Arial" w:hAnsi="Arial"/>
                <w:sz w:val="11"/>
                <w:szCs w:val="11"/>
                <w:b w:val="1"/>
                <w:bCs w:val="1"/>
                <w:color w:val="auto"/>
                <w:w w:val="89"/>
              </w:rPr>
              <w:t>4Q09</w:t>
            </w: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2"/>
              </w:rPr>
              <w:t>Private</w:t>
            </w: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2"/>
              </w:rPr>
              <w:t>Private</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2"/>
              </w:rPr>
              <w:t>Private</w:t>
            </w: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ind w:right="320"/>
              <w:spacing w:after="0" w:line="122" w:lineRule="exact"/>
              <w:rPr>
                <w:sz w:val="20"/>
                <w:szCs w:val="20"/>
                <w:color w:val="auto"/>
              </w:rPr>
            </w:pPr>
            <w:r>
              <w:rPr>
                <w:rFonts w:ascii="Arial" w:cs="Arial" w:eastAsia="Arial" w:hAnsi="Arial"/>
                <w:sz w:val="11"/>
                <w:szCs w:val="11"/>
                <w:b w:val="1"/>
                <w:bCs w:val="1"/>
                <w:color w:val="auto"/>
                <w:w w:val="98"/>
              </w:rPr>
              <w:t>Vehicle</w:t>
            </w:r>
          </w:p>
        </w:tc>
        <w:tc>
          <w:tcPr>
            <w:tcW w:w="7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5"/>
              </w:rPr>
              <w:t>Health</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TOTAL</w:t>
            </w:r>
          </w:p>
        </w:tc>
        <w:tc>
          <w:tcPr>
            <w:tcW w:w="70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w w:val="98"/>
              </w:rPr>
              <w:t>Vehicle</w:t>
            </w:r>
          </w:p>
        </w:tc>
        <w:tc>
          <w:tcPr>
            <w:tcW w:w="6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Health</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TOTAL</w:t>
            </w:r>
          </w:p>
        </w:tc>
        <w:tc>
          <w:tcPr>
            <w:tcW w:w="70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w w:val="98"/>
              </w:rPr>
              <w:t>Vehicle</w:t>
            </w:r>
          </w:p>
        </w:tc>
        <w:tc>
          <w:tcPr>
            <w:tcW w:w="6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Health</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3340" w:type="dxa"/>
            <w:vAlign w:val="bottom"/>
            <w:gridSpan w:val="3"/>
          </w:tcPr>
          <w:p>
            <w:pPr>
              <w:spacing w:after="0"/>
              <w:rPr>
                <w:sz w:val="20"/>
                <w:szCs w:val="20"/>
                <w:color w:val="auto"/>
              </w:rPr>
            </w:pPr>
            <w:r>
              <w:rPr>
                <w:rFonts w:ascii="Arial" w:cs="Arial" w:eastAsia="Arial" w:hAnsi="Arial"/>
                <w:sz w:val="11"/>
                <w:szCs w:val="11"/>
                <w:b w:val="1"/>
                <w:bCs w:val="1"/>
                <w:color w:val="auto"/>
              </w:rPr>
              <w:t>US$ million</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84"/>
              </w:rPr>
              <w:t>Insurance</w:t>
            </w: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Insurance</w:t>
            </w: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P&amp;C</w:t>
            </w:r>
          </w:p>
        </w:tc>
        <w:tc>
          <w:tcPr>
            <w:tcW w:w="660" w:type="dxa"/>
            <w:vAlign w:val="bottom"/>
            <w:gridSpan w:val="2"/>
          </w:tcPr>
          <w:p>
            <w:pPr>
              <w:ind w:left="140"/>
              <w:spacing w:after="0"/>
              <w:rPr>
                <w:sz w:val="20"/>
                <w:szCs w:val="20"/>
                <w:color w:val="auto"/>
              </w:rPr>
            </w:pPr>
            <w:r>
              <w:rPr>
                <w:rFonts w:ascii="Arial" w:cs="Arial" w:eastAsia="Arial" w:hAnsi="Arial"/>
                <w:sz w:val="11"/>
                <w:szCs w:val="11"/>
                <w:b w:val="1"/>
                <w:bCs w:val="1"/>
                <w:color w:val="auto"/>
              </w:rPr>
              <w:t>PPS</w:t>
            </w:r>
          </w:p>
        </w:tc>
        <w:tc>
          <w:tcPr>
            <w:tcW w:w="7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88"/>
              </w:rPr>
              <w:t>Insurance</w:t>
            </w:r>
          </w:p>
        </w:tc>
        <w:tc>
          <w:tcPr>
            <w:tcW w:w="6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Insurance</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P&amp;C</w:t>
            </w:r>
          </w:p>
        </w:tc>
        <w:tc>
          <w:tcPr>
            <w:tcW w:w="660" w:type="dxa"/>
            <w:vAlign w:val="bottom"/>
            <w:gridSpan w:val="2"/>
          </w:tcPr>
          <w:p>
            <w:pPr>
              <w:ind w:left="140"/>
              <w:spacing w:after="0"/>
              <w:rPr>
                <w:sz w:val="20"/>
                <w:szCs w:val="20"/>
                <w:color w:val="auto"/>
              </w:rPr>
            </w:pPr>
            <w:r>
              <w:rPr>
                <w:rFonts w:ascii="Arial" w:cs="Arial" w:eastAsia="Arial" w:hAnsi="Arial"/>
                <w:sz w:val="11"/>
                <w:szCs w:val="11"/>
                <w:b w:val="1"/>
                <w:bCs w:val="1"/>
                <w:color w:val="auto"/>
              </w:rPr>
              <w:t>PPS</w:t>
            </w:r>
          </w:p>
        </w:tc>
        <w:tc>
          <w:tcPr>
            <w:tcW w:w="7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88"/>
              </w:rPr>
              <w:t>Insurance</w:t>
            </w:r>
          </w:p>
        </w:tc>
        <w:tc>
          <w:tcPr>
            <w:tcW w:w="6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Insurance</w:t>
            </w:r>
          </w:p>
        </w:tc>
        <w:tc>
          <w:tcPr>
            <w:tcW w:w="660" w:type="dxa"/>
            <w:vAlign w:val="bottom"/>
            <w:gridSpan w:val="2"/>
          </w:tcPr>
          <w:p>
            <w:pPr>
              <w:ind w:left="120"/>
              <w:spacing w:after="0"/>
              <w:rPr>
                <w:sz w:val="20"/>
                <w:szCs w:val="20"/>
                <w:color w:val="auto"/>
              </w:rPr>
            </w:pPr>
            <w:r>
              <w:rPr>
                <w:rFonts w:ascii="Arial" w:cs="Arial" w:eastAsia="Arial" w:hAnsi="Arial"/>
                <w:sz w:val="11"/>
                <w:szCs w:val="11"/>
                <w:b w:val="1"/>
                <w:bCs w:val="1"/>
                <w:color w:val="auto"/>
              </w:rPr>
              <w:t>P&amp;C</w:t>
            </w:r>
          </w:p>
        </w:tc>
        <w:tc>
          <w:tcPr>
            <w:tcW w:w="560" w:type="dxa"/>
            <w:vAlign w:val="bottom"/>
            <w:gridSpan w:val="2"/>
          </w:tcPr>
          <w:p>
            <w:pPr>
              <w:ind w:left="140"/>
              <w:spacing w:after="0"/>
              <w:rPr>
                <w:sz w:val="20"/>
                <w:szCs w:val="20"/>
                <w:color w:val="auto"/>
              </w:rPr>
            </w:pPr>
            <w:r>
              <w:rPr>
                <w:rFonts w:ascii="Arial" w:cs="Arial" w:eastAsia="Arial" w:hAnsi="Arial"/>
                <w:sz w:val="11"/>
                <w:szCs w:val="11"/>
                <w:b w:val="1"/>
                <w:bCs w:val="1"/>
                <w:color w:val="auto"/>
              </w:rPr>
              <w:t>PPS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31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Net earned premiums</w:t>
            </w:r>
          </w:p>
        </w:tc>
        <w:tc>
          <w:tcPr>
            <w:tcW w:w="140" w:type="dxa"/>
            <w:vAlign w:val="bottom"/>
            <w:shd w:val="clear" w:color="auto" w:fill="CCFFCC"/>
          </w:tcPr>
          <w:p>
            <w:pPr>
              <w:spacing w:after="0"/>
              <w:rPr>
                <w:sz w:val="10"/>
                <w:szCs w:val="10"/>
                <w:color w:val="auto"/>
              </w:rPr>
            </w:pPr>
          </w:p>
        </w:tc>
        <w:tc>
          <w:tcPr>
            <w:tcW w:w="4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22.3</w:t>
            </w:r>
          </w:p>
        </w:tc>
        <w:tc>
          <w:tcPr>
            <w:tcW w:w="240" w:type="dxa"/>
            <w:vAlign w:val="bottom"/>
            <w:shd w:val="clear" w:color="auto" w:fill="CCFFCC"/>
          </w:tcPr>
          <w:p>
            <w:pPr>
              <w:spacing w:after="0"/>
              <w:rPr>
                <w:sz w:val="10"/>
                <w:szCs w:val="10"/>
                <w:color w:val="auto"/>
              </w:rPr>
            </w:pPr>
          </w:p>
        </w:tc>
        <w:tc>
          <w:tcPr>
            <w:tcW w:w="7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16.0</w:t>
            </w:r>
          </w:p>
        </w:tc>
        <w:tc>
          <w:tcPr>
            <w:tcW w:w="460" w:type="dxa"/>
            <w:vAlign w:val="bottom"/>
            <w:shd w:val="clear" w:color="auto" w:fill="CCFFCC"/>
          </w:tcPr>
          <w:p>
            <w:pPr>
              <w:ind w:left="280"/>
              <w:spacing w:after="0" w:line="122" w:lineRule="exact"/>
              <w:rPr>
                <w:sz w:val="20"/>
                <w:szCs w:val="20"/>
                <w:color w:val="auto"/>
              </w:rPr>
            </w:pPr>
            <w:r>
              <w:rPr>
                <w:rFonts w:ascii="Arial" w:cs="Arial" w:eastAsia="Arial" w:hAnsi="Arial"/>
                <w:sz w:val="11"/>
                <w:szCs w:val="11"/>
                <w:color w:val="auto"/>
                <w:w w:val="74"/>
              </w:rPr>
              <w:t>16.1</w:t>
            </w:r>
          </w:p>
        </w:tc>
        <w:tc>
          <w:tcPr>
            <w:tcW w:w="220" w:type="dxa"/>
            <w:vAlign w:val="bottom"/>
            <w:shd w:val="clear" w:color="auto" w:fill="CCFFCC"/>
          </w:tcPr>
          <w:p>
            <w:pPr>
              <w:spacing w:after="0"/>
              <w:rPr>
                <w:sz w:val="10"/>
                <w:szCs w:val="10"/>
                <w:color w:val="auto"/>
              </w:rPr>
            </w:pPr>
          </w:p>
        </w:tc>
        <w:tc>
          <w:tcPr>
            <w:tcW w:w="440" w:type="dxa"/>
            <w:vAlign w:val="bottom"/>
            <w:shd w:val="clear" w:color="auto" w:fill="CCFFCC"/>
          </w:tcPr>
          <w:p>
            <w:pPr>
              <w:ind w:left="260"/>
              <w:spacing w:after="0" w:line="122" w:lineRule="exact"/>
              <w:rPr>
                <w:sz w:val="20"/>
                <w:szCs w:val="20"/>
                <w:color w:val="auto"/>
              </w:rPr>
            </w:pPr>
            <w:r>
              <w:rPr>
                <w:rFonts w:ascii="Arial" w:cs="Arial" w:eastAsia="Arial" w:hAnsi="Arial"/>
                <w:sz w:val="11"/>
                <w:szCs w:val="11"/>
                <w:b w:val="1"/>
                <w:bCs w:val="1"/>
                <w:color w:val="auto"/>
                <w:w w:val="74"/>
              </w:rPr>
              <w:t>54.3</w:t>
            </w:r>
          </w:p>
        </w:tc>
        <w:tc>
          <w:tcPr>
            <w:tcW w:w="2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20.8</w:t>
            </w:r>
          </w:p>
        </w:tc>
        <w:tc>
          <w:tcPr>
            <w:tcW w:w="6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16.0</w:t>
            </w:r>
          </w:p>
        </w:tc>
        <w:tc>
          <w:tcPr>
            <w:tcW w:w="6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14.3</w:t>
            </w:r>
          </w:p>
        </w:tc>
        <w:tc>
          <w:tcPr>
            <w:tcW w:w="460" w:type="dxa"/>
            <w:vAlign w:val="bottom"/>
            <w:shd w:val="clear" w:color="auto" w:fill="CCFFCC"/>
          </w:tcPr>
          <w:p>
            <w:pPr>
              <w:ind w:left="260"/>
              <w:spacing w:after="0" w:line="122" w:lineRule="exact"/>
              <w:rPr>
                <w:sz w:val="20"/>
                <w:szCs w:val="20"/>
                <w:color w:val="auto"/>
              </w:rPr>
            </w:pPr>
            <w:r>
              <w:rPr>
                <w:rFonts w:ascii="Arial" w:cs="Arial" w:eastAsia="Arial" w:hAnsi="Arial"/>
                <w:sz w:val="11"/>
                <w:szCs w:val="11"/>
                <w:b w:val="1"/>
                <w:bCs w:val="1"/>
                <w:color w:val="auto"/>
                <w:w w:val="83"/>
              </w:rPr>
              <w:t>51.1</w:t>
            </w:r>
          </w:p>
        </w:tc>
        <w:tc>
          <w:tcPr>
            <w:tcW w:w="200" w:type="dxa"/>
            <w:vAlign w:val="bottom"/>
            <w:shd w:val="clear" w:color="auto" w:fill="CCFFCC"/>
          </w:tcPr>
          <w:p>
            <w:pPr>
              <w:spacing w:after="0"/>
              <w:rPr>
                <w:sz w:val="10"/>
                <w:szCs w:val="10"/>
                <w:color w:val="auto"/>
              </w:rPr>
            </w:pPr>
          </w:p>
        </w:tc>
        <w:tc>
          <w:tcPr>
            <w:tcW w:w="4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20.4</w:t>
            </w: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ind w:left="280"/>
              <w:spacing w:after="0" w:line="122" w:lineRule="exact"/>
              <w:rPr>
                <w:sz w:val="20"/>
                <w:szCs w:val="20"/>
                <w:color w:val="auto"/>
              </w:rPr>
            </w:pPr>
            <w:r>
              <w:rPr>
                <w:rFonts w:ascii="Arial" w:cs="Arial" w:eastAsia="Arial" w:hAnsi="Arial"/>
                <w:sz w:val="11"/>
                <w:szCs w:val="11"/>
                <w:color w:val="auto"/>
                <w:w w:val="74"/>
              </w:rPr>
              <w:t>15.0</w:t>
            </w:r>
          </w:p>
        </w:tc>
        <w:tc>
          <w:tcPr>
            <w:tcW w:w="220" w:type="dxa"/>
            <w:vAlign w:val="bottom"/>
            <w:shd w:val="clear" w:color="auto" w:fill="CCFFCC"/>
          </w:tcPr>
          <w:p>
            <w:pPr>
              <w:spacing w:after="0"/>
              <w:rPr>
                <w:sz w:val="10"/>
                <w:szCs w:val="10"/>
                <w:color w:val="auto"/>
              </w:rPr>
            </w:pPr>
          </w:p>
        </w:tc>
        <w:tc>
          <w:tcPr>
            <w:tcW w:w="660" w:type="dxa"/>
            <w:vAlign w:val="bottom"/>
            <w:gridSpan w:val="2"/>
            <w:shd w:val="clear" w:color="auto" w:fill="CCFFCC"/>
          </w:tcPr>
          <w:p>
            <w:pPr>
              <w:ind w:left="260"/>
              <w:spacing w:after="0" w:line="122" w:lineRule="exact"/>
              <w:rPr>
                <w:sz w:val="20"/>
                <w:szCs w:val="20"/>
                <w:color w:val="auto"/>
              </w:rPr>
            </w:pPr>
            <w:r>
              <w:rPr>
                <w:rFonts w:ascii="Arial" w:cs="Arial" w:eastAsia="Arial" w:hAnsi="Arial"/>
                <w:sz w:val="11"/>
                <w:szCs w:val="11"/>
                <w:color w:val="auto"/>
              </w:rPr>
              <w:t>17.0</w:t>
            </w:r>
          </w:p>
        </w:tc>
        <w:tc>
          <w:tcPr>
            <w:tcW w:w="560" w:type="dxa"/>
            <w:vAlign w:val="bottom"/>
            <w:gridSpan w:val="2"/>
            <w:shd w:val="clear" w:color="auto" w:fill="CCFFCC"/>
          </w:tcPr>
          <w:p>
            <w:pPr>
              <w:ind w:left="260"/>
              <w:spacing w:after="0" w:line="122" w:lineRule="exact"/>
              <w:rPr>
                <w:sz w:val="20"/>
                <w:szCs w:val="20"/>
                <w:color w:val="auto"/>
              </w:rPr>
            </w:pPr>
            <w:r>
              <w:rPr>
                <w:rFonts w:ascii="Arial" w:cs="Arial" w:eastAsia="Arial" w:hAnsi="Arial"/>
                <w:sz w:val="11"/>
                <w:szCs w:val="11"/>
                <w:b w:val="1"/>
                <w:bCs w:val="1"/>
                <w:color w:val="auto"/>
              </w:rPr>
              <w:t>52.4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Underwriting results</w:t>
            </w:r>
          </w:p>
        </w:tc>
        <w:tc>
          <w:tcPr>
            <w:tcW w:w="7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9.2</w:t>
            </w:r>
          </w:p>
        </w:tc>
        <w:tc>
          <w:tcPr>
            <w:tcW w:w="7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2.2</w:t>
            </w:r>
          </w:p>
        </w:tc>
        <w:tc>
          <w:tcPr>
            <w:tcW w:w="460" w:type="dxa"/>
            <w:vAlign w:val="bottom"/>
          </w:tcPr>
          <w:p>
            <w:pPr>
              <w:ind w:left="340"/>
              <w:spacing w:after="0"/>
              <w:rPr>
                <w:sz w:val="20"/>
                <w:szCs w:val="20"/>
                <w:color w:val="auto"/>
              </w:rPr>
            </w:pPr>
            <w:r>
              <w:rPr>
                <w:rFonts w:ascii="Arial" w:cs="Arial" w:eastAsia="Arial" w:hAnsi="Arial"/>
                <w:sz w:val="10"/>
                <w:szCs w:val="10"/>
                <w:color w:val="auto"/>
                <w:w w:val="71"/>
              </w:rPr>
              <w:t>6.1</w:t>
            </w:r>
          </w:p>
        </w:tc>
        <w:tc>
          <w:tcPr>
            <w:tcW w:w="220" w:type="dxa"/>
            <w:vAlign w:val="bottom"/>
          </w:tcPr>
          <w:p>
            <w:pPr>
              <w:spacing w:after="0"/>
              <w:rPr>
                <w:sz w:val="10"/>
                <w:szCs w:val="10"/>
                <w:color w:val="auto"/>
              </w:rPr>
            </w:pPr>
          </w:p>
        </w:tc>
        <w:tc>
          <w:tcPr>
            <w:tcW w:w="440" w:type="dxa"/>
            <w:vAlign w:val="bottom"/>
          </w:tcPr>
          <w:p>
            <w:pPr>
              <w:ind w:left="260"/>
              <w:spacing w:after="0" w:line="122" w:lineRule="exact"/>
              <w:rPr>
                <w:sz w:val="20"/>
                <w:szCs w:val="20"/>
                <w:color w:val="auto"/>
              </w:rPr>
            </w:pPr>
            <w:r>
              <w:rPr>
                <w:rFonts w:ascii="Arial" w:cs="Arial" w:eastAsia="Arial" w:hAnsi="Arial"/>
                <w:sz w:val="11"/>
                <w:szCs w:val="11"/>
                <w:b w:val="1"/>
                <w:bCs w:val="1"/>
                <w:color w:val="auto"/>
                <w:w w:val="74"/>
              </w:rPr>
              <w:t>17.4</w:t>
            </w:r>
          </w:p>
        </w:tc>
        <w:tc>
          <w:tcPr>
            <w:tcW w:w="220" w:type="dxa"/>
            <w:vAlign w:val="bottom"/>
          </w:tcPr>
          <w:p>
            <w:pPr>
              <w:spacing w:after="0"/>
              <w:rPr>
                <w:sz w:val="10"/>
                <w:szCs w:val="10"/>
                <w:color w:val="auto"/>
              </w:rPr>
            </w:pPr>
          </w:p>
        </w:tc>
        <w:tc>
          <w:tcPr>
            <w:tcW w:w="7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7.3</w:t>
            </w:r>
          </w:p>
        </w:tc>
        <w:tc>
          <w:tcPr>
            <w:tcW w:w="6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3.3</w:t>
            </w:r>
          </w:p>
        </w:tc>
        <w:tc>
          <w:tcPr>
            <w:tcW w:w="6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9.9</w:t>
            </w:r>
          </w:p>
        </w:tc>
        <w:tc>
          <w:tcPr>
            <w:tcW w:w="460" w:type="dxa"/>
            <w:vAlign w:val="bottom"/>
          </w:tcPr>
          <w:p>
            <w:pPr>
              <w:ind w:left="260"/>
              <w:spacing w:after="0" w:line="122" w:lineRule="exact"/>
              <w:rPr>
                <w:sz w:val="20"/>
                <w:szCs w:val="20"/>
                <w:color w:val="auto"/>
              </w:rPr>
            </w:pPr>
            <w:r>
              <w:rPr>
                <w:rFonts w:ascii="Arial" w:cs="Arial" w:eastAsia="Arial" w:hAnsi="Arial"/>
                <w:sz w:val="11"/>
                <w:szCs w:val="11"/>
                <w:b w:val="1"/>
                <w:bCs w:val="1"/>
                <w:color w:val="auto"/>
                <w:w w:val="83"/>
              </w:rPr>
              <w:t>20.5</w:t>
            </w:r>
          </w:p>
        </w:tc>
        <w:tc>
          <w:tcPr>
            <w:tcW w:w="2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9.3</w:t>
            </w:r>
          </w:p>
        </w:tc>
        <w:tc>
          <w:tcPr>
            <w:tcW w:w="220" w:type="dxa"/>
            <w:vAlign w:val="bottom"/>
          </w:tcPr>
          <w:p>
            <w:pPr>
              <w:spacing w:after="0"/>
              <w:rPr>
                <w:sz w:val="10"/>
                <w:szCs w:val="10"/>
                <w:color w:val="auto"/>
              </w:rPr>
            </w:pPr>
          </w:p>
        </w:tc>
        <w:tc>
          <w:tcPr>
            <w:tcW w:w="460" w:type="dxa"/>
            <w:vAlign w:val="bottom"/>
          </w:tcPr>
          <w:p>
            <w:pPr>
              <w:ind w:left="340"/>
              <w:spacing w:after="0"/>
              <w:rPr>
                <w:sz w:val="20"/>
                <w:szCs w:val="20"/>
                <w:color w:val="auto"/>
              </w:rPr>
            </w:pPr>
            <w:r>
              <w:rPr>
                <w:rFonts w:ascii="Arial" w:cs="Arial" w:eastAsia="Arial" w:hAnsi="Arial"/>
                <w:sz w:val="10"/>
                <w:szCs w:val="10"/>
                <w:color w:val="auto"/>
                <w:w w:val="71"/>
              </w:rPr>
              <w:t>4.4</w:t>
            </w:r>
          </w:p>
        </w:tc>
        <w:tc>
          <w:tcPr>
            <w:tcW w:w="220" w:type="dxa"/>
            <w:vAlign w:val="bottom"/>
          </w:tcPr>
          <w:p>
            <w:pPr>
              <w:spacing w:after="0"/>
              <w:rPr>
                <w:sz w:val="10"/>
                <w:szCs w:val="10"/>
                <w:color w:val="auto"/>
              </w:rPr>
            </w:pPr>
          </w:p>
        </w:tc>
        <w:tc>
          <w:tcPr>
            <w:tcW w:w="660" w:type="dxa"/>
            <w:vAlign w:val="bottom"/>
            <w:gridSpan w:val="2"/>
          </w:tcPr>
          <w:p>
            <w:pPr>
              <w:ind w:left="260"/>
              <w:spacing w:after="0" w:line="122" w:lineRule="exact"/>
              <w:rPr>
                <w:sz w:val="20"/>
                <w:szCs w:val="20"/>
                <w:color w:val="auto"/>
              </w:rPr>
            </w:pPr>
            <w:r>
              <w:rPr>
                <w:rFonts w:ascii="Arial" w:cs="Arial" w:eastAsia="Arial" w:hAnsi="Arial"/>
                <w:sz w:val="11"/>
                <w:szCs w:val="11"/>
                <w:color w:val="auto"/>
              </w:rPr>
              <w:t>11.7</w:t>
            </w:r>
          </w:p>
        </w:tc>
        <w:tc>
          <w:tcPr>
            <w:tcW w:w="560" w:type="dxa"/>
            <w:vAlign w:val="bottom"/>
            <w:gridSpan w:val="2"/>
          </w:tcPr>
          <w:p>
            <w:pPr>
              <w:ind w:left="260"/>
              <w:spacing w:after="0" w:line="122" w:lineRule="exact"/>
              <w:rPr>
                <w:sz w:val="20"/>
                <w:szCs w:val="20"/>
                <w:color w:val="auto"/>
              </w:rPr>
            </w:pPr>
            <w:r>
              <w:rPr>
                <w:rFonts w:ascii="Arial" w:cs="Arial" w:eastAsia="Arial" w:hAnsi="Arial"/>
                <w:sz w:val="11"/>
                <w:szCs w:val="11"/>
                <w:b w:val="1"/>
                <w:bCs w:val="1"/>
                <w:color w:val="auto"/>
              </w:rPr>
              <w:t>25.4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Loss ratio</w:t>
            </w:r>
          </w:p>
        </w:tc>
        <w:tc>
          <w:tcPr>
            <w:tcW w:w="7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37.7%</w:t>
            </w:r>
          </w:p>
        </w:tc>
        <w:tc>
          <w:tcPr>
            <w:tcW w:w="7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77.2%</w:t>
            </w:r>
          </w:p>
        </w:tc>
        <w:tc>
          <w:tcPr>
            <w:tcW w:w="680" w:type="dxa"/>
            <w:vAlign w:val="bottom"/>
            <w:gridSpan w:val="2"/>
            <w:shd w:val="clear" w:color="auto" w:fill="CCFFCC"/>
          </w:tcPr>
          <w:p>
            <w:pPr>
              <w:ind w:left="280"/>
              <w:spacing w:after="0" w:line="122" w:lineRule="exact"/>
              <w:rPr>
                <w:sz w:val="20"/>
                <w:szCs w:val="20"/>
                <w:color w:val="auto"/>
              </w:rPr>
            </w:pPr>
            <w:r>
              <w:rPr>
                <w:rFonts w:ascii="Arial" w:cs="Arial" w:eastAsia="Arial" w:hAnsi="Arial"/>
                <w:sz w:val="11"/>
                <w:szCs w:val="11"/>
                <w:color w:val="auto"/>
              </w:rPr>
              <w:t>56.4%</w:t>
            </w:r>
          </w:p>
        </w:tc>
        <w:tc>
          <w:tcPr>
            <w:tcW w:w="660" w:type="dxa"/>
            <w:vAlign w:val="bottom"/>
            <w:gridSpan w:val="2"/>
            <w:shd w:val="clear" w:color="auto" w:fill="CCFFCC"/>
          </w:tcPr>
          <w:p>
            <w:pPr>
              <w:ind w:left="260"/>
              <w:spacing w:after="0" w:line="122" w:lineRule="exact"/>
              <w:rPr>
                <w:sz w:val="20"/>
                <w:szCs w:val="20"/>
                <w:color w:val="auto"/>
              </w:rPr>
            </w:pPr>
            <w:r>
              <w:rPr>
                <w:rFonts w:ascii="Arial" w:cs="Arial" w:eastAsia="Arial" w:hAnsi="Arial"/>
                <w:sz w:val="11"/>
                <w:szCs w:val="11"/>
                <w:b w:val="1"/>
                <w:bCs w:val="1"/>
                <w:color w:val="auto"/>
              </w:rPr>
              <w:t>54.8%</w:t>
            </w:r>
          </w:p>
        </w:tc>
        <w:tc>
          <w:tcPr>
            <w:tcW w:w="7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42.5%</w:t>
            </w: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70.8%</w:t>
            </w: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16.1%</w:t>
            </w:r>
          </w:p>
        </w:tc>
        <w:tc>
          <w:tcPr>
            <w:tcW w:w="660" w:type="dxa"/>
            <w:vAlign w:val="bottom"/>
            <w:gridSpan w:val="2"/>
            <w:shd w:val="clear" w:color="auto" w:fill="CCFFCC"/>
          </w:tcPr>
          <w:p>
            <w:pPr>
              <w:ind w:left="260"/>
              <w:spacing w:after="0" w:line="122" w:lineRule="exact"/>
              <w:rPr>
                <w:sz w:val="20"/>
                <w:szCs w:val="20"/>
                <w:color w:val="auto"/>
              </w:rPr>
            </w:pPr>
            <w:r>
              <w:rPr>
                <w:rFonts w:ascii="Arial" w:cs="Arial" w:eastAsia="Arial" w:hAnsi="Arial"/>
                <w:sz w:val="11"/>
                <w:szCs w:val="11"/>
                <w:b w:val="1"/>
                <w:bCs w:val="1"/>
                <w:color w:val="auto"/>
              </w:rPr>
              <w:t>44.0%</w:t>
            </w:r>
          </w:p>
        </w:tc>
        <w:tc>
          <w:tcPr>
            <w:tcW w:w="7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31.3%</w:t>
            </w:r>
          </w:p>
        </w:tc>
        <w:tc>
          <w:tcPr>
            <w:tcW w:w="680" w:type="dxa"/>
            <w:vAlign w:val="bottom"/>
            <w:gridSpan w:val="2"/>
            <w:shd w:val="clear" w:color="auto" w:fill="CCFFCC"/>
          </w:tcPr>
          <w:p>
            <w:pPr>
              <w:ind w:left="280"/>
              <w:spacing w:after="0" w:line="122" w:lineRule="exact"/>
              <w:rPr>
                <w:sz w:val="20"/>
                <w:szCs w:val="20"/>
                <w:color w:val="auto"/>
              </w:rPr>
            </w:pPr>
            <w:r>
              <w:rPr>
                <w:rFonts w:ascii="Arial" w:cs="Arial" w:eastAsia="Arial" w:hAnsi="Arial"/>
                <w:sz w:val="11"/>
                <w:szCs w:val="11"/>
                <w:color w:val="auto"/>
              </w:rPr>
              <w:t>62.2%</w:t>
            </w:r>
          </w:p>
        </w:tc>
        <w:tc>
          <w:tcPr>
            <w:tcW w:w="660" w:type="dxa"/>
            <w:vAlign w:val="bottom"/>
            <w:gridSpan w:val="2"/>
            <w:shd w:val="clear" w:color="auto" w:fill="CCFFCC"/>
          </w:tcPr>
          <w:p>
            <w:pPr>
              <w:ind w:left="260"/>
              <w:spacing w:after="0" w:line="122" w:lineRule="exact"/>
              <w:rPr>
                <w:sz w:val="20"/>
                <w:szCs w:val="20"/>
                <w:color w:val="auto"/>
              </w:rPr>
            </w:pPr>
            <w:r>
              <w:rPr>
                <w:rFonts w:ascii="Arial" w:cs="Arial" w:eastAsia="Arial" w:hAnsi="Arial"/>
                <w:sz w:val="11"/>
                <w:szCs w:val="11"/>
                <w:color w:val="auto"/>
              </w:rPr>
              <w:t>17.4%</w:t>
            </w:r>
          </w:p>
        </w:tc>
        <w:tc>
          <w:tcPr>
            <w:tcW w:w="560" w:type="dxa"/>
            <w:vAlign w:val="bottom"/>
            <w:gridSpan w:val="2"/>
            <w:shd w:val="clear" w:color="auto" w:fill="CCFFCC"/>
          </w:tcPr>
          <w:p>
            <w:pPr>
              <w:ind w:left="260"/>
              <w:spacing w:after="0" w:line="122" w:lineRule="exact"/>
              <w:rPr>
                <w:sz w:val="20"/>
                <w:szCs w:val="20"/>
                <w:color w:val="auto"/>
              </w:rPr>
            </w:pPr>
            <w:r>
              <w:rPr>
                <w:rFonts w:ascii="Arial" w:cs="Arial" w:eastAsia="Arial" w:hAnsi="Arial"/>
                <w:sz w:val="11"/>
                <w:szCs w:val="11"/>
                <w:b w:val="1"/>
                <w:bCs w:val="1"/>
                <w:color w:val="auto"/>
                <w:w w:val="89"/>
              </w:rPr>
              <w:t>35.6%</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1"/>
                <w:szCs w:val="11"/>
                <w:b w:val="1"/>
                <w:bCs w:val="1"/>
                <w:color w:val="auto"/>
              </w:rPr>
              <w:t>Underwriting results / net earned premiums</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41.1</w:t>
            </w:r>
            <w:r>
              <w:rPr>
                <w:rFonts w:ascii="Arial" w:cs="Arial" w:eastAsia="Arial" w:hAnsi="Arial"/>
                <w:sz w:val="21"/>
                <w:szCs w:val="21"/>
                <w:color w:val="auto"/>
                <w:vertAlign w:val="superscript"/>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13.7</w:t>
            </w:r>
            <w:r>
              <w:rPr>
                <w:rFonts w:ascii="Arial" w:cs="Arial" w:eastAsia="Arial" w:hAnsi="Arial"/>
                <w:sz w:val="21"/>
                <w:szCs w:val="21"/>
                <w:color w:val="auto"/>
                <w:vertAlign w:val="superscript"/>
              </w:rPr>
              <w:t>%</w:t>
            </w:r>
          </w:p>
        </w:tc>
        <w:tc>
          <w:tcPr>
            <w:tcW w:w="680" w:type="dxa"/>
            <w:vAlign w:val="bottom"/>
            <w:gridSpan w:val="2"/>
          </w:tcPr>
          <w:p>
            <w:pPr>
              <w:ind w:left="280"/>
              <w:spacing w:after="0"/>
              <w:rPr>
                <w:sz w:val="20"/>
                <w:szCs w:val="20"/>
                <w:color w:val="auto"/>
              </w:rPr>
            </w:pPr>
            <w:r>
              <w:rPr>
                <w:rFonts w:ascii="Arial" w:cs="Arial" w:eastAsia="Arial" w:hAnsi="Arial"/>
                <w:sz w:val="11"/>
                <w:szCs w:val="11"/>
                <w:color w:val="auto"/>
              </w:rPr>
              <w:t>37.9</w:t>
            </w:r>
            <w:r>
              <w:rPr>
                <w:rFonts w:ascii="Arial" w:cs="Arial" w:eastAsia="Arial" w:hAnsi="Arial"/>
                <w:sz w:val="21"/>
                <w:szCs w:val="21"/>
                <w:color w:val="auto"/>
                <w:vertAlign w:val="superscript"/>
              </w:rPr>
              <w:t>%</w:t>
            </w:r>
          </w:p>
        </w:tc>
        <w:tc>
          <w:tcPr>
            <w:tcW w:w="660" w:type="dxa"/>
            <w:vAlign w:val="bottom"/>
            <w:gridSpan w:val="2"/>
          </w:tcPr>
          <w:p>
            <w:pPr>
              <w:ind w:left="260"/>
              <w:spacing w:after="0"/>
              <w:rPr>
                <w:sz w:val="20"/>
                <w:szCs w:val="20"/>
                <w:color w:val="auto"/>
              </w:rPr>
            </w:pPr>
            <w:r>
              <w:rPr>
                <w:rFonts w:ascii="Arial" w:cs="Arial" w:eastAsia="Arial" w:hAnsi="Arial"/>
                <w:sz w:val="11"/>
                <w:szCs w:val="11"/>
                <w:b w:val="1"/>
                <w:bCs w:val="1"/>
                <w:color w:val="auto"/>
              </w:rPr>
              <w:t>32.1</w:t>
            </w:r>
            <w:r>
              <w:rPr>
                <w:rFonts w:ascii="Arial" w:cs="Arial" w:eastAsia="Arial" w:hAnsi="Arial"/>
                <w:sz w:val="21"/>
                <w:szCs w:val="21"/>
                <w:b w:val="1"/>
                <w:bCs w:val="1"/>
                <w:color w:val="auto"/>
                <w:vertAlign w:val="superscript"/>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35.1</w:t>
            </w:r>
            <w:r>
              <w:rPr>
                <w:rFonts w:ascii="Arial" w:cs="Arial" w:eastAsia="Arial" w:hAnsi="Arial"/>
                <w:sz w:val="21"/>
                <w:szCs w:val="21"/>
                <w:color w:val="auto"/>
                <w:vertAlign w:val="superscript"/>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20.6</w:t>
            </w:r>
            <w:r>
              <w:rPr>
                <w:rFonts w:ascii="Arial" w:cs="Arial" w:eastAsia="Arial" w:hAnsi="Arial"/>
                <w:sz w:val="21"/>
                <w:szCs w:val="21"/>
                <w:color w:val="auto"/>
                <w:vertAlign w:val="superscript"/>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69.1</w:t>
            </w:r>
            <w:r>
              <w:rPr>
                <w:rFonts w:ascii="Arial" w:cs="Arial" w:eastAsia="Arial" w:hAnsi="Arial"/>
                <w:sz w:val="21"/>
                <w:szCs w:val="21"/>
                <w:color w:val="auto"/>
                <w:vertAlign w:val="superscript"/>
              </w:rPr>
              <w:t>%</w:t>
            </w:r>
          </w:p>
        </w:tc>
        <w:tc>
          <w:tcPr>
            <w:tcW w:w="660" w:type="dxa"/>
            <w:vAlign w:val="bottom"/>
            <w:gridSpan w:val="2"/>
          </w:tcPr>
          <w:p>
            <w:pPr>
              <w:ind w:left="260"/>
              <w:spacing w:after="0"/>
              <w:rPr>
                <w:sz w:val="20"/>
                <w:szCs w:val="20"/>
                <w:color w:val="auto"/>
              </w:rPr>
            </w:pPr>
            <w:r>
              <w:rPr>
                <w:rFonts w:ascii="Arial" w:cs="Arial" w:eastAsia="Arial" w:hAnsi="Arial"/>
                <w:sz w:val="11"/>
                <w:szCs w:val="11"/>
                <w:b w:val="1"/>
                <w:bCs w:val="1"/>
                <w:color w:val="auto"/>
              </w:rPr>
              <w:t>40.1</w:t>
            </w:r>
            <w:r>
              <w:rPr>
                <w:rFonts w:ascii="Arial" w:cs="Arial" w:eastAsia="Arial" w:hAnsi="Arial"/>
                <w:sz w:val="21"/>
                <w:szCs w:val="21"/>
                <w:b w:val="1"/>
                <w:bCs w:val="1"/>
                <w:color w:val="auto"/>
                <w:vertAlign w:val="superscript"/>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45.7</w:t>
            </w:r>
            <w:r>
              <w:rPr>
                <w:rFonts w:ascii="Arial" w:cs="Arial" w:eastAsia="Arial" w:hAnsi="Arial"/>
                <w:sz w:val="21"/>
                <w:szCs w:val="21"/>
                <w:color w:val="auto"/>
                <w:vertAlign w:val="superscript"/>
              </w:rPr>
              <w:t>%</w:t>
            </w:r>
          </w:p>
        </w:tc>
        <w:tc>
          <w:tcPr>
            <w:tcW w:w="680" w:type="dxa"/>
            <w:vAlign w:val="bottom"/>
            <w:gridSpan w:val="2"/>
          </w:tcPr>
          <w:p>
            <w:pPr>
              <w:ind w:left="280"/>
              <w:spacing w:after="0"/>
              <w:rPr>
                <w:sz w:val="20"/>
                <w:szCs w:val="20"/>
                <w:color w:val="auto"/>
              </w:rPr>
            </w:pPr>
            <w:r>
              <w:rPr>
                <w:rFonts w:ascii="Arial" w:cs="Arial" w:eastAsia="Arial" w:hAnsi="Arial"/>
                <w:sz w:val="11"/>
                <w:szCs w:val="11"/>
                <w:color w:val="auto"/>
              </w:rPr>
              <w:t>29.3</w:t>
            </w:r>
            <w:r>
              <w:rPr>
                <w:rFonts w:ascii="Arial" w:cs="Arial" w:eastAsia="Arial" w:hAnsi="Arial"/>
                <w:sz w:val="21"/>
                <w:szCs w:val="21"/>
                <w:color w:val="auto"/>
                <w:vertAlign w:val="superscript"/>
              </w:rPr>
              <w:t>%</w:t>
            </w:r>
          </w:p>
        </w:tc>
        <w:tc>
          <w:tcPr>
            <w:tcW w:w="660" w:type="dxa"/>
            <w:vAlign w:val="bottom"/>
            <w:gridSpan w:val="2"/>
          </w:tcPr>
          <w:p>
            <w:pPr>
              <w:ind w:left="260"/>
              <w:spacing w:after="0"/>
              <w:rPr>
                <w:sz w:val="20"/>
                <w:szCs w:val="20"/>
                <w:color w:val="auto"/>
              </w:rPr>
            </w:pPr>
            <w:r>
              <w:rPr>
                <w:rFonts w:ascii="Arial" w:cs="Arial" w:eastAsia="Arial" w:hAnsi="Arial"/>
                <w:sz w:val="11"/>
                <w:szCs w:val="11"/>
                <w:color w:val="auto"/>
              </w:rPr>
              <w:t>68.7</w:t>
            </w:r>
            <w:r>
              <w:rPr>
                <w:rFonts w:ascii="Arial" w:cs="Arial" w:eastAsia="Arial" w:hAnsi="Arial"/>
                <w:sz w:val="21"/>
                <w:szCs w:val="21"/>
                <w:color w:val="auto"/>
                <w:vertAlign w:val="superscript"/>
              </w:rPr>
              <w:t>%</w:t>
            </w:r>
          </w:p>
        </w:tc>
        <w:tc>
          <w:tcPr>
            <w:tcW w:w="560" w:type="dxa"/>
            <w:vAlign w:val="bottom"/>
            <w:gridSpan w:val="2"/>
          </w:tcPr>
          <w:p>
            <w:pPr>
              <w:ind w:left="260"/>
              <w:spacing w:after="0"/>
              <w:rPr>
                <w:sz w:val="20"/>
                <w:szCs w:val="20"/>
                <w:color w:val="auto"/>
              </w:rPr>
            </w:pPr>
            <w:r>
              <w:rPr>
                <w:rFonts w:ascii="Arial" w:cs="Arial" w:eastAsia="Arial" w:hAnsi="Arial"/>
                <w:sz w:val="11"/>
                <w:szCs w:val="11"/>
                <w:b w:val="1"/>
                <w:bCs w:val="1"/>
                <w:color w:val="auto"/>
                <w:w w:val="82"/>
              </w:rPr>
              <w:t>48.5</w:t>
            </w:r>
            <w:r>
              <w:rPr>
                <w:rFonts w:ascii="Arial" w:cs="Arial" w:eastAsia="Arial" w:hAnsi="Arial"/>
                <w:sz w:val="21"/>
                <w:szCs w:val="21"/>
                <w:b w:val="1"/>
                <w:bCs w:val="1"/>
                <w:color w:val="auto"/>
                <w:w w:val="82"/>
                <w:vertAlign w:val="superscript"/>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earned premiums for Car Insurance totaled US$ 22.3 million in 4Q10, which indicates an increase with regard to the US$ 20.8 million in 3Q10 and US$ 20.4 million in 4Q09.</w:t>
      </w:r>
    </w:p>
    <w:p>
      <w:pPr>
        <w:spacing w:after="0" w:line="197"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net earned premium in the Car line was US$ 19.7 million in 4Q10; this indicates a QoQ increase that is primarily due to higher new car sales in the market as well as the consolidation of new commercial channels.</w:t>
      </w:r>
    </w:p>
    <w:p>
      <w:pPr>
        <w:spacing w:after="0" w:line="197" w:lineRule="exact"/>
        <w:rPr>
          <w:rFonts w:ascii="Arial" w:cs="Arial" w:eastAsia="Arial" w:hAnsi="Arial"/>
          <w:sz w:val="18"/>
          <w:szCs w:val="18"/>
          <w:color w:val="auto"/>
        </w:rPr>
      </w:pPr>
    </w:p>
    <w:p>
      <w:pPr>
        <w:ind w:left="660" w:right="20"/>
        <w:spacing w:after="0" w:line="308" w:lineRule="auto"/>
        <w:rPr>
          <w:rFonts w:ascii="Arial" w:cs="Arial" w:eastAsia="Arial" w:hAnsi="Arial"/>
          <w:sz w:val="18"/>
          <w:szCs w:val="18"/>
          <w:color w:val="auto"/>
        </w:rPr>
      </w:pPr>
      <w:r>
        <w:rPr>
          <w:rFonts w:ascii="Arial" w:cs="Arial" w:eastAsia="Arial" w:hAnsi="Arial"/>
          <w:sz w:val="17"/>
          <w:szCs w:val="17"/>
          <w:color w:val="auto"/>
        </w:rPr>
        <w:t>The Statutory Auto Liability line (SOAT) earned direct premiums in 4Q10 for a total of US$ 2.8 million, which falls below the result obtained in 3Q10 of US$ 3.3 million. This is due primarily to a seasonal component that leads to higher sales in the third quarter of the year.</w:t>
      </w:r>
    </w:p>
    <w:p>
      <w:pPr>
        <w:spacing w:after="0" w:line="173"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During 4Q10, the Private Health Insurance line reported net earned premiums of US$ 16.0 million, which is similar to the result obtained in 3Q10 but 6% higher than that reported in 4Q09. The loss ratio of 77.2% exceeded the 70.8% reported in 3Q10 and the 62.2% obtained in 4Q09. This is attributable to severity incurred internationally and in international health product lines. Despite this quarterly increase, the loss ratio in 2010 was low: 70.7%. Additionally, in terms of market share, Pacifico Insurance is currently market leader in this segment.</w:t>
      </w:r>
    </w:p>
    <w:p>
      <w:pPr>
        <w:spacing w:after="0" w:line="198" w:lineRule="exact"/>
        <w:rPr>
          <w:rFonts w:ascii="Arial" w:cs="Arial" w:eastAsia="Arial" w:hAnsi="Arial"/>
          <w:sz w:val="17"/>
          <w:szCs w:val="17"/>
          <w:color w:val="auto"/>
        </w:rPr>
      </w:pPr>
    </w:p>
    <w:p>
      <w:pPr>
        <w:jc w:val="both"/>
        <w:ind w:left="660"/>
        <w:spacing w:after="0" w:line="257" w:lineRule="auto"/>
        <w:rPr>
          <w:rFonts w:ascii="Arial" w:cs="Arial" w:eastAsia="Arial" w:hAnsi="Arial"/>
          <w:sz w:val="17"/>
          <w:szCs w:val="17"/>
          <w:color w:val="auto"/>
        </w:rPr>
      </w:pPr>
      <w:r>
        <w:rPr>
          <w:rFonts w:ascii="Arial" w:cs="Arial" w:eastAsia="Arial" w:hAnsi="Arial"/>
          <w:sz w:val="18"/>
          <w:szCs w:val="18"/>
          <w:color w:val="auto"/>
        </w:rPr>
        <w:t>The Property and Casualty line (P &amp; C) obtained net earned premiums of US$ 16.1 million, which is slightly above the figure reported in 3Q10 and US$ 1 million lower than that registered in 4Q09. The YoY variation is attributable to an increase in the percentage of ceded premiums, which went from 60% in 4Q09 to 68% in 4Q10 due to an increase in direct premiums (15%), mainly Fire (+27%) and Technical Lines (+27%), which represent the highest volatility segments. The loss ratio increased from 17.4% in 4Q09 to 56.4% in 4Q10 due to a severe loss, which was adequately absorbed by the volume and quality of the property and casualty portfolio.</w:t>
      </w:r>
    </w:p>
    <w:p>
      <w:pPr>
        <w:spacing w:after="0" w:line="215"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At the end of the period, business was stable. This was achieved by consistent use of efficient underwriting criteria over the past few years and the decision to retain risks that imply less volatility. Expert pricing and more extensive diversification were also key factors in this success.</w:t>
      </w:r>
    </w:p>
    <w:p>
      <w:pPr>
        <w:spacing w:after="0" w:line="1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PPS’s net financial income reached earnings of $6.4 million in 4Q10, registering an increase over the US$ 5.8 million obtained in 3Q10. This is attributable to higher dividends and interest income.</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In summary, the following aspects of PPS’s property and casualty segment stand out this quarter:</w:t>
      </w:r>
    </w:p>
    <w:p>
      <w:pPr>
        <w:spacing w:after="0" w:line="252" w:lineRule="exact"/>
        <w:rPr>
          <w:sz w:val="20"/>
          <w:szCs w:val="20"/>
          <w:color w:val="auto"/>
        </w:rPr>
      </w:pPr>
    </w:p>
    <w:p>
      <w:pPr>
        <w:ind w:left="720" w:hanging="388"/>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premium income totaled US$ 54.3 million while</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operating costs reached US$ 15.6 million. These results led to</w:t>
      </w:r>
    </w:p>
    <w:p>
      <w:pPr>
        <w:spacing w:after="0" w:line="252" w:lineRule="exact"/>
        <w:rPr>
          <w:rFonts w:ascii="Arial" w:cs="Arial" w:eastAsia="Arial" w:hAnsi="Arial"/>
          <w:sz w:val="18"/>
          <w:szCs w:val="18"/>
          <w:color w:val="auto"/>
        </w:rPr>
      </w:pPr>
    </w:p>
    <w:p>
      <w:pPr>
        <w:ind w:left="340" w:hanging="8"/>
        <w:spacing w:after="0" w:line="277" w:lineRule="auto"/>
        <w:tabs>
          <w:tab w:leader="none" w:pos="75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combined ratio this quarter of 96.7%, of which 54.8 points correspond to losses and loss adjustment expenses, 13.1 to business acquisition costs and the remaining 28.8 to general or administrative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Pacífico Vida (PV)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Pacifico Vida obtained earnings before minority interest of US$ 8.7 million in 4Q10, which is an improvement over 3Q10’s US$ 7.0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underwriting result obtained in 4Q10 of US$ 2.1 million is primarily attributable to:</w:t>
      </w:r>
    </w:p>
    <w:p>
      <w:pPr>
        <w:spacing w:after="0" w:line="252" w:lineRule="exact"/>
        <w:rPr>
          <w:sz w:val="20"/>
          <w:szCs w:val="20"/>
          <w:color w:val="auto"/>
        </w:rPr>
      </w:pPr>
    </w:p>
    <w:p>
      <w:pPr>
        <w:ind w:left="500" w:hanging="6"/>
        <w:spacing w:after="0" w:line="277" w:lineRule="auto"/>
        <w:tabs>
          <w:tab w:leader="none" w:pos="11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increase in net earned premiums of US$ 38.1 million in 4Q10 versus US$ 35.9 million in 3Q10, which in turn led to an increase of consolidate underwriting reserves related to higher annuity life insurance sales,</w:t>
      </w:r>
    </w:p>
    <w:p>
      <w:pPr>
        <w:spacing w:after="0" w:line="197" w:lineRule="exact"/>
        <w:rPr>
          <w:rFonts w:ascii="Arial" w:cs="Arial" w:eastAsia="Arial" w:hAnsi="Arial"/>
          <w:sz w:val="18"/>
          <w:szCs w:val="18"/>
          <w:color w:val="auto"/>
        </w:rPr>
      </w:pPr>
    </w:p>
    <w:p>
      <w:pPr>
        <w:ind w:left="960" w:hanging="466"/>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net losses in the fourth quarter of the year, falling from US$ 25.2 million in 3Q10 to US$ 23.4 million in 4Q10 and</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net underwriting expenses, which totaled US$ 1.5 million in 4Q10 versus US$ 2.3 million in 3Q10 due to reinsurance income.</w:t>
      </w:r>
    </w:p>
    <w:p>
      <w:pPr>
        <w:spacing w:after="0" w:line="248"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740" w:type="dxa"/>
            <w:vAlign w:val="bottom"/>
            <w:gridSpan w:val="4"/>
          </w:tcPr>
          <w:p>
            <w:pPr>
              <w:ind w:left="1340"/>
              <w:spacing w:after="0"/>
              <w:rPr>
                <w:sz w:val="20"/>
                <w:szCs w:val="20"/>
                <w:color w:val="auto"/>
              </w:rPr>
            </w:pPr>
            <w:r>
              <w:rPr>
                <w:rFonts w:ascii="Arial" w:cs="Arial" w:eastAsia="Arial" w:hAnsi="Arial"/>
                <w:sz w:val="18"/>
                <w:szCs w:val="18"/>
                <w:b w:val="1"/>
                <w:bCs w:val="1"/>
                <w:color w:val="auto"/>
              </w:rPr>
              <w:t>Pacífico Vida</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Products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Borders>
              <w:bottom w:val="single" w:sz="8" w:color="auto"/>
            </w:tcBorders>
            <w:gridSpan w:val="5"/>
          </w:tcPr>
          <w:p>
            <w:pPr>
              <w:jc w:val="center"/>
              <w:ind w:left="750"/>
              <w:spacing w:after="0"/>
              <w:rPr>
                <w:sz w:val="20"/>
                <w:szCs w:val="20"/>
                <w:color w:val="auto"/>
              </w:rPr>
            </w:pPr>
            <w:r>
              <w:rPr>
                <w:rFonts w:ascii="Arial" w:cs="Arial" w:eastAsia="Arial" w:hAnsi="Arial"/>
                <w:sz w:val="18"/>
                <w:szCs w:val="18"/>
                <w:b w:val="1"/>
                <w:bCs w:val="1"/>
                <w:color w:val="auto"/>
                <w:w w:val="90"/>
              </w:rPr>
              <w:t>Total Premiums</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w w:val="94"/>
              </w:rPr>
              <w:t>Change %</w:t>
            </w:r>
          </w:p>
        </w:tc>
        <w:tc>
          <w:tcPr>
            <w:tcW w:w="6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US$ million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b w:val="1"/>
                <w:bCs w:val="1"/>
                <w:color w:val="auto"/>
              </w:rPr>
              <w:t>4Q10</w:t>
            </w: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5"/>
              </w:rPr>
              <w:t>3Q10</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4Q09</w:t>
            </w:r>
          </w:p>
        </w:tc>
        <w:tc>
          <w:tcPr>
            <w:tcW w:w="100" w:type="dxa"/>
            <w:vAlign w:val="bottom"/>
          </w:tcPr>
          <w:p>
            <w:pPr>
              <w:spacing w:after="0"/>
              <w:rPr>
                <w:sz w:val="18"/>
                <w:szCs w:val="18"/>
                <w:color w:val="auto"/>
              </w:rPr>
            </w:pPr>
          </w:p>
        </w:tc>
        <w:tc>
          <w:tcPr>
            <w:tcW w:w="1560" w:type="dxa"/>
            <w:vAlign w:val="bottom"/>
            <w:gridSpan w:val="3"/>
          </w:tcPr>
          <w:p>
            <w:pPr>
              <w:ind w:left="300"/>
              <w:spacing w:after="0"/>
              <w:rPr>
                <w:sz w:val="20"/>
                <w:szCs w:val="20"/>
                <w:color w:val="auto"/>
              </w:rPr>
            </w:pPr>
            <w:r>
              <w:rPr>
                <w:rFonts w:ascii="Arial" w:cs="Arial" w:eastAsia="Arial" w:hAnsi="Arial"/>
                <w:sz w:val="18"/>
                <w:szCs w:val="18"/>
                <w:b w:val="1"/>
                <w:bCs w:val="1"/>
                <w:color w:val="auto"/>
              </w:rPr>
              <w:t>QoQ</w:t>
            </w:r>
          </w:p>
        </w:tc>
        <w:tc>
          <w:tcPr>
            <w:tcW w:w="680" w:type="dxa"/>
            <w:vAlign w:val="bottom"/>
          </w:tcPr>
          <w:p>
            <w:pPr>
              <w:ind w:left="40"/>
              <w:spacing w:after="0"/>
              <w:rPr>
                <w:sz w:val="20"/>
                <w:szCs w:val="20"/>
                <w:color w:val="auto"/>
              </w:rPr>
            </w:pPr>
            <w:r>
              <w:rPr>
                <w:rFonts w:ascii="Arial" w:cs="Arial" w:eastAsia="Arial" w:hAnsi="Arial"/>
                <w:sz w:val="18"/>
                <w:szCs w:val="18"/>
                <w:b w:val="1"/>
                <w:bCs w:val="1"/>
                <w:color w:val="auto"/>
              </w:rPr>
              <w:t>YoY</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FFCC"/>
          </w:tcPr>
          <w:p>
            <w:pPr>
              <w:spacing w:after="0"/>
              <w:rPr>
                <w:sz w:val="20"/>
                <w:szCs w:val="20"/>
                <w:color w:val="auto"/>
              </w:rPr>
            </w:pPr>
            <w:r>
              <w:rPr>
                <w:rFonts w:ascii="Arial" w:cs="Arial" w:eastAsia="Arial" w:hAnsi="Arial"/>
                <w:sz w:val="18"/>
                <w:szCs w:val="18"/>
                <w:color w:val="auto"/>
              </w:rPr>
              <w:t>Individual life</w:t>
            </w:r>
          </w:p>
        </w:tc>
        <w:tc>
          <w:tcPr>
            <w:tcW w:w="15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Individual annuity</w:t>
            </w:r>
          </w:p>
        </w:tc>
        <w:tc>
          <w:tcPr>
            <w:tcW w:w="2740" w:type="dxa"/>
            <w:vAlign w:val="bottom"/>
            <w:gridSpan w:val="4"/>
          </w:tcPr>
          <w:p>
            <w:pPr>
              <w:jc w:val="right"/>
              <w:ind w:right="100"/>
              <w:spacing w:after="0"/>
              <w:rPr>
                <w:sz w:val="20"/>
                <w:szCs w:val="20"/>
                <w:color w:val="auto"/>
              </w:rPr>
            </w:pPr>
            <w:r>
              <w:rPr>
                <w:rFonts w:ascii="Arial" w:cs="Arial" w:eastAsia="Arial" w:hAnsi="Arial"/>
                <w:sz w:val="18"/>
                <w:szCs w:val="18"/>
                <w:color w:val="auto"/>
              </w:rPr>
              <w:t>36.0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24.3%</w:t>
            </w:r>
          </w:p>
        </w:tc>
        <w:tc>
          <w:tcPr>
            <w:tcW w:w="3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FFCC"/>
          </w:tcPr>
          <w:p>
            <w:pPr>
              <w:spacing w:after="0"/>
              <w:rPr>
                <w:sz w:val="20"/>
                <w:szCs w:val="20"/>
                <w:color w:val="auto"/>
              </w:rPr>
            </w:pPr>
            <w:r>
              <w:rPr>
                <w:rFonts w:ascii="Arial" w:cs="Arial" w:eastAsia="Arial" w:hAnsi="Arial"/>
                <w:sz w:val="18"/>
                <w:szCs w:val="18"/>
                <w:color w:val="auto"/>
              </w:rPr>
              <w:t>Disability &amp; survivor (Pension)</w:t>
            </w:r>
          </w:p>
        </w:tc>
        <w:tc>
          <w:tcPr>
            <w:tcW w:w="274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12.2</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w:t>
            </w: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Credit Life</w:t>
            </w:r>
          </w:p>
        </w:tc>
        <w:tc>
          <w:tcPr>
            <w:tcW w:w="2740" w:type="dxa"/>
            <w:vAlign w:val="bottom"/>
            <w:gridSpan w:val="4"/>
          </w:tcPr>
          <w:p>
            <w:pPr>
              <w:jc w:val="right"/>
              <w:ind w:right="100"/>
              <w:spacing w:after="0"/>
              <w:rPr>
                <w:sz w:val="20"/>
                <w:szCs w:val="20"/>
                <w:color w:val="auto"/>
              </w:rPr>
            </w:pPr>
            <w:r>
              <w:rPr>
                <w:rFonts w:ascii="Arial" w:cs="Arial" w:eastAsia="Arial" w:hAnsi="Arial"/>
                <w:sz w:val="18"/>
                <w:szCs w:val="18"/>
                <w:color w:val="auto"/>
              </w:rPr>
              <w:t>9.6</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FFCC"/>
          </w:tcPr>
          <w:p>
            <w:pPr>
              <w:spacing w:after="0"/>
              <w:rPr>
                <w:sz w:val="20"/>
                <w:szCs w:val="20"/>
                <w:color w:val="auto"/>
              </w:rPr>
            </w:pPr>
            <w:r>
              <w:rPr>
                <w:rFonts w:ascii="Arial" w:cs="Arial" w:eastAsia="Arial" w:hAnsi="Arial"/>
                <w:sz w:val="18"/>
                <w:szCs w:val="18"/>
                <w:color w:val="auto"/>
              </w:rPr>
              <w:t>Personal accidents</w:t>
            </w:r>
          </w:p>
        </w:tc>
        <w:tc>
          <w:tcPr>
            <w:tcW w:w="274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3.1</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w:t>
            </w: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Group life (Law)</w:t>
            </w:r>
          </w:p>
        </w:tc>
        <w:tc>
          <w:tcPr>
            <w:tcW w:w="2740" w:type="dxa"/>
            <w:vAlign w:val="bottom"/>
            <w:gridSpan w:val="4"/>
          </w:tcPr>
          <w:p>
            <w:pPr>
              <w:jc w:val="right"/>
              <w:ind w:right="100"/>
              <w:spacing w:after="0"/>
              <w:rPr>
                <w:sz w:val="20"/>
                <w:szCs w:val="20"/>
                <w:color w:val="auto"/>
              </w:rPr>
            </w:pPr>
            <w:r>
              <w:rPr>
                <w:rFonts w:ascii="Arial" w:cs="Arial" w:eastAsia="Arial" w:hAnsi="Arial"/>
                <w:sz w:val="18"/>
                <w:szCs w:val="18"/>
                <w:color w:val="auto"/>
              </w:rPr>
              <w:t>2.5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FFCC"/>
          </w:tcPr>
          <w:p>
            <w:pPr>
              <w:spacing w:after="0"/>
              <w:rPr>
                <w:sz w:val="20"/>
                <w:szCs w:val="20"/>
                <w:color w:val="auto"/>
              </w:rPr>
            </w:pPr>
            <w:r>
              <w:rPr>
                <w:rFonts w:ascii="Arial" w:cs="Arial" w:eastAsia="Arial" w:hAnsi="Arial"/>
                <w:sz w:val="18"/>
                <w:szCs w:val="18"/>
                <w:color w:val="auto"/>
              </w:rPr>
              <w:t>Group life</w:t>
            </w:r>
          </w:p>
        </w:tc>
        <w:tc>
          <w:tcPr>
            <w:tcW w:w="274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3.0</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w:t>
            </w: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Limited workers compensation</w:t>
            </w:r>
          </w:p>
        </w:tc>
        <w:tc>
          <w:tcPr>
            <w:tcW w:w="1660" w:type="dxa"/>
            <w:vAlign w:val="bottom"/>
            <w:gridSpan w:val="2"/>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660" w:type="dxa"/>
            <w:vAlign w:val="bottom"/>
            <w:gridSpan w:val="2"/>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85.4</w:t>
            </w:r>
          </w:p>
        </w:tc>
        <w:tc>
          <w:tcPr>
            <w:tcW w:w="10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75.9</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49.3</w:t>
            </w: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12.5%</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73.1%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shd w:val="clear" w:color="auto" w:fill="CCFFCC"/>
          </w:tcPr>
          <w:p>
            <w:pPr>
              <w:spacing w:after="0"/>
              <w:rPr>
                <w:sz w:val="2"/>
                <w:szCs w:val="2"/>
                <w:color w:val="auto"/>
              </w:rPr>
            </w:pPr>
          </w:p>
        </w:tc>
        <w:tc>
          <w:tcPr>
            <w:tcW w:w="15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financial expenses totaled US$17.8 million this quarter versus US$19.2 million in 3Q10. This decline is due to an inflation adjustment in VAC bonds (constant value – quarterly adjustment for deflation).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General expenses in 4Q10 increased 13% with regard to 3Q10 to reach US$9.9 million. This was due primarily to provisions and liquidations.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After deducting minority interest of US$ 3.3 million, net income in the life segment totaled US$ 5.4 million in 4Q10, which represents a 25% increase QoQ.</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Pacífico Salud (EPS)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4Q10, Pacífico Salud reported net earned premiums of US$ 39.7 million, which tops both the US$ 38.6 million obtained in 3Q10 and the US$ 34.0 million registered in 4Q09. This was attributable primarily to new affiliates. The overall loss ratio was 80.7% in 4Q10. This figure falls below the 84.5% reported in 4Q09 thanks to improvements in loss underwriting despite an increase in claims in the last quarter of 2010, which caused the ratio to increase with regard to 3Q10’s figure.</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expenses totaled US$ 4.2 million, registering an increase, attributable to higher advertising and publicity expenses as well as yearly bonus payments. Consequently, net earnings in 4Q10 totaled US$ 1.0 million, which falls below the US$ 1.8 million reported in 3Q10 but is nevertheless higher than the net earnings of US$ 0.7 million in 4Q09.</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summary, growth was significant in 2010. Net income during the period totaled US$ 6.2 million, which represents a substantial improvement over the US$ 2.6 million reported in 2009. This success is attributable to improvements in operating processes, adequate underwriting policies and effective expense control.</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VIII. Economic 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Activity</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Economic growth in 4Q10 is estimated at 8.9%. This figure, although higher than initially expected, reflects a slower pace of growth. In this context, growth in 2010 was calculated at 9.0%. This annual expansion was attributable to non-primary sectors- particularly construction (13.9%) and manufacturing (13.6%) - - and was offset by a contraction in primary sectors, including fishing (-29.1%) and mining (-0.1%). External and public demand continued to lag but private demand was vigorous despite lower stimulus from public works and higher financing costs due to the liquidity restrictions implemented by the Central Bank (increase in reserve requirements). It is important to emphasize that this shows that the private sector’s position is solid, which is reflected in the indicators linked with investment (manufacturing and import of capital goods, construction), which continued to be dynamic throughout 4Q10.</w:t>
      </w:r>
    </w:p>
    <w:p>
      <w:pPr>
        <w:spacing w:after="0" w:line="19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Despite the fact that this is an elections year, the country’s risk indicators have remained stable. This indicates that the political scenario should have little impact on economic activity. As such, and in line with growth in 2010, the Peruvian economy is expected to expand 7.0% in 2011. This forecast is based, as it has been for the past several years, on the evolution of private investment and productive sectors linked to demand such as construction and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119380</wp:posOffset>
            </wp:positionV>
            <wp:extent cx="2529840" cy="17494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29840"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Sector</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4Q10, the trade balance reported a surplus of approximately US$ 1,500 million, which is slightly higher than last quarter’s figure. This is due to an increase in the prices for the country’s primary exports (especially minerals), which was offset by growth in imports (close to 35% a year) due to the fact that internal demand remains dynamic. It is important to mention that in real terms, exports have varied little as the international recovery has been slow.</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trade balance remained positive but higher mineral prices have allowed non-domiciled companies to increase their earnings remittances to company headquarters. This, however, has increased the current account deficit. In this scenario, the external deficit in 2010 was estimated at 1.8% of GDP and this figure could rise in 2011 as investment picks up. Nevertheless, investment flows, including direct foreign and portfolio-related investment, were more than sufficient to cover this deficit and led to an accumulation in international reserves. At the end of 2010, BCR’s net international reserves totaled US$ 44,105 million, which reflects an increase of US$ 10,970 million during 2010.</w:t>
      </w:r>
    </w:p>
    <w:p>
      <w:pPr>
        <w:spacing w:after="0" w:line="36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drawing>
          <wp:anchor simplePos="0" relativeHeight="251657728" behindDoc="1" locked="0" layoutInCell="0" allowOverlap="1">
            <wp:simplePos x="0" y="0"/>
            <wp:positionH relativeFrom="page">
              <wp:posOffset>2653030</wp:posOffset>
            </wp:positionH>
            <wp:positionV relativeFrom="page">
              <wp:posOffset>808990</wp:posOffset>
            </wp:positionV>
            <wp:extent cx="2255520" cy="18097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2255520"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Prices and Exchange Rate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end of 2010, annual inflation was situated at 2.1%, which is slightly above BCR’s target. This is due primarily to an increase in food prices during the first half of the year, which was attributable to supply factors. During the last four months of 2010, this trend was reversed and the food and beverage group reported an accumulated inflation of 2.5% during 2010. This modest variation, nonetheless, was offset by higher inflation relative to fuel and electricity. Despite this evolution, agents’ expectations remained stable in line with the evolution of core inflation, which was situated between 1.9% and 2.1% throughout the year (around the center of the inflation target).</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2011, core inflation is expected to remain around 2.0% and overall inflation should situate close to the upper limit of the target range (1%-3%), driven by an increase in commodity prices.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the end of 2010, the exchange rate demonstrated a depreciatory trend (the opposite of the situation reported during the first half of the year). This was due primarily to an increase in risk aversion attributable to growing uncertainty in the euro zone. Despite this trend reversal, the Nuevo Sol was the most stable currency in Latin America in 201. This was due to BCR’s purchases, which totaled approximately US$ 9 billion in 2010. In this scenario, the exchange rate closed at 2.81 Nuevos Soles per US Dollar at the end of 2010. This represents an appreciation of 1.7% during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6089015" cy="21526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89015"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Fiscal Sector</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Total central government collections continued to demonstrate an upward trend in November. This was attributable to the good performance of internal demand and higher commodities prices in the last few months of the year. This led to higher tax collections for income tax and value-added tax. In this scenario, tax income reported annual growth of 22.2% in November, which is the highest figure recorded since May 2007. This was due primarily to higher value-added tax collections, which was in turn attributable to the fact that the economy was more dynamic in 2010 than 2009. Sunat believes that this favorable trend continued in December but annual growth was more than likely a bit lower due to higher comparative results in December 2009.</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an increase in non-financial public sector income, BCR has revised its estimate for the fiscal deficit. This figure is currently 0.9% of GDP (versus a previous estimate of 1.1% of GDP). The Minister of Economy has said that a deficit close 1.0% will give the government room for fiscal maneuvering if the international context deteriorates.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141605</wp:posOffset>
            </wp:positionV>
            <wp:extent cx="2178050" cy="19812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78050"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Banking System</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the private sector’s loan balance increased 2.3% MoM. This was attributable to loans in Nuevos Soles and in US Dollars, which grew 2.9% and 1.7% respectively. In annual terms, loans grew 20.2% at a pace that increased from February 2010 on. The private sector’s loan dollarization coefficient, not including foreign branches, was 44.2% at the end of 2010 (similar to October). The Central Bank believes that this coefficient is on the decline, due primarily to the fact that the local currency has strengthened.</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Finally a progressive increase has been observed in interest rates in Nuevos Soles, in line with increases in the Central Bank’s reference rate. The first rate to line up was TIPMN, which went from 1.81% in December to 1.89% in January. TAMN remained low during the last few months of 2010, reporting 18.81% and 18.78% in November and December respectively. Nevertheless, the evolution of active interest rates is differentiated as some rise (aligning with the Central Bank’s new position) while others, such as active rates for micro lending and mortgage loans, continue to fall.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Main Financial Indicators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800" w:type="dxa"/>
            <w:vAlign w:val="bottom"/>
          </w:tcPr>
          <w:p>
            <w:pPr>
              <w:jc w:val="right"/>
              <w:ind w:right="246"/>
              <w:spacing w:after="0"/>
              <w:rPr>
                <w:sz w:val="20"/>
                <w:szCs w:val="20"/>
                <w:color w:val="auto"/>
              </w:rPr>
            </w:pPr>
            <w:r>
              <w:rPr>
                <w:rFonts w:ascii="Arial" w:cs="Arial" w:eastAsia="Arial" w:hAnsi="Arial"/>
                <w:sz w:val="11"/>
                <w:szCs w:val="11"/>
                <w:b w:val="1"/>
                <w:bCs w:val="1"/>
                <w:color w:val="auto"/>
              </w:rPr>
              <w:t>2008</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ind w:left="320"/>
              <w:spacing w:after="0"/>
              <w:rPr>
                <w:sz w:val="20"/>
                <w:szCs w:val="20"/>
                <w:color w:val="auto"/>
              </w:rPr>
            </w:pPr>
            <w:r>
              <w:rPr>
                <w:rFonts w:ascii="Arial" w:cs="Arial" w:eastAsia="Arial" w:hAnsi="Arial"/>
                <w:sz w:val="11"/>
                <w:szCs w:val="11"/>
                <w:b w:val="1"/>
                <w:bCs w:val="1"/>
                <w:color w:val="auto"/>
              </w:rPr>
              <w:t>2009</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286"/>
              <w:spacing w:after="0"/>
              <w:rPr>
                <w:sz w:val="20"/>
                <w:szCs w:val="20"/>
                <w:color w:val="auto"/>
              </w:rPr>
            </w:pPr>
            <w:r>
              <w:rPr>
                <w:rFonts w:ascii="Arial" w:cs="Arial" w:eastAsia="Arial" w:hAnsi="Arial"/>
                <w:sz w:val="11"/>
                <w:szCs w:val="11"/>
                <w:b w:val="1"/>
                <w:bCs w:val="1"/>
                <w:color w:val="auto"/>
              </w:rPr>
              <w:t>2010</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0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Year</w:t>
            </w:r>
          </w:p>
        </w:tc>
        <w:tc>
          <w:tcPr>
            <w:tcW w:w="120" w:type="dxa"/>
            <w:vAlign w:val="bottom"/>
          </w:tcPr>
          <w:p>
            <w:pPr>
              <w:spacing w:after="0"/>
              <w:rPr>
                <w:sz w:val="12"/>
                <w:szCs w:val="12"/>
                <w:color w:val="auto"/>
              </w:rPr>
            </w:pP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11"/>
                <w:szCs w:val="11"/>
                <w:b w:val="1"/>
                <w:bCs w:val="1"/>
                <w:color w:val="auto"/>
              </w:rPr>
              <w:t>IQ</w:t>
            </w:r>
          </w:p>
        </w:tc>
        <w:tc>
          <w:tcPr>
            <w:tcW w:w="3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11"/>
                <w:szCs w:val="11"/>
                <w:b w:val="1"/>
                <w:bCs w:val="1"/>
                <w:color w:val="auto"/>
                <w:w w:val="95"/>
              </w:rPr>
              <w:t>2Q</w:t>
            </w:r>
          </w:p>
        </w:tc>
        <w:tc>
          <w:tcPr>
            <w:tcW w:w="3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bottom w:val="single" w:sz="8" w:color="auto"/>
            </w:tcBorders>
          </w:tcPr>
          <w:p>
            <w:pPr>
              <w:ind w:left="320"/>
              <w:spacing w:after="0"/>
              <w:rPr>
                <w:sz w:val="20"/>
                <w:szCs w:val="20"/>
                <w:color w:val="auto"/>
              </w:rPr>
            </w:pPr>
            <w:r>
              <w:rPr>
                <w:rFonts w:ascii="Arial" w:cs="Arial" w:eastAsia="Arial" w:hAnsi="Arial"/>
                <w:sz w:val="11"/>
                <w:szCs w:val="11"/>
                <w:b w:val="1"/>
                <w:bCs w:val="1"/>
                <w:color w:val="auto"/>
              </w:rPr>
              <w:t>3Q</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4Q</w:t>
            </w:r>
          </w:p>
        </w:tc>
        <w:tc>
          <w:tcPr>
            <w:tcW w:w="100" w:type="dxa"/>
            <w:vAlign w:val="bottom"/>
          </w:tcPr>
          <w:p>
            <w:pPr>
              <w:spacing w:after="0"/>
              <w:rPr>
                <w:sz w:val="12"/>
                <w:szCs w:val="12"/>
                <w:color w:val="auto"/>
              </w:rPr>
            </w:pP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1"/>
                <w:szCs w:val="11"/>
                <w:b w:val="1"/>
                <w:bCs w:val="1"/>
                <w:color w:val="auto"/>
              </w:rPr>
              <w:t>Year</w:t>
            </w:r>
          </w:p>
        </w:tc>
        <w:tc>
          <w:tcPr>
            <w:tcW w:w="120" w:type="dxa"/>
            <w:vAlign w:val="bottom"/>
          </w:tcPr>
          <w:p>
            <w:pPr>
              <w:spacing w:after="0"/>
              <w:rPr>
                <w:sz w:val="12"/>
                <w:szCs w:val="12"/>
                <w:color w:val="auto"/>
              </w:rPr>
            </w:pPr>
          </w:p>
        </w:tc>
        <w:tc>
          <w:tcPr>
            <w:tcW w:w="90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auto"/>
              </w:rPr>
              <w:t>IQ</w:t>
            </w:r>
          </w:p>
        </w:tc>
        <w:tc>
          <w:tcPr>
            <w:tcW w:w="120" w:type="dxa"/>
            <w:vAlign w:val="bottom"/>
          </w:tcPr>
          <w:p>
            <w:pPr>
              <w:spacing w:after="0"/>
              <w:rPr>
                <w:sz w:val="12"/>
                <w:szCs w:val="12"/>
                <w:color w:val="auto"/>
              </w:rPr>
            </w:pPr>
          </w:p>
        </w:tc>
        <w:tc>
          <w:tcPr>
            <w:tcW w:w="78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2Q</w:t>
            </w:r>
          </w:p>
        </w:tc>
        <w:tc>
          <w:tcPr>
            <w:tcW w:w="120" w:type="dxa"/>
            <w:vAlign w:val="bottom"/>
          </w:tcPr>
          <w:p>
            <w:pPr>
              <w:spacing w:after="0"/>
              <w:rPr>
                <w:sz w:val="12"/>
                <w:szCs w:val="12"/>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3Q</w:t>
            </w:r>
          </w:p>
        </w:tc>
        <w:tc>
          <w:tcPr>
            <w:tcW w:w="100" w:type="dxa"/>
            <w:vAlign w:val="bottom"/>
          </w:tcPr>
          <w:p>
            <w:pPr>
              <w:spacing w:after="0"/>
              <w:rPr>
                <w:sz w:val="12"/>
                <w:szCs w:val="12"/>
                <w:color w:val="auto"/>
              </w:rPr>
            </w:pPr>
          </w:p>
        </w:tc>
      </w:tr>
      <w:tr>
        <w:trPr>
          <w:trHeight w:val="122"/>
        </w:trPr>
        <w:tc>
          <w:tcPr>
            <w:tcW w:w="20" w:type="dxa"/>
            <w:vAlign w:val="bottom"/>
          </w:tcPr>
          <w:p>
            <w:pPr>
              <w:spacing w:after="0"/>
              <w:rPr>
                <w:sz w:val="10"/>
                <w:szCs w:val="10"/>
                <w:color w:val="auto"/>
              </w:rPr>
            </w:pPr>
          </w:p>
        </w:tc>
        <w:tc>
          <w:tcPr>
            <w:tcW w:w="29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GDP (US$ million)</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127,643</w:t>
            </w:r>
          </w:p>
        </w:tc>
        <w:tc>
          <w:tcPr>
            <w:tcW w:w="1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89"/>
              </w:rPr>
              <w:t>27,914</w:t>
            </w:r>
          </w:p>
        </w:tc>
        <w:tc>
          <w:tcPr>
            <w:tcW w:w="1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4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83"/>
              </w:rPr>
              <w:t>31,927</w:t>
            </w: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32,010</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35,302</w:t>
            </w:r>
          </w:p>
        </w:tc>
        <w:tc>
          <w:tcPr>
            <w:tcW w:w="1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b w:val="1"/>
                <w:bCs w:val="1"/>
                <w:color w:val="auto"/>
              </w:rPr>
              <w:t>127,153</w:t>
            </w:r>
          </w:p>
        </w:tc>
        <w:tc>
          <w:tcPr>
            <w:tcW w:w="9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35,224</w:t>
            </w:r>
          </w:p>
        </w:tc>
        <w:tc>
          <w:tcPr>
            <w:tcW w:w="120" w:type="dxa"/>
            <w:vAlign w:val="bottom"/>
            <w:shd w:val="clear" w:color="auto" w:fill="CCFFCC"/>
          </w:tcPr>
          <w:p>
            <w:pPr>
              <w:spacing w:after="0"/>
              <w:rPr>
                <w:sz w:val="10"/>
                <w:szCs w:val="10"/>
                <w:color w:val="auto"/>
              </w:rPr>
            </w:pPr>
          </w:p>
        </w:tc>
        <w:tc>
          <w:tcPr>
            <w:tcW w:w="7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39,062</w:t>
            </w:r>
          </w:p>
        </w:tc>
        <w:tc>
          <w:tcPr>
            <w:tcW w:w="12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38,475</w:t>
            </w:r>
          </w:p>
        </w:tc>
      </w:tr>
      <w:tr>
        <w:trPr>
          <w:trHeight w:val="122"/>
        </w:trPr>
        <w:tc>
          <w:tcPr>
            <w:tcW w:w="20" w:type="dxa"/>
            <w:vAlign w:val="bottom"/>
          </w:tcPr>
          <w:p>
            <w:pPr>
              <w:spacing w:after="0"/>
              <w:rPr>
                <w:sz w:val="10"/>
                <w:szCs w:val="10"/>
                <w:color w:val="auto"/>
              </w:rPr>
            </w:pPr>
          </w:p>
        </w:tc>
        <w:tc>
          <w:tcPr>
            <w:tcW w:w="2980" w:type="dxa"/>
            <w:vAlign w:val="bottom"/>
          </w:tcPr>
          <w:p>
            <w:pPr>
              <w:spacing w:after="0" w:line="122" w:lineRule="exact"/>
              <w:rPr>
                <w:sz w:val="20"/>
                <w:szCs w:val="20"/>
                <w:color w:val="auto"/>
              </w:rPr>
            </w:pPr>
            <w:r>
              <w:rPr>
                <w:rFonts w:ascii="Arial" w:cs="Arial" w:eastAsia="Arial" w:hAnsi="Arial"/>
                <w:sz w:val="11"/>
                <w:szCs w:val="11"/>
                <w:color w:val="auto"/>
              </w:rPr>
              <w:t>Real GDP (var. %)</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9.8</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1.9</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-1.2</w:t>
            </w: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-0.6</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3.4</w:t>
            </w:r>
          </w:p>
        </w:tc>
        <w:tc>
          <w:tcPr>
            <w:tcW w:w="10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b w:val="1"/>
                <w:bCs w:val="1"/>
                <w:color w:val="auto"/>
              </w:rPr>
              <w:t>0.9</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6.2</w:t>
            </w:r>
          </w:p>
        </w:tc>
        <w:tc>
          <w:tcPr>
            <w:tcW w:w="1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10.2</w:t>
            </w:r>
          </w:p>
        </w:tc>
        <w:tc>
          <w:tcPr>
            <w:tcW w:w="120" w:type="dxa"/>
            <w:vAlign w:val="bottom"/>
          </w:tcPr>
          <w:p>
            <w:pPr>
              <w:spacing w:after="0"/>
              <w:rPr>
                <w:sz w:val="10"/>
                <w:szCs w:val="10"/>
                <w:color w:val="auto"/>
              </w:rPr>
            </w:pP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9.7</w:t>
            </w:r>
          </w:p>
        </w:tc>
      </w:tr>
      <w:tr>
        <w:trPr>
          <w:trHeight w:val="122"/>
        </w:trPr>
        <w:tc>
          <w:tcPr>
            <w:tcW w:w="20" w:type="dxa"/>
            <w:vAlign w:val="bottom"/>
          </w:tcPr>
          <w:p>
            <w:pPr>
              <w:spacing w:after="0"/>
              <w:rPr>
                <w:sz w:val="10"/>
                <w:szCs w:val="10"/>
                <w:color w:val="auto"/>
              </w:rPr>
            </w:pPr>
          </w:p>
        </w:tc>
        <w:tc>
          <w:tcPr>
            <w:tcW w:w="29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GDP per-capita (US$)</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4,532</w:t>
            </w:r>
          </w:p>
        </w:tc>
        <w:tc>
          <w:tcPr>
            <w:tcW w:w="1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3,888</w:t>
            </w:r>
          </w:p>
        </w:tc>
        <w:tc>
          <w:tcPr>
            <w:tcW w:w="1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4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4,407</w:t>
            </w: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4,379</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4,786</w:t>
            </w:r>
          </w:p>
        </w:tc>
        <w:tc>
          <w:tcPr>
            <w:tcW w:w="1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b w:val="1"/>
                <w:bCs w:val="1"/>
                <w:color w:val="auto"/>
              </w:rPr>
              <w:t>4,365</w:t>
            </w:r>
          </w:p>
        </w:tc>
        <w:tc>
          <w:tcPr>
            <w:tcW w:w="9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4,733</w:t>
            </w:r>
          </w:p>
        </w:tc>
        <w:tc>
          <w:tcPr>
            <w:tcW w:w="120" w:type="dxa"/>
            <w:vAlign w:val="bottom"/>
            <w:shd w:val="clear" w:color="auto" w:fill="CCFFCC"/>
          </w:tcPr>
          <w:p>
            <w:pPr>
              <w:spacing w:after="0"/>
              <w:rPr>
                <w:sz w:val="10"/>
                <w:szCs w:val="10"/>
                <w:color w:val="auto"/>
              </w:rPr>
            </w:pPr>
          </w:p>
        </w:tc>
        <w:tc>
          <w:tcPr>
            <w:tcW w:w="7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5,202</w:t>
            </w:r>
          </w:p>
        </w:tc>
        <w:tc>
          <w:tcPr>
            <w:tcW w:w="12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5,078</w:t>
            </w:r>
          </w:p>
        </w:tc>
      </w:tr>
      <w:tr>
        <w:trPr>
          <w:trHeight w:val="122"/>
        </w:trPr>
        <w:tc>
          <w:tcPr>
            <w:tcW w:w="20" w:type="dxa"/>
            <w:vAlign w:val="bottom"/>
          </w:tcPr>
          <w:p>
            <w:pPr>
              <w:spacing w:after="0"/>
              <w:rPr>
                <w:sz w:val="10"/>
                <w:szCs w:val="10"/>
                <w:color w:val="auto"/>
              </w:rPr>
            </w:pPr>
          </w:p>
        </w:tc>
        <w:tc>
          <w:tcPr>
            <w:tcW w:w="2980" w:type="dxa"/>
            <w:vAlign w:val="bottom"/>
          </w:tcPr>
          <w:p>
            <w:pPr>
              <w:ind w:left="160"/>
              <w:spacing w:after="0" w:line="122" w:lineRule="exact"/>
              <w:rPr>
                <w:sz w:val="20"/>
                <w:szCs w:val="20"/>
                <w:color w:val="auto"/>
              </w:rPr>
            </w:pPr>
            <w:r>
              <w:rPr>
                <w:rFonts w:ascii="Arial" w:cs="Arial" w:eastAsia="Arial" w:hAnsi="Arial"/>
                <w:sz w:val="11"/>
                <w:szCs w:val="11"/>
                <w:color w:val="auto"/>
              </w:rPr>
              <w:t>Domestic demand (var. %)</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12.1</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-0.8</w:t>
            </w:r>
          </w:p>
        </w:tc>
        <w:tc>
          <w:tcPr>
            <w:tcW w:w="500" w:type="dxa"/>
            <w:vAlign w:val="bottom"/>
          </w:tcPr>
          <w:p>
            <w:pPr>
              <w:spacing w:after="0"/>
              <w:rPr>
                <w:sz w:val="10"/>
                <w:szCs w:val="10"/>
                <w:color w:val="auto"/>
              </w:rPr>
            </w:pPr>
          </w:p>
        </w:tc>
        <w:tc>
          <w:tcPr>
            <w:tcW w:w="4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-5.8</w:t>
            </w: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-5.0</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0.4</w:t>
            </w:r>
          </w:p>
        </w:tc>
        <w:tc>
          <w:tcPr>
            <w:tcW w:w="10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b w:val="1"/>
                <w:bCs w:val="1"/>
                <w:color w:val="auto"/>
              </w:rPr>
              <w:t>-2.9</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8.4</w:t>
            </w:r>
          </w:p>
        </w:tc>
        <w:tc>
          <w:tcPr>
            <w:tcW w:w="1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14.2</w:t>
            </w:r>
          </w:p>
        </w:tc>
        <w:tc>
          <w:tcPr>
            <w:tcW w:w="120" w:type="dxa"/>
            <w:vAlign w:val="bottom"/>
          </w:tcPr>
          <w:p>
            <w:pPr>
              <w:spacing w:after="0"/>
              <w:rPr>
                <w:sz w:val="10"/>
                <w:szCs w:val="10"/>
                <w:color w:val="auto"/>
              </w:rPr>
            </w:pP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15.1</w:t>
            </w:r>
          </w:p>
        </w:tc>
      </w:tr>
      <w:tr>
        <w:trPr>
          <w:trHeight w:val="122"/>
        </w:trPr>
        <w:tc>
          <w:tcPr>
            <w:tcW w:w="20" w:type="dxa"/>
            <w:vAlign w:val="bottom"/>
          </w:tcPr>
          <w:p>
            <w:pPr>
              <w:spacing w:after="0"/>
              <w:rPr>
                <w:sz w:val="10"/>
                <w:szCs w:val="10"/>
                <w:color w:val="auto"/>
              </w:rPr>
            </w:pPr>
          </w:p>
        </w:tc>
        <w:tc>
          <w:tcPr>
            <w:tcW w:w="298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Consumption (var. %)</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8.7</w:t>
            </w:r>
          </w:p>
        </w:tc>
        <w:tc>
          <w:tcPr>
            <w:tcW w:w="1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4.1</w:t>
            </w:r>
          </w:p>
        </w:tc>
        <w:tc>
          <w:tcPr>
            <w:tcW w:w="1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4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1.6</w:t>
            </w: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1.0</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2.8</w:t>
            </w:r>
          </w:p>
        </w:tc>
        <w:tc>
          <w:tcPr>
            <w:tcW w:w="1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b w:val="1"/>
                <w:bCs w:val="1"/>
                <w:color w:val="auto"/>
              </w:rPr>
              <w:t>2.4</w:t>
            </w:r>
          </w:p>
        </w:tc>
        <w:tc>
          <w:tcPr>
            <w:tcW w:w="9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5.4</w:t>
            </w:r>
          </w:p>
        </w:tc>
        <w:tc>
          <w:tcPr>
            <w:tcW w:w="120" w:type="dxa"/>
            <w:vAlign w:val="bottom"/>
            <w:shd w:val="clear" w:color="auto" w:fill="CCFFCC"/>
          </w:tcPr>
          <w:p>
            <w:pPr>
              <w:spacing w:after="0"/>
              <w:rPr>
                <w:sz w:val="10"/>
                <w:szCs w:val="10"/>
                <w:color w:val="auto"/>
              </w:rPr>
            </w:pPr>
          </w:p>
        </w:tc>
        <w:tc>
          <w:tcPr>
            <w:tcW w:w="7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5.8</w:t>
            </w:r>
          </w:p>
        </w:tc>
        <w:tc>
          <w:tcPr>
            <w:tcW w:w="12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6.2</w:t>
            </w:r>
          </w:p>
        </w:tc>
      </w:tr>
      <w:tr>
        <w:trPr>
          <w:trHeight w:val="122"/>
        </w:trPr>
        <w:tc>
          <w:tcPr>
            <w:tcW w:w="20" w:type="dxa"/>
            <w:vAlign w:val="bottom"/>
          </w:tcPr>
          <w:p>
            <w:pPr>
              <w:spacing w:after="0"/>
              <w:rPr>
                <w:sz w:val="10"/>
                <w:szCs w:val="10"/>
                <w:color w:val="auto"/>
              </w:rPr>
            </w:pPr>
          </w:p>
        </w:tc>
        <w:tc>
          <w:tcPr>
            <w:tcW w:w="2980" w:type="dxa"/>
            <w:vAlign w:val="bottom"/>
          </w:tcPr>
          <w:p>
            <w:pPr>
              <w:ind w:left="160"/>
              <w:spacing w:after="0" w:line="122" w:lineRule="exact"/>
              <w:rPr>
                <w:sz w:val="20"/>
                <w:szCs w:val="20"/>
                <w:color w:val="auto"/>
              </w:rPr>
            </w:pPr>
            <w:r>
              <w:rPr>
                <w:rFonts w:ascii="Arial" w:cs="Arial" w:eastAsia="Arial" w:hAnsi="Arial"/>
                <w:sz w:val="11"/>
                <w:szCs w:val="11"/>
                <w:color w:val="auto"/>
              </w:rPr>
              <w:t>Private Investment (var. %)</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28.3</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4.3</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-16.0</w:t>
            </w: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-14.6</w:t>
            </w: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-5.9</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b w:val="1"/>
                <w:bCs w:val="1"/>
                <w:color w:val="auto"/>
              </w:rPr>
              <w:t>-8.6</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12.3</w:t>
            </w:r>
          </w:p>
        </w:tc>
        <w:tc>
          <w:tcPr>
            <w:tcW w:w="1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29.5</w:t>
            </w:r>
          </w:p>
        </w:tc>
        <w:tc>
          <w:tcPr>
            <w:tcW w:w="120" w:type="dxa"/>
            <w:vAlign w:val="bottom"/>
          </w:tcPr>
          <w:p>
            <w:pPr>
              <w:spacing w:after="0"/>
              <w:rPr>
                <w:sz w:val="10"/>
                <w:szCs w:val="10"/>
                <w:color w:val="auto"/>
              </w:rPr>
            </w:pP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26.8</w:t>
            </w:r>
          </w:p>
        </w:tc>
      </w:tr>
      <w:tr>
        <w:trPr>
          <w:trHeight w:val="122"/>
        </w:trPr>
        <w:tc>
          <w:tcPr>
            <w:tcW w:w="20" w:type="dxa"/>
            <w:vAlign w:val="bottom"/>
          </w:tcPr>
          <w:p>
            <w:pPr>
              <w:spacing w:after="0"/>
              <w:rPr>
                <w:sz w:val="10"/>
                <w:szCs w:val="10"/>
                <w:color w:val="auto"/>
              </w:rPr>
            </w:pPr>
          </w:p>
        </w:tc>
        <w:tc>
          <w:tcPr>
            <w:tcW w:w="29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CPI (annual change, %)</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6.7</w:t>
            </w:r>
          </w:p>
        </w:tc>
        <w:tc>
          <w:tcPr>
            <w:tcW w:w="1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4.8</w:t>
            </w:r>
          </w:p>
        </w:tc>
        <w:tc>
          <w:tcPr>
            <w:tcW w:w="1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4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3.1</w:t>
            </w: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1.2</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0.3</w:t>
            </w:r>
          </w:p>
        </w:tc>
        <w:tc>
          <w:tcPr>
            <w:tcW w:w="1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b w:val="1"/>
                <w:bCs w:val="1"/>
                <w:color w:val="auto"/>
              </w:rPr>
              <w:t>0.3</w:t>
            </w:r>
          </w:p>
        </w:tc>
        <w:tc>
          <w:tcPr>
            <w:tcW w:w="9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0.8</w:t>
            </w:r>
          </w:p>
        </w:tc>
        <w:tc>
          <w:tcPr>
            <w:tcW w:w="120" w:type="dxa"/>
            <w:vAlign w:val="bottom"/>
            <w:shd w:val="clear" w:color="auto" w:fill="CCFFCC"/>
          </w:tcPr>
          <w:p>
            <w:pPr>
              <w:spacing w:after="0"/>
              <w:rPr>
                <w:sz w:val="10"/>
                <w:szCs w:val="10"/>
                <w:color w:val="auto"/>
              </w:rPr>
            </w:pPr>
          </w:p>
        </w:tc>
        <w:tc>
          <w:tcPr>
            <w:tcW w:w="7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1.6</w:t>
            </w:r>
          </w:p>
        </w:tc>
        <w:tc>
          <w:tcPr>
            <w:tcW w:w="12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2.4</w:t>
            </w:r>
          </w:p>
        </w:tc>
      </w:tr>
      <w:tr>
        <w:trPr>
          <w:trHeight w:val="122"/>
        </w:trPr>
        <w:tc>
          <w:tcPr>
            <w:tcW w:w="20" w:type="dxa"/>
            <w:vAlign w:val="bottom"/>
          </w:tcPr>
          <w:p>
            <w:pPr>
              <w:spacing w:after="0"/>
              <w:rPr>
                <w:sz w:val="10"/>
                <w:szCs w:val="10"/>
                <w:color w:val="auto"/>
              </w:rPr>
            </w:pPr>
          </w:p>
        </w:tc>
        <w:tc>
          <w:tcPr>
            <w:tcW w:w="2980" w:type="dxa"/>
            <w:vAlign w:val="bottom"/>
          </w:tcPr>
          <w:p>
            <w:pPr>
              <w:spacing w:after="0" w:line="122" w:lineRule="exact"/>
              <w:rPr>
                <w:sz w:val="20"/>
                <w:szCs w:val="20"/>
                <w:color w:val="auto"/>
              </w:rPr>
            </w:pPr>
            <w:r>
              <w:rPr>
                <w:rFonts w:ascii="Arial" w:cs="Arial" w:eastAsia="Arial" w:hAnsi="Arial"/>
                <w:sz w:val="11"/>
                <w:szCs w:val="11"/>
                <w:color w:val="auto"/>
              </w:rPr>
              <w:t>Exchange rate, eop (S/. per US$)</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3.14</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3.16</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3.01</w:t>
            </w: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2.88</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2.89</w:t>
            </w:r>
          </w:p>
        </w:tc>
        <w:tc>
          <w:tcPr>
            <w:tcW w:w="10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b w:val="1"/>
                <w:bCs w:val="1"/>
                <w:color w:val="auto"/>
              </w:rPr>
              <w:t>2.89</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2.84</w:t>
            </w:r>
          </w:p>
        </w:tc>
        <w:tc>
          <w:tcPr>
            <w:tcW w:w="1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2.84</w:t>
            </w:r>
          </w:p>
        </w:tc>
        <w:tc>
          <w:tcPr>
            <w:tcW w:w="120" w:type="dxa"/>
            <w:vAlign w:val="bottom"/>
          </w:tcPr>
          <w:p>
            <w:pPr>
              <w:spacing w:after="0"/>
              <w:rPr>
                <w:sz w:val="10"/>
                <w:szCs w:val="10"/>
                <w:color w:val="auto"/>
              </w:rPr>
            </w:pP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2.79</w:t>
            </w:r>
          </w:p>
        </w:tc>
      </w:tr>
      <w:tr>
        <w:trPr>
          <w:trHeight w:val="122"/>
        </w:trPr>
        <w:tc>
          <w:tcPr>
            <w:tcW w:w="20" w:type="dxa"/>
            <w:vAlign w:val="bottom"/>
          </w:tcPr>
          <w:p>
            <w:pPr>
              <w:spacing w:after="0"/>
              <w:rPr>
                <w:sz w:val="10"/>
                <w:szCs w:val="10"/>
                <w:color w:val="auto"/>
              </w:rPr>
            </w:pPr>
          </w:p>
        </w:tc>
        <w:tc>
          <w:tcPr>
            <w:tcW w:w="29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Devaluation (annual change, %)</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4.7</w:t>
            </w:r>
          </w:p>
        </w:tc>
        <w:tc>
          <w:tcPr>
            <w:tcW w:w="1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15.2</w:t>
            </w:r>
          </w:p>
        </w:tc>
        <w:tc>
          <w:tcPr>
            <w:tcW w:w="1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4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1.5</w:t>
            </w: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-3.1</w:t>
            </w: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-8.0</w:t>
            </w: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b w:val="1"/>
                <w:bCs w:val="1"/>
                <w:color w:val="auto"/>
              </w:rPr>
              <w:t>-8.0</w:t>
            </w: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-10.2</w:t>
            </w:r>
          </w:p>
        </w:tc>
        <w:tc>
          <w:tcPr>
            <w:tcW w:w="9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-5.6</w:t>
            </w: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-3.2</w:t>
            </w:r>
          </w:p>
        </w:tc>
      </w:tr>
      <w:tr>
        <w:trPr>
          <w:trHeight w:val="122"/>
        </w:trPr>
        <w:tc>
          <w:tcPr>
            <w:tcW w:w="20" w:type="dxa"/>
            <w:vAlign w:val="bottom"/>
          </w:tcPr>
          <w:p>
            <w:pPr>
              <w:spacing w:after="0"/>
              <w:rPr>
                <w:sz w:val="10"/>
                <w:szCs w:val="10"/>
                <w:color w:val="auto"/>
              </w:rPr>
            </w:pPr>
          </w:p>
        </w:tc>
        <w:tc>
          <w:tcPr>
            <w:tcW w:w="2980" w:type="dxa"/>
            <w:vAlign w:val="bottom"/>
          </w:tcPr>
          <w:p>
            <w:pPr>
              <w:spacing w:after="0" w:line="122" w:lineRule="exact"/>
              <w:rPr>
                <w:sz w:val="20"/>
                <w:szCs w:val="20"/>
                <w:color w:val="auto"/>
              </w:rPr>
            </w:pPr>
            <w:r>
              <w:rPr>
                <w:rFonts w:ascii="Arial" w:cs="Arial" w:eastAsia="Arial" w:hAnsi="Arial"/>
                <w:sz w:val="11"/>
                <w:szCs w:val="11"/>
                <w:color w:val="auto"/>
              </w:rPr>
              <w:t>Exchange rate, average (S/. per US$)</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2.92</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3.18</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3.02</w:t>
            </w: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2.96</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2.89</w:t>
            </w:r>
          </w:p>
        </w:tc>
        <w:tc>
          <w:tcPr>
            <w:tcW w:w="10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b w:val="1"/>
                <w:bCs w:val="1"/>
                <w:color w:val="auto"/>
              </w:rPr>
              <w:t>3.01</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2.84</w:t>
            </w:r>
          </w:p>
        </w:tc>
        <w:tc>
          <w:tcPr>
            <w:tcW w:w="1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2.84</w:t>
            </w:r>
          </w:p>
        </w:tc>
        <w:tc>
          <w:tcPr>
            <w:tcW w:w="120" w:type="dxa"/>
            <w:vAlign w:val="bottom"/>
          </w:tcPr>
          <w:p>
            <w:pPr>
              <w:spacing w:after="0"/>
              <w:rPr>
                <w:sz w:val="10"/>
                <w:szCs w:val="10"/>
                <w:color w:val="auto"/>
              </w:rPr>
            </w:pP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2.81</w:t>
            </w:r>
          </w:p>
        </w:tc>
      </w:tr>
      <w:tr>
        <w:trPr>
          <w:trHeight w:val="122"/>
        </w:trPr>
        <w:tc>
          <w:tcPr>
            <w:tcW w:w="20" w:type="dxa"/>
            <w:vAlign w:val="bottom"/>
          </w:tcPr>
          <w:p>
            <w:pPr>
              <w:spacing w:after="0"/>
              <w:rPr>
                <w:sz w:val="10"/>
                <w:szCs w:val="10"/>
                <w:color w:val="auto"/>
              </w:rPr>
            </w:pPr>
          </w:p>
        </w:tc>
        <w:tc>
          <w:tcPr>
            <w:tcW w:w="29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Non-Financial Public Sector (% of GDP)</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2.1</w:t>
            </w:r>
          </w:p>
        </w:tc>
        <w:tc>
          <w:tcPr>
            <w:tcW w:w="1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2.6</w:t>
            </w:r>
          </w:p>
        </w:tc>
        <w:tc>
          <w:tcPr>
            <w:tcW w:w="1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4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1.8</w:t>
            </w: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-3.2</w:t>
            </w: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-8.2</w:t>
            </w: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b w:val="1"/>
                <w:bCs w:val="1"/>
                <w:color w:val="auto"/>
              </w:rPr>
              <w:t>-1.9</w:t>
            </w:r>
          </w:p>
        </w:tc>
        <w:tc>
          <w:tcPr>
            <w:tcW w:w="9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3.0</w:t>
            </w:r>
          </w:p>
        </w:tc>
        <w:tc>
          <w:tcPr>
            <w:tcW w:w="120" w:type="dxa"/>
            <w:vAlign w:val="bottom"/>
            <w:shd w:val="clear" w:color="auto" w:fill="CCFFCC"/>
          </w:tcPr>
          <w:p>
            <w:pPr>
              <w:spacing w:after="0"/>
              <w:rPr>
                <w:sz w:val="10"/>
                <w:szCs w:val="10"/>
                <w:color w:val="auto"/>
              </w:rPr>
            </w:pPr>
          </w:p>
        </w:tc>
        <w:tc>
          <w:tcPr>
            <w:tcW w:w="7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1.9</w:t>
            </w:r>
          </w:p>
        </w:tc>
        <w:tc>
          <w:tcPr>
            <w:tcW w:w="12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-1.3</w:t>
            </w:r>
          </w:p>
        </w:tc>
      </w:tr>
      <w:tr>
        <w:trPr>
          <w:trHeight w:val="122"/>
        </w:trPr>
        <w:tc>
          <w:tcPr>
            <w:tcW w:w="20" w:type="dxa"/>
            <w:vAlign w:val="bottom"/>
          </w:tcPr>
          <w:p>
            <w:pPr>
              <w:spacing w:after="0"/>
              <w:rPr>
                <w:sz w:val="10"/>
                <w:szCs w:val="10"/>
                <w:color w:val="auto"/>
              </w:rPr>
            </w:pPr>
          </w:p>
        </w:tc>
        <w:tc>
          <w:tcPr>
            <w:tcW w:w="2980" w:type="dxa"/>
            <w:vAlign w:val="bottom"/>
          </w:tcPr>
          <w:p>
            <w:pPr>
              <w:ind w:left="160"/>
              <w:spacing w:after="0" w:line="122" w:lineRule="exact"/>
              <w:rPr>
                <w:sz w:val="20"/>
                <w:szCs w:val="20"/>
                <w:color w:val="auto"/>
              </w:rPr>
            </w:pPr>
            <w:r>
              <w:rPr>
                <w:rFonts w:ascii="Arial" w:cs="Arial" w:eastAsia="Arial" w:hAnsi="Arial"/>
                <w:sz w:val="11"/>
                <w:szCs w:val="11"/>
                <w:color w:val="auto"/>
              </w:rPr>
              <w:t>Central government current revenues (% of GDP)</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18.2</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16.5</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16.7</w:t>
            </w: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15.3</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15.2</w:t>
            </w:r>
          </w:p>
        </w:tc>
        <w:tc>
          <w:tcPr>
            <w:tcW w:w="10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b w:val="1"/>
                <w:bCs w:val="1"/>
                <w:color w:val="auto"/>
              </w:rPr>
              <w:t>15.9</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18.2</w:t>
            </w:r>
          </w:p>
        </w:tc>
        <w:tc>
          <w:tcPr>
            <w:tcW w:w="1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17.9</w:t>
            </w:r>
          </w:p>
        </w:tc>
        <w:tc>
          <w:tcPr>
            <w:tcW w:w="120" w:type="dxa"/>
            <w:vAlign w:val="bottom"/>
          </w:tcPr>
          <w:p>
            <w:pPr>
              <w:spacing w:after="0"/>
              <w:rPr>
                <w:sz w:val="10"/>
                <w:szCs w:val="10"/>
                <w:color w:val="auto"/>
              </w:rPr>
            </w:pP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16.6</w:t>
            </w:r>
          </w:p>
        </w:tc>
      </w:tr>
      <w:tr>
        <w:trPr>
          <w:trHeight w:val="122"/>
        </w:trPr>
        <w:tc>
          <w:tcPr>
            <w:tcW w:w="20" w:type="dxa"/>
            <w:vAlign w:val="bottom"/>
          </w:tcPr>
          <w:p>
            <w:pPr>
              <w:spacing w:after="0"/>
              <w:rPr>
                <w:sz w:val="10"/>
                <w:szCs w:val="10"/>
                <w:color w:val="auto"/>
              </w:rPr>
            </w:pPr>
          </w:p>
        </w:tc>
        <w:tc>
          <w:tcPr>
            <w:tcW w:w="298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Tax Income (% of GDP)</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15.6</w:t>
            </w:r>
          </w:p>
        </w:tc>
        <w:tc>
          <w:tcPr>
            <w:tcW w:w="1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14.6</w:t>
            </w:r>
          </w:p>
        </w:tc>
        <w:tc>
          <w:tcPr>
            <w:tcW w:w="1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4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14.1</w:t>
            </w: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13.0</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13.4</w:t>
            </w:r>
          </w:p>
        </w:tc>
        <w:tc>
          <w:tcPr>
            <w:tcW w:w="1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b w:val="1"/>
                <w:bCs w:val="1"/>
                <w:color w:val="auto"/>
              </w:rPr>
              <w:t>13.8</w:t>
            </w:r>
          </w:p>
        </w:tc>
        <w:tc>
          <w:tcPr>
            <w:tcW w:w="9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15.4</w:t>
            </w:r>
          </w:p>
        </w:tc>
        <w:tc>
          <w:tcPr>
            <w:tcW w:w="120" w:type="dxa"/>
            <w:vAlign w:val="bottom"/>
            <w:shd w:val="clear" w:color="auto" w:fill="CCFFCC"/>
          </w:tcPr>
          <w:p>
            <w:pPr>
              <w:spacing w:after="0"/>
              <w:rPr>
                <w:sz w:val="10"/>
                <w:szCs w:val="10"/>
                <w:color w:val="auto"/>
              </w:rPr>
            </w:pPr>
          </w:p>
        </w:tc>
        <w:tc>
          <w:tcPr>
            <w:tcW w:w="7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15.6</w:t>
            </w:r>
          </w:p>
        </w:tc>
        <w:tc>
          <w:tcPr>
            <w:tcW w:w="12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14.3</w:t>
            </w:r>
          </w:p>
        </w:tc>
      </w:tr>
      <w:tr>
        <w:trPr>
          <w:trHeight w:val="122"/>
        </w:trPr>
        <w:tc>
          <w:tcPr>
            <w:tcW w:w="20" w:type="dxa"/>
            <w:vAlign w:val="bottom"/>
          </w:tcPr>
          <w:p>
            <w:pPr>
              <w:spacing w:after="0"/>
              <w:rPr>
                <w:sz w:val="10"/>
                <w:szCs w:val="10"/>
                <w:color w:val="auto"/>
              </w:rPr>
            </w:pPr>
          </w:p>
        </w:tc>
        <w:tc>
          <w:tcPr>
            <w:tcW w:w="2980" w:type="dxa"/>
            <w:vAlign w:val="bottom"/>
          </w:tcPr>
          <w:p>
            <w:pPr>
              <w:ind w:left="160"/>
              <w:spacing w:after="0" w:line="122" w:lineRule="exact"/>
              <w:rPr>
                <w:sz w:val="20"/>
                <w:szCs w:val="20"/>
                <w:color w:val="auto"/>
              </w:rPr>
            </w:pPr>
            <w:r>
              <w:rPr>
                <w:rFonts w:ascii="Arial" w:cs="Arial" w:eastAsia="Arial" w:hAnsi="Arial"/>
                <w:sz w:val="11"/>
                <w:szCs w:val="11"/>
                <w:color w:val="auto"/>
              </w:rPr>
              <w:t>Non Tax Income (% of GDP)</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2.6</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1.9</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2.6</w:t>
            </w: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2.2</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1.8</w:t>
            </w:r>
          </w:p>
        </w:tc>
        <w:tc>
          <w:tcPr>
            <w:tcW w:w="10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b w:val="1"/>
                <w:bCs w:val="1"/>
                <w:color w:val="auto"/>
              </w:rPr>
              <w:t>2.1</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2.7</w:t>
            </w:r>
          </w:p>
        </w:tc>
        <w:tc>
          <w:tcPr>
            <w:tcW w:w="1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2.3</w:t>
            </w:r>
          </w:p>
        </w:tc>
        <w:tc>
          <w:tcPr>
            <w:tcW w:w="120" w:type="dxa"/>
            <w:vAlign w:val="bottom"/>
          </w:tcPr>
          <w:p>
            <w:pPr>
              <w:spacing w:after="0"/>
              <w:rPr>
                <w:sz w:val="10"/>
                <w:szCs w:val="10"/>
                <w:color w:val="auto"/>
              </w:rPr>
            </w:pP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2.2</w:t>
            </w:r>
          </w:p>
        </w:tc>
      </w:tr>
      <w:tr>
        <w:trPr>
          <w:trHeight w:val="122"/>
        </w:trPr>
        <w:tc>
          <w:tcPr>
            <w:tcW w:w="20" w:type="dxa"/>
            <w:vAlign w:val="bottom"/>
          </w:tcPr>
          <w:p>
            <w:pPr>
              <w:spacing w:after="0"/>
              <w:rPr>
                <w:sz w:val="10"/>
                <w:szCs w:val="10"/>
                <w:color w:val="auto"/>
              </w:rPr>
            </w:pPr>
          </w:p>
        </w:tc>
        <w:tc>
          <w:tcPr>
            <w:tcW w:w="298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Current expenditures (% of GDP)</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12.4</w:t>
            </w:r>
          </w:p>
        </w:tc>
        <w:tc>
          <w:tcPr>
            <w:tcW w:w="1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11.8</w:t>
            </w:r>
          </w:p>
        </w:tc>
        <w:tc>
          <w:tcPr>
            <w:tcW w:w="1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4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10.7</w:t>
            </w: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14.8</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13.5</w:t>
            </w:r>
          </w:p>
        </w:tc>
        <w:tc>
          <w:tcPr>
            <w:tcW w:w="1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b w:val="1"/>
                <w:bCs w:val="1"/>
                <w:color w:val="auto"/>
              </w:rPr>
              <w:t>12.7</w:t>
            </w:r>
          </w:p>
        </w:tc>
        <w:tc>
          <w:tcPr>
            <w:tcW w:w="9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11.3</w:t>
            </w:r>
          </w:p>
        </w:tc>
        <w:tc>
          <w:tcPr>
            <w:tcW w:w="120" w:type="dxa"/>
            <w:vAlign w:val="bottom"/>
            <w:shd w:val="clear" w:color="auto" w:fill="CCFFCC"/>
          </w:tcPr>
          <w:p>
            <w:pPr>
              <w:spacing w:after="0"/>
              <w:rPr>
                <w:sz w:val="10"/>
                <w:szCs w:val="10"/>
                <w:color w:val="auto"/>
              </w:rPr>
            </w:pPr>
          </w:p>
        </w:tc>
        <w:tc>
          <w:tcPr>
            <w:tcW w:w="7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10.3</w:t>
            </w:r>
          </w:p>
        </w:tc>
        <w:tc>
          <w:tcPr>
            <w:tcW w:w="12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13.3</w:t>
            </w:r>
          </w:p>
        </w:tc>
      </w:tr>
      <w:tr>
        <w:trPr>
          <w:trHeight w:val="122"/>
        </w:trPr>
        <w:tc>
          <w:tcPr>
            <w:tcW w:w="20" w:type="dxa"/>
            <w:vAlign w:val="bottom"/>
          </w:tcPr>
          <w:p>
            <w:pPr>
              <w:spacing w:after="0"/>
              <w:rPr>
                <w:sz w:val="10"/>
                <w:szCs w:val="10"/>
                <w:color w:val="auto"/>
              </w:rPr>
            </w:pPr>
          </w:p>
        </w:tc>
        <w:tc>
          <w:tcPr>
            <w:tcW w:w="2980" w:type="dxa"/>
            <w:vAlign w:val="bottom"/>
          </w:tcPr>
          <w:p>
            <w:pPr>
              <w:ind w:left="160"/>
              <w:spacing w:after="0" w:line="122" w:lineRule="exact"/>
              <w:rPr>
                <w:sz w:val="20"/>
                <w:szCs w:val="20"/>
                <w:color w:val="auto"/>
              </w:rPr>
            </w:pPr>
            <w:r>
              <w:rPr>
                <w:rFonts w:ascii="Arial" w:cs="Arial" w:eastAsia="Arial" w:hAnsi="Arial"/>
                <w:sz w:val="11"/>
                <w:szCs w:val="11"/>
                <w:color w:val="auto"/>
              </w:rPr>
              <w:t>Capital expenditures (% of GDP)</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4.4</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3.5</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4.5</w:t>
            </w: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6.1</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10.1</w:t>
            </w:r>
          </w:p>
        </w:tc>
        <w:tc>
          <w:tcPr>
            <w:tcW w:w="10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b w:val="1"/>
                <w:bCs w:val="1"/>
                <w:color w:val="auto"/>
              </w:rPr>
              <w:t>6.1</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3.9</w:t>
            </w:r>
          </w:p>
        </w:tc>
        <w:tc>
          <w:tcPr>
            <w:tcW w:w="1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5.9</w:t>
            </w:r>
          </w:p>
        </w:tc>
        <w:tc>
          <w:tcPr>
            <w:tcW w:w="120" w:type="dxa"/>
            <w:vAlign w:val="bottom"/>
          </w:tcPr>
          <w:p>
            <w:pPr>
              <w:spacing w:after="0"/>
              <w:rPr>
                <w:sz w:val="10"/>
                <w:szCs w:val="10"/>
                <w:color w:val="auto"/>
              </w:rPr>
            </w:pP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6.4</w:t>
            </w:r>
          </w:p>
        </w:tc>
      </w:tr>
      <w:tr>
        <w:trPr>
          <w:trHeight w:val="122"/>
        </w:trPr>
        <w:tc>
          <w:tcPr>
            <w:tcW w:w="20" w:type="dxa"/>
            <w:vAlign w:val="bottom"/>
          </w:tcPr>
          <w:p>
            <w:pPr>
              <w:spacing w:after="0"/>
              <w:rPr>
                <w:sz w:val="10"/>
                <w:szCs w:val="10"/>
                <w:color w:val="auto"/>
              </w:rPr>
            </w:pPr>
          </w:p>
        </w:tc>
        <w:tc>
          <w:tcPr>
            <w:tcW w:w="29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Trade Balance (US$ million)</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3,090</w:t>
            </w:r>
          </w:p>
        </w:tc>
        <w:tc>
          <w:tcPr>
            <w:tcW w:w="1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513</w:t>
            </w:r>
          </w:p>
        </w:tc>
        <w:tc>
          <w:tcPr>
            <w:tcW w:w="1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4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1,335</w:t>
            </w: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1,838</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2,188</w:t>
            </w:r>
          </w:p>
        </w:tc>
        <w:tc>
          <w:tcPr>
            <w:tcW w:w="1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b w:val="1"/>
                <w:bCs w:val="1"/>
                <w:color w:val="auto"/>
              </w:rPr>
              <w:t>5,873</w:t>
            </w:r>
          </w:p>
        </w:tc>
        <w:tc>
          <w:tcPr>
            <w:tcW w:w="9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1,574</w:t>
            </w:r>
          </w:p>
        </w:tc>
        <w:tc>
          <w:tcPr>
            <w:tcW w:w="120" w:type="dxa"/>
            <w:vAlign w:val="bottom"/>
            <w:shd w:val="clear" w:color="auto" w:fill="CCFFCC"/>
          </w:tcPr>
          <w:p>
            <w:pPr>
              <w:spacing w:after="0"/>
              <w:rPr>
                <w:sz w:val="10"/>
                <w:szCs w:val="10"/>
                <w:color w:val="auto"/>
              </w:rPr>
            </w:pPr>
          </w:p>
        </w:tc>
        <w:tc>
          <w:tcPr>
            <w:tcW w:w="7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1,548</w:t>
            </w:r>
          </w:p>
        </w:tc>
        <w:tc>
          <w:tcPr>
            <w:tcW w:w="12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1,442</w:t>
            </w:r>
          </w:p>
        </w:tc>
      </w:tr>
      <w:tr>
        <w:trPr>
          <w:trHeight w:val="122"/>
        </w:trPr>
        <w:tc>
          <w:tcPr>
            <w:tcW w:w="20" w:type="dxa"/>
            <w:vAlign w:val="bottom"/>
          </w:tcPr>
          <w:p>
            <w:pPr>
              <w:spacing w:after="0"/>
              <w:rPr>
                <w:sz w:val="10"/>
                <w:szCs w:val="10"/>
                <w:color w:val="auto"/>
              </w:rPr>
            </w:pPr>
          </w:p>
        </w:tc>
        <w:tc>
          <w:tcPr>
            <w:tcW w:w="2980" w:type="dxa"/>
            <w:vAlign w:val="bottom"/>
          </w:tcPr>
          <w:p>
            <w:pPr>
              <w:ind w:left="160"/>
              <w:spacing w:after="0" w:line="122" w:lineRule="exact"/>
              <w:rPr>
                <w:sz w:val="20"/>
                <w:szCs w:val="20"/>
                <w:color w:val="auto"/>
              </w:rPr>
            </w:pPr>
            <w:r>
              <w:rPr>
                <w:rFonts w:ascii="Arial" w:cs="Arial" w:eastAsia="Arial" w:hAnsi="Arial"/>
                <w:sz w:val="11"/>
                <w:szCs w:val="11"/>
                <w:color w:val="auto"/>
              </w:rPr>
              <w:t>Exports (US$ million)</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31,529</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5,396</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6,161</w:t>
            </w: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7,169</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8,159</w:t>
            </w:r>
          </w:p>
        </w:tc>
        <w:tc>
          <w:tcPr>
            <w:tcW w:w="10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b w:val="1"/>
                <w:bCs w:val="1"/>
                <w:color w:val="auto"/>
              </w:rPr>
              <w:t>26,885</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7,908</w:t>
            </w:r>
          </w:p>
        </w:tc>
        <w:tc>
          <w:tcPr>
            <w:tcW w:w="1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8,157</w:t>
            </w:r>
          </w:p>
        </w:tc>
        <w:tc>
          <w:tcPr>
            <w:tcW w:w="120" w:type="dxa"/>
            <w:vAlign w:val="bottom"/>
          </w:tcPr>
          <w:p>
            <w:pPr>
              <w:spacing w:after="0"/>
              <w:rPr>
                <w:sz w:val="10"/>
                <w:szCs w:val="10"/>
                <w:color w:val="auto"/>
              </w:rPr>
            </w:pP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9,262</w:t>
            </w:r>
          </w:p>
        </w:tc>
      </w:tr>
      <w:tr>
        <w:trPr>
          <w:trHeight w:val="122"/>
        </w:trPr>
        <w:tc>
          <w:tcPr>
            <w:tcW w:w="20" w:type="dxa"/>
            <w:vAlign w:val="bottom"/>
          </w:tcPr>
          <w:p>
            <w:pPr>
              <w:spacing w:after="0"/>
              <w:rPr>
                <w:sz w:val="10"/>
                <w:szCs w:val="10"/>
                <w:color w:val="auto"/>
              </w:rPr>
            </w:pPr>
          </w:p>
        </w:tc>
        <w:tc>
          <w:tcPr>
            <w:tcW w:w="298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Imports (US$ million)</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28,439</w:t>
            </w:r>
          </w:p>
        </w:tc>
        <w:tc>
          <w:tcPr>
            <w:tcW w:w="1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4,883</w:t>
            </w:r>
          </w:p>
        </w:tc>
        <w:tc>
          <w:tcPr>
            <w:tcW w:w="1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4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4,827</w:t>
            </w: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5,330</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5,971</w:t>
            </w:r>
          </w:p>
        </w:tc>
        <w:tc>
          <w:tcPr>
            <w:tcW w:w="1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b w:val="1"/>
                <w:bCs w:val="1"/>
                <w:color w:val="auto"/>
              </w:rPr>
              <w:t>21,011</w:t>
            </w:r>
          </w:p>
        </w:tc>
        <w:tc>
          <w:tcPr>
            <w:tcW w:w="9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6,334</w:t>
            </w:r>
          </w:p>
        </w:tc>
        <w:tc>
          <w:tcPr>
            <w:tcW w:w="120" w:type="dxa"/>
            <w:vAlign w:val="bottom"/>
            <w:shd w:val="clear" w:color="auto" w:fill="CCFFCC"/>
          </w:tcPr>
          <w:p>
            <w:pPr>
              <w:spacing w:after="0"/>
              <w:rPr>
                <w:sz w:val="10"/>
                <w:szCs w:val="10"/>
                <w:color w:val="auto"/>
              </w:rPr>
            </w:pPr>
          </w:p>
        </w:tc>
        <w:tc>
          <w:tcPr>
            <w:tcW w:w="7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6,609</w:t>
            </w:r>
          </w:p>
        </w:tc>
        <w:tc>
          <w:tcPr>
            <w:tcW w:w="12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7,820</w:t>
            </w:r>
          </w:p>
        </w:tc>
      </w:tr>
      <w:tr>
        <w:trPr>
          <w:trHeight w:val="122"/>
        </w:trPr>
        <w:tc>
          <w:tcPr>
            <w:tcW w:w="20" w:type="dxa"/>
            <w:vAlign w:val="bottom"/>
          </w:tcPr>
          <w:p>
            <w:pPr>
              <w:spacing w:after="0"/>
              <w:rPr>
                <w:sz w:val="10"/>
                <w:szCs w:val="10"/>
                <w:color w:val="auto"/>
              </w:rPr>
            </w:pPr>
          </w:p>
        </w:tc>
        <w:tc>
          <w:tcPr>
            <w:tcW w:w="2980" w:type="dxa"/>
            <w:vAlign w:val="bottom"/>
          </w:tcPr>
          <w:p>
            <w:pPr>
              <w:spacing w:after="0" w:line="122" w:lineRule="exact"/>
              <w:rPr>
                <w:sz w:val="20"/>
                <w:szCs w:val="20"/>
                <w:color w:val="auto"/>
              </w:rPr>
            </w:pPr>
            <w:r>
              <w:rPr>
                <w:rFonts w:ascii="Arial" w:cs="Arial" w:eastAsia="Arial" w:hAnsi="Arial"/>
                <w:sz w:val="11"/>
                <w:szCs w:val="11"/>
                <w:color w:val="auto"/>
              </w:rPr>
              <w:t>Current Account Balance (US$ million)</w:t>
            </w:r>
          </w:p>
        </w:tc>
        <w:tc>
          <w:tcPr>
            <w:tcW w:w="920" w:type="dxa"/>
            <w:vAlign w:val="bottom"/>
            <w:gridSpan w:val="2"/>
          </w:tcPr>
          <w:p>
            <w:pPr>
              <w:jc w:val="right"/>
              <w:ind w:right="120"/>
              <w:spacing w:after="0" w:line="122" w:lineRule="exact"/>
              <w:rPr>
                <w:sz w:val="20"/>
                <w:szCs w:val="20"/>
                <w:color w:val="auto"/>
              </w:rPr>
            </w:pPr>
            <w:r>
              <w:rPr>
                <w:rFonts w:ascii="Arial" w:cs="Arial" w:eastAsia="Arial" w:hAnsi="Arial"/>
                <w:sz w:val="11"/>
                <w:szCs w:val="11"/>
                <w:b w:val="1"/>
                <w:bCs w:val="1"/>
                <w:color w:val="auto"/>
              </w:rPr>
              <w:t>-4,723</w:t>
            </w:r>
          </w:p>
        </w:tc>
        <w:tc>
          <w:tcPr>
            <w:tcW w:w="500" w:type="dxa"/>
            <w:vAlign w:val="bottom"/>
          </w:tcPr>
          <w:p>
            <w:pPr>
              <w:spacing w:after="0"/>
              <w:rPr>
                <w:sz w:val="10"/>
                <w:szCs w:val="10"/>
                <w:color w:val="auto"/>
              </w:rPr>
            </w:pPr>
          </w:p>
        </w:tc>
        <w:tc>
          <w:tcPr>
            <w:tcW w:w="4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-391</w:t>
            </w:r>
          </w:p>
        </w:tc>
        <w:tc>
          <w:tcPr>
            <w:tcW w:w="500" w:type="dxa"/>
            <w:vAlign w:val="bottom"/>
          </w:tcPr>
          <w:p>
            <w:pPr>
              <w:spacing w:after="0"/>
              <w:rPr>
                <w:sz w:val="10"/>
                <w:szCs w:val="10"/>
                <w:color w:val="auto"/>
              </w:rPr>
            </w:pPr>
          </w:p>
        </w:tc>
        <w:tc>
          <w:tcPr>
            <w:tcW w:w="4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106</w:t>
            </w: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264</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267</w:t>
            </w:r>
          </w:p>
        </w:tc>
        <w:tc>
          <w:tcPr>
            <w:tcW w:w="10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b w:val="1"/>
                <w:bCs w:val="1"/>
                <w:color w:val="auto"/>
              </w:rPr>
              <w:t>247</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-533</w:t>
            </w:r>
          </w:p>
        </w:tc>
        <w:tc>
          <w:tcPr>
            <w:tcW w:w="9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-354</w:t>
            </w: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-846</w:t>
            </w:r>
          </w:p>
        </w:tc>
      </w:tr>
      <w:tr>
        <w:trPr>
          <w:trHeight w:val="122"/>
        </w:trPr>
        <w:tc>
          <w:tcPr>
            <w:tcW w:w="20" w:type="dxa"/>
            <w:vAlign w:val="bottom"/>
          </w:tcPr>
          <w:p>
            <w:pPr>
              <w:spacing w:after="0"/>
              <w:rPr>
                <w:sz w:val="10"/>
                <w:szCs w:val="10"/>
                <w:color w:val="auto"/>
              </w:rPr>
            </w:pPr>
          </w:p>
        </w:tc>
        <w:tc>
          <w:tcPr>
            <w:tcW w:w="298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Current Account Balance (% of GDP)</w:t>
            </w:r>
          </w:p>
        </w:tc>
        <w:tc>
          <w:tcPr>
            <w:tcW w:w="9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b w:val="1"/>
                <w:bCs w:val="1"/>
                <w:color w:val="auto"/>
              </w:rPr>
              <w:t>-3.7</w:t>
            </w:r>
          </w:p>
        </w:tc>
        <w:tc>
          <w:tcPr>
            <w:tcW w:w="500" w:type="dxa"/>
            <w:vAlign w:val="bottom"/>
            <w:shd w:val="clear" w:color="auto" w:fill="CCFFCC"/>
          </w:tcPr>
          <w:p>
            <w:pPr>
              <w:spacing w:after="0"/>
              <w:rPr>
                <w:sz w:val="10"/>
                <w:szCs w:val="10"/>
                <w:color w:val="auto"/>
              </w:rPr>
            </w:pPr>
          </w:p>
        </w:tc>
        <w:tc>
          <w:tcPr>
            <w:tcW w:w="4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-1.4</w:t>
            </w:r>
          </w:p>
        </w:tc>
        <w:tc>
          <w:tcPr>
            <w:tcW w:w="500" w:type="dxa"/>
            <w:vAlign w:val="bottom"/>
            <w:shd w:val="clear" w:color="auto" w:fill="CCFFCC"/>
          </w:tcPr>
          <w:p>
            <w:pPr>
              <w:spacing w:after="0"/>
              <w:rPr>
                <w:sz w:val="10"/>
                <w:szCs w:val="10"/>
                <w:color w:val="auto"/>
              </w:rPr>
            </w:pPr>
          </w:p>
        </w:tc>
        <w:tc>
          <w:tcPr>
            <w:tcW w:w="4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0.3</w:t>
            </w: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0.8</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0.8</w:t>
            </w:r>
          </w:p>
        </w:tc>
        <w:tc>
          <w:tcPr>
            <w:tcW w:w="1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b w:val="1"/>
                <w:bCs w:val="1"/>
                <w:color w:val="auto"/>
              </w:rPr>
              <w:t>0.2</w:t>
            </w: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-1.5</w:t>
            </w:r>
          </w:p>
        </w:tc>
        <w:tc>
          <w:tcPr>
            <w:tcW w:w="9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-0.9</w:t>
            </w: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-2.2</w:t>
            </w:r>
          </w:p>
        </w:tc>
      </w:tr>
    </w:tbl>
    <w:p>
      <w:pPr>
        <w:spacing w:after="0"/>
        <w:rPr>
          <w:sz w:val="20"/>
          <w:szCs w:val="20"/>
          <w:color w:val="auto"/>
        </w:rPr>
      </w:pPr>
      <w:r>
        <w:rPr>
          <w:rFonts w:ascii="Arial" w:cs="Arial" w:eastAsia="Arial" w:hAnsi="Arial"/>
          <w:sz w:val="18"/>
          <w:szCs w:val="18"/>
          <w:i w:val="1"/>
          <w:iCs w:val="1"/>
          <w:color w:val="auto"/>
        </w:rPr>
        <w:t>Source: BCR, INEI, estimated by BCP.</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Company Description:</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Credito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 IFRS)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Dec 10</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 of</w:t>
            </w:r>
          </w:p>
        </w:tc>
        <w:tc>
          <w:tcPr>
            <w:tcW w:w="12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Dec 09</w:t>
            </w:r>
          </w:p>
        </w:tc>
        <w:tc>
          <w:tcPr>
            <w:tcW w:w="1640" w:type="dxa"/>
            <w:vAlign w:val="bottom"/>
            <w:gridSpan w:val="3"/>
          </w:tcPr>
          <w:p>
            <w:pPr>
              <w:ind w:left="880"/>
              <w:spacing w:after="0"/>
              <w:rPr>
                <w:sz w:val="20"/>
                <w:szCs w:val="20"/>
                <w:color w:val="auto"/>
              </w:rPr>
            </w:pPr>
            <w:r>
              <w:rPr>
                <w:rFonts w:ascii="Arial" w:cs="Arial" w:eastAsia="Arial" w:hAnsi="Arial"/>
                <w:sz w:val="14"/>
                <w:szCs w:val="14"/>
                <w:b w:val="1"/>
                <w:bCs w:val="1"/>
                <w:color w:val="auto"/>
              </w:rPr>
              <w:t>Change %</w:t>
            </w:r>
          </w:p>
        </w:tc>
        <w:tc>
          <w:tcPr>
            <w:tcW w:w="9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Sep 10</w:t>
            </w:r>
          </w:p>
        </w:tc>
        <w:tc>
          <w:tcPr>
            <w:tcW w:w="1240" w:type="dxa"/>
            <w:vAlign w:val="bottom"/>
            <w:gridSpan w:val="2"/>
            <w:vMerge w:val="continue"/>
          </w:tcPr>
          <w:p>
            <w:pPr>
              <w:spacing w:after="0"/>
              <w:rPr>
                <w:sz w:val="15"/>
                <w:szCs w:val="15"/>
                <w:color w:val="auto"/>
              </w:rPr>
            </w:pPr>
          </w:p>
        </w:tc>
        <w:tc>
          <w:tcPr>
            <w:tcW w:w="1640" w:type="dxa"/>
            <w:vAlign w:val="bottom"/>
            <w:gridSpan w:val="3"/>
          </w:tcPr>
          <w:p>
            <w:pPr>
              <w:ind w:left="420"/>
              <w:spacing w:after="0"/>
              <w:rPr>
                <w:sz w:val="20"/>
                <w:szCs w:val="20"/>
                <w:color w:val="auto"/>
              </w:rPr>
            </w:pPr>
            <w:r>
              <w:rPr>
                <w:rFonts w:ascii="Arial" w:cs="Arial" w:eastAsia="Arial" w:hAnsi="Arial"/>
                <w:sz w:val="14"/>
                <w:szCs w:val="14"/>
                <w:b w:val="1"/>
                <w:bCs w:val="1"/>
                <w:color w:val="auto"/>
              </w:rPr>
              <w:t>QoQ</w:t>
            </w: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jc w:val="center"/>
              <w:ind w:right="48"/>
              <w:spacing w:after="0" w:line="149" w:lineRule="exact"/>
              <w:rPr>
                <w:sz w:val="20"/>
                <w:szCs w:val="20"/>
                <w:color w:val="auto"/>
              </w:rPr>
            </w:pPr>
            <w:r>
              <w:rPr>
                <w:rFonts w:ascii="Arial" w:cs="Arial" w:eastAsia="Arial" w:hAnsi="Arial"/>
                <w:sz w:val="14"/>
                <w:szCs w:val="14"/>
                <w:b w:val="1"/>
                <w:bCs w:val="1"/>
                <w:color w:val="auto"/>
                <w:w w:val="96"/>
              </w:rPr>
              <w:t>ASSETS</w:t>
            </w:r>
          </w:p>
        </w:tc>
        <w:tc>
          <w:tcPr>
            <w:tcW w:w="114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due from banks</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Non-interest bearing</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1,624,377</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961,902</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938,486</w:t>
            </w:r>
          </w:p>
        </w:tc>
        <w:tc>
          <w:tcPr>
            <w:tcW w:w="13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68.9%</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320"/>
              <w:spacing w:after="0" w:line="149" w:lineRule="exact"/>
              <w:rPr>
                <w:sz w:val="20"/>
                <w:szCs w:val="20"/>
                <w:color w:val="auto"/>
              </w:rPr>
            </w:pPr>
            <w:r>
              <w:rPr>
                <w:rFonts w:ascii="Arial" w:cs="Arial" w:eastAsia="Arial" w:hAnsi="Arial"/>
                <w:sz w:val="14"/>
                <w:szCs w:val="14"/>
                <w:color w:val="auto"/>
              </w:rPr>
              <w:t>Interest bearing</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6,958,478</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2,906,126</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2,898,172</w:t>
            </w: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139.4%</w:t>
            </w:r>
          </w:p>
        </w:tc>
        <w:tc>
          <w:tcPr>
            <w:tcW w:w="26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ind w:left="700"/>
              <w:spacing w:after="0" w:line="149" w:lineRule="exact"/>
              <w:rPr>
                <w:sz w:val="20"/>
                <w:szCs w:val="20"/>
                <w:color w:val="auto"/>
              </w:rPr>
            </w:pPr>
            <w:r>
              <w:rPr>
                <w:rFonts w:ascii="Arial" w:cs="Arial" w:eastAsia="Arial" w:hAnsi="Arial"/>
                <w:sz w:val="14"/>
                <w:szCs w:val="14"/>
                <w:b w:val="1"/>
                <w:bCs w:val="1"/>
                <w:color w:val="auto"/>
              </w:rPr>
              <w:t>Total cash and due from banks</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8,582,856</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3,868,028</w:t>
            </w:r>
          </w:p>
        </w:tc>
        <w:tc>
          <w:tcPr>
            <w:tcW w:w="12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3,836,658</w:t>
            </w:r>
          </w:p>
        </w:tc>
        <w:tc>
          <w:tcPr>
            <w:tcW w:w="13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121.9%</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123.7%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Marketable securities, net</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114,430</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73,986</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70,774</w:t>
            </w:r>
          </w:p>
        </w:tc>
        <w:tc>
          <w:tcPr>
            <w:tcW w:w="13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54.7%</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61.7%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14,393,358</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13,409,258</w:t>
            </w:r>
          </w:p>
        </w:tc>
        <w:tc>
          <w:tcPr>
            <w:tcW w:w="12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11,585,635</w:t>
            </w:r>
          </w:p>
        </w:tc>
        <w:tc>
          <w:tcPr>
            <w:tcW w:w="13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7.3%</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320"/>
              <w:spacing w:after="0" w:line="149" w:lineRule="exact"/>
              <w:rPr>
                <w:sz w:val="20"/>
                <w:szCs w:val="20"/>
                <w:color w:val="auto"/>
              </w:rPr>
            </w:pPr>
            <w:r>
              <w:rPr>
                <w:rFonts w:ascii="Arial" w:cs="Arial" w:eastAsia="Arial" w:hAnsi="Arial"/>
                <w:sz w:val="14"/>
                <w:szCs w:val="14"/>
                <w:color w:val="auto"/>
              </w:rPr>
              <w:t>Current</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14,183,610</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13,195,983</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11,401,113</w:t>
            </w: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w:t>
            </w:r>
          </w:p>
        </w:tc>
        <w:tc>
          <w:tcPr>
            <w:tcW w:w="26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Past due</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209,748</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213,275</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184,523</w:t>
            </w:r>
          </w:p>
        </w:tc>
        <w:tc>
          <w:tcPr>
            <w:tcW w:w="13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320"/>
              <w:spacing w:after="0" w:line="149" w:lineRule="exact"/>
              <w:rPr>
                <w:sz w:val="20"/>
                <w:szCs w:val="20"/>
                <w:color w:val="auto"/>
              </w:rPr>
            </w:pPr>
            <w:r>
              <w:rPr>
                <w:rFonts w:ascii="Arial" w:cs="Arial" w:eastAsia="Arial" w:hAnsi="Arial"/>
                <w:sz w:val="14"/>
                <w:szCs w:val="14"/>
                <w:color w:val="auto"/>
              </w:rPr>
              <w:t>Less - net provisions for possible loan losses</w:t>
            </w:r>
          </w:p>
        </w:tc>
        <w:tc>
          <w:tcPr>
            <w:tcW w:w="1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(415,703)</w:t>
            </w: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(411,736)</w:t>
            </w:r>
          </w:p>
        </w:tc>
        <w:tc>
          <w:tcPr>
            <w:tcW w:w="1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(354,355)</w:t>
            </w: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26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 net</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13,977,655</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12,997,522</w:t>
            </w:r>
          </w:p>
        </w:tc>
        <w:tc>
          <w:tcPr>
            <w:tcW w:w="12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11,231,281</w:t>
            </w:r>
          </w:p>
        </w:tc>
        <w:tc>
          <w:tcPr>
            <w:tcW w:w="13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7.5%</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24.5%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Investments securities available for sale</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3,793,527</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7,630,494</w:t>
            </w:r>
          </w:p>
        </w:tc>
        <w:tc>
          <w:tcPr>
            <w:tcW w:w="12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5,079,606</w:t>
            </w:r>
          </w:p>
        </w:tc>
        <w:tc>
          <w:tcPr>
            <w:tcW w:w="13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-50.3%</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b w:val="1"/>
                <w:bCs w:val="1"/>
                <w:color w:val="auto"/>
              </w:rPr>
              <w:t>Reinsurance assets</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160,249</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145,945</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137,098</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9.8%</w:t>
            </w:r>
          </w:p>
        </w:tc>
        <w:tc>
          <w:tcPr>
            <w:tcW w:w="2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Premiums and other policyholder receivables</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129,136</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122,643</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121,338</w:t>
            </w:r>
          </w:p>
        </w:tc>
        <w:tc>
          <w:tcPr>
            <w:tcW w:w="13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5.3%</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plant and equipment, net</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373,318</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359,687</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338,535</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3.8%</w:t>
            </w:r>
          </w:p>
        </w:tc>
        <w:tc>
          <w:tcPr>
            <w:tcW w:w="2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Due from customers on acceptances</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70,331</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57,901</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96,423</w:t>
            </w:r>
          </w:p>
        </w:tc>
        <w:tc>
          <w:tcPr>
            <w:tcW w:w="13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21.5%</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1,249,973</w:t>
            </w: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1,343,867</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1,116,395</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-7.0%</w:t>
            </w:r>
          </w:p>
        </w:tc>
        <w:tc>
          <w:tcPr>
            <w:tcW w:w="2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6"/>
              </w:rPr>
              <w:t>Total assets</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28,451,474</w:t>
            </w: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26,600,072</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22,028,107</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7.0%</w:t>
            </w:r>
          </w:p>
        </w:tc>
        <w:tc>
          <w:tcPr>
            <w:tcW w:w="2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00" w:type="dxa"/>
            <w:vAlign w:val="bottom"/>
          </w:tcPr>
          <w:p>
            <w:pPr>
              <w:jc w:val="center"/>
              <w:ind w:right="48"/>
              <w:spacing w:after="0" w:line="161" w:lineRule="exact"/>
              <w:rPr>
                <w:sz w:val="20"/>
                <w:szCs w:val="20"/>
                <w:color w:val="auto"/>
              </w:rPr>
            </w:pPr>
            <w:r>
              <w:rPr>
                <w:rFonts w:ascii="Arial" w:cs="Arial" w:eastAsia="Arial" w:hAnsi="Arial"/>
                <w:sz w:val="14"/>
                <w:szCs w:val="14"/>
                <w:b w:val="1"/>
                <w:bCs w:val="1"/>
                <w:color w:val="auto"/>
              </w:rPr>
              <w:t>LIABILITIES AND NET SHAREHOLDERS</w:t>
            </w:r>
            <w:r>
              <w:rPr>
                <w:rFonts w:ascii="MS PGothic" w:cs="MS PGothic" w:eastAsia="MS PGothic" w:hAnsi="MS PGothic"/>
                <w:sz w:val="14"/>
                <w:szCs w:val="14"/>
                <w:color w:val="auto"/>
                <w:highlight w:val="black"/>
              </w:rPr>
              <w:t>☐</w:t>
            </w:r>
            <w:r>
              <w:rPr>
                <w:rFonts w:ascii="Arial" w:cs="Arial" w:eastAsia="Arial" w:hAnsi="Arial"/>
                <w:sz w:val="14"/>
                <w:szCs w:val="14"/>
                <w:b w:val="1"/>
                <w:bCs w:val="1"/>
                <w:color w:val="auto"/>
              </w:rPr>
              <w:t xml:space="preserve"> EQUITY</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Deposits and Obligations</w:t>
            </w: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320"/>
              <w:spacing w:after="0" w:line="149" w:lineRule="exact"/>
              <w:rPr>
                <w:sz w:val="20"/>
                <w:szCs w:val="20"/>
                <w:color w:val="auto"/>
              </w:rPr>
            </w:pPr>
            <w:r>
              <w:rPr>
                <w:rFonts w:ascii="Arial" w:cs="Arial" w:eastAsia="Arial" w:hAnsi="Arial"/>
                <w:sz w:val="14"/>
                <w:szCs w:val="14"/>
                <w:color w:val="auto"/>
              </w:rPr>
              <w:t>Non-interest bearing</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4,360,556</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4,062,688</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3,297,995</w:t>
            </w: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w:t>
            </w:r>
          </w:p>
        </w:tc>
        <w:tc>
          <w:tcPr>
            <w:tcW w:w="26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Interest bearing</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13,724,755</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12,589,321</w:t>
            </w:r>
          </w:p>
        </w:tc>
        <w:tc>
          <w:tcPr>
            <w:tcW w:w="12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10,793,833</w:t>
            </w:r>
          </w:p>
        </w:tc>
        <w:tc>
          <w:tcPr>
            <w:tcW w:w="13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9.0%</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Total deposits and Obligations</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18,085,310</w:t>
            </w: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16,652,009</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14,091,828</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8.6%</w:t>
            </w:r>
          </w:p>
        </w:tc>
        <w:tc>
          <w:tcPr>
            <w:tcW w:w="2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28.3%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b w:val="1"/>
                <w:bCs w:val="1"/>
                <w:color w:val="auto"/>
              </w:rPr>
              <w:t>Due to banks and correspondents</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2,262,446</w:t>
            </w: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1,719,880</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2,256,659</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31.5%</w:t>
            </w:r>
          </w:p>
        </w:tc>
        <w:tc>
          <w:tcPr>
            <w:tcW w:w="2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70,331</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57,901</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96,423</w:t>
            </w:r>
          </w:p>
        </w:tc>
        <w:tc>
          <w:tcPr>
            <w:tcW w:w="13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21.5%</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b w:val="1"/>
                <w:bCs w:val="1"/>
                <w:color w:val="auto"/>
              </w:rPr>
              <w:t>Reserves for property and casualty claims</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1,008,724</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962,422</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878,767</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4.8%</w:t>
            </w:r>
          </w:p>
        </w:tc>
        <w:tc>
          <w:tcPr>
            <w:tcW w:w="2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Reserve for unearned premiums</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187,599</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163,362</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140,024</w:t>
            </w:r>
          </w:p>
        </w:tc>
        <w:tc>
          <w:tcPr>
            <w:tcW w:w="13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14.8%</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b w:val="1"/>
                <w:bCs w:val="1"/>
                <w:color w:val="auto"/>
              </w:rPr>
              <w:t>Reinsurance payable</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60,775</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65,112</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48,009</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-6.7%</w:t>
            </w:r>
          </w:p>
        </w:tc>
        <w:tc>
          <w:tcPr>
            <w:tcW w:w="2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2,985,500</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3,067,395</w:t>
            </w:r>
          </w:p>
        </w:tc>
        <w:tc>
          <w:tcPr>
            <w:tcW w:w="12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1,287,022</w:t>
            </w:r>
          </w:p>
        </w:tc>
        <w:tc>
          <w:tcPr>
            <w:tcW w:w="13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-2.7%</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898,640</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992,131</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726,023</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-9.4%</w:t>
            </w:r>
          </w:p>
        </w:tc>
        <w:tc>
          <w:tcPr>
            <w:tcW w:w="2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Minority interest</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53,789</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230,546</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186,496</w:t>
            </w:r>
          </w:p>
        </w:tc>
        <w:tc>
          <w:tcPr>
            <w:tcW w:w="13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-76.7%</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-71.2%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Total liabilities</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25,613,115</w:t>
            </w: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23,910,758</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19,711,251</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7.1%</w:t>
            </w:r>
          </w:p>
        </w:tc>
        <w:tc>
          <w:tcPr>
            <w:tcW w:w="2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29.9%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Capital stock</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471,912</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471,912</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471,912</w:t>
            </w: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6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Treasury stock</w:t>
            </w:r>
          </w:p>
        </w:tc>
        <w:tc>
          <w:tcPr>
            <w:tcW w:w="124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(74,712)</w:t>
            </w:r>
          </w:p>
        </w:tc>
        <w:tc>
          <w:tcPr>
            <w:tcW w:w="126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(74,712)</w:t>
            </w:r>
          </w:p>
        </w:tc>
        <w:tc>
          <w:tcPr>
            <w:tcW w:w="124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(74,242)</w:t>
            </w:r>
          </w:p>
        </w:tc>
        <w:tc>
          <w:tcPr>
            <w:tcW w:w="13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Capital surplus</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119,637</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119,637</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130,341</w:t>
            </w: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6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Reserves</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1,385,098</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1,385,098</w:t>
            </w:r>
          </w:p>
        </w:tc>
        <w:tc>
          <w:tcPr>
            <w:tcW w:w="12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1,059,344</w:t>
            </w:r>
          </w:p>
        </w:tc>
        <w:tc>
          <w:tcPr>
            <w:tcW w:w="13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Unrealized gains</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341,844</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327,666</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237,446</w:t>
            </w: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w:t>
            </w:r>
          </w:p>
        </w:tc>
        <w:tc>
          <w:tcPr>
            <w:tcW w:w="26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Retained earnings</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594,580</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459,713</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492,055</w:t>
            </w:r>
          </w:p>
        </w:tc>
        <w:tc>
          <w:tcPr>
            <w:tcW w:w="13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29.3%</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Net shareholders' equity</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2,838,360</w:t>
            </w: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2,689,315</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2,316,856</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5.5%</w:t>
            </w:r>
          </w:p>
        </w:tc>
        <w:tc>
          <w:tcPr>
            <w:tcW w:w="2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Total liabilities and net shareholders' equity</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28,451,474</w:t>
            </w: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26,600,072</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22,028,107</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7.0%</w:t>
            </w:r>
          </w:p>
        </w:tc>
        <w:tc>
          <w:tcPr>
            <w:tcW w:w="2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29.2%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100" w:type="dxa"/>
            <w:vAlign w:val="bottom"/>
          </w:tcPr>
          <w:p>
            <w:pPr>
              <w:spacing w:after="0"/>
              <w:rPr>
                <w:sz w:val="20"/>
                <w:szCs w:val="20"/>
                <w:color w:val="auto"/>
              </w:rPr>
            </w:pPr>
            <w:r>
              <w:rPr>
                <w:rFonts w:ascii="Arial" w:cs="Arial" w:eastAsia="Arial" w:hAnsi="Arial"/>
                <w:sz w:val="14"/>
                <w:szCs w:val="14"/>
                <w:color w:val="auto"/>
              </w:rPr>
              <w:t>Contingent credits</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9,257,732</w:t>
            </w:r>
          </w:p>
        </w:tc>
        <w:tc>
          <w:tcPr>
            <w:tcW w:w="1140" w:type="dxa"/>
            <w:vAlign w:val="bottom"/>
          </w:tcPr>
          <w:p>
            <w:pPr>
              <w:jc w:val="right"/>
              <w:spacing w:after="0"/>
              <w:rPr>
                <w:sz w:val="20"/>
                <w:szCs w:val="20"/>
                <w:color w:val="auto"/>
              </w:rPr>
            </w:pPr>
            <w:r>
              <w:rPr>
                <w:rFonts w:ascii="Arial" w:cs="Arial" w:eastAsia="Arial" w:hAnsi="Arial"/>
                <w:sz w:val="14"/>
                <w:szCs w:val="14"/>
                <w:color w:val="auto"/>
              </w:rPr>
              <w:t>9,222,042</w:t>
            </w:r>
          </w:p>
        </w:tc>
        <w:tc>
          <w:tcPr>
            <w:tcW w:w="12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2,528,135</w:t>
            </w: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0.4%</w:t>
            </w:r>
          </w:p>
        </w:tc>
        <w:tc>
          <w:tcPr>
            <w:tcW w:w="26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266.2%</w:t>
            </w: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 IFRS)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Quarter</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3"/>
          </w:tcPr>
          <w:p>
            <w:pPr>
              <w:ind w:left="680"/>
              <w:spacing w:after="0"/>
              <w:rPr>
                <w:sz w:val="20"/>
                <w:szCs w:val="20"/>
                <w:color w:val="auto"/>
              </w:rPr>
            </w:pPr>
            <w:r>
              <w:rPr>
                <w:rFonts w:ascii="Arial" w:cs="Arial" w:eastAsia="Arial" w:hAnsi="Arial"/>
                <w:sz w:val="11"/>
                <w:szCs w:val="11"/>
                <w:b w:val="1"/>
                <w:bCs w:val="1"/>
                <w:color w:val="auto"/>
              </w:rPr>
              <w:t>Change %</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3"/>
          </w:tcPr>
          <w:p>
            <w:pPr>
              <w:ind w:left="640"/>
              <w:spacing w:after="0"/>
              <w:rPr>
                <w:sz w:val="20"/>
                <w:szCs w:val="20"/>
                <w:color w:val="auto"/>
              </w:rPr>
            </w:pPr>
            <w:r>
              <w:rPr>
                <w:rFonts w:ascii="Arial" w:cs="Arial" w:eastAsia="Arial" w:hAnsi="Arial"/>
                <w:sz w:val="11"/>
                <w:szCs w:val="11"/>
                <w:b w:val="1"/>
                <w:bCs w:val="1"/>
                <w:color w:val="auto"/>
                <w:w w:val="94"/>
              </w:rPr>
              <w:t>Year ended</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Change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4Q10</w:t>
            </w:r>
          </w:p>
        </w:tc>
        <w:tc>
          <w:tcPr>
            <w:tcW w:w="100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rPr>
              <w:t>3Q10</w:t>
            </w:r>
          </w:p>
        </w:tc>
        <w:tc>
          <w:tcPr>
            <w:tcW w:w="102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rPr>
              <w:t>4Q09</w:t>
            </w:r>
          </w:p>
        </w:tc>
        <w:tc>
          <w:tcPr>
            <w:tcW w:w="1260" w:type="dxa"/>
            <w:vAlign w:val="bottom"/>
            <w:gridSpan w:val="3"/>
          </w:tcPr>
          <w:p>
            <w:pPr>
              <w:ind w:left="300"/>
              <w:spacing w:after="0"/>
              <w:rPr>
                <w:sz w:val="20"/>
                <w:szCs w:val="20"/>
                <w:color w:val="auto"/>
              </w:rPr>
            </w:pPr>
            <w:r>
              <w:rPr>
                <w:rFonts w:ascii="Arial" w:cs="Arial" w:eastAsia="Arial" w:hAnsi="Arial"/>
                <w:sz w:val="11"/>
                <w:szCs w:val="11"/>
                <w:b w:val="1"/>
                <w:bCs w:val="1"/>
                <w:color w:val="auto"/>
              </w:rPr>
              <w:t>QoQ</w:t>
            </w:r>
          </w:p>
        </w:tc>
        <w:tc>
          <w:tcPr>
            <w:tcW w:w="82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YoY</w:t>
            </w:r>
          </w:p>
        </w:tc>
        <w:tc>
          <w:tcPr>
            <w:tcW w:w="1220" w:type="dxa"/>
            <w:vAlign w:val="bottom"/>
            <w:gridSpan w:val="3"/>
          </w:tcPr>
          <w:p>
            <w:pPr>
              <w:ind w:left="240"/>
              <w:spacing w:after="0"/>
              <w:rPr>
                <w:sz w:val="20"/>
                <w:szCs w:val="20"/>
                <w:color w:val="auto"/>
              </w:rPr>
            </w:pPr>
            <w:r>
              <w:rPr>
                <w:rFonts w:ascii="Arial" w:cs="Arial" w:eastAsia="Arial" w:hAnsi="Arial"/>
                <w:sz w:val="11"/>
                <w:szCs w:val="11"/>
                <w:b w:val="1"/>
                <w:bCs w:val="1"/>
                <w:color w:val="auto"/>
              </w:rPr>
              <w:t>Dec 10</w:t>
            </w:r>
          </w:p>
        </w:tc>
        <w:tc>
          <w:tcPr>
            <w:tcW w:w="80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w w:val="90"/>
              </w:rPr>
              <w:t>Dec 09</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2"/>
              </w:rPr>
              <w:t>Dec 10 / Dec 09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Interest income and expense</w:t>
            </w:r>
          </w:p>
        </w:tc>
        <w:tc>
          <w:tcPr>
            <w:tcW w:w="800" w:type="dxa"/>
            <w:vAlign w:val="bottom"/>
            <w:tcBorders>
              <w:top w:val="single" w:sz="8" w:color="auto"/>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220" w:type="dxa"/>
            <w:vAlign w:val="bottom"/>
            <w:tcBorders>
              <w:top w:val="single" w:sz="8" w:color="auto"/>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00" w:type="dxa"/>
            <w:vAlign w:val="bottom"/>
            <w:tcBorders>
              <w:top w:val="single" w:sz="8" w:color="auto"/>
            </w:tcBorders>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160"/>
              <w:spacing w:after="0" w:line="122" w:lineRule="exact"/>
              <w:rPr>
                <w:sz w:val="20"/>
                <w:szCs w:val="20"/>
                <w:color w:val="auto"/>
              </w:rPr>
            </w:pPr>
            <w:r>
              <w:rPr>
                <w:rFonts w:ascii="Arial" w:cs="Arial" w:eastAsia="Arial" w:hAnsi="Arial"/>
                <w:sz w:val="11"/>
                <w:szCs w:val="11"/>
                <w:color w:val="auto"/>
              </w:rPr>
              <w:t>Interest and dividend income</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396,782</w:t>
            </w:r>
          </w:p>
        </w:tc>
        <w:tc>
          <w:tcPr>
            <w:tcW w:w="220" w:type="dxa"/>
            <w:vAlign w:val="bottom"/>
          </w:tcPr>
          <w:p>
            <w:pPr>
              <w:spacing w:after="0"/>
              <w:rPr>
                <w:sz w:val="10"/>
                <w:szCs w:val="10"/>
                <w:color w:val="auto"/>
              </w:rPr>
            </w:pP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374,572</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329,796</w:t>
            </w:r>
          </w:p>
        </w:tc>
        <w:tc>
          <w:tcPr>
            <w:tcW w:w="220" w:type="dxa"/>
            <w:vAlign w:val="bottom"/>
          </w:tcPr>
          <w:p>
            <w:pPr>
              <w:spacing w:after="0"/>
              <w:rPr>
                <w:sz w:val="10"/>
                <w:szCs w:val="10"/>
                <w:color w:val="auto"/>
              </w:rPr>
            </w:pPr>
          </w:p>
        </w:tc>
        <w:tc>
          <w:tcPr>
            <w:tcW w:w="10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5.9%</w:t>
            </w:r>
          </w:p>
        </w:tc>
        <w:tc>
          <w:tcPr>
            <w:tcW w:w="22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20.3%</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1,448,192</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1,312,692</w:t>
            </w:r>
          </w:p>
        </w:tc>
        <w:tc>
          <w:tcPr>
            <w:tcW w:w="200" w:type="dxa"/>
            <w:vAlign w:val="bottom"/>
          </w:tcPr>
          <w:p>
            <w:pPr>
              <w:spacing w:after="0"/>
              <w:rPr>
                <w:sz w:val="10"/>
                <w:szCs w:val="10"/>
                <w:color w:val="auto"/>
              </w:rPr>
            </w:pPr>
          </w:p>
        </w:tc>
        <w:tc>
          <w:tcPr>
            <w:tcW w:w="9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10.3%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Interest expense</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(114,652)</w:t>
            </w:r>
          </w:p>
        </w:tc>
        <w:tc>
          <w:tcPr>
            <w:tcW w:w="10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(103,134)</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(91,834)</w:t>
            </w:r>
          </w:p>
        </w:tc>
        <w:tc>
          <w:tcPr>
            <w:tcW w:w="10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11.2%</w:t>
            </w:r>
          </w:p>
        </w:tc>
        <w:tc>
          <w:tcPr>
            <w:tcW w:w="2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24.8%</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(390,605)</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(420,774)</w:t>
            </w:r>
          </w:p>
        </w:tc>
        <w:tc>
          <w:tcPr>
            <w:tcW w:w="94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-7.2%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160"/>
              <w:spacing w:after="0" w:line="122" w:lineRule="exact"/>
              <w:rPr>
                <w:sz w:val="20"/>
                <w:szCs w:val="20"/>
                <w:color w:val="auto"/>
              </w:rPr>
            </w:pPr>
            <w:r>
              <w:rPr>
                <w:rFonts w:ascii="Arial" w:cs="Arial" w:eastAsia="Arial" w:hAnsi="Arial"/>
                <w:sz w:val="11"/>
                <w:szCs w:val="11"/>
                <w:b w:val="1"/>
                <w:bCs w:val="1"/>
                <w:color w:val="auto"/>
              </w:rPr>
              <w:t>Net interest income</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282,131</w:t>
            </w:r>
          </w:p>
        </w:tc>
        <w:tc>
          <w:tcPr>
            <w:tcW w:w="220" w:type="dxa"/>
            <w:vAlign w:val="bottom"/>
          </w:tcPr>
          <w:p>
            <w:pPr>
              <w:spacing w:after="0"/>
              <w:rPr>
                <w:sz w:val="10"/>
                <w:szCs w:val="10"/>
                <w:color w:val="auto"/>
              </w:rPr>
            </w:pP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271,438</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237,963</w:t>
            </w:r>
          </w:p>
        </w:tc>
        <w:tc>
          <w:tcPr>
            <w:tcW w:w="220" w:type="dxa"/>
            <w:vAlign w:val="bottom"/>
          </w:tcPr>
          <w:p>
            <w:pPr>
              <w:spacing w:after="0"/>
              <w:rPr>
                <w:sz w:val="10"/>
                <w:szCs w:val="10"/>
                <w:color w:val="auto"/>
              </w:rPr>
            </w:pPr>
          </w:p>
        </w:tc>
        <w:tc>
          <w:tcPr>
            <w:tcW w:w="104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rPr>
              <w:t>3.9%</w:t>
            </w:r>
          </w:p>
        </w:tc>
        <w:tc>
          <w:tcPr>
            <w:tcW w:w="22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rPr>
              <w:t>18.6%</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1,057,587</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891,918</w:t>
            </w:r>
          </w:p>
        </w:tc>
        <w:tc>
          <w:tcPr>
            <w:tcW w:w="200" w:type="dxa"/>
            <w:vAlign w:val="bottom"/>
          </w:tcPr>
          <w:p>
            <w:pPr>
              <w:spacing w:after="0"/>
              <w:rPr>
                <w:sz w:val="10"/>
                <w:szCs w:val="10"/>
                <w:color w:val="auto"/>
              </w:rPr>
            </w:pPr>
          </w:p>
        </w:tc>
        <w:tc>
          <w:tcPr>
            <w:tcW w:w="940" w:type="dxa"/>
            <w:vAlign w:val="bottom"/>
            <w:gridSpan w:val="2"/>
          </w:tcPr>
          <w:p>
            <w:pPr>
              <w:jc w:val="right"/>
              <w:ind w:right="20"/>
              <w:spacing w:after="0" w:line="122" w:lineRule="exact"/>
              <w:rPr>
                <w:sz w:val="20"/>
                <w:szCs w:val="20"/>
                <w:color w:val="auto"/>
              </w:rPr>
            </w:pPr>
            <w:r>
              <w:rPr>
                <w:rFonts w:ascii="Arial" w:cs="Arial" w:eastAsia="Arial" w:hAnsi="Arial"/>
                <w:sz w:val="11"/>
                <w:szCs w:val="11"/>
                <w:b w:val="1"/>
                <w:bCs w:val="1"/>
                <w:color w:val="auto"/>
              </w:rPr>
              <w:t>18.6%</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3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b w:val="1"/>
                <w:bCs w:val="1"/>
                <w:color w:val="auto"/>
              </w:rPr>
              <w:t>Net provisions for loan losses</w:t>
            </w: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b w:val="1"/>
                <w:bCs w:val="1"/>
                <w:color w:val="auto"/>
              </w:rPr>
              <w:t>(48,304)</w:t>
            </w:r>
          </w:p>
        </w:tc>
        <w:tc>
          <w:tcPr>
            <w:tcW w:w="1000" w:type="dxa"/>
            <w:vAlign w:val="bottom"/>
            <w:gridSpan w:val="2"/>
          </w:tcPr>
          <w:p>
            <w:pPr>
              <w:jc w:val="right"/>
              <w:ind w:right="180"/>
              <w:spacing w:after="0" w:line="122" w:lineRule="exact"/>
              <w:rPr>
                <w:sz w:val="20"/>
                <w:szCs w:val="20"/>
                <w:color w:val="auto"/>
              </w:rPr>
            </w:pPr>
            <w:r>
              <w:rPr>
                <w:rFonts w:ascii="Arial" w:cs="Arial" w:eastAsia="Arial" w:hAnsi="Arial"/>
                <w:sz w:val="11"/>
                <w:szCs w:val="11"/>
                <w:b w:val="1"/>
                <w:bCs w:val="1"/>
                <w:color w:val="auto"/>
              </w:rPr>
              <w:t>(52,303)</w:t>
            </w: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b w:val="1"/>
                <w:bCs w:val="1"/>
                <w:color w:val="auto"/>
              </w:rPr>
              <w:t>(44,044)</w:t>
            </w:r>
          </w:p>
        </w:tc>
        <w:tc>
          <w:tcPr>
            <w:tcW w:w="104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rPr>
              <w:t>-7.6%</w:t>
            </w:r>
          </w:p>
        </w:tc>
        <w:tc>
          <w:tcPr>
            <w:tcW w:w="22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rPr>
              <w:t>9.7%</w:t>
            </w: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b w:val="1"/>
                <w:bCs w:val="1"/>
                <w:color w:val="auto"/>
              </w:rPr>
              <w:t>(174,682)</w:t>
            </w:r>
          </w:p>
        </w:tc>
        <w:tc>
          <w:tcPr>
            <w:tcW w:w="200" w:type="dxa"/>
            <w:vAlign w:val="bottom"/>
          </w:tcPr>
          <w:p>
            <w:pPr>
              <w:spacing w:after="0"/>
              <w:rPr>
                <w:sz w:val="10"/>
                <w:szCs w:val="10"/>
                <w:color w:val="auto"/>
              </w:rPr>
            </w:pPr>
          </w:p>
        </w:tc>
        <w:tc>
          <w:tcPr>
            <w:tcW w:w="800" w:type="dxa"/>
            <w:vAlign w:val="bottom"/>
            <w:gridSpan w:val="2"/>
          </w:tcPr>
          <w:p>
            <w:pPr>
              <w:jc w:val="right"/>
              <w:ind w:right="180"/>
              <w:spacing w:after="0" w:line="122" w:lineRule="exact"/>
              <w:rPr>
                <w:sz w:val="20"/>
                <w:szCs w:val="20"/>
                <w:color w:val="auto"/>
              </w:rPr>
            </w:pPr>
            <w:r>
              <w:rPr>
                <w:rFonts w:ascii="Arial" w:cs="Arial" w:eastAsia="Arial" w:hAnsi="Arial"/>
                <w:sz w:val="11"/>
                <w:szCs w:val="11"/>
                <w:b w:val="1"/>
                <w:bCs w:val="1"/>
                <w:color w:val="auto"/>
              </w:rPr>
              <w:t>(163,392)</w:t>
            </w:r>
          </w:p>
        </w:tc>
        <w:tc>
          <w:tcPr>
            <w:tcW w:w="940" w:type="dxa"/>
            <w:vAlign w:val="bottom"/>
            <w:gridSpan w:val="2"/>
          </w:tcPr>
          <w:p>
            <w:pPr>
              <w:jc w:val="right"/>
              <w:ind w:right="20"/>
              <w:spacing w:after="0" w:line="122" w:lineRule="exact"/>
              <w:rPr>
                <w:sz w:val="20"/>
                <w:szCs w:val="20"/>
                <w:color w:val="auto"/>
              </w:rPr>
            </w:pPr>
            <w:r>
              <w:rPr>
                <w:rFonts w:ascii="Arial" w:cs="Arial" w:eastAsia="Arial" w:hAnsi="Arial"/>
                <w:sz w:val="11"/>
                <w:szCs w:val="11"/>
                <w:b w:val="1"/>
                <w:bCs w:val="1"/>
                <w:color w:val="auto"/>
              </w:rPr>
              <w:t>6.9%</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3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b w:val="1"/>
                <w:bCs w:val="1"/>
                <w:color w:val="auto"/>
              </w:rPr>
              <w:t>Non financial income</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Fee income</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136,146</w:t>
            </w:r>
          </w:p>
        </w:tc>
        <w:tc>
          <w:tcPr>
            <w:tcW w:w="220" w:type="dxa"/>
            <w:vAlign w:val="bottom"/>
            <w:shd w:val="clear" w:color="auto" w:fill="CCFFCC"/>
          </w:tcPr>
          <w:p>
            <w:pPr>
              <w:spacing w:after="0"/>
              <w:rPr>
                <w:sz w:val="10"/>
                <w:szCs w:val="10"/>
                <w:color w:val="auto"/>
              </w:rPr>
            </w:pP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134,813</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126,163</w:t>
            </w:r>
          </w:p>
        </w:tc>
        <w:tc>
          <w:tcPr>
            <w:tcW w:w="220" w:type="dxa"/>
            <w:vAlign w:val="bottom"/>
            <w:shd w:val="clear" w:color="auto" w:fill="CCFFCC"/>
          </w:tcPr>
          <w:p>
            <w:pPr>
              <w:spacing w:after="0"/>
              <w:rPr>
                <w:sz w:val="10"/>
                <w:szCs w:val="10"/>
                <w:color w:val="auto"/>
              </w:rPr>
            </w:pPr>
          </w:p>
        </w:tc>
        <w:tc>
          <w:tcPr>
            <w:tcW w:w="10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1.0%</w:t>
            </w:r>
          </w:p>
        </w:tc>
        <w:tc>
          <w:tcPr>
            <w:tcW w:w="2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7.9%</w:t>
            </w: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524,895</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436,819</w:t>
            </w:r>
          </w:p>
        </w:tc>
        <w:tc>
          <w:tcPr>
            <w:tcW w:w="200" w:type="dxa"/>
            <w:vAlign w:val="bottom"/>
            <w:shd w:val="clear" w:color="auto" w:fill="CCFFCC"/>
          </w:tcPr>
          <w:p>
            <w:pPr>
              <w:spacing w:after="0"/>
              <w:rPr>
                <w:sz w:val="10"/>
                <w:szCs w:val="10"/>
                <w:color w:val="auto"/>
              </w:rPr>
            </w:pPr>
          </w:p>
        </w:tc>
        <w:tc>
          <w:tcPr>
            <w:tcW w:w="94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20.2%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160"/>
              <w:spacing w:after="0" w:line="122" w:lineRule="exact"/>
              <w:rPr>
                <w:sz w:val="20"/>
                <w:szCs w:val="20"/>
                <w:color w:val="auto"/>
              </w:rPr>
            </w:pPr>
            <w:r>
              <w:rPr>
                <w:rFonts w:ascii="Arial" w:cs="Arial" w:eastAsia="Arial" w:hAnsi="Arial"/>
                <w:sz w:val="11"/>
                <w:szCs w:val="11"/>
                <w:color w:val="auto"/>
              </w:rPr>
              <w:t>Net gain on foreign exchange transactions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28,907</w:t>
            </w:r>
          </w:p>
        </w:tc>
        <w:tc>
          <w:tcPr>
            <w:tcW w:w="220" w:type="dxa"/>
            <w:vAlign w:val="bottom"/>
          </w:tcPr>
          <w:p>
            <w:pPr>
              <w:spacing w:after="0"/>
              <w:rPr>
                <w:sz w:val="10"/>
                <w:szCs w:val="10"/>
                <w:color w:val="auto"/>
              </w:rPr>
            </w:pP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26,211</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23,256</w:t>
            </w:r>
          </w:p>
        </w:tc>
        <w:tc>
          <w:tcPr>
            <w:tcW w:w="220" w:type="dxa"/>
            <w:vAlign w:val="bottom"/>
          </w:tcPr>
          <w:p>
            <w:pPr>
              <w:spacing w:after="0"/>
              <w:rPr>
                <w:sz w:val="10"/>
                <w:szCs w:val="10"/>
                <w:color w:val="auto"/>
              </w:rPr>
            </w:pPr>
          </w:p>
        </w:tc>
        <w:tc>
          <w:tcPr>
            <w:tcW w:w="10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10.3%</w:t>
            </w:r>
          </w:p>
        </w:tc>
        <w:tc>
          <w:tcPr>
            <w:tcW w:w="22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24.3%</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104,169</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92,389</w:t>
            </w:r>
          </w:p>
        </w:tc>
        <w:tc>
          <w:tcPr>
            <w:tcW w:w="200" w:type="dxa"/>
            <w:vAlign w:val="bottom"/>
          </w:tcPr>
          <w:p>
            <w:pPr>
              <w:spacing w:after="0"/>
              <w:rPr>
                <w:sz w:val="10"/>
                <w:szCs w:val="10"/>
                <w:color w:val="auto"/>
              </w:rPr>
            </w:pPr>
          </w:p>
        </w:tc>
        <w:tc>
          <w:tcPr>
            <w:tcW w:w="9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12.8%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Net gain on sales of securities</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10,725</w:t>
            </w:r>
          </w:p>
        </w:tc>
        <w:tc>
          <w:tcPr>
            <w:tcW w:w="220" w:type="dxa"/>
            <w:vAlign w:val="bottom"/>
            <w:shd w:val="clear" w:color="auto" w:fill="CCFFCC"/>
          </w:tcPr>
          <w:p>
            <w:pPr>
              <w:spacing w:after="0"/>
              <w:rPr>
                <w:sz w:val="10"/>
                <w:szCs w:val="10"/>
                <w:color w:val="auto"/>
              </w:rPr>
            </w:pP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27,894</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10,956</w:t>
            </w:r>
          </w:p>
        </w:tc>
        <w:tc>
          <w:tcPr>
            <w:tcW w:w="220" w:type="dxa"/>
            <w:vAlign w:val="bottom"/>
            <w:shd w:val="clear" w:color="auto" w:fill="CCFFCC"/>
          </w:tcPr>
          <w:p>
            <w:pPr>
              <w:spacing w:after="0"/>
              <w:rPr>
                <w:sz w:val="10"/>
                <w:szCs w:val="10"/>
                <w:color w:val="auto"/>
              </w:rPr>
            </w:pPr>
          </w:p>
        </w:tc>
        <w:tc>
          <w:tcPr>
            <w:tcW w:w="10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-61.5%</w:t>
            </w:r>
          </w:p>
        </w:tc>
        <w:tc>
          <w:tcPr>
            <w:tcW w:w="2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-2.1%</w:t>
            </w: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83,444</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111,106</w:t>
            </w:r>
          </w:p>
        </w:tc>
        <w:tc>
          <w:tcPr>
            <w:tcW w:w="200" w:type="dxa"/>
            <w:vAlign w:val="bottom"/>
            <w:shd w:val="clear" w:color="auto" w:fill="CCFFCC"/>
          </w:tcPr>
          <w:p>
            <w:pPr>
              <w:spacing w:after="0"/>
              <w:rPr>
                <w:sz w:val="10"/>
                <w:szCs w:val="10"/>
                <w:color w:val="auto"/>
              </w:rPr>
            </w:pPr>
          </w:p>
        </w:tc>
        <w:tc>
          <w:tcPr>
            <w:tcW w:w="94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-24.9%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160"/>
              <w:spacing w:after="0" w:line="122" w:lineRule="exact"/>
              <w:rPr>
                <w:sz w:val="20"/>
                <w:szCs w:val="20"/>
                <w:color w:val="auto"/>
              </w:rPr>
            </w:pPr>
            <w:r>
              <w:rPr>
                <w:rFonts w:ascii="Arial" w:cs="Arial" w:eastAsia="Arial" w:hAnsi="Arial"/>
                <w:sz w:val="11"/>
                <w:szCs w:val="11"/>
                <w:color w:val="auto"/>
              </w:rPr>
              <w:t>Other</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16,088</w:t>
            </w:r>
          </w:p>
        </w:tc>
        <w:tc>
          <w:tcPr>
            <w:tcW w:w="220" w:type="dxa"/>
            <w:vAlign w:val="bottom"/>
          </w:tcPr>
          <w:p>
            <w:pPr>
              <w:spacing w:after="0"/>
              <w:rPr>
                <w:sz w:val="10"/>
                <w:szCs w:val="10"/>
                <w:color w:val="auto"/>
              </w:rPr>
            </w:pP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5,069</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13,749</w:t>
            </w:r>
          </w:p>
        </w:tc>
        <w:tc>
          <w:tcPr>
            <w:tcW w:w="220" w:type="dxa"/>
            <w:vAlign w:val="bottom"/>
          </w:tcPr>
          <w:p>
            <w:pPr>
              <w:spacing w:after="0"/>
              <w:rPr>
                <w:sz w:val="10"/>
                <w:szCs w:val="10"/>
                <w:color w:val="auto"/>
              </w:rPr>
            </w:pPr>
          </w:p>
        </w:tc>
        <w:tc>
          <w:tcPr>
            <w:tcW w:w="10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217.4%</w:t>
            </w:r>
          </w:p>
        </w:tc>
        <w:tc>
          <w:tcPr>
            <w:tcW w:w="22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17.0%</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37,707</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40,551</w:t>
            </w:r>
          </w:p>
        </w:tc>
        <w:tc>
          <w:tcPr>
            <w:tcW w:w="200" w:type="dxa"/>
            <w:vAlign w:val="bottom"/>
          </w:tcPr>
          <w:p>
            <w:pPr>
              <w:spacing w:after="0"/>
              <w:rPr>
                <w:sz w:val="10"/>
                <w:szCs w:val="10"/>
                <w:color w:val="auto"/>
              </w:rPr>
            </w:pPr>
          </w:p>
        </w:tc>
        <w:tc>
          <w:tcPr>
            <w:tcW w:w="9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-7.0%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b w:val="1"/>
                <w:bCs w:val="1"/>
                <w:color w:val="auto"/>
              </w:rPr>
              <w:t>Total non financial income, net</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191,866</w:t>
            </w:r>
          </w:p>
        </w:tc>
        <w:tc>
          <w:tcPr>
            <w:tcW w:w="220" w:type="dxa"/>
            <w:vAlign w:val="bottom"/>
            <w:shd w:val="clear" w:color="auto" w:fill="CCFFCC"/>
          </w:tcPr>
          <w:p>
            <w:pPr>
              <w:spacing w:after="0"/>
              <w:rPr>
                <w:sz w:val="10"/>
                <w:szCs w:val="10"/>
                <w:color w:val="auto"/>
              </w:rPr>
            </w:pP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b w:val="1"/>
                <w:bCs w:val="1"/>
                <w:color w:val="auto"/>
              </w:rPr>
              <w:t>193,987</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174,124</w:t>
            </w:r>
          </w:p>
        </w:tc>
        <w:tc>
          <w:tcPr>
            <w:tcW w:w="220" w:type="dxa"/>
            <w:vAlign w:val="bottom"/>
            <w:shd w:val="clear" w:color="auto" w:fill="CCFFCC"/>
          </w:tcPr>
          <w:p>
            <w:pPr>
              <w:spacing w:after="0"/>
              <w:rPr>
                <w:sz w:val="10"/>
                <w:szCs w:val="10"/>
                <w:color w:val="auto"/>
              </w:rPr>
            </w:pPr>
          </w:p>
        </w:tc>
        <w:tc>
          <w:tcPr>
            <w:tcW w:w="10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b w:val="1"/>
                <w:bCs w:val="1"/>
                <w:color w:val="auto"/>
              </w:rPr>
              <w:t>-1.1%</w:t>
            </w:r>
          </w:p>
        </w:tc>
        <w:tc>
          <w:tcPr>
            <w:tcW w:w="2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b w:val="1"/>
                <w:bCs w:val="1"/>
                <w:color w:val="auto"/>
              </w:rPr>
              <w:t>10.2%</w:t>
            </w: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750,215</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680,866</w:t>
            </w:r>
          </w:p>
        </w:tc>
        <w:tc>
          <w:tcPr>
            <w:tcW w:w="200" w:type="dxa"/>
            <w:vAlign w:val="bottom"/>
            <w:shd w:val="clear" w:color="auto" w:fill="CCFFCC"/>
          </w:tcPr>
          <w:p>
            <w:pPr>
              <w:spacing w:after="0"/>
              <w:rPr>
                <w:sz w:val="10"/>
                <w:szCs w:val="10"/>
                <w:color w:val="auto"/>
              </w:rPr>
            </w:pPr>
          </w:p>
        </w:tc>
        <w:tc>
          <w:tcPr>
            <w:tcW w:w="94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b w:val="1"/>
                <w:bCs w:val="1"/>
                <w:color w:val="auto"/>
              </w:rPr>
              <w:t>10.2%</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Insurance premiums and claims</w:t>
            </w: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160"/>
              <w:spacing w:after="0" w:line="122" w:lineRule="exact"/>
              <w:rPr>
                <w:sz w:val="20"/>
                <w:szCs w:val="20"/>
                <w:color w:val="auto"/>
              </w:rPr>
            </w:pPr>
            <w:r>
              <w:rPr>
                <w:rFonts w:ascii="Arial" w:cs="Arial" w:eastAsia="Arial" w:hAnsi="Arial"/>
                <w:sz w:val="11"/>
                <w:szCs w:val="11"/>
                <w:color w:val="auto"/>
              </w:rPr>
              <w:t>Net premiums earned</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126,986</w:t>
            </w:r>
          </w:p>
        </w:tc>
        <w:tc>
          <w:tcPr>
            <w:tcW w:w="220" w:type="dxa"/>
            <w:vAlign w:val="bottom"/>
          </w:tcPr>
          <w:p>
            <w:pPr>
              <w:spacing w:after="0"/>
              <w:rPr>
                <w:sz w:val="10"/>
                <w:szCs w:val="10"/>
                <w:color w:val="auto"/>
              </w:rPr>
            </w:pP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120,702</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115,107</w:t>
            </w:r>
          </w:p>
        </w:tc>
        <w:tc>
          <w:tcPr>
            <w:tcW w:w="220" w:type="dxa"/>
            <w:vAlign w:val="bottom"/>
          </w:tcPr>
          <w:p>
            <w:pPr>
              <w:spacing w:after="0"/>
              <w:rPr>
                <w:sz w:val="10"/>
                <w:szCs w:val="10"/>
                <w:color w:val="auto"/>
              </w:rPr>
            </w:pPr>
          </w:p>
        </w:tc>
        <w:tc>
          <w:tcPr>
            <w:tcW w:w="10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5.2%</w:t>
            </w:r>
          </w:p>
        </w:tc>
        <w:tc>
          <w:tcPr>
            <w:tcW w:w="22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10.3%</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480,293</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424,682</w:t>
            </w:r>
          </w:p>
        </w:tc>
        <w:tc>
          <w:tcPr>
            <w:tcW w:w="200" w:type="dxa"/>
            <w:vAlign w:val="bottom"/>
          </w:tcPr>
          <w:p>
            <w:pPr>
              <w:spacing w:after="0"/>
              <w:rPr>
                <w:sz w:val="10"/>
                <w:szCs w:val="10"/>
                <w:color w:val="auto"/>
              </w:rPr>
            </w:pPr>
          </w:p>
        </w:tc>
        <w:tc>
          <w:tcPr>
            <w:tcW w:w="9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13.1%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Net claims incurred</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(16,650)</w:t>
            </w:r>
          </w:p>
        </w:tc>
        <w:tc>
          <w:tcPr>
            <w:tcW w:w="10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(10,690)</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(7,967)</w:t>
            </w:r>
          </w:p>
        </w:tc>
        <w:tc>
          <w:tcPr>
            <w:tcW w:w="10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55.7%</w:t>
            </w:r>
          </w:p>
        </w:tc>
        <w:tc>
          <w:tcPr>
            <w:tcW w:w="2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109.0%</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(54,914)</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(59,248)</w:t>
            </w:r>
          </w:p>
        </w:tc>
        <w:tc>
          <w:tcPr>
            <w:tcW w:w="94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160"/>
              <w:spacing w:after="0" w:line="122" w:lineRule="exact"/>
              <w:rPr>
                <w:sz w:val="20"/>
                <w:szCs w:val="20"/>
                <w:color w:val="auto"/>
              </w:rPr>
            </w:pPr>
            <w:r>
              <w:rPr>
                <w:rFonts w:ascii="Arial" w:cs="Arial" w:eastAsia="Arial" w:hAnsi="Arial"/>
                <w:sz w:val="11"/>
                <w:szCs w:val="11"/>
                <w:color w:val="auto"/>
              </w:rPr>
              <w:t>Increase in cost for life and health policies</w:t>
            </w: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(67,838)</w:t>
            </w:r>
          </w:p>
        </w:tc>
        <w:tc>
          <w:tcPr>
            <w:tcW w:w="10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(65,793)</w:t>
            </w: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(62,111)</w:t>
            </w:r>
          </w:p>
        </w:tc>
        <w:tc>
          <w:tcPr>
            <w:tcW w:w="10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3.1%</w:t>
            </w:r>
          </w:p>
        </w:tc>
        <w:tc>
          <w:tcPr>
            <w:tcW w:w="22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9.2%</w:t>
            </w: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(260,658)</w:t>
            </w:r>
          </w:p>
        </w:tc>
        <w:tc>
          <w:tcPr>
            <w:tcW w:w="200" w:type="dxa"/>
            <w:vAlign w:val="bottom"/>
          </w:tcPr>
          <w:p>
            <w:pPr>
              <w:spacing w:after="0"/>
              <w:rPr>
                <w:sz w:val="10"/>
                <w:szCs w:val="10"/>
                <w:color w:val="auto"/>
              </w:rPr>
            </w:pPr>
          </w:p>
        </w:tc>
        <w:tc>
          <w:tcPr>
            <w:tcW w:w="8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(227,210)</w:t>
            </w:r>
          </w:p>
        </w:tc>
        <w:tc>
          <w:tcPr>
            <w:tcW w:w="9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14.7%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b w:val="1"/>
                <w:bCs w:val="1"/>
                <w:color w:val="auto"/>
              </w:rPr>
              <w:t>Total other operating income, net</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42,498</w:t>
            </w:r>
          </w:p>
        </w:tc>
        <w:tc>
          <w:tcPr>
            <w:tcW w:w="220" w:type="dxa"/>
            <w:vAlign w:val="bottom"/>
            <w:shd w:val="clear" w:color="auto" w:fill="CCFFCC"/>
          </w:tcPr>
          <w:p>
            <w:pPr>
              <w:spacing w:after="0"/>
              <w:rPr>
                <w:sz w:val="10"/>
                <w:szCs w:val="10"/>
                <w:color w:val="auto"/>
              </w:rPr>
            </w:pP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b w:val="1"/>
                <w:bCs w:val="1"/>
                <w:color w:val="auto"/>
              </w:rPr>
              <w:t>44,220</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45,029</w:t>
            </w:r>
          </w:p>
        </w:tc>
        <w:tc>
          <w:tcPr>
            <w:tcW w:w="220" w:type="dxa"/>
            <w:vAlign w:val="bottom"/>
            <w:shd w:val="clear" w:color="auto" w:fill="CCFFCC"/>
          </w:tcPr>
          <w:p>
            <w:pPr>
              <w:spacing w:after="0"/>
              <w:rPr>
                <w:sz w:val="10"/>
                <w:szCs w:val="10"/>
                <w:color w:val="auto"/>
              </w:rPr>
            </w:pPr>
          </w:p>
        </w:tc>
        <w:tc>
          <w:tcPr>
            <w:tcW w:w="10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b w:val="1"/>
                <w:bCs w:val="1"/>
                <w:color w:val="auto"/>
              </w:rPr>
              <w:t>-3.9%</w:t>
            </w:r>
          </w:p>
        </w:tc>
        <w:tc>
          <w:tcPr>
            <w:tcW w:w="2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b w:val="1"/>
                <w:bCs w:val="1"/>
                <w:color w:val="auto"/>
              </w:rPr>
              <w:t>-5.6%</w:t>
            </w: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164,721</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138,225</w:t>
            </w:r>
          </w:p>
        </w:tc>
        <w:tc>
          <w:tcPr>
            <w:tcW w:w="200" w:type="dxa"/>
            <w:vAlign w:val="bottom"/>
            <w:shd w:val="clear" w:color="auto" w:fill="CCFFCC"/>
          </w:tcPr>
          <w:p>
            <w:pPr>
              <w:spacing w:after="0"/>
              <w:rPr>
                <w:sz w:val="10"/>
                <w:szCs w:val="10"/>
                <w:color w:val="auto"/>
              </w:rPr>
            </w:pPr>
          </w:p>
        </w:tc>
        <w:tc>
          <w:tcPr>
            <w:tcW w:w="94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b w:val="1"/>
                <w:bCs w:val="1"/>
                <w:color w:val="auto"/>
              </w:rPr>
              <w:t>19.2%</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Operating expenses</w:t>
            </w: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160"/>
              <w:spacing w:after="0" w:line="122" w:lineRule="exact"/>
              <w:rPr>
                <w:sz w:val="20"/>
                <w:szCs w:val="20"/>
                <w:color w:val="auto"/>
              </w:rPr>
            </w:pPr>
            <w:r>
              <w:rPr>
                <w:rFonts w:ascii="Arial" w:cs="Arial" w:eastAsia="Arial" w:hAnsi="Arial"/>
                <w:sz w:val="11"/>
                <w:szCs w:val="11"/>
                <w:color w:val="auto"/>
              </w:rPr>
              <w:t>Salaries and employees benefits</w:t>
            </w: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(127,082)</w:t>
            </w:r>
          </w:p>
        </w:tc>
        <w:tc>
          <w:tcPr>
            <w:tcW w:w="10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(115,235)</w:t>
            </w: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(108,303)</w:t>
            </w:r>
          </w:p>
        </w:tc>
        <w:tc>
          <w:tcPr>
            <w:tcW w:w="10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10.3%</w:t>
            </w:r>
          </w:p>
        </w:tc>
        <w:tc>
          <w:tcPr>
            <w:tcW w:w="22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17.3%</w:t>
            </w: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(466,649)</w:t>
            </w:r>
          </w:p>
        </w:tc>
        <w:tc>
          <w:tcPr>
            <w:tcW w:w="200" w:type="dxa"/>
            <w:vAlign w:val="bottom"/>
          </w:tcPr>
          <w:p>
            <w:pPr>
              <w:spacing w:after="0"/>
              <w:rPr>
                <w:sz w:val="10"/>
                <w:szCs w:val="10"/>
                <w:color w:val="auto"/>
              </w:rPr>
            </w:pPr>
          </w:p>
        </w:tc>
        <w:tc>
          <w:tcPr>
            <w:tcW w:w="8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(392,365)</w:t>
            </w:r>
          </w:p>
        </w:tc>
        <w:tc>
          <w:tcPr>
            <w:tcW w:w="9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18.9%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Administrative, general and tax expenses</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(101,194)</w:t>
            </w:r>
          </w:p>
        </w:tc>
        <w:tc>
          <w:tcPr>
            <w:tcW w:w="10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(81,463)</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(93,152)</w:t>
            </w:r>
          </w:p>
        </w:tc>
        <w:tc>
          <w:tcPr>
            <w:tcW w:w="10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24.2%</w:t>
            </w:r>
          </w:p>
        </w:tc>
        <w:tc>
          <w:tcPr>
            <w:tcW w:w="2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8.6%</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(341,123)</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(312,256)</w:t>
            </w:r>
          </w:p>
        </w:tc>
        <w:tc>
          <w:tcPr>
            <w:tcW w:w="94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9.2%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160"/>
              <w:spacing w:after="0" w:line="122" w:lineRule="exact"/>
              <w:rPr>
                <w:sz w:val="20"/>
                <w:szCs w:val="20"/>
                <w:color w:val="auto"/>
              </w:rPr>
            </w:pPr>
            <w:r>
              <w:rPr>
                <w:rFonts w:ascii="Arial" w:cs="Arial" w:eastAsia="Arial" w:hAnsi="Arial"/>
                <w:sz w:val="11"/>
                <w:szCs w:val="11"/>
                <w:color w:val="auto"/>
              </w:rPr>
              <w:t>Depreciation and amortization</w:t>
            </w: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(22,814)</w:t>
            </w:r>
          </w:p>
        </w:tc>
        <w:tc>
          <w:tcPr>
            <w:tcW w:w="10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(21,469)</w:t>
            </w: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(19,890)</w:t>
            </w:r>
          </w:p>
        </w:tc>
        <w:tc>
          <w:tcPr>
            <w:tcW w:w="10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6.3%</w:t>
            </w:r>
          </w:p>
        </w:tc>
        <w:tc>
          <w:tcPr>
            <w:tcW w:w="22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14.7%</w:t>
            </w: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(85,679)</w:t>
            </w:r>
          </w:p>
        </w:tc>
        <w:tc>
          <w:tcPr>
            <w:tcW w:w="200" w:type="dxa"/>
            <w:vAlign w:val="bottom"/>
          </w:tcPr>
          <w:p>
            <w:pPr>
              <w:spacing w:after="0"/>
              <w:rPr>
                <w:sz w:val="10"/>
                <w:szCs w:val="10"/>
                <w:color w:val="auto"/>
              </w:rPr>
            </w:pPr>
          </w:p>
        </w:tc>
        <w:tc>
          <w:tcPr>
            <w:tcW w:w="8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(73,222)</w:t>
            </w:r>
          </w:p>
        </w:tc>
        <w:tc>
          <w:tcPr>
            <w:tcW w:w="9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17.0%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Merger expenses</w:t>
            </w: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0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100.0%</w:t>
            </w:r>
          </w:p>
        </w:tc>
        <w:tc>
          <w:tcPr>
            <w:tcW w:w="2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100.0%</w:t>
            </w: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160"/>
              <w:spacing w:after="0" w:line="122" w:lineRule="exact"/>
              <w:rPr>
                <w:sz w:val="20"/>
                <w:szCs w:val="20"/>
                <w:color w:val="auto"/>
              </w:rPr>
            </w:pPr>
            <w:r>
              <w:rPr>
                <w:rFonts w:ascii="Arial" w:cs="Arial" w:eastAsia="Arial" w:hAnsi="Arial"/>
                <w:sz w:val="11"/>
                <w:szCs w:val="11"/>
                <w:color w:val="auto"/>
              </w:rPr>
              <w:t>Other</w:t>
            </w: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(36,354)</w:t>
            </w:r>
          </w:p>
        </w:tc>
        <w:tc>
          <w:tcPr>
            <w:tcW w:w="10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(25,115)</w:t>
            </w: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(38,719)</w:t>
            </w:r>
          </w:p>
        </w:tc>
        <w:tc>
          <w:tcPr>
            <w:tcW w:w="10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44.8%</w:t>
            </w:r>
          </w:p>
        </w:tc>
        <w:tc>
          <w:tcPr>
            <w:tcW w:w="22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-6.1%</w:t>
            </w: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(110,294)</w:t>
            </w:r>
          </w:p>
        </w:tc>
        <w:tc>
          <w:tcPr>
            <w:tcW w:w="200" w:type="dxa"/>
            <w:vAlign w:val="bottom"/>
          </w:tcPr>
          <w:p>
            <w:pPr>
              <w:spacing w:after="0"/>
              <w:rPr>
                <w:sz w:val="10"/>
                <w:szCs w:val="10"/>
                <w:color w:val="auto"/>
              </w:rPr>
            </w:pPr>
          </w:p>
        </w:tc>
        <w:tc>
          <w:tcPr>
            <w:tcW w:w="8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(120,797)</w:t>
            </w:r>
          </w:p>
        </w:tc>
        <w:tc>
          <w:tcPr>
            <w:tcW w:w="9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-8.7%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b w:val="1"/>
                <w:bCs w:val="1"/>
                <w:color w:val="auto"/>
              </w:rPr>
              <w:t>Total operating expenses</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b w:val="1"/>
                <w:bCs w:val="1"/>
                <w:color w:val="auto"/>
              </w:rPr>
              <w:t>(287,444)</w:t>
            </w:r>
          </w:p>
        </w:tc>
        <w:tc>
          <w:tcPr>
            <w:tcW w:w="10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b w:val="1"/>
                <w:bCs w:val="1"/>
                <w:color w:val="auto"/>
              </w:rPr>
              <w:t>(243,281)</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b w:val="1"/>
                <w:bCs w:val="1"/>
                <w:color w:val="auto"/>
              </w:rPr>
              <w:t>(260,064)</w:t>
            </w:r>
          </w:p>
        </w:tc>
        <w:tc>
          <w:tcPr>
            <w:tcW w:w="10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b w:val="1"/>
                <w:bCs w:val="1"/>
                <w:color w:val="auto"/>
              </w:rPr>
              <w:t>18.2%</w:t>
            </w:r>
          </w:p>
        </w:tc>
        <w:tc>
          <w:tcPr>
            <w:tcW w:w="2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b w:val="1"/>
                <w:bCs w:val="1"/>
                <w:color w:val="auto"/>
              </w:rPr>
              <w:t>10.5%</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b w:val="1"/>
                <w:bCs w:val="1"/>
                <w:color w:val="auto"/>
              </w:rPr>
              <w:t>(1,003,744)</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b w:val="1"/>
                <w:bCs w:val="1"/>
                <w:color w:val="auto"/>
              </w:rPr>
              <w:t>(898,639)</w:t>
            </w:r>
          </w:p>
        </w:tc>
        <w:tc>
          <w:tcPr>
            <w:tcW w:w="94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b w:val="1"/>
                <w:bCs w:val="1"/>
                <w:color w:val="auto"/>
              </w:rPr>
              <w:t>11.7%</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Operating Income*</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180,747</w:t>
            </w:r>
          </w:p>
        </w:tc>
        <w:tc>
          <w:tcPr>
            <w:tcW w:w="220" w:type="dxa"/>
            <w:vAlign w:val="bottom"/>
            <w:shd w:val="clear" w:color="auto" w:fill="CCFFCC"/>
          </w:tcPr>
          <w:p>
            <w:pPr>
              <w:spacing w:after="0"/>
              <w:rPr>
                <w:sz w:val="10"/>
                <w:szCs w:val="10"/>
                <w:color w:val="auto"/>
              </w:rPr>
            </w:pP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b w:val="1"/>
                <w:bCs w:val="1"/>
                <w:color w:val="auto"/>
              </w:rPr>
              <w:t>214,060</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153,008</w:t>
            </w:r>
          </w:p>
        </w:tc>
        <w:tc>
          <w:tcPr>
            <w:tcW w:w="220" w:type="dxa"/>
            <w:vAlign w:val="bottom"/>
            <w:shd w:val="clear" w:color="auto" w:fill="CCFFCC"/>
          </w:tcPr>
          <w:p>
            <w:pPr>
              <w:spacing w:after="0"/>
              <w:rPr>
                <w:sz w:val="10"/>
                <w:szCs w:val="10"/>
                <w:color w:val="auto"/>
              </w:rPr>
            </w:pPr>
          </w:p>
        </w:tc>
        <w:tc>
          <w:tcPr>
            <w:tcW w:w="10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b w:val="1"/>
                <w:bCs w:val="1"/>
                <w:color w:val="auto"/>
              </w:rPr>
              <w:t>-15.6%</w:t>
            </w:r>
          </w:p>
        </w:tc>
        <w:tc>
          <w:tcPr>
            <w:tcW w:w="2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b w:val="1"/>
                <w:bCs w:val="1"/>
                <w:color w:val="auto"/>
              </w:rPr>
              <w:t>18.1%</w:t>
            </w: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794,097</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648,977</w:t>
            </w:r>
          </w:p>
        </w:tc>
        <w:tc>
          <w:tcPr>
            <w:tcW w:w="200" w:type="dxa"/>
            <w:vAlign w:val="bottom"/>
            <w:shd w:val="clear" w:color="auto" w:fill="CCFFCC"/>
          </w:tcPr>
          <w:p>
            <w:pPr>
              <w:spacing w:after="0"/>
              <w:rPr>
                <w:sz w:val="10"/>
                <w:szCs w:val="10"/>
                <w:color w:val="auto"/>
              </w:rPr>
            </w:pPr>
          </w:p>
        </w:tc>
        <w:tc>
          <w:tcPr>
            <w:tcW w:w="94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b w:val="1"/>
                <w:bCs w:val="1"/>
                <w:color w:val="auto"/>
              </w:rPr>
              <w:t>22.4%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160"/>
              <w:spacing w:after="0" w:line="122" w:lineRule="exact"/>
              <w:rPr>
                <w:sz w:val="20"/>
                <w:szCs w:val="20"/>
                <w:color w:val="auto"/>
              </w:rPr>
            </w:pPr>
            <w:r>
              <w:rPr>
                <w:rFonts w:ascii="Arial" w:cs="Arial" w:eastAsia="Arial" w:hAnsi="Arial"/>
                <w:sz w:val="11"/>
                <w:szCs w:val="11"/>
                <w:color w:val="auto"/>
              </w:rPr>
              <w:t>Translation result</w:t>
            </w: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(7,074)</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14,467</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1,075</w:t>
            </w:r>
          </w:p>
        </w:tc>
        <w:tc>
          <w:tcPr>
            <w:tcW w:w="220" w:type="dxa"/>
            <w:vAlign w:val="bottom"/>
          </w:tcPr>
          <w:p>
            <w:pPr>
              <w:spacing w:after="0"/>
              <w:rPr>
                <w:sz w:val="10"/>
                <w:szCs w:val="10"/>
                <w:color w:val="auto"/>
              </w:rPr>
            </w:pPr>
          </w:p>
        </w:tc>
        <w:tc>
          <w:tcPr>
            <w:tcW w:w="10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-148.9%</w:t>
            </w:r>
          </w:p>
        </w:tc>
        <w:tc>
          <w:tcPr>
            <w:tcW w:w="22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-758.2%</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24,128</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12,371</w:t>
            </w:r>
          </w:p>
        </w:tc>
        <w:tc>
          <w:tcPr>
            <w:tcW w:w="200" w:type="dxa"/>
            <w:vAlign w:val="bottom"/>
          </w:tcPr>
          <w:p>
            <w:pPr>
              <w:spacing w:after="0"/>
              <w:rPr>
                <w:sz w:val="10"/>
                <w:szCs w:val="10"/>
                <w:color w:val="auto"/>
              </w:rPr>
            </w:pPr>
          </w:p>
        </w:tc>
        <w:tc>
          <w:tcPr>
            <w:tcW w:w="9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95.0%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Workers’ profit sharing</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(5,696)</w:t>
            </w:r>
          </w:p>
        </w:tc>
        <w:tc>
          <w:tcPr>
            <w:tcW w:w="10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(8,039)</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(1,734)</w:t>
            </w:r>
          </w:p>
        </w:tc>
        <w:tc>
          <w:tcPr>
            <w:tcW w:w="10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-29.1%</w:t>
            </w:r>
          </w:p>
        </w:tc>
        <w:tc>
          <w:tcPr>
            <w:tcW w:w="2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228.5%</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(27,828)</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(18,412)</w:t>
            </w:r>
          </w:p>
        </w:tc>
        <w:tc>
          <w:tcPr>
            <w:tcW w:w="94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51.1%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160"/>
              <w:spacing w:after="0" w:line="122" w:lineRule="exact"/>
              <w:rPr>
                <w:sz w:val="20"/>
                <w:szCs w:val="20"/>
                <w:color w:val="auto"/>
              </w:rPr>
            </w:pPr>
            <w:r>
              <w:rPr>
                <w:rFonts w:ascii="Arial" w:cs="Arial" w:eastAsia="Arial" w:hAnsi="Arial"/>
                <w:sz w:val="11"/>
                <w:szCs w:val="11"/>
                <w:color w:val="auto"/>
              </w:rPr>
              <w:t>Income taxes</w:t>
            </w: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(35,759)</w:t>
            </w:r>
          </w:p>
        </w:tc>
        <w:tc>
          <w:tcPr>
            <w:tcW w:w="10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(54,902)</w:t>
            </w: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(19,378)</w:t>
            </w:r>
          </w:p>
        </w:tc>
        <w:tc>
          <w:tcPr>
            <w:tcW w:w="10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-34.9%</w:t>
            </w:r>
          </w:p>
        </w:tc>
        <w:tc>
          <w:tcPr>
            <w:tcW w:w="22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84.5%</w:t>
            </w: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(187,081)</w:t>
            </w:r>
          </w:p>
        </w:tc>
        <w:tc>
          <w:tcPr>
            <w:tcW w:w="200" w:type="dxa"/>
            <w:vAlign w:val="bottom"/>
          </w:tcPr>
          <w:p>
            <w:pPr>
              <w:spacing w:after="0"/>
              <w:rPr>
                <w:sz w:val="10"/>
                <w:szCs w:val="10"/>
                <w:color w:val="auto"/>
              </w:rPr>
            </w:pPr>
          </w:p>
        </w:tc>
        <w:tc>
          <w:tcPr>
            <w:tcW w:w="8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(138,500)</w:t>
            </w:r>
          </w:p>
        </w:tc>
        <w:tc>
          <w:tcPr>
            <w:tcW w:w="9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35.1%</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3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b w:val="1"/>
                <w:bCs w:val="1"/>
                <w:color w:val="auto"/>
              </w:rPr>
              <w:t>Net income</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132,217</w:t>
            </w:r>
          </w:p>
        </w:tc>
        <w:tc>
          <w:tcPr>
            <w:tcW w:w="220" w:type="dxa"/>
            <w:vAlign w:val="bottom"/>
          </w:tcPr>
          <w:p>
            <w:pPr>
              <w:spacing w:after="0"/>
              <w:rPr>
                <w:sz w:val="10"/>
                <w:szCs w:val="10"/>
                <w:color w:val="auto"/>
              </w:rPr>
            </w:pP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165,586</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132,971</w:t>
            </w:r>
          </w:p>
        </w:tc>
        <w:tc>
          <w:tcPr>
            <w:tcW w:w="220" w:type="dxa"/>
            <w:vAlign w:val="bottom"/>
          </w:tcPr>
          <w:p>
            <w:pPr>
              <w:spacing w:after="0"/>
              <w:rPr>
                <w:sz w:val="10"/>
                <w:szCs w:val="10"/>
                <w:color w:val="auto"/>
              </w:rPr>
            </w:pPr>
          </w:p>
        </w:tc>
        <w:tc>
          <w:tcPr>
            <w:tcW w:w="104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rPr>
              <w:t>-20.2%</w:t>
            </w:r>
          </w:p>
        </w:tc>
        <w:tc>
          <w:tcPr>
            <w:tcW w:w="22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rPr>
              <w:t>-0.6%</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603,315</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504,435</w:t>
            </w:r>
          </w:p>
        </w:tc>
        <w:tc>
          <w:tcPr>
            <w:tcW w:w="200" w:type="dxa"/>
            <w:vAlign w:val="bottom"/>
          </w:tcPr>
          <w:p>
            <w:pPr>
              <w:spacing w:after="0"/>
              <w:rPr>
                <w:sz w:val="10"/>
                <w:szCs w:val="10"/>
                <w:color w:val="auto"/>
              </w:rPr>
            </w:pPr>
          </w:p>
        </w:tc>
        <w:tc>
          <w:tcPr>
            <w:tcW w:w="940" w:type="dxa"/>
            <w:vAlign w:val="bottom"/>
            <w:gridSpan w:val="2"/>
          </w:tcPr>
          <w:p>
            <w:pPr>
              <w:jc w:val="right"/>
              <w:ind w:right="20"/>
              <w:spacing w:after="0" w:line="122" w:lineRule="exact"/>
              <w:rPr>
                <w:sz w:val="20"/>
                <w:szCs w:val="20"/>
                <w:color w:val="auto"/>
              </w:rPr>
            </w:pPr>
            <w:r>
              <w:rPr>
                <w:rFonts w:ascii="Arial" w:cs="Arial" w:eastAsia="Arial" w:hAnsi="Arial"/>
                <w:sz w:val="11"/>
                <w:szCs w:val="11"/>
                <w:b w:val="1"/>
                <w:bCs w:val="1"/>
                <w:color w:val="auto"/>
              </w:rPr>
              <w:t>19.6%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Minority interest</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2,935</w:t>
            </w:r>
          </w:p>
        </w:tc>
        <w:tc>
          <w:tcPr>
            <w:tcW w:w="220" w:type="dxa"/>
            <w:vAlign w:val="bottom"/>
            <w:shd w:val="clear" w:color="auto" w:fill="CCFFCC"/>
          </w:tcPr>
          <w:p>
            <w:pPr>
              <w:spacing w:after="0"/>
              <w:rPr>
                <w:sz w:val="10"/>
                <w:szCs w:val="10"/>
                <w:color w:val="auto"/>
              </w:rPr>
            </w:pP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9,360</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10,675</w:t>
            </w:r>
          </w:p>
        </w:tc>
        <w:tc>
          <w:tcPr>
            <w:tcW w:w="220" w:type="dxa"/>
            <w:vAlign w:val="bottom"/>
            <w:shd w:val="clear" w:color="auto" w:fill="CCFFCC"/>
          </w:tcPr>
          <w:p>
            <w:pPr>
              <w:spacing w:after="0"/>
              <w:rPr>
                <w:sz w:val="10"/>
                <w:szCs w:val="10"/>
                <w:color w:val="auto"/>
              </w:rPr>
            </w:pPr>
          </w:p>
        </w:tc>
        <w:tc>
          <w:tcPr>
            <w:tcW w:w="10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-68.6%</w:t>
            </w:r>
          </w:p>
        </w:tc>
        <w:tc>
          <w:tcPr>
            <w:tcW w:w="2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-72.5%</w:t>
            </w: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32,013</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34,651</w:t>
            </w:r>
          </w:p>
        </w:tc>
        <w:tc>
          <w:tcPr>
            <w:tcW w:w="200" w:type="dxa"/>
            <w:vAlign w:val="bottom"/>
            <w:shd w:val="clear" w:color="auto" w:fill="CCFFCC"/>
          </w:tcPr>
          <w:p>
            <w:pPr>
              <w:spacing w:after="0"/>
              <w:rPr>
                <w:sz w:val="10"/>
                <w:szCs w:val="10"/>
                <w:color w:val="auto"/>
              </w:rPr>
            </w:pPr>
          </w:p>
        </w:tc>
        <w:tc>
          <w:tcPr>
            <w:tcW w:w="94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-7.6%</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Net income attributed to Credicorp</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129,282</w:t>
            </w:r>
          </w:p>
        </w:tc>
        <w:tc>
          <w:tcPr>
            <w:tcW w:w="220" w:type="dxa"/>
            <w:vAlign w:val="bottom"/>
            <w:shd w:val="clear" w:color="auto" w:fill="CCFFCC"/>
          </w:tcPr>
          <w:p>
            <w:pPr>
              <w:spacing w:after="0"/>
              <w:rPr>
                <w:sz w:val="10"/>
                <w:szCs w:val="10"/>
                <w:color w:val="auto"/>
              </w:rPr>
            </w:pP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b w:val="1"/>
                <w:bCs w:val="1"/>
                <w:color w:val="auto"/>
              </w:rPr>
              <w:t>156,226</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122,296</w:t>
            </w:r>
          </w:p>
        </w:tc>
        <w:tc>
          <w:tcPr>
            <w:tcW w:w="220" w:type="dxa"/>
            <w:vAlign w:val="bottom"/>
            <w:shd w:val="clear" w:color="auto" w:fill="CCFFCC"/>
          </w:tcPr>
          <w:p>
            <w:pPr>
              <w:spacing w:after="0"/>
              <w:rPr>
                <w:sz w:val="10"/>
                <w:szCs w:val="10"/>
                <w:color w:val="auto"/>
              </w:rPr>
            </w:pPr>
          </w:p>
        </w:tc>
        <w:tc>
          <w:tcPr>
            <w:tcW w:w="10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b w:val="1"/>
                <w:bCs w:val="1"/>
                <w:color w:val="auto"/>
              </w:rPr>
              <w:t>-17.2%</w:t>
            </w:r>
          </w:p>
        </w:tc>
        <w:tc>
          <w:tcPr>
            <w:tcW w:w="2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b w:val="1"/>
                <w:bCs w:val="1"/>
                <w:color w:val="auto"/>
              </w:rPr>
              <w:t>5.7%</w:t>
            </w: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571,302</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469,783</w:t>
            </w:r>
          </w:p>
        </w:tc>
        <w:tc>
          <w:tcPr>
            <w:tcW w:w="200" w:type="dxa"/>
            <w:vAlign w:val="bottom"/>
            <w:shd w:val="clear" w:color="auto" w:fill="CCFFCC"/>
          </w:tcPr>
          <w:p>
            <w:pPr>
              <w:spacing w:after="0"/>
              <w:rPr>
                <w:sz w:val="10"/>
                <w:szCs w:val="10"/>
                <w:color w:val="auto"/>
              </w:rPr>
            </w:pPr>
          </w:p>
        </w:tc>
        <w:tc>
          <w:tcPr>
            <w:tcW w:w="94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b w:val="1"/>
                <w:bCs w:val="1"/>
                <w:color w:val="auto"/>
              </w:rPr>
              <w:t>21.6%</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*Income before translation results, workers' profit sharing and income taxes.</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1" w:name="page42"/>
    <w:bookmarkEnd w:id="41"/>
    <w:p>
      <w:pPr>
        <w:ind w:left="4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CREDICORP LTD. AND SUBSIDIARIES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SELECTED FINANCIAL INDICATORS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4Q10</w:t>
            </w: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Quarter</w:t>
            </w:r>
          </w:p>
        </w:tc>
        <w:tc>
          <w:tcPr>
            <w:tcW w:w="13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4Q09</w:t>
            </w:r>
          </w:p>
        </w:tc>
        <w:tc>
          <w:tcPr>
            <w:tcW w:w="1660" w:type="dxa"/>
            <w:vAlign w:val="bottom"/>
            <w:gridSpan w:val="3"/>
          </w:tcPr>
          <w:p>
            <w:pPr>
              <w:ind w:left="900"/>
              <w:spacing w:after="0"/>
              <w:rPr>
                <w:sz w:val="20"/>
                <w:szCs w:val="20"/>
                <w:color w:val="auto"/>
              </w:rPr>
            </w:pPr>
            <w:r>
              <w:rPr>
                <w:rFonts w:ascii="Arial" w:cs="Arial" w:eastAsia="Arial" w:hAnsi="Arial"/>
                <w:sz w:val="14"/>
                <w:szCs w:val="14"/>
                <w:b w:val="1"/>
                <w:bCs w:val="1"/>
                <w:color w:val="auto"/>
                <w:w w:val="97"/>
              </w:rPr>
              <w:t>Year ended</w:t>
            </w:r>
          </w:p>
        </w:tc>
        <w:tc>
          <w:tcPr>
            <w:tcW w:w="9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Dec 09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3Q10</w:t>
            </w:r>
          </w:p>
        </w:tc>
        <w:tc>
          <w:tcPr>
            <w:tcW w:w="1360" w:type="dxa"/>
            <w:vAlign w:val="bottom"/>
            <w:gridSpan w:val="2"/>
            <w:vMerge w:val="continue"/>
          </w:tcPr>
          <w:p>
            <w:pPr>
              <w:spacing w:after="0"/>
              <w:rPr>
                <w:sz w:val="15"/>
                <w:szCs w:val="15"/>
                <w:color w:val="auto"/>
              </w:rPr>
            </w:pPr>
          </w:p>
        </w:tc>
        <w:tc>
          <w:tcPr>
            <w:tcW w:w="1660" w:type="dxa"/>
            <w:vAlign w:val="bottom"/>
            <w:gridSpan w:val="3"/>
          </w:tcPr>
          <w:p>
            <w:pPr>
              <w:ind w:left="360"/>
              <w:spacing w:after="0"/>
              <w:rPr>
                <w:sz w:val="20"/>
                <w:szCs w:val="20"/>
                <w:color w:val="auto"/>
              </w:rPr>
            </w:pPr>
            <w:r>
              <w:rPr>
                <w:rFonts w:ascii="Arial" w:cs="Arial" w:eastAsia="Arial" w:hAnsi="Arial"/>
                <w:sz w:val="14"/>
                <w:szCs w:val="14"/>
                <w:b w:val="1"/>
                <w:bCs w:val="1"/>
                <w:color w:val="auto"/>
              </w:rPr>
              <w:t>Dec 10</w:t>
            </w: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Profitability</w:t>
            </w:r>
          </w:p>
        </w:tc>
        <w:tc>
          <w:tcPr>
            <w:tcW w:w="11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2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300" w:type="dxa"/>
            <w:vAlign w:val="bottom"/>
            <w:tcBorders>
              <w:top w:val="single" w:sz="8" w:color="auto"/>
            </w:tcBorders>
            <w:shd w:val="clear" w:color="auto" w:fill="CCFFCC"/>
          </w:tcPr>
          <w:p>
            <w:pPr>
              <w:spacing w:after="0"/>
              <w:rPr>
                <w:sz w:val="12"/>
                <w:szCs w:val="12"/>
                <w:color w:val="auto"/>
              </w:rPr>
            </w:pPr>
          </w:p>
        </w:tc>
        <w:tc>
          <w:tcPr>
            <w:tcW w:w="84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Net income per common share (US$ per share)(1)</w:t>
            </w:r>
          </w:p>
        </w:tc>
        <w:tc>
          <w:tcPr>
            <w:tcW w:w="13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1.62</w:t>
            </w: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1.96</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1.53</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7.16</w:t>
            </w:r>
          </w:p>
        </w:tc>
        <w:tc>
          <w:tcPr>
            <w:tcW w:w="3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interest margin on interest earning assets (2)</w:t>
            </w:r>
          </w:p>
        </w:tc>
        <w:tc>
          <w:tcPr>
            <w:tcW w:w="13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4.62%</w:t>
            </w:r>
          </w:p>
        </w:tc>
        <w:tc>
          <w:tcPr>
            <w:tcW w:w="13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4.85%</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5.06%</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4.83%</w:t>
            </w:r>
          </w:p>
        </w:tc>
        <w:tc>
          <w:tcPr>
            <w:tcW w:w="30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Return on average total assets (2)(3)</w:t>
            </w:r>
          </w:p>
        </w:tc>
        <w:tc>
          <w:tcPr>
            <w:tcW w:w="1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1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3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Return on average shareholders' equity (2)(3)</w:t>
            </w:r>
          </w:p>
        </w:tc>
        <w:tc>
          <w:tcPr>
            <w:tcW w:w="13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18.7%</w:t>
            </w:r>
          </w:p>
        </w:tc>
        <w:tc>
          <w:tcPr>
            <w:tcW w:w="13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24.4%</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22.0%</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22.7%</w:t>
            </w:r>
          </w:p>
        </w:tc>
        <w:tc>
          <w:tcPr>
            <w:tcW w:w="30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No. of outstanding shares (million)(4)</w:t>
            </w:r>
          </w:p>
        </w:tc>
        <w:tc>
          <w:tcPr>
            <w:tcW w:w="13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79.76</w:t>
            </w: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79.76</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79.76</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79.76</w:t>
            </w:r>
          </w:p>
        </w:tc>
        <w:tc>
          <w:tcPr>
            <w:tcW w:w="3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79.76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Quality of loan portfolio</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Past due loans as a percentage of total loans</w:t>
            </w:r>
          </w:p>
        </w:tc>
        <w:tc>
          <w:tcPr>
            <w:tcW w:w="13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1.46%</w:t>
            </w:r>
          </w:p>
        </w:tc>
        <w:tc>
          <w:tcPr>
            <w:tcW w:w="13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1.59%</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1.59%</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1.46%</w:t>
            </w:r>
          </w:p>
        </w:tc>
        <w:tc>
          <w:tcPr>
            <w:tcW w:w="30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Reserves for loan losses as a percentage of total past due loans</w:t>
            </w:r>
          </w:p>
        </w:tc>
        <w:tc>
          <w:tcPr>
            <w:tcW w:w="1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198.2%</w:t>
            </w:r>
          </w:p>
        </w:tc>
        <w:tc>
          <w:tcPr>
            <w:tcW w:w="1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193.1%</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192.0%</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198.2%</w:t>
            </w:r>
          </w:p>
        </w:tc>
        <w:tc>
          <w:tcPr>
            <w:tcW w:w="3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Reserves for loan losses as a percentage of total loans</w:t>
            </w:r>
          </w:p>
        </w:tc>
        <w:tc>
          <w:tcPr>
            <w:tcW w:w="13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13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3.1%</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3.1%</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30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efficiency</w:t>
            </w:r>
          </w:p>
        </w:tc>
        <w:tc>
          <w:tcPr>
            <w:tcW w:w="11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Oper. expenses as a percent. of total income (5)</w:t>
            </w:r>
          </w:p>
        </w:tc>
        <w:tc>
          <w:tcPr>
            <w:tcW w:w="1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43.7%</w:t>
            </w:r>
          </w:p>
        </w:tc>
        <w:tc>
          <w:tcPr>
            <w:tcW w:w="1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39.4%</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44.0%</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41.2%</w:t>
            </w:r>
          </w:p>
        </w:tc>
        <w:tc>
          <w:tcPr>
            <w:tcW w:w="3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Oper. expenses as a percent. of av. tot. Assets (2)(3)(5)</w:t>
            </w:r>
          </w:p>
        </w:tc>
        <w:tc>
          <w:tcPr>
            <w:tcW w:w="13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3.6%</w:t>
            </w:r>
          </w:p>
        </w:tc>
        <w:tc>
          <w:tcPr>
            <w:tcW w:w="13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4.1%</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3.5%</w:t>
            </w:r>
          </w:p>
        </w:tc>
        <w:tc>
          <w:tcPr>
            <w:tcW w:w="30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Average balances (US$ million) (3)</w:t>
            </w:r>
          </w:p>
        </w:tc>
        <w:tc>
          <w:tcPr>
            <w:tcW w:w="11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Interest earning assets</w:t>
            </w:r>
          </w:p>
        </w:tc>
        <w:tc>
          <w:tcPr>
            <w:tcW w:w="13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24,428.32</w:t>
            </w: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22,400.67</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18,805.21</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21,874.45</w:t>
            </w: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18,369.45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 assets</w:t>
            </w:r>
          </w:p>
        </w:tc>
        <w:tc>
          <w:tcPr>
            <w:tcW w:w="13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27,525.77</w:t>
            </w:r>
          </w:p>
        </w:tc>
        <w:tc>
          <w:tcPr>
            <w:tcW w:w="13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25,214.79</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21,400.28</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25,590.63</w:t>
            </w:r>
          </w:p>
        </w:tc>
        <w:tc>
          <w:tcPr>
            <w:tcW w:w="30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21,192.88</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680" w:type="dxa"/>
            <w:vAlign w:val="bottom"/>
          </w:tcPr>
          <w:p>
            <w:pPr>
              <w:ind w:left="160"/>
              <w:spacing w:after="0" w:line="150" w:lineRule="exact"/>
              <w:rPr>
                <w:sz w:val="20"/>
                <w:szCs w:val="20"/>
                <w:color w:val="auto"/>
              </w:rPr>
            </w:pPr>
            <w:r>
              <w:rPr>
                <w:rFonts w:ascii="Arial" w:cs="Arial" w:eastAsia="Arial" w:hAnsi="Arial"/>
                <w:sz w:val="14"/>
                <w:szCs w:val="14"/>
                <w:color w:val="auto"/>
              </w:rPr>
              <w:t>Net shareholder´s equity</w:t>
            </w:r>
          </w:p>
        </w:tc>
        <w:tc>
          <w:tcPr>
            <w:tcW w:w="1380" w:type="dxa"/>
            <w:vAlign w:val="bottom"/>
            <w:gridSpan w:val="2"/>
          </w:tcPr>
          <w:p>
            <w:pPr>
              <w:jc w:val="right"/>
              <w:ind w:right="240"/>
              <w:spacing w:after="0" w:line="150" w:lineRule="exact"/>
              <w:rPr>
                <w:sz w:val="20"/>
                <w:szCs w:val="20"/>
                <w:color w:val="auto"/>
              </w:rPr>
            </w:pPr>
            <w:r>
              <w:rPr>
                <w:rFonts w:ascii="Arial" w:cs="Arial" w:eastAsia="Arial" w:hAnsi="Arial"/>
                <w:sz w:val="14"/>
                <w:szCs w:val="14"/>
                <w:color w:val="auto"/>
              </w:rPr>
              <w:t>2,763.84</w:t>
            </w:r>
          </w:p>
        </w:tc>
        <w:tc>
          <w:tcPr>
            <w:tcW w:w="1360" w:type="dxa"/>
            <w:vAlign w:val="bottom"/>
            <w:gridSpan w:val="2"/>
          </w:tcPr>
          <w:p>
            <w:pPr>
              <w:jc w:val="right"/>
              <w:ind w:right="240"/>
              <w:spacing w:after="0" w:line="150" w:lineRule="exact"/>
              <w:rPr>
                <w:sz w:val="20"/>
                <w:szCs w:val="20"/>
                <w:color w:val="auto"/>
              </w:rPr>
            </w:pPr>
            <w:r>
              <w:rPr>
                <w:rFonts w:ascii="Arial" w:cs="Arial" w:eastAsia="Arial" w:hAnsi="Arial"/>
                <w:sz w:val="14"/>
                <w:szCs w:val="14"/>
                <w:color w:val="auto"/>
              </w:rPr>
              <w:t>2,561.19</w:t>
            </w:r>
          </w:p>
        </w:tc>
        <w:tc>
          <w:tcPr>
            <w:tcW w:w="1360" w:type="dxa"/>
            <w:vAlign w:val="bottom"/>
            <w:gridSpan w:val="2"/>
          </w:tcPr>
          <w:p>
            <w:pPr>
              <w:jc w:val="right"/>
              <w:ind w:right="220"/>
              <w:spacing w:after="0" w:line="150" w:lineRule="exact"/>
              <w:rPr>
                <w:sz w:val="20"/>
                <w:szCs w:val="20"/>
                <w:color w:val="auto"/>
              </w:rPr>
            </w:pPr>
            <w:r>
              <w:rPr>
                <w:rFonts w:ascii="Arial" w:cs="Arial" w:eastAsia="Arial" w:hAnsi="Arial"/>
                <w:sz w:val="14"/>
                <w:szCs w:val="14"/>
                <w:color w:val="auto"/>
              </w:rPr>
              <w:t>2,223.48</w:t>
            </w:r>
          </w:p>
        </w:tc>
        <w:tc>
          <w:tcPr>
            <w:tcW w:w="1360" w:type="dxa"/>
            <w:vAlign w:val="bottom"/>
            <w:gridSpan w:val="2"/>
          </w:tcPr>
          <w:p>
            <w:pPr>
              <w:jc w:val="right"/>
              <w:ind w:right="220"/>
              <w:spacing w:after="0" w:line="150" w:lineRule="exact"/>
              <w:rPr>
                <w:sz w:val="20"/>
                <w:szCs w:val="20"/>
                <w:color w:val="auto"/>
              </w:rPr>
            </w:pPr>
            <w:r>
              <w:rPr>
                <w:rFonts w:ascii="Arial" w:cs="Arial" w:eastAsia="Arial" w:hAnsi="Arial"/>
                <w:sz w:val="14"/>
                <w:szCs w:val="14"/>
                <w:color w:val="auto"/>
              </w:rPr>
              <w:t>2,561.32</w:t>
            </w:r>
          </w:p>
        </w:tc>
        <w:tc>
          <w:tcPr>
            <w:tcW w:w="300" w:type="dxa"/>
            <w:vAlign w:val="bottom"/>
          </w:tcPr>
          <w:p>
            <w:pPr>
              <w:spacing w:after="0"/>
              <w:rPr>
                <w:sz w:val="13"/>
                <w:szCs w:val="13"/>
                <w:color w:val="auto"/>
              </w:rPr>
            </w:pPr>
          </w:p>
        </w:tc>
        <w:tc>
          <w:tcPr>
            <w:tcW w:w="960" w:type="dxa"/>
            <w:vAlign w:val="bottom"/>
            <w:gridSpan w:val="2"/>
          </w:tcPr>
          <w:p>
            <w:pPr>
              <w:jc w:val="right"/>
              <w:ind w:right="120"/>
              <w:spacing w:after="0" w:line="150" w:lineRule="exact"/>
              <w:rPr>
                <w:sz w:val="20"/>
                <w:szCs w:val="20"/>
                <w:color w:val="auto"/>
              </w:rPr>
            </w:pPr>
            <w:r>
              <w:rPr>
                <w:rFonts w:ascii="Arial" w:cs="Arial" w:eastAsia="Arial" w:hAnsi="Arial"/>
                <w:sz w:val="14"/>
                <w:szCs w:val="14"/>
                <w:color w:val="auto"/>
              </w:rPr>
              <w:t>2,011.97</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Based on Net Income attributed to BAP. Number of shares outstanding of 79.8 million in all periods.</w:t>
      </w:r>
    </w:p>
    <w:p>
      <w:pPr>
        <w:spacing w:after="0" w:line="7" w:lineRule="exact"/>
        <w:rPr>
          <w:rFonts w:ascii="Arial" w:cs="Arial" w:eastAsia="Arial" w:hAnsi="Arial"/>
          <w:sz w:val="18"/>
          <w:szCs w:val="18"/>
          <w:i w:val="1"/>
          <w:iCs w:val="1"/>
          <w:color w:val="auto"/>
        </w:rPr>
      </w:pPr>
    </w:p>
    <w:p>
      <w:pPr>
        <w:ind w:left="340" w:hanging="332"/>
        <w:spacing w:after="0"/>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Net of treasury shares. The total number of shares was of 94.38 million.</w:t>
      </w:r>
    </w:p>
    <w:p>
      <w:pPr>
        <w:spacing w:after="0" w:line="9" w:lineRule="exact"/>
        <w:rPr>
          <w:rFonts w:ascii="Arial" w:cs="Arial" w:eastAsia="Arial" w:hAnsi="Arial"/>
          <w:sz w:val="18"/>
          <w:szCs w:val="18"/>
          <w:i w:val="1"/>
          <w:iCs w:val="1"/>
          <w:color w:val="auto"/>
        </w:rPr>
      </w:pPr>
    </w:p>
    <w:p>
      <w:pPr>
        <w:ind w:right="2200" w:firstLine="8"/>
        <w:spacing w:after="0" w:line="261" w:lineRule="auto"/>
        <w:tabs>
          <w:tab w:leader="none" w:pos="324"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net gain on foreign exchange transactions and net premiums earned. Operating expenses do not include other expenses.</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 IFRS)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Dec 10</w:t>
            </w: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As of</w:t>
            </w:r>
          </w:p>
        </w:tc>
        <w:tc>
          <w:tcPr>
            <w:tcW w:w="12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Dec 09</w:t>
            </w:r>
          </w:p>
        </w:tc>
        <w:tc>
          <w:tcPr>
            <w:tcW w:w="1740" w:type="dxa"/>
            <w:vAlign w:val="bottom"/>
            <w:gridSpan w:val="3"/>
          </w:tcPr>
          <w:p>
            <w:pPr>
              <w:ind w:left="960"/>
              <w:spacing w:after="0"/>
              <w:rPr>
                <w:sz w:val="20"/>
                <w:szCs w:val="20"/>
                <w:color w:val="auto"/>
              </w:rPr>
            </w:pPr>
            <w:r>
              <w:rPr>
                <w:rFonts w:ascii="Arial" w:cs="Arial" w:eastAsia="Arial" w:hAnsi="Arial"/>
                <w:sz w:val="14"/>
                <w:szCs w:val="14"/>
                <w:b w:val="1"/>
                <w:bCs w:val="1"/>
                <w:color w:val="auto"/>
              </w:rPr>
              <w:t>Change %</w:t>
            </w:r>
          </w:p>
        </w:tc>
        <w:tc>
          <w:tcPr>
            <w:tcW w:w="9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Sep 10</w:t>
            </w:r>
          </w:p>
        </w:tc>
        <w:tc>
          <w:tcPr>
            <w:tcW w:w="1280" w:type="dxa"/>
            <w:vAlign w:val="bottom"/>
            <w:gridSpan w:val="2"/>
            <w:vMerge w:val="continue"/>
          </w:tcPr>
          <w:p>
            <w:pPr>
              <w:spacing w:after="0"/>
              <w:rPr>
                <w:sz w:val="15"/>
                <w:szCs w:val="15"/>
                <w:color w:val="auto"/>
              </w:rPr>
            </w:pPr>
          </w:p>
        </w:tc>
        <w:tc>
          <w:tcPr>
            <w:tcW w:w="1740" w:type="dxa"/>
            <w:vAlign w:val="bottom"/>
            <w:gridSpan w:val="3"/>
          </w:tcPr>
          <w:p>
            <w:pPr>
              <w:ind w:left="460"/>
              <w:spacing w:after="0"/>
              <w:rPr>
                <w:sz w:val="20"/>
                <w:szCs w:val="20"/>
                <w:color w:val="auto"/>
              </w:rPr>
            </w:pPr>
            <w:r>
              <w:rPr>
                <w:rFonts w:ascii="Arial" w:cs="Arial" w:eastAsia="Arial" w:hAnsi="Arial"/>
                <w:sz w:val="14"/>
                <w:szCs w:val="14"/>
                <w:b w:val="1"/>
                <w:bCs w:val="1"/>
                <w:color w:val="auto"/>
              </w:rPr>
              <w:t>QoQ</w:t>
            </w: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FFCC"/>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ASSETS</w:t>
            </w:r>
          </w:p>
        </w:tc>
        <w:tc>
          <w:tcPr>
            <w:tcW w:w="118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8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8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tcBorders>
              <w:top w:val="single" w:sz="8" w:color="auto"/>
            </w:tcBorders>
            <w:shd w:val="clear" w:color="auto" w:fill="CCFFCC"/>
          </w:tcPr>
          <w:p>
            <w:pPr>
              <w:spacing w:after="0"/>
              <w:rPr>
                <w:sz w:val="12"/>
                <w:szCs w:val="12"/>
                <w:color w:val="auto"/>
              </w:rPr>
            </w:pPr>
          </w:p>
        </w:tc>
        <w:tc>
          <w:tcPr>
            <w:tcW w:w="820" w:type="dxa"/>
            <w:vAlign w:val="bottom"/>
            <w:tcBorders>
              <w:top w:val="single" w:sz="8" w:color="auto"/>
            </w:tcBorders>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due from banks</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8,491,686</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3,720,491</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3,724,635</w:t>
            </w:r>
          </w:p>
        </w:tc>
        <w:tc>
          <w:tcPr>
            <w:tcW w:w="14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128.2%</w:t>
            </w:r>
          </w:p>
        </w:tc>
        <w:tc>
          <w:tcPr>
            <w:tcW w:w="28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128.0%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Cash and BCRP</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7,251,328</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3,196,863</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2,964,509</w:t>
            </w:r>
          </w:p>
        </w:tc>
        <w:tc>
          <w:tcPr>
            <w:tcW w:w="14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126.8%</w:t>
            </w:r>
          </w:p>
        </w:tc>
        <w:tc>
          <w:tcPr>
            <w:tcW w:w="2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144.6%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160"/>
              <w:spacing w:after="0" w:line="149" w:lineRule="exact"/>
              <w:rPr>
                <w:sz w:val="20"/>
                <w:szCs w:val="20"/>
                <w:color w:val="auto"/>
              </w:rPr>
            </w:pPr>
            <w:r>
              <w:rPr>
                <w:rFonts w:ascii="Arial" w:cs="Arial" w:eastAsia="Arial" w:hAnsi="Arial"/>
                <w:sz w:val="14"/>
                <w:szCs w:val="14"/>
                <w:color w:val="auto"/>
              </w:rPr>
              <w:t>Deposits in other Banks</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1,174,351</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523,098</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683,527</w:t>
            </w: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124.5%</w:t>
            </w:r>
          </w:p>
        </w:tc>
        <w:tc>
          <w:tcPr>
            <w:tcW w:w="2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Interbanks</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59,000</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75,000</w:t>
            </w:r>
          </w:p>
        </w:tc>
        <w:tc>
          <w:tcPr>
            <w:tcW w:w="14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2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160"/>
              <w:spacing w:after="0" w:line="149" w:lineRule="exact"/>
              <w:rPr>
                <w:sz w:val="20"/>
                <w:szCs w:val="20"/>
                <w:color w:val="auto"/>
              </w:rPr>
            </w:pPr>
            <w:r>
              <w:rPr>
                <w:rFonts w:ascii="Arial" w:cs="Arial" w:eastAsia="Arial" w:hAnsi="Arial"/>
                <w:sz w:val="14"/>
                <w:szCs w:val="14"/>
                <w:color w:val="auto"/>
              </w:rPr>
              <w:t>Accrued interest on cash and due from banks</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7,007</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530</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1,599</w:t>
            </w: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1222.1%</w:t>
            </w:r>
          </w:p>
        </w:tc>
        <w:tc>
          <w:tcPr>
            <w:tcW w:w="2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338.2%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4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b w:val="1"/>
                <w:bCs w:val="1"/>
                <w:color w:val="auto"/>
              </w:rPr>
              <w:t>Marketable securities, net</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114,430</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73,986</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70,318</w:t>
            </w:r>
          </w:p>
        </w:tc>
        <w:tc>
          <w:tcPr>
            <w:tcW w:w="14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54.7%</w:t>
            </w:r>
          </w:p>
        </w:tc>
        <w:tc>
          <w:tcPr>
            <w:tcW w:w="28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62.7%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4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b w:val="1"/>
                <w:bCs w:val="1"/>
                <w:color w:val="auto"/>
              </w:rPr>
              <w:t>Loans</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14,334,841</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13,326,601</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11,577,303</w:t>
            </w:r>
          </w:p>
        </w:tc>
        <w:tc>
          <w:tcPr>
            <w:tcW w:w="14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7.6%</w:t>
            </w:r>
          </w:p>
        </w:tc>
        <w:tc>
          <w:tcPr>
            <w:tcW w:w="28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Current</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14,125,859</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13,114,103</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11,393,557</w:t>
            </w:r>
          </w:p>
        </w:tc>
        <w:tc>
          <w:tcPr>
            <w:tcW w:w="14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7.7%</w:t>
            </w:r>
          </w:p>
        </w:tc>
        <w:tc>
          <w:tcPr>
            <w:tcW w:w="2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160"/>
              <w:spacing w:after="0" w:line="149" w:lineRule="exact"/>
              <w:rPr>
                <w:sz w:val="20"/>
                <w:szCs w:val="20"/>
                <w:color w:val="auto"/>
              </w:rPr>
            </w:pPr>
            <w:r>
              <w:rPr>
                <w:rFonts w:ascii="Arial" w:cs="Arial" w:eastAsia="Arial" w:hAnsi="Arial"/>
                <w:sz w:val="14"/>
                <w:szCs w:val="14"/>
                <w:color w:val="auto"/>
              </w:rPr>
              <w:t>Past Due</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208,982</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212,498</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183,746</w:t>
            </w: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2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Less - net provisions for possible loan losses</w:t>
            </w:r>
          </w:p>
        </w:tc>
        <w:tc>
          <w:tcPr>
            <w:tcW w:w="12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(414,806)</w:t>
            </w:r>
          </w:p>
        </w:tc>
        <w:tc>
          <w:tcPr>
            <w:tcW w:w="12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(410,814)</w:t>
            </w:r>
          </w:p>
        </w:tc>
        <w:tc>
          <w:tcPr>
            <w:tcW w:w="12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(353,348)</w:t>
            </w:r>
          </w:p>
        </w:tc>
        <w:tc>
          <w:tcPr>
            <w:tcW w:w="14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2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b w:val="1"/>
                <w:bCs w:val="1"/>
                <w:color w:val="auto"/>
              </w:rPr>
              <w:t>Loans, net</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13,920,035</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12,915,787</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11,223,955</w:t>
            </w:r>
          </w:p>
        </w:tc>
        <w:tc>
          <w:tcPr>
            <w:tcW w:w="14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7.8%</w:t>
            </w:r>
          </w:p>
        </w:tc>
        <w:tc>
          <w:tcPr>
            <w:tcW w:w="28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24.0%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4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b w:val="1"/>
                <w:bCs w:val="1"/>
                <w:color w:val="auto"/>
              </w:rPr>
              <w:t>Investment securities available for sale</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1,503,201</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5,336,436</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3,026,542</w:t>
            </w:r>
          </w:p>
        </w:tc>
        <w:tc>
          <w:tcPr>
            <w:tcW w:w="14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-71.8%</w:t>
            </w:r>
          </w:p>
        </w:tc>
        <w:tc>
          <w:tcPr>
            <w:tcW w:w="28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-50.3%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Property, plant and equipment, net</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308,361</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294,873</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278,202</w:t>
            </w:r>
          </w:p>
        </w:tc>
        <w:tc>
          <w:tcPr>
            <w:tcW w:w="14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4.6%</w:t>
            </w:r>
          </w:p>
        </w:tc>
        <w:tc>
          <w:tcPr>
            <w:tcW w:w="2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b w:val="1"/>
                <w:bCs w:val="1"/>
                <w:color w:val="auto"/>
              </w:rPr>
              <w:t>Due from customers acceptances</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70,331</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57,901</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96,423</w:t>
            </w:r>
          </w:p>
        </w:tc>
        <w:tc>
          <w:tcPr>
            <w:tcW w:w="14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21.5%</w:t>
            </w:r>
          </w:p>
        </w:tc>
        <w:tc>
          <w:tcPr>
            <w:tcW w:w="28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968,903</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1,074,535</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1,143,234</w:t>
            </w:r>
          </w:p>
        </w:tc>
        <w:tc>
          <w:tcPr>
            <w:tcW w:w="14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-9.8%</w:t>
            </w:r>
          </w:p>
        </w:tc>
        <w:tc>
          <w:tcPr>
            <w:tcW w:w="2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FFCC"/>
          </w:tcPr>
          <w:p>
            <w:pPr>
              <w:jc w:val="center"/>
              <w:ind w:right="68"/>
              <w:spacing w:after="0" w:line="149" w:lineRule="exact"/>
              <w:rPr>
                <w:sz w:val="20"/>
                <w:szCs w:val="20"/>
                <w:color w:val="auto"/>
              </w:rPr>
            </w:pPr>
            <w:r>
              <w:rPr>
                <w:rFonts w:ascii="Arial" w:cs="Arial" w:eastAsia="Arial" w:hAnsi="Arial"/>
                <w:sz w:val="14"/>
                <w:szCs w:val="14"/>
                <w:b w:val="1"/>
                <w:bCs w:val="1"/>
                <w:color w:val="auto"/>
                <w:w w:val="86"/>
              </w:rPr>
              <w:t>Total assets</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25,376,947</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23,474,009</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19,563,309</w:t>
            </w:r>
          </w:p>
        </w:tc>
        <w:tc>
          <w:tcPr>
            <w:tcW w:w="14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8.1%</w:t>
            </w:r>
          </w:p>
        </w:tc>
        <w:tc>
          <w:tcPr>
            <w:tcW w:w="2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29.7%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FFCC"/>
          </w:tcPr>
          <w:p>
            <w:pPr>
              <w:jc w:val="center"/>
              <w:ind w:right="48"/>
              <w:spacing w:after="0" w:line="149" w:lineRule="exact"/>
              <w:rPr>
                <w:sz w:val="20"/>
                <w:szCs w:val="20"/>
                <w:color w:val="auto"/>
              </w:rPr>
            </w:pPr>
            <w:r>
              <w:rPr>
                <w:rFonts w:ascii="Arial" w:cs="Arial" w:eastAsia="Arial" w:hAnsi="Arial"/>
                <w:sz w:val="14"/>
                <w:szCs w:val="14"/>
                <w:b w:val="1"/>
                <w:bCs w:val="1"/>
                <w:color w:val="auto"/>
              </w:rPr>
              <w:t>LIABILITIES AND NET SHAREHOLDERS' EQUITY</w:t>
            </w: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Deposits and obligations</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17,069,818</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15,642,366</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14,465,809</w:t>
            </w:r>
          </w:p>
        </w:tc>
        <w:tc>
          <w:tcPr>
            <w:tcW w:w="14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9.1%</w:t>
            </w:r>
          </w:p>
        </w:tc>
        <w:tc>
          <w:tcPr>
            <w:tcW w:w="2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160"/>
              <w:spacing w:after="0" w:line="149" w:lineRule="exact"/>
              <w:rPr>
                <w:sz w:val="20"/>
                <w:szCs w:val="20"/>
                <w:color w:val="auto"/>
              </w:rPr>
            </w:pPr>
            <w:r>
              <w:rPr>
                <w:rFonts w:ascii="Arial" w:cs="Arial" w:eastAsia="Arial" w:hAnsi="Arial"/>
                <w:sz w:val="14"/>
                <w:szCs w:val="14"/>
                <w:color w:val="auto"/>
              </w:rPr>
              <w:t>Demand deposits</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5,597,674</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5,257,055</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4,440,643</w:t>
            </w: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w:t>
            </w:r>
          </w:p>
        </w:tc>
        <w:tc>
          <w:tcPr>
            <w:tcW w:w="2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Saving deposits</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4,244,940</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3,953,997</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3,539,917</w:t>
            </w:r>
          </w:p>
        </w:tc>
        <w:tc>
          <w:tcPr>
            <w:tcW w:w="14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7.4%</w:t>
            </w:r>
          </w:p>
        </w:tc>
        <w:tc>
          <w:tcPr>
            <w:tcW w:w="2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160"/>
              <w:spacing w:after="0" w:line="149" w:lineRule="exact"/>
              <w:rPr>
                <w:sz w:val="20"/>
                <w:szCs w:val="20"/>
                <w:color w:val="auto"/>
              </w:rPr>
            </w:pPr>
            <w:r>
              <w:rPr>
                <w:rFonts w:ascii="Arial" w:cs="Arial" w:eastAsia="Arial" w:hAnsi="Arial"/>
                <w:sz w:val="14"/>
                <w:szCs w:val="14"/>
                <w:color w:val="auto"/>
              </w:rPr>
              <w:t>Time deposits</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5,872,455</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5,267,355</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5,361,410</w:t>
            </w: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11.5%</w:t>
            </w:r>
          </w:p>
        </w:tc>
        <w:tc>
          <w:tcPr>
            <w:tcW w:w="2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Severance indemnity deposits (CTS)</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1,313,122</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1,127,933</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1,069,267</w:t>
            </w:r>
          </w:p>
        </w:tc>
        <w:tc>
          <w:tcPr>
            <w:tcW w:w="14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16.4%</w:t>
            </w:r>
          </w:p>
        </w:tc>
        <w:tc>
          <w:tcPr>
            <w:tcW w:w="2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160"/>
              <w:spacing w:after="0" w:line="149" w:lineRule="exact"/>
              <w:rPr>
                <w:sz w:val="20"/>
                <w:szCs w:val="20"/>
                <w:color w:val="auto"/>
              </w:rPr>
            </w:pPr>
            <w:r>
              <w:rPr>
                <w:rFonts w:ascii="Arial" w:cs="Arial" w:eastAsia="Arial" w:hAnsi="Arial"/>
                <w:sz w:val="14"/>
                <w:szCs w:val="14"/>
                <w:color w:val="auto"/>
              </w:rPr>
              <w:t>Interest payable</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41,627</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36,026</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54,572</w:t>
            </w: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15.5%</w:t>
            </w:r>
          </w:p>
        </w:tc>
        <w:tc>
          <w:tcPr>
            <w:tcW w:w="2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4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b w:val="1"/>
                <w:bCs w:val="1"/>
                <w:color w:val="auto"/>
              </w:rPr>
              <w:t>Due to banks and correspondents</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3,646,026</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3,181,057</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1,278,245</w:t>
            </w:r>
          </w:p>
        </w:tc>
        <w:tc>
          <w:tcPr>
            <w:tcW w:w="14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14.6%</w:t>
            </w:r>
          </w:p>
        </w:tc>
        <w:tc>
          <w:tcPr>
            <w:tcW w:w="28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185.2%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1,957,343</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2,004,124</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1,228,901</w:t>
            </w:r>
          </w:p>
        </w:tc>
        <w:tc>
          <w:tcPr>
            <w:tcW w:w="14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-2.3%</w:t>
            </w:r>
          </w:p>
        </w:tc>
        <w:tc>
          <w:tcPr>
            <w:tcW w:w="2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59.3%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70,331</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57,901</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96,423</w:t>
            </w:r>
          </w:p>
        </w:tc>
        <w:tc>
          <w:tcPr>
            <w:tcW w:w="14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21.5%</w:t>
            </w:r>
          </w:p>
        </w:tc>
        <w:tc>
          <w:tcPr>
            <w:tcW w:w="28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636,874</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720,209</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813,959</w:t>
            </w:r>
          </w:p>
        </w:tc>
        <w:tc>
          <w:tcPr>
            <w:tcW w:w="14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-11.6%</w:t>
            </w:r>
          </w:p>
        </w:tc>
        <w:tc>
          <w:tcPr>
            <w:tcW w:w="2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-21.8%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FFCC"/>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Total liabilities</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23,380,392</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21,605,657</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17,883,337</w:t>
            </w:r>
          </w:p>
        </w:tc>
        <w:tc>
          <w:tcPr>
            <w:tcW w:w="14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8.2%</w:t>
            </w:r>
          </w:p>
        </w:tc>
        <w:tc>
          <w:tcPr>
            <w:tcW w:w="2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30.7%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shareholders' equity</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1,992,545</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1,864,471</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1,675,533</w:t>
            </w:r>
          </w:p>
        </w:tc>
        <w:tc>
          <w:tcPr>
            <w:tcW w:w="14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6.9%</w:t>
            </w:r>
          </w:p>
        </w:tc>
        <w:tc>
          <w:tcPr>
            <w:tcW w:w="2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160"/>
              <w:spacing w:after="0" w:line="149" w:lineRule="exact"/>
              <w:rPr>
                <w:sz w:val="20"/>
                <w:szCs w:val="20"/>
                <w:color w:val="auto"/>
              </w:rPr>
            </w:pPr>
            <w:r>
              <w:rPr>
                <w:rFonts w:ascii="Arial" w:cs="Arial" w:eastAsia="Arial" w:hAnsi="Arial"/>
                <w:sz w:val="14"/>
                <w:szCs w:val="14"/>
                <w:color w:val="auto"/>
              </w:rPr>
              <w:t>Capital stock</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783,213</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783,213</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667,250</w:t>
            </w: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Reserves</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388,309</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388,309</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388,275</w:t>
            </w:r>
          </w:p>
        </w:tc>
        <w:tc>
          <w:tcPr>
            <w:tcW w:w="14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160"/>
              <w:spacing w:after="0" w:line="149" w:lineRule="exact"/>
              <w:rPr>
                <w:sz w:val="20"/>
                <w:szCs w:val="20"/>
                <w:color w:val="auto"/>
              </w:rPr>
            </w:pPr>
            <w:r>
              <w:rPr>
                <w:rFonts w:ascii="Arial" w:cs="Arial" w:eastAsia="Arial" w:hAnsi="Arial"/>
                <w:sz w:val="14"/>
                <w:szCs w:val="14"/>
                <w:color w:val="auto"/>
              </w:rPr>
              <w:t>Unrealized Gains and Losses</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157,564</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131,056</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106,708</w:t>
            </w: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20.2%</w:t>
            </w:r>
          </w:p>
        </w:tc>
        <w:tc>
          <w:tcPr>
            <w:tcW w:w="2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Retained Earnings</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187,143</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187,143</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115,922</w:t>
            </w:r>
          </w:p>
        </w:tc>
        <w:tc>
          <w:tcPr>
            <w:tcW w:w="14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160"/>
              <w:spacing w:after="0" w:line="149" w:lineRule="exact"/>
              <w:rPr>
                <w:sz w:val="20"/>
                <w:szCs w:val="20"/>
                <w:color w:val="auto"/>
              </w:rPr>
            </w:pPr>
            <w:r>
              <w:rPr>
                <w:rFonts w:ascii="Arial" w:cs="Arial" w:eastAsia="Arial" w:hAnsi="Arial"/>
                <w:sz w:val="14"/>
                <w:szCs w:val="14"/>
                <w:color w:val="auto"/>
              </w:rPr>
              <w:t>Income for the year</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476,316</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374,750</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397,378</w:t>
            </w: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27.1%</w:t>
            </w:r>
          </w:p>
        </w:tc>
        <w:tc>
          <w:tcPr>
            <w:tcW w:w="2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4,010</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3,881</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4,439</w:t>
            </w: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2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liabilities and net shareholders' equity</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25,376,947</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23,474,009</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19,563,309</w:t>
            </w:r>
          </w:p>
        </w:tc>
        <w:tc>
          <w:tcPr>
            <w:tcW w:w="14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8.1%</w:t>
            </w:r>
          </w:p>
        </w:tc>
        <w:tc>
          <w:tcPr>
            <w:tcW w:w="28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29.7%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4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Contingent credits</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9,095,512</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9,210,482</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7,780,722</w:t>
            </w: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-1.2%</w:t>
            </w:r>
          </w:p>
        </w:tc>
        <w:tc>
          <w:tcPr>
            <w:tcW w:w="28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 IFRS)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Quarter</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ind w:left="660"/>
              <w:spacing w:after="0"/>
              <w:rPr>
                <w:sz w:val="20"/>
                <w:szCs w:val="20"/>
                <w:color w:val="auto"/>
              </w:rPr>
            </w:pPr>
            <w:r>
              <w:rPr>
                <w:rFonts w:ascii="Arial" w:cs="Arial" w:eastAsia="Arial" w:hAnsi="Arial"/>
                <w:sz w:val="11"/>
                <w:szCs w:val="11"/>
                <w:b w:val="1"/>
                <w:bCs w:val="1"/>
                <w:color w:val="auto"/>
              </w:rPr>
              <w:t>Change %</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tcPr>
          <w:p>
            <w:pPr>
              <w:ind w:left="640"/>
              <w:spacing w:after="0"/>
              <w:rPr>
                <w:sz w:val="20"/>
                <w:szCs w:val="20"/>
                <w:color w:val="auto"/>
              </w:rPr>
            </w:pPr>
            <w:r>
              <w:rPr>
                <w:rFonts w:ascii="Arial" w:cs="Arial" w:eastAsia="Arial" w:hAnsi="Arial"/>
                <w:sz w:val="11"/>
                <w:szCs w:val="11"/>
                <w:b w:val="1"/>
                <w:bCs w:val="1"/>
                <w:color w:val="auto"/>
                <w:w w:val="88"/>
              </w:rPr>
              <w:t>Year to date</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3"/>
              </w:rPr>
              <w:t>Change %</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040" w:type="dxa"/>
            <w:vAlign w:val="bottom"/>
            <w:tcBorders>
              <w:top w:val="single" w:sz="8" w:color="auto"/>
            </w:tcBorders>
            <w:gridSpan w:val="2"/>
          </w:tcPr>
          <w:p>
            <w:pPr>
              <w:jc w:val="right"/>
              <w:ind w:right="520"/>
              <w:spacing w:after="0" w:line="122" w:lineRule="exact"/>
              <w:rPr>
                <w:sz w:val="20"/>
                <w:szCs w:val="20"/>
                <w:color w:val="auto"/>
              </w:rPr>
            </w:pPr>
            <w:r>
              <w:rPr>
                <w:rFonts w:ascii="Arial" w:cs="Arial" w:eastAsia="Arial" w:hAnsi="Arial"/>
                <w:sz w:val="11"/>
                <w:szCs w:val="11"/>
                <w:b w:val="1"/>
                <w:bCs w:val="1"/>
                <w:color w:val="auto"/>
              </w:rPr>
              <w:t>4Q10</w:t>
            </w:r>
          </w:p>
        </w:tc>
        <w:tc>
          <w:tcPr>
            <w:tcW w:w="1060" w:type="dxa"/>
            <w:vAlign w:val="bottom"/>
            <w:tcBorders>
              <w:top w:val="single" w:sz="8" w:color="auto"/>
            </w:tcBorders>
            <w:gridSpan w:val="2"/>
          </w:tcPr>
          <w:p>
            <w:pPr>
              <w:jc w:val="right"/>
              <w:ind w:right="520"/>
              <w:spacing w:after="0" w:line="122" w:lineRule="exact"/>
              <w:rPr>
                <w:sz w:val="20"/>
                <w:szCs w:val="20"/>
                <w:color w:val="auto"/>
              </w:rPr>
            </w:pPr>
            <w:r>
              <w:rPr>
                <w:rFonts w:ascii="Arial" w:cs="Arial" w:eastAsia="Arial" w:hAnsi="Arial"/>
                <w:sz w:val="11"/>
                <w:szCs w:val="11"/>
                <w:b w:val="1"/>
                <w:bCs w:val="1"/>
                <w:color w:val="auto"/>
              </w:rPr>
              <w:t>3Q10</w:t>
            </w:r>
          </w:p>
        </w:tc>
        <w:tc>
          <w:tcPr>
            <w:tcW w:w="800" w:type="dxa"/>
            <w:vAlign w:val="bottom"/>
            <w:tcBorders>
              <w:top w:val="single" w:sz="8" w:color="auto"/>
            </w:tcBorders>
          </w:tcPr>
          <w:p>
            <w:pPr>
              <w:jc w:val="right"/>
              <w:ind w:right="226"/>
              <w:spacing w:after="0" w:line="122" w:lineRule="exact"/>
              <w:rPr>
                <w:sz w:val="20"/>
                <w:szCs w:val="20"/>
                <w:color w:val="auto"/>
              </w:rPr>
            </w:pPr>
            <w:r>
              <w:rPr>
                <w:rFonts w:ascii="Arial" w:cs="Arial" w:eastAsia="Arial" w:hAnsi="Arial"/>
                <w:sz w:val="11"/>
                <w:szCs w:val="11"/>
                <w:b w:val="1"/>
                <w:bCs w:val="1"/>
                <w:color w:val="auto"/>
              </w:rPr>
              <w:t>4Q09</w:t>
            </w:r>
          </w:p>
        </w:tc>
        <w:tc>
          <w:tcPr>
            <w:tcW w:w="220" w:type="dxa"/>
            <w:vAlign w:val="bottom"/>
          </w:tcPr>
          <w:p>
            <w:pPr>
              <w:spacing w:after="0"/>
              <w:rPr>
                <w:sz w:val="11"/>
                <w:szCs w:val="11"/>
                <w:color w:val="auto"/>
              </w:rPr>
            </w:pPr>
          </w:p>
        </w:tc>
        <w:tc>
          <w:tcPr>
            <w:tcW w:w="1240" w:type="dxa"/>
            <w:vAlign w:val="bottom"/>
            <w:tcBorders>
              <w:top w:val="single" w:sz="8" w:color="auto"/>
            </w:tcBorders>
            <w:gridSpan w:val="3"/>
          </w:tcPr>
          <w:p>
            <w:pPr>
              <w:ind w:left="300"/>
              <w:spacing w:after="0" w:line="122" w:lineRule="exact"/>
              <w:rPr>
                <w:sz w:val="20"/>
                <w:szCs w:val="20"/>
                <w:color w:val="auto"/>
              </w:rPr>
            </w:pPr>
            <w:r>
              <w:rPr>
                <w:rFonts w:ascii="Arial" w:cs="Arial" w:eastAsia="Arial" w:hAnsi="Arial"/>
                <w:sz w:val="11"/>
                <w:szCs w:val="11"/>
                <w:b w:val="1"/>
                <w:bCs w:val="1"/>
                <w:color w:val="auto"/>
              </w:rPr>
              <w:t>QoQ</w:t>
            </w:r>
          </w:p>
        </w:tc>
        <w:tc>
          <w:tcPr>
            <w:tcW w:w="580" w:type="dxa"/>
            <w:vAlign w:val="bottom"/>
            <w:tcBorders>
              <w:top w:val="single" w:sz="8" w:color="auto"/>
            </w:tcBorders>
          </w:tcPr>
          <w:p>
            <w:pPr>
              <w:ind w:left="80"/>
              <w:spacing w:after="0" w:line="122" w:lineRule="exact"/>
              <w:rPr>
                <w:sz w:val="20"/>
                <w:szCs w:val="20"/>
                <w:color w:val="auto"/>
              </w:rPr>
            </w:pPr>
            <w:r>
              <w:rPr>
                <w:rFonts w:ascii="Arial" w:cs="Arial" w:eastAsia="Arial" w:hAnsi="Arial"/>
                <w:sz w:val="11"/>
                <w:szCs w:val="11"/>
                <w:b w:val="1"/>
                <w:bCs w:val="1"/>
                <w:color w:val="auto"/>
              </w:rPr>
              <w:t>YoY</w:t>
            </w:r>
          </w:p>
        </w:tc>
        <w:tc>
          <w:tcPr>
            <w:tcW w:w="200" w:type="dxa"/>
            <w:vAlign w:val="bottom"/>
          </w:tcPr>
          <w:p>
            <w:pPr>
              <w:spacing w:after="0"/>
              <w:rPr>
                <w:sz w:val="11"/>
                <w:szCs w:val="11"/>
                <w:color w:val="auto"/>
              </w:rPr>
            </w:pPr>
          </w:p>
        </w:tc>
        <w:tc>
          <w:tcPr>
            <w:tcW w:w="1220" w:type="dxa"/>
            <w:vAlign w:val="bottom"/>
            <w:tcBorders>
              <w:top w:val="single" w:sz="8" w:color="auto"/>
            </w:tcBorders>
            <w:gridSpan w:val="3"/>
          </w:tcPr>
          <w:p>
            <w:pPr>
              <w:ind w:left="260"/>
              <w:spacing w:after="0" w:line="122" w:lineRule="exact"/>
              <w:rPr>
                <w:sz w:val="20"/>
                <w:szCs w:val="20"/>
                <w:color w:val="auto"/>
              </w:rPr>
            </w:pPr>
            <w:r>
              <w:rPr>
                <w:rFonts w:ascii="Arial" w:cs="Arial" w:eastAsia="Arial" w:hAnsi="Arial"/>
                <w:sz w:val="11"/>
                <w:szCs w:val="11"/>
                <w:b w:val="1"/>
                <w:bCs w:val="1"/>
                <w:color w:val="auto"/>
              </w:rPr>
              <w:t>Dec 10</w:t>
            </w:r>
          </w:p>
        </w:tc>
        <w:tc>
          <w:tcPr>
            <w:tcW w:w="600" w:type="dxa"/>
            <w:vAlign w:val="bottom"/>
            <w:tcBorders>
              <w:top w:val="single" w:sz="8" w:color="auto"/>
            </w:tcBorders>
          </w:tcPr>
          <w:p>
            <w:pPr>
              <w:jc w:val="right"/>
              <w:ind w:right="186"/>
              <w:spacing w:after="0" w:line="122" w:lineRule="exact"/>
              <w:rPr>
                <w:sz w:val="20"/>
                <w:szCs w:val="20"/>
                <w:color w:val="auto"/>
              </w:rPr>
            </w:pPr>
            <w:r>
              <w:rPr>
                <w:rFonts w:ascii="Arial" w:cs="Arial" w:eastAsia="Arial" w:hAnsi="Arial"/>
                <w:sz w:val="11"/>
                <w:szCs w:val="11"/>
                <w:b w:val="1"/>
                <w:bCs w:val="1"/>
                <w:color w:val="auto"/>
                <w:w w:val="95"/>
              </w:rPr>
              <w:t>Dec 09</w:t>
            </w:r>
          </w:p>
        </w:tc>
        <w:tc>
          <w:tcPr>
            <w:tcW w:w="220" w:type="dxa"/>
            <w:vAlign w:val="bottom"/>
          </w:tcPr>
          <w:p>
            <w:pPr>
              <w:spacing w:after="0"/>
              <w:rPr>
                <w:sz w:val="11"/>
                <w:szCs w:val="11"/>
                <w:color w:val="auto"/>
              </w:rPr>
            </w:pPr>
          </w:p>
        </w:tc>
        <w:tc>
          <w:tcPr>
            <w:tcW w:w="80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87"/>
              </w:rPr>
              <w:t>Dec 10 / Dec 09</w:t>
            </w: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Interest income and expense</w:t>
            </w:r>
          </w:p>
        </w:tc>
        <w:tc>
          <w:tcPr>
            <w:tcW w:w="800" w:type="dxa"/>
            <w:vAlign w:val="bottom"/>
            <w:tcBorders>
              <w:top w:val="single" w:sz="8" w:color="auto"/>
            </w:tcBorders>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820" w:type="dxa"/>
            <w:vAlign w:val="bottom"/>
            <w:tcBorders>
              <w:top w:val="single" w:sz="8" w:color="auto"/>
            </w:tcBorders>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20" w:type="dxa"/>
            <w:vAlign w:val="bottom"/>
            <w:tcBorders>
              <w:top w:val="single" w:sz="8" w:color="auto"/>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00" w:type="dxa"/>
            <w:vAlign w:val="bottom"/>
            <w:tcBorders>
              <w:top w:val="single" w:sz="8" w:color="auto"/>
            </w:tcBorders>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320"/>
              <w:spacing w:after="0" w:line="122" w:lineRule="exact"/>
              <w:rPr>
                <w:sz w:val="20"/>
                <w:szCs w:val="20"/>
                <w:color w:val="auto"/>
              </w:rPr>
            </w:pPr>
            <w:r>
              <w:rPr>
                <w:rFonts w:ascii="Arial" w:cs="Arial" w:eastAsia="Arial" w:hAnsi="Arial"/>
                <w:sz w:val="11"/>
                <w:szCs w:val="11"/>
                <w:color w:val="auto"/>
              </w:rPr>
              <w:t>Interest and dividend income</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368,460</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345,937</w:t>
            </w: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301,319</w:t>
            </w:r>
          </w:p>
        </w:tc>
        <w:tc>
          <w:tcPr>
            <w:tcW w:w="22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6.5%</w:t>
            </w:r>
          </w:p>
        </w:tc>
        <w:tc>
          <w:tcPr>
            <w:tcW w:w="2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22.3%</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1,331,867</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1,204,914</w:t>
            </w:r>
          </w:p>
        </w:tc>
        <w:tc>
          <w:tcPr>
            <w:tcW w:w="220" w:type="dxa"/>
            <w:vAlign w:val="bottom"/>
          </w:tcPr>
          <w:p>
            <w:pPr>
              <w:spacing w:after="0"/>
              <w:rPr>
                <w:sz w:val="10"/>
                <w:szCs w:val="10"/>
                <w:color w:val="auto"/>
              </w:rPr>
            </w:pP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rPr>
              <w:t>Interest expense</w:t>
            </w:r>
          </w:p>
        </w:tc>
        <w:tc>
          <w:tcPr>
            <w:tcW w:w="10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(113,927)</w:t>
            </w:r>
          </w:p>
        </w:tc>
        <w:tc>
          <w:tcPr>
            <w:tcW w:w="10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(103,663)</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(90,086)</w:t>
            </w: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9.9%</w:t>
            </w:r>
          </w:p>
        </w:tc>
        <w:tc>
          <w:tcPr>
            <w:tcW w:w="22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26.5%</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(387,233)</w:t>
            </w:r>
          </w:p>
        </w:tc>
        <w:tc>
          <w:tcPr>
            <w:tcW w:w="20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(406,697)</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-4.8%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320"/>
              <w:spacing w:after="0" w:line="122" w:lineRule="exact"/>
              <w:rPr>
                <w:sz w:val="20"/>
                <w:szCs w:val="20"/>
                <w:color w:val="auto"/>
              </w:rPr>
            </w:pPr>
            <w:r>
              <w:rPr>
                <w:rFonts w:ascii="Arial" w:cs="Arial" w:eastAsia="Arial" w:hAnsi="Arial"/>
                <w:sz w:val="11"/>
                <w:szCs w:val="11"/>
                <w:b w:val="1"/>
                <w:bCs w:val="1"/>
                <w:color w:val="auto"/>
              </w:rPr>
              <w:t>Net interest and dividend income</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254,533</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242,274</w:t>
            </w:r>
          </w:p>
        </w:tc>
        <w:tc>
          <w:tcPr>
            <w:tcW w:w="24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211,233</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b w:val="1"/>
                <w:bCs w:val="1"/>
                <w:color w:val="auto"/>
              </w:rPr>
              <w:t>5.1%</w:t>
            </w:r>
          </w:p>
        </w:tc>
        <w:tc>
          <w:tcPr>
            <w:tcW w:w="22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20.5%</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944,634</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798,217</w:t>
            </w:r>
          </w:p>
        </w:tc>
        <w:tc>
          <w:tcPr>
            <w:tcW w:w="22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18.3%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Net provision for loan losses</w:t>
            </w:r>
          </w:p>
        </w:tc>
        <w:tc>
          <w:tcPr>
            <w:tcW w:w="10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b w:val="1"/>
                <w:bCs w:val="1"/>
                <w:color w:val="auto"/>
              </w:rPr>
              <w:t>(48,531)</w:t>
            </w:r>
          </w:p>
        </w:tc>
        <w:tc>
          <w:tcPr>
            <w:tcW w:w="10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b w:val="1"/>
                <w:bCs w:val="1"/>
                <w:color w:val="auto"/>
              </w:rPr>
              <w:t>(52,614)</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b w:val="1"/>
                <w:bCs w:val="1"/>
                <w:color w:val="auto"/>
              </w:rPr>
              <w:t>(44,933)</w:t>
            </w: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b w:val="1"/>
                <w:bCs w:val="1"/>
                <w:color w:val="auto"/>
              </w:rPr>
              <w:t>-7.8%</w:t>
            </w:r>
          </w:p>
        </w:tc>
        <w:tc>
          <w:tcPr>
            <w:tcW w:w="22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8.0%</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b w:val="1"/>
                <w:bCs w:val="1"/>
                <w:color w:val="auto"/>
              </w:rPr>
              <w:t>(175,773)</w:t>
            </w:r>
          </w:p>
        </w:tc>
        <w:tc>
          <w:tcPr>
            <w:tcW w:w="20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b w:val="1"/>
                <w:bCs w:val="1"/>
                <w:color w:val="auto"/>
              </w:rPr>
              <w:t>(165,104)</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6.5%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Non financial income</w:t>
            </w:r>
          </w:p>
        </w:tc>
        <w:tc>
          <w:tcPr>
            <w:tcW w:w="80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320"/>
              <w:spacing w:after="0" w:line="122" w:lineRule="exact"/>
              <w:rPr>
                <w:sz w:val="20"/>
                <w:szCs w:val="20"/>
                <w:color w:val="auto"/>
              </w:rPr>
            </w:pPr>
            <w:r>
              <w:rPr>
                <w:rFonts w:ascii="Arial" w:cs="Arial" w:eastAsia="Arial" w:hAnsi="Arial"/>
                <w:sz w:val="11"/>
                <w:szCs w:val="11"/>
                <w:color w:val="auto"/>
              </w:rPr>
              <w:t>Banking services commissions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120,136</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120,839</w:t>
            </w: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109,546</w:t>
            </w:r>
          </w:p>
        </w:tc>
        <w:tc>
          <w:tcPr>
            <w:tcW w:w="22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-0.6%</w:t>
            </w:r>
          </w:p>
        </w:tc>
        <w:tc>
          <w:tcPr>
            <w:tcW w:w="2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9.7%</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461,775</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368,067</w:t>
            </w:r>
          </w:p>
        </w:tc>
        <w:tc>
          <w:tcPr>
            <w:tcW w:w="220" w:type="dxa"/>
            <w:vAlign w:val="bottom"/>
          </w:tcPr>
          <w:p>
            <w:pPr>
              <w:spacing w:after="0"/>
              <w:rPr>
                <w:sz w:val="10"/>
                <w:szCs w:val="10"/>
                <w:color w:val="auto"/>
              </w:rPr>
            </w:pP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25.5%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rPr>
              <w:t>Net gain on foreign exchange transactions</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28,909</w:t>
            </w:r>
          </w:p>
        </w:tc>
        <w:tc>
          <w:tcPr>
            <w:tcW w:w="240" w:type="dxa"/>
            <w:vAlign w:val="bottom"/>
            <w:shd w:val="clear" w:color="auto" w:fill="CCFFCC"/>
          </w:tcPr>
          <w:p>
            <w:pPr>
              <w:spacing w:after="0"/>
              <w:rPr>
                <w:sz w:val="10"/>
                <w:szCs w:val="10"/>
                <w:color w:val="auto"/>
              </w:rPr>
            </w:pPr>
          </w:p>
        </w:tc>
        <w:tc>
          <w:tcPr>
            <w:tcW w:w="8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26,354</w:t>
            </w:r>
          </w:p>
        </w:tc>
        <w:tc>
          <w:tcPr>
            <w:tcW w:w="240" w:type="dxa"/>
            <w:vAlign w:val="bottom"/>
            <w:shd w:val="clear" w:color="auto" w:fill="CCFFCC"/>
          </w:tcPr>
          <w:p>
            <w:pPr>
              <w:spacing w:after="0"/>
              <w:rPr>
                <w:sz w:val="10"/>
                <w:szCs w:val="10"/>
                <w:color w:val="auto"/>
              </w:rPr>
            </w:pP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23,430</w:t>
            </w:r>
          </w:p>
        </w:tc>
        <w:tc>
          <w:tcPr>
            <w:tcW w:w="22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9.7%</w:t>
            </w:r>
          </w:p>
        </w:tc>
        <w:tc>
          <w:tcPr>
            <w:tcW w:w="22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23.4%</w:t>
            </w: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104,361</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93,462</w:t>
            </w:r>
          </w:p>
        </w:tc>
        <w:tc>
          <w:tcPr>
            <w:tcW w:w="22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11.7%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320"/>
              <w:spacing w:after="0" w:line="122" w:lineRule="exact"/>
              <w:rPr>
                <w:sz w:val="20"/>
                <w:szCs w:val="20"/>
                <w:color w:val="auto"/>
              </w:rPr>
            </w:pPr>
            <w:r>
              <w:rPr>
                <w:rFonts w:ascii="Arial" w:cs="Arial" w:eastAsia="Arial" w:hAnsi="Arial"/>
                <w:sz w:val="11"/>
                <w:szCs w:val="11"/>
                <w:color w:val="auto"/>
              </w:rPr>
              <w:t>Net gain on sales of securities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2,264</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18,987</w:t>
            </w: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9,185</w:t>
            </w:r>
          </w:p>
        </w:tc>
        <w:tc>
          <w:tcPr>
            <w:tcW w:w="22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-88.1%</w:t>
            </w:r>
          </w:p>
        </w:tc>
        <w:tc>
          <w:tcPr>
            <w:tcW w:w="2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-75.4%</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51,139</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101,349</w:t>
            </w:r>
          </w:p>
        </w:tc>
        <w:tc>
          <w:tcPr>
            <w:tcW w:w="220" w:type="dxa"/>
            <w:vAlign w:val="bottom"/>
          </w:tcPr>
          <w:p>
            <w:pPr>
              <w:spacing w:after="0"/>
              <w:rPr>
                <w:sz w:val="10"/>
                <w:szCs w:val="10"/>
                <w:color w:val="auto"/>
              </w:rPr>
            </w:pP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-49.5%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rPr>
              <w:t>Other</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8,603</w:t>
            </w:r>
          </w:p>
        </w:tc>
        <w:tc>
          <w:tcPr>
            <w:tcW w:w="240" w:type="dxa"/>
            <w:vAlign w:val="bottom"/>
            <w:shd w:val="clear" w:color="auto" w:fill="CCFFCC"/>
          </w:tcPr>
          <w:p>
            <w:pPr>
              <w:spacing w:after="0"/>
              <w:rPr>
                <w:sz w:val="10"/>
                <w:szCs w:val="10"/>
                <w:color w:val="auto"/>
              </w:rPr>
            </w:pPr>
          </w:p>
        </w:tc>
        <w:tc>
          <w:tcPr>
            <w:tcW w:w="8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1,168</w:t>
            </w:r>
          </w:p>
        </w:tc>
        <w:tc>
          <w:tcPr>
            <w:tcW w:w="240" w:type="dxa"/>
            <w:vAlign w:val="bottom"/>
            <w:shd w:val="clear" w:color="auto" w:fill="CCFFCC"/>
          </w:tcPr>
          <w:p>
            <w:pPr>
              <w:spacing w:after="0"/>
              <w:rPr>
                <w:sz w:val="10"/>
                <w:szCs w:val="10"/>
                <w:color w:val="auto"/>
              </w:rPr>
            </w:pP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2,816</w:t>
            </w:r>
          </w:p>
        </w:tc>
        <w:tc>
          <w:tcPr>
            <w:tcW w:w="22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636.6%</w:t>
            </w:r>
          </w:p>
        </w:tc>
        <w:tc>
          <w:tcPr>
            <w:tcW w:w="22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205.5%</w:t>
            </w: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17,367</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15,067</w:t>
            </w:r>
          </w:p>
        </w:tc>
        <w:tc>
          <w:tcPr>
            <w:tcW w:w="22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15.3%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320"/>
              <w:spacing w:after="0" w:line="122" w:lineRule="exact"/>
              <w:rPr>
                <w:sz w:val="20"/>
                <w:szCs w:val="20"/>
                <w:color w:val="auto"/>
              </w:rPr>
            </w:pPr>
            <w:r>
              <w:rPr>
                <w:rFonts w:ascii="Arial" w:cs="Arial" w:eastAsia="Arial" w:hAnsi="Arial"/>
                <w:sz w:val="11"/>
                <w:szCs w:val="11"/>
                <w:b w:val="1"/>
                <w:bCs w:val="1"/>
                <w:color w:val="auto"/>
              </w:rPr>
              <w:t>Total non financial income,net</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159,912</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167,348</w:t>
            </w: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144,977</w:t>
            </w:r>
          </w:p>
        </w:tc>
        <w:tc>
          <w:tcPr>
            <w:tcW w:w="22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b w:val="1"/>
                <w:bCs w:val="1"/>
                <w:color w:val="auto"/>
              </w:rPr>
              <w:t>-4.4%</w:t>
            </w:r>
          </w:p>
        </w:tc>
        <w:tc>
          <w:tcPr>
            <w:tcW w:w="22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10.3%</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634,642</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577,945</w:t>
            </w:r>
          </w:p>
        </w:tc>
        <w:tc>
          <w:tcPr>
            <w:tcW w:w="22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9.8%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3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b w:val="1"/>
                <w:bCs w:val="1"/>
                <w:color w:val="auto"/>
              </w:rPr>
              <w:t>Operating expenses</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rPr>
              <w:t>Salaries and employees benefits</w:t>
            </w:r>
          </w:p>
        </w:tc>
        <w:tc>
          <w:tcPr>
            <w:tcW w:w="10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(105,187)</w:t>
            </w:r>
          </w:p>
        </w:tc>
        <w:tc>
          <w:tcPr>
            <w:tcW w:w="10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(95,404)</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(89,486)</w:t>
            </w: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10.3%</w:t>
            </w:r>
          </w:p>
        </w:tc>
        <w:tc>
          <w:tcPr>
            <w:tcW w:w="22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17.5%</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(389,997)</w:t>
            </w:r>
          </w:p>
        </w:tc>
        <w:tc>
          <w:tcPr>
            <w:tcW w:w="20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(328,469)</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18.7%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320"/>
              <w:spacing w:after="0" w:line="122" w:lineRule="exact"/>
              <w:rPr>
                <w:sz w:val="20"/>
                <w:szCs w:val="20"/>
                <w:color w:val="auto"/>
              </w:rPr>
            </w:pPr>
            <w:r>
              <w:rPr>
                <w:rFonts w:ascii="Arial" w:cs="Arial" w:eastAsia="Arial" w:hAnsi="Arial"/>
                <w:sz w:val="11"/>
                <w:szCs w:val="11"/>
                <w:color w:val="auto"/>
              </w:rPr>
              <w:t>Administrative expenses</w:t>
            </w:r>
          </w:p>
        </w:tc>
        <w:tc>
          <w:tcPr>
            <w:tcW w:w="10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(81,579)</w:t>
            </w:r>
          </w:p>
        </w:tc>
        <w:tc>
          <w:tcPr>
            <w:tcW w:w="10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(67,549)</w:t>
            </w: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(79,622)</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20.8%</w:t>
            </w:r>
          </w:p>
        </w:tc>
        <w:tc>
          <w:tcPr>
            <w:tcW w:w="2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2.5%</w:t>
            </w: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(282,779)</w:t>
            </w:r>
          </w:p>
        </w:tc>
        <w:tc>
          <w:tcPr>
            <w:tcW w:w="200" w:type="dxa"/>
            <w:vAlign w:val="bottom"/>
          </w:tcPr>
          <w:p>
            <w:pPr>
              <w:spacing w:after="0"/>
              <w:rPr>
                <w:sz w:val="10"/>
                <w:szCs w:val="10"/>
                <w:color w:val="auto"/>
              </w:rPr>
            </w:pPr>
          </w:p>
        </w:tc>
        <w:tc>
          <w:tcPr>
            <w:tcW w:w="8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(266,363)</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6.2%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rPr>
              <w:t>Depreciation and amortization</w:t>
            </w:r>
          </w:p>
        </w:tc>
        <w:tc>
          <w:tcPr>
            <w:tcW w:w="10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(18,796)</w:t>
            </w:r>
          </w:p>
        </w:tc>
        <w:tc>
          <w:tcPr>
            <w:tcW w:w="10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(17,392)</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(16,153)</w:t>
            </w: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8.1%</w:t>
            </w:r>
          </w:p>
        </w:tc>
        <w:tc>
          <w:tcPr>
            <w:tcW w:w="22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16.4%</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(69,448)</w:t>
            </w:r>
          </w:p>
        </w:tc>
        <w:tc>
          <w:tcPr>
            <w:tcW w:w="20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(58,709)</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18.3%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320"/>
              <w:spacing w:after="0" w:line="122" w:lineRule="exact"/>
              <w:rPr>
                <w:sz w:val="20"/>
                <w:szCs w:val="20"/>
                <w:color w:val="auto"/>
              </w:rPr>
            </w:pPr>
            <w:r>
              <w:rPr>
                <w:rFonts w:ascii="Arial" w:cs="Arial" w:eastAsia="Arial" w:hAnsi="Arial"/>
                <w:sz w:val="11"/>
                <w:szCs w:val="11"/>
                <w:color w:val="auto"/>
              </w:rPr>
              <w:t>Other</w:t>
            </w:r>
          </w:p>
        </w:tc>
        <w:tc>
          <w:tcPr>
            <w:tcW w:w="10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(9,251)</w:t>
            </w:r>
          </w:p>
        </w:tc>
        <w:tc>
          <w:tcPr>
            <w:tcW w:w="10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(4,406)</w:t>
            </w: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(12,695)</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110.0%</w:t>
            </w:r>
          </w:p>
        </w:tc>
        <w:tc>
          <w:tcPr>
            <w:tcW w:w="2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-27.1%</w:t>
            </w: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(25,853)</w:t>
            </w:r>
          </w:p>
        </w:tc>
        <w:tc>
          <w:tcPr>
            <w:tcW w:w="200" w:type="dxa"/>
            <w:vAlign w:val="bottom"/>
          </w:tcPr>
          <w:p>
            <w:pPr>
              <w:spacing w:after="0"/>
              <w:rPr>
                <w:sz w:val="10"/>
                <w:szCs w:val="10"/>
                <w:color w:val="auto"/>
              </w:rPr>
            </w:pPr>
          </w:p>
        </w:tc>
        <w:tc>
          <w:tcPr>
            <w:tcW w:w="8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(38,882)</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-33.5%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b w:val="1"/>
                <w:bCs w:val="1"/>
                <w:color w:val="auto"/>
              </w:rPr>
              <w:t>Total operating expenses</w:t>
            </w:r>
          </w:p>
        </w:tc>
        <w:tc>
          <w:tcPr>
            <w:tcW w:w="10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b w:val="1"/>
                <w:bCs w:val="1"/>
                <w:color w:val="auto"/>
              </w:rPr>
              <w:t>(214,813)</w:t>
            </w:r>
          </w:p>
        </w:tc>
        <w:tc>
          <w:tcPr>
            <w:tcW w:w="10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b w:val="1"/>
                <w:bCs w:val="1"/>
                <w:color w:val="auto"/>
              </w:rPr>
              <w:t>(184,751)</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b w:val="1"/>
                <w:bCs w:val="1"/>
                <w:color w:val="auto"/>
              </w:rPr>
              <w:t>(197,956)</w:t>
            </w: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b w:val="1"/>
                <w:bCs w:val="1"/>
                <w:color w:val="auto"/>
              </w:rPr>
              <w:t>16.3%</w:t>
            </w:r>
          </w:p>
        </w:tc>
        <w:tc>
          <w:tcPr>
            <w:tcW w:w="22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8.5%</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b w:val="1"/>
                <w:bCs w:val="1"/>
                <w:color w:val="auto"/>
              </w:rPr>
              <w:t>(768,077)</w:t>
            </w:r>
          </w:p>
        </w:tc>
        <w:tc>
          <w:tcPr>
            <w:tcW w:w="20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b w:val="1"/>
                <w:bCs w:val="1"/>
                <w:color w:val="auto"/>
              </w:rPr>
              <w:t>(692,423)</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Operating income*</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151,101</w:t>
            </w:r>
          </w:p>
        </w:tc>
        <w:tc>
          <w:tcPr>
            <w:tcW w:w="240" w:type="dxa"/>
            <w:vAlign w:val="bottom"/>
            <w:shd w:val="clear" w:color="auto" w:fill="CCFFCC"/>
          </w:tcPr>
          <w:p>
            <w:pPr>
              <w:spacing w:after="0"/>
              <w:rPr>
                <w:sz w:val="10"/>
                <w:szCs w:val="10"/>
                <w:color w:val="auto"/>
              </w:rPr>
            </w:pPr>
          </w:p>
        </w:tc>
        <w:tc>
          <w:tcPr>
            <w:tcW w:w="8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172,257</w:t>
            </w:r>
          </w:p>
        </w:tc>
        <w:tc>
          <w:tcPr>
            <w:tcW w:w="24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113,321</w:t>
            </w: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b w:val="1"/>
                <w:bCs w:val="1"/>
                <w:color w:val="auto"/>
              </w:rPr>
              <w:t>-12.3%</w:t>
            </w:r>
          </w:p>
        </w:tc>
        <w:tc>
          <w:tcPr>
            <w:tcW w:w="22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33.3%</w:t>
            </w: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635,426</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518,635</w:t>
            </w:r>
          </w:p>
        </w:tc>
        <w:tc>
          <w:tcPr>
            <w:tcW w:w="22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22.5%</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320"/>
              <w:spacing w:after="0" w:line="122" w:lineRule="exact"/>
              <w:rPr>
                <w:sz w:val="20"/>
                <w:szCs w:val="20"/>
                <w:color w:val="auto"/>
              </w:rPr>
            </w:pPr>
            <w:r>
              <w:rPr>
                <w:rFonts w:ascii="Arial" w:cs="Arial" w:eastAsia="Arial" w:hAnsi="Arial"/>
                <w:sz w:val="11"/>
                <w:szCs w:val="11"/>
                <w:color w:val="auto"/>
              </w:rPr>
              <w:t>Translation result</w:t>
            </w:r>
          </w:p>
        </w:tc>
        <w:tc>
          <w:tcPr>
            <w:tcW w:w="10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(6,281)</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12,896</w:t>
            </w: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12,609</w:t>
            </w:r>
          </w:p>
        </w:tc>
        <w:tc>
          <w:tcPr>
            <w:tcW w:w="22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-148.7%</w:t>
            </w:r>
          </w:p>
        </w:tc>
        <w:tc>
          <w:tcPr>
            <w:tcW w:w="2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-149.8%</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23,267</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7,802</w:t>
            </w:r>
          </w:p>
        </w:tc>
        <w:tc>
          <w:tcPr>
            <w:tcW w:w="220" w:type="dxa"/>
            <w:vAlign w:val="bottom"/>
          </w:tcPr>
          <w:p>
            <w:pPr>
              <w:spacing w:after="0"/>
              <w:rPr>
                <w:sz w:val="10"/>
                <w:szCs w:val="10"/>
                <w:color w:val="auto"/>
              </w:rPr>
            </w:pP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198.2%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rPr>
              <w:t>Workers’ profit sharing</w:t>
            </w:r>
          </w:p>
        </w:tc>
        <w:tc>
          <w:tcPr>
            <w:tcW w:w="10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(8,288)</w:t>
            </w:r>
          </w:p>
        </w:tc>
        <w:tc>
          <w:tcPr>
            <w:tcW w:w="10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(6,699)</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(2,041)</w:t>
            </w: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23.7%</w:t>
            </w:r>
          </w:p>
        </w:tc>
        <w:tc>
          <w:tcPr>
            <w:tcW w:w="22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306.1%</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(27,286)</w:t>
            </w:r>
          </w:p>
        </w:tc>
        <w:tc>
          <w:tcPr>
            <w:tcW w:w="20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(16,463)</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65.7%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320"/>
              <w:spacing w:after="0" w:line="122" w:lineRule="exact"/>
              <w:rPr>
                <w:sz w:val="20"/>
                <w:szCs w:val="20"/>
                <w:color w:val="auto"/>
              </w:rPr>
            </w:pPr>
            <w:r>
              <w:rPr>
                <w:rFonts w:ascii="Arial" w:cs="Arial" w:eastAsia="Arial" w:hAnsi="Arial"/>
                <w:sz w:val="11"/>
                <w:szCs w:val="11"/>
                <w:color w:val="auto"/>
              </w:rPr>
              <w:t>Income taxes</w:t>
            </w:r>
          </w:p>
        </w:tc>
        <w:tc>
          <w:tcPr>
            <w:tcW w:w="10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(34,815)</w:t>
            </w:r>
          </w:p>
        </w:tc>
        <w:tc>
          <w:tcPr>
            <w:tcW w:w="10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(39,683)</w:t>
            </w: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(16,166)</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-12.3%</w:t>
            </w:r>
          </w:p>
        </w:tc>
        <w:tc>
          <w:tcPr>
            <w:tcW w:w="2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115.4%</w:t>
            </w: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(154,399)</w:t>
            </w:r>
          </w:p>
        </w:tc>
        <w:tc>
          <w:tcPr>
            <w:tcW w:w="200" w:type="dxa"/>
            <w:vAlign w:val="bottom"/>
          </w:tcPr>
          <w:p>
            <w:pPr>
              <w:spacing w:after="0"/>
              <w:rPr>
                <w:sz w:val="10"/>
                <w:szCs w:val="10"/>
                <w:color w:val="auto"/>
              </w:rPr>
            </w:pPr>
          </w:p>
        </w:tc>
        <w:tc>
          <w:tcPr>
            <w:tcW w:w="8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(111,421)</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38.6%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rPr>
              <w:t>Minority interest</w:t>
            </w:r>
          </w:p>
        </w:tc>
        <w:tc>
          <w:tcPr>
            <w:tcW w:w="10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(150)</w:t>
            </w:r>
          </w:p>
        </w:tc>
        <w:tc>
          <w:tcPr>
            <w:tcW w:w="10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(151)</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(325)</w:t>
            </w: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-0.7%</w:t>
            </w:r>
          </w:p>
        </w:tc>
        <w:tc>
          <w:tcPr>
            <w:tcW w:w="22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-53.8%</w:t>
            </w:r>
          </w:p>
        </w:tc>
        <w:tc>
          <w:tcPr>
            <w:tcW w:w="10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(691)</w:t>
            </w:r>
          </w:p>
        </w:tc>
        <w:tc>
          <w:tcPr>
            <w:tcW w:w="20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(1,175)</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-41.2%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20" w:type="dxa"/>
            <w:vAlign w:val="bottom"/>
          </w:tcPr>
          <w:p>
            <w:pPr>
              <w:spacing w:after="0" w:line="123" w:lineRule="exact"/>
              <w:rPr>
                <w:sz w:val="20"/>
                <w:szCs w:val="20"/>
                <w:color w:val="auto"/>
              </w:rPr>
            </w:pPr>
            <w:r>
              <w:rPr>
                <w:rFonts w:ascii="Arial" w:cs="Arial" w:eastAsia="Arial" w:hAnsi="Arial"/>
                <w:sz w:val="11"/>
                <w:szCs w:val="11"/>
                <w:b w:val="1"/>
                <w:bCs w:val="1"/>
                <w:color w:val="auto"/>
              </w:rPr>
              <w:t>Net income</w:t>
            </w:r>
          </w:p>
        </w:tc>
        <w:tc>
          <w:tcPr>
            <w:tcW w:w="80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101,567</w:t>
            </w:r>
          </w:p>
        </w:tc>
        <w:tc>
          <w:tcPr>
            <w:tcW w:w="24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138,620</w:t>
            </w:r>
          </w:p>
        </w:tc>
        <w:tc>
          <w:tcPr>
            <w:tcW w:w="24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107,398</w:t>
            </w:r>
          </w:p>
        </w:tc>
        <w:tc>
          <w:tcPr>
            <w:tcW w:w="220" w:type="dxa"/>
            <w:vAlign w:val="bottom"/>
          </w:tcPr>
          <w:p>
            <w:pPr>
              <w:spacing w:after="0"/>
              <w:rPr>
                <w:sz w:val="10"/>
                <w:szCs w:val="10"/>
                <w:color w:val="auto"/>
              </w:rPr>
            </w:pPr>
          </w:p>
        </w:tc>
        <w:tc>
          <w:tcPr>
            <w:tcW w:w="1020" w:type="dxa"/>
            <w:vAlign w:val="bottom"/>
            <w:gridSpan w:val="2"/>
          </w:tcPr>
          <w:p>
            <w:pPr>
              <w:jc w:val="right"/>
              <w:ind w:right="120"/>
              <w:spacing w:after="0" w:line="123" w:lineRule="exact"/>
              <w:rPr>
                <w:sz w:val="20"/>
                <w:szCs w:val="20"/>
                <w:color w:val="auto"/>
              </w:rPr>
            </w:pPr>
            <w:r>
              <w:rPr>
                <w:rFonts w:ascii="Arial" w:cs="Arial" w:eastAsia="Arial" w:hAnsi="Arial"/>
                <w:sz w:val="11"/>
                <w:szCs w:val="11"/>
                <w:b w:val="1"/>
                <w:bCs w:val="1"/>
                <w:color w:val="auto"/>
              </w:rPr>
              <w:t>-26.7%</w:t>
            </w:r>
          </w:p>
        </w:tc>
        <w:tc>
          <w:tcPr>
            <w:tcW w:w="220" w:type="dxa"/>
            <w:vAlign w:val="bottom"/>
          </w:tcPr>
          <w:p>
            <w:pPr>
              <w:spacing w:after="0"/>
              <w:rPr>
                <w:sz w:val="10"/>
                <w:szCs w:val="10"/>
                <w:color w:val="auto"/>
              </w:rPr>
            </w:pPr>
          </w:p>
        </w:tc>
        <w:tc>
          <w:tcPr>
            <w:tcW w:w="780" w:type="dxa"/>
            <w:vAlign w:val="bottom"/>
            <w:gridSpan w:val="2"/>
          </w:tcPr>
          <w:p>
            <w:pPr>
              <w:jc w:val="right"/>
              <w:ind w:right="100"/>
              <w:spacing w:after="0" w:line="123" w:lineRule="exact"/>
              <w:rPr>
                <w:sz w:val="20"/>
                <w:szCs w:val="20"/>
                <w:color w:val="auto"/>
              </w:rPr>
            </w:pPr>
            <w:r>
              <w:rPr>
                <w:rFonts w:ascii="Arial" w:cs="Arial" w:eastAsia="Arial" w:hAnsi="Arial"/>
                <w:sz w:val="11"/>
                <w:szCs w:val="11"/>
                <w:b w:val="1"/>
                <w:bCs w:val="1"/>
                <w:color w:val="auto"/>
              </w:rPr>
              <w:t>-5.4%</w:t>
            </w:r>
          </w:p>
        </w:tc>
        <w:tc>
          <w:tcPr>
            <w:tcW w:w="1020" w:type="dxa"/>
            <w:vAlign w:val="bottom"/>
            <w:gridSpan w:val="2"/>
          </w:tcPr>
          <w:p>
            <w:pPr>
              <w:jc w:val="right"/>
              <w:ind w:right="220"/>
              <w:spacing w:after="0" w:line="123" w:lineRule="exact"/>
              <w:rPr>
                <w:sz w:val="20"/>
                <w:szCs w:val="20"/>
                <w:color w:val="auto"/>
              </w:rPr>
            </w:pPr>
            <w:r>
              <w:rPr>
                <w:rFonts w:ascii="Arial" w:cs="Arial" w:eastAsia="Arial" w:hAnsi="Arial"/>
                <w:sz w:val="11"/>
                <w:szCs w:val="11"/>
                <w:b w:val="1"/>
                <w:bCs w:val="1"/>
                <w:color w:val="auto"/>
              </w:rPr>
              <w:t>476,317</w:t>
            </w:r>
          </w:p>
        </w:tc>
        <w:tc>
          <w:tcPr>
            <w:tcW w:w="20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397,378</w:t>
            </w:r>
          </w:p>
        </w:tc>
        <w:tc>
          <w:tcPr>
            <w:tcW w:w="220" w:type="dxa"/>
            <w:vAlign w:val="bottom"/>
          </w:tcPr>
          <w:p>
            <w:pPr>
              <w:spacing w:after="0"/>
              <w:rPr>
                <w:sz w:val="10"/>
                <w:szCs w:val="10"/>
                <w:color w:val="auto"/>
              </w:rPr>
            </w:pPr>
          </w:p>
        </w:tc>
        <w:tc>
          <w:tcPr>
            <w:tcW w:w="900" w:type="dxa"/>
            <w:vAlign w:val="bottom"/>
            <w:gridSpan w:val="2"/>
          </w:tcPr>
          <w:p>
            <w:pPr>
              <w:jc w:val="right"/>
              <w:spacing w:after="0" w:line="123" w:lineRule="exact"/>
              <w:rPr>
                <w:sz w:val="20"/>
                <w:szCs w:val="20"/>
                <w:color w:val="auto"/>
              </w:rPr>
            </w:pPr>
            <w:r>
              <w:rPr>
                <w:rFonts w:ascii="Arial" w:cs="Arial" w:eastAsia="Arial" w:hAnsi="Arial"/>
                <w:sz w:val="11"/>
                <w:szCs w:val="11"/>
                <w:b w:val="1"/>
                <w:bCs w:val="1"/>
                <w:color w:val="auto"/>
              </w:rPr>
              <w:t>19.9%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*Income before translation results, workers' profit sharing and income taxes.</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4Q10</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Quarter</w:t>
            </w:r>
          </w:p>
        </w:tc>
        <w:tc>
          <w:tcPr>
            <w:tcW w:w="12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4Q09</w:t>
            </w:r>
          </w:p>
        </w:tc>
        <w:tc>
          <w:tcPr>
            <w:tcW w:w="1540" w:type="dxa"/>
            <w:vAlign w:val="bottom"/>
            <w:gridSpan w:val="3"/>
          </w:tcPr>
          <w:p>
            <w:pPr>
              <w:ind w:left="760"/>
              <w:spacing w:after="0"/>
              <w:rPr>
                <w:sz w:val="20"/>
                <w:szCs w:val="20"/>
                <w:color w:val="auto"/>
              </w:rPr>
            </w:pPr>
            <w:r>
              <w:rPr>
                <w:rFonts w:ascii="Arial" w:cs="Arial" w:eastAsia="Arial" w:hAnsi="Arial"/>
                <w:sz w:val="14"/>
                <w:szCs w:val="14"/>
                <w:b w:val="1"/>
                <w:bCs w:val="1"/>
                <w:color w:val="auto"/>
                <w:w w:val="94"/>
              </w:rPr>
              <w:t>Year to date</w:t>
            </w: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2"/>
              </w:rPr>
              <w:t>Dec 09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3Q10</w:t>
            </w:r>
          </w:p>
        </w:tc>
        <w:tc>
          <w:tcPr>
            <w:tcW w:w="1260" w:type="dxa"/>
            <w:vAlign w:val="bottom"/>
            <w:gridSpan w:val="2"/>
            <w:vMerge w:val="continue"/>
          </w:tcPr>
          <w:p>
            <w:pPr>
              <w:spacing w:after="0"/>
              <w:rPr>
                <w:sz w:val="15"/>
                <w:szCs w:val="15"/>
                <w:color w:val="auto"/>
              </w:rPr>
            </w:pPr>
          </w:p>
        </w:tc>
        <w:tc>
          <w:tcPr>
            <w:tcW w:w="1540" w:type="dxa"/>
            <w:vAlign w:val="bottom"/>
            <w:gridSpan w:val="3"/>
          </w:tcPr>
          <w:p>
            <w:pPr>
              <w:ind w:left="300"/>
              <w:spacing w:after="0"/>
              <w:rPr>
                <w:sz w:val="20"/>
                <w:szCs w:val="20"/>
                <w:color w:val="auto"/>
              </w:rPr>
            </w:pPr>
            <w:r>
              <w:rPr>
                <w:rFonts w:ascii="Arial" w:cs="Arial" w:eastAsia="Arial" w:hAnsi="Arial"/>
                <w:sz w:val="14"/>
                <w:szCs w:val="14"/>
                <w:b w:val="1"/>
                <w:bCs w:val="1"/>
                <w:color w:val="auto"/>
              </w:rPr>
              <w:t>Dec 10</w:t>
            </w: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Profitability</w:t>
            </w:r>
          </w:p>
        </w:tc>
        <w:tc>
          <w:tcPr>
            <w:tcW w:w="10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80" w:type="dxa"/>
            <w:vAlign w:val="bottom"/>
            <w:tcBorders>
              <w:top w:val="single" w:sz="8" w:color="auto"/>
            </w:tcBorders>
            <w:shd w:val="clear" w:color="auto" w:fill="CCFFCC"/>
          </w:tcPr>
          <w:p>
            <w:pPr>
              <w:spacing w:after="0"/>
              <w:rPr>
                <w:sz w:val="12"/>
                <w:szCs w:val="12"/>
                <w:color w:val="auto"/>
              </w:rPr>
            </w:pPr>
          </w:p>
        </w:tc>
        <w:tc>
          <w:tcPr>
            <w:tcW w:w="74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160"/>
              <w:spacing w:after="0" w:line="149" w:lineRule="exact"/>
              <w:rPr>
                <w:sz w:val="20"/>
                <w:szCs w:val="20"/>
                <w:color w:val="auto"/>
              </w:rPr>
            </w:pPr>
            <w:r>
              <w:rPr>
                <w:rFonts w:ascii="Arial" w:cs="Arial" w:eastAsia="Arial" w:hAnsi="Arial"/>
                <w:sz w:val="14"/>
                <w:szCs w:val="14"/>
                <w:color w:val="auto"/>
              </w:rPr>
              <w:t>Net income per common share (US$ per share) (1)</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0.040</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0.054</w:t>
            </w: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0.042</w:t>
            </w: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0.186</w:t>
            </w:r>
          </w:p>
        </w:tc>
        <w:tc>
          <w:tcPr>
            <w:tcW w:w="2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0.155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interest margin on interest earning assets (2)</w:t>
            </w:r>
          </w:p>
        </w:tc>
        <w:tc>
          <w:tcPr>
            <w:tcW w:w="12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4.5%</w:t>
            </w:r>
          </w:p>
        </w:tc>
        <w:tc>
          <w:tcPr>
            <w:tcW w:w="12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4.8%</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5.0%</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2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160"/>
              <w:spacing w:after="0" w:line="149" w:lineRule="exact"/>
              <w:rPr>
                <w:sz w:val="20"/>
                <w:szCs w:val="20"/>
                <w:color w:val="auto"/>
              </w:rPr>
            </w:pPr>
            <w:r>
              <w:rPr>
                <w:rFonts w:ascii="Arial" w:cs="Arial" w:eastAsia="Arial" w:hAnsi="Arial"/>
                <w:sz w:val="14"/>
                <w:szCs w:val="14"/>
                <w:color w:val="auto"/>
              </w:rPr>
              <w:t>Return on average total assets (2)(3)</w:t>
            </w: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w:t>
            </w: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w:t>
            </w:r>
          </w:p>
        </w:tc>
        <w:tc>
          <w:tcPr>
            <w:tcW w:w="2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Return on average shareholders' equity (2)(3)</w:t>
            </w:r>
          </w:p>
        </w:tc>
        <w:tc>
          <w:tcPr>
            <w:tcW w:w="12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21.1%</w:t>
            </w:r>
          </w:p>
        </w:tc>
        <w:tc>
          <w:tcPr>
            <w:tcW w:w="12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31.3%</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26.6%</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26.8%</w:t>
            </w:r>
          </w:p>
        </w:tc>
        <w:tc>
          <w:tcPr>
            <w:tcW w:w="2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160"/>
              <w:spacing w:after="0" w:line="149" w:lineRule="exact"/>
              <w:rPr>
                <w:sz w:val="20"/>
                <w:szCs w:val="20"/>
                <w:color w:val="auto"/>
              </w:rPr>
            </w:pPr>
            <w:r>
              <w:rPr>
                <w:rFonts w:ascii="Arial" w:cs="Arial" w:eastAsia="Arial" w:hAnsi="Arial"/>
                <w:sz w:val="14"/>
                <w:szCs w:val="14"/>
                <w:color w:val="auto"/>
              </w:rPr>
              <w:t>No. of outstanding shares (million)</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2,557.70</w:t>
            </w:r>
          </w:p>
        </w:tc>
        <w:tc>
          <w:tcPr>
            <w:tcW w:w="2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2,557.70</w:t>
            </w:r>
          </w:p>
        </w:tc>
        <w:tc>
          <w:tcPr>
            <w:tcW w:w="2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2,557.70</w:t>
            </w:r>
          </w:p>
        </w:tc>
        <w:tc>
          <w:tcPr>
            <w:tcW w:w="2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2,557.70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2,557.70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b w:val="1"/>
                <w:bCs w:val="1"/>
                <w:color w:val="auto"/>
              </w:rPr>
              <w:t>Quality of loan portfolio</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Past due loans as a percentage of total loans</w:t>
            </w:r>
          </w:p>
        </w:tc>
        <w:tc>
          <w:tcPr>
            <w:tcW w:w="12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1.46%</w:t>
            </w:r>
          </w:p>
        </w:tc>
        <w:tc>
          <w:tcPr>
            <w:tcW w:w="12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1.59%</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1.59%</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1.46%</w:t>
            </w:r>
          </w:p>
        </w:tc>
        <w:tc>
          <w:tcPr>
            <w:tcW w:w="2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160"/>
              <w:spacing w:after="0" w:line="149" w:lineRule="exact"/>
              <w:rPr>
                <w:sz w:val="20"/>
                <w:szCs w:val="20"/>
                <w:color w:val="auto"/>
              </w:rPr>
            </w:pPr>
            <w:r>
              <w:rPr>
                <w:rFonts w:ascii="Arial" w:cs="Arial" w:eastAsia="Arial" w:hAnsi="Arial"/>
                <w:sz w:val="14"/>
                <w:szCs w:val="14"/>
                <w:color w:val="auto"/>
              </w:rPr>
              <w:t>Reserves for loan losses as a percentage of total past due loans</w:t>
            </w: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198.5%</w:t>
            </w: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193.3%</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192.3%</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198.5%</w:t>
            </w:r>
          </w:p>
        </w:tc>
        <w:tc>
          <w:tcPr>
            <w:tcW w:w="2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Reserves for loan losses as a percentage of total loans</w:t>
            </w:r>
          </w:p>
        </w:tc>
        <w:tc>
          <w:tcPr>
            <w:tcW w:w="12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12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3.1%</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3.1%</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2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efficiency</w:t>
            </w: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160"/>
              <w:spacing w:after="0" w:line="149" w:lineRule="exact"/>
              <w:rPr>
                <w:sz w:val="20"/>
                <w:szCs w:val="20"/>
                <w:color w:val="auto"/>
              </w:rPr>
            </w:pPr>
            <w:r>
              <w:rPr>
                <w:rFonts w:ascii="Arial" w:cs="Arial" w:eastAsia="Arial" w:hAnsi="Arial"/>
                <w:sz w:val="14"/>
                <w:szCs w:val="14"/>
                <w:color w:val="auto"/>
              </w:rPr>
              <w:t>Oper. expenses as a percent. of total income (4)</w:t>
            </w: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50.9%</w:t>
            </w: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46.3%</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53.8%</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49.1%</w:t>
            </w:r>
          </w:p>
        </w:tc>
        <w:tc>
          <w:tcPr>
            <w:tcW w:w="2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Oper. expenses as a percent. of av. tot. Assets (2)(3)(4)</w:t>
            </w:r>
          </w:p>
        </w:tc>
        <w:tc>
          <w:tcPr>
            <w:tcW w:w="12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3.4%</w:t>
            </w:r>
          </w:p>
        </w:tc>
        <w:tc>
          <w:tcPr>
            <w:tcW w:w="12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3.3%</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4.0%</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3.3%</w:t>
            </w:r>
          </w:p>
        </w:tc>
        <w:tc>
          <w:tcPr>
            <w:tcW w:w="2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Capital adequacy</w:t>
            </w: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160"/>
              <w:spacing w:after="0" w:line="149" w:lineRule="exact"/>
              <w:rPr>
                <w:sz w:val="20"/>
                <w:szCs w:val="20"/>
                <w:color w:val="auto"/>
              </w:rPr>
            </w:pPr>
            <w:r>
              <w:rPr>
                <w:rFonts w:ascii="Arial" w:cs="Arial" w:eastAsia="Arial" w:hAnsi="Arial"/>
                <w:sz w:val="14"/>
                <w:szCs w:val="14"/>
                <w:color w:val="auto"/>
              </w:rPr>
              <w:t>Total Regulatory Capital (US$ million)</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1,964.1</w:t>
            </w:r>
          </w:p>
        </w:tc>
        <w:tc>
          <w:tcPr>
            <w:tcW w:w="2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1,984.8</w:t>
            </w:r>
          </w:p>
        </w:tc>
        <w:tc>
          <w:tcPr>
            <w:tcW w:w="2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1,888.3</w:t>
            </w:r>
          </w:p>
        </w:tc>
        <w:tc>
          <w:tcPr>
            <w:tcW w:w="2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1,964.1</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1,888.3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Tier I capital (US$ million)</w:t>
            </w: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1,558.9</w:t>
            </w:r>
          </w:p>
        </w:tc>
        <w:tc>
          <w:tcPr>
            <w:tcW w:w="22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1,561.0</w:t>
            </w: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1,450.0</w:t>
            </w:r>
          </w:p>
        </w:tc>
        <w:tc>
          <w:tcPr>
            <w:tcW w:w="240" w:type="dxa"/>
            <w:vAlign w:val="bottom"/>
            <w:shd w:val="clear" w:color="auto" w:fill="CCFFCC"/>
          </w:tcPr>
          <w:p>
            <w:pPr>
              <w:spacing w:after="0"/>
              <w:rPr>
                <w:sz w:val="12"/>
                <w:szCs w:val="12"/>
                <w:color w:val="auto"/>
              </w:rPr>
            </w:pPr>
          </w:p>
        </w:tc>
        <w:tc>
          <w:tcPr>
            <w:tcW w:w="10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1,558.9</w:t>
            </w:r>
          </w:p>
        </w:tc>
        <w:tc>
          <w:tcPr>
            <w:tcW w:w="2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1,450.0</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160"/>
              <w:spacing w:after="0" w:line="149" w:lineRule="exact"/>
              <w:rPr>
                <w:sz w:val="20"/>
                <w:szCs w:val="20"/>
                <w:color w:val="auto"/>
              </w:rPr>
            </w:pPr>
            <w:r>
              <w:rPr>
                <w:rFonts w:ascii="Arial" w:cs="Arial" w:eastAsia="Arial" w:hAnsi="Arial"/>
                <w:sz w:val="14"/>
                <w:szCs w:val="14"/>
                <w:color w:val="auto"/>
              </w:rPr>
              <w:t>BIS ratio (5)</w:t>
            </w: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12.8%</w:t>
            </w: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13.9%</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14.5%</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12.8%</w:t>
            </w:r>
          </w:p>
        </w:tc>
        <w:tc>
          <w:tcPr>
            <w:tcW w:w="2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b w:val="1"/>
                <w:bCs w:val="1"/>
                <w:color w:val="auto"/>
              </w:rPr>
              <w:t>Average balances (US$ million) (3)</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earning assets</w:t>
            </w: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22,500.7</w:t>
            </w:r>
          </w:p>
        </w:tc>
        <w:tc>
          <w:tcPr>
            <w:tcW w:w="22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20,147.4</w:t>
            </w: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16,826.9</w:t>
            </w:r>
          </w:p>
        </w:tc>
        <w:tc>
          <w:tcPr>
            <w:tcW w:w="240" w:type="dxa"/>
            <w:vAlign w:val="bottom"/>
            <w:shd w:val="clear" w:color="auto" w:fill="CCFFCC"/>
          </w:tcPr>
          <w:p>
            <w:pPr>
              <w:spacing w:after="0"/>
              <w:rPr>
                <w:sz w:val="12"/>
                <w:szCs w:val="12"/>
                <w:color w:val="auto"/>
              </w:rPr>
            </w:pPr>
          </w:p>
        </w:tc>
        <w:tc>
          <w:tcPr>
            <w:tcW w:w="10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19,832.4</w:t>
            </w:r>
          </w:p>
        </w:tc>
        <w:tc>
          <w:tcPr>
            <w:tcW w:w="2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16,579.6</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160"/>
              <w:spacing w:after="0" w:line="149" w:lineRule="exact"/>
              <w:rPr>
                <w:sz w:val="20"/>
                <w:szCs w:val="20"/>
                <w:color w:val="auto"/>
              </w:rPr>
            </w:pPr>
            <w:r>
              <w:rPr>
                <w:rFonts w:ascii="Arial" w:cs="Arial" w:eastAsia="Arial" w:hAnsi="Arial"/>
                <w:sz w:val="14"/>
                <w:szCs w:val="14"/>
                <w:color w:val="auto"/>
              </w:rPr>
              <w:t>Total Assets</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24,425.5</w:t>
            </w:r>
          </w:p>
        </w:tc>
        <w:tc>
          <w:tcPr>
            <w:tcW w:w="2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22,171.5</w:t>
            </w:r>
          </w:p>
        </w:tc>
        <w:tc>
          <w:tcPr>
            <w:tcW w:w="2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18,721.8</w:t>
            </w:r>
          </w:p>
        </w:tc>
        <w:tc>
          <w:tcPr>
            <w:tcW w:w="2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22,593.5</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18,538.7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shareholders' equity</w:t>
            </w: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1,928.5</w:t>
            </w:r>
          </w:p>
        </w:tc>
        <w:tc>
          <w:tcPr>
            <w:tcW w:w="22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1,772.1</w:t>
            </w: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1,615.9</w:t>
            </w:r>
          </w:p>
        </w:tc>
        <w:tc>
          <w:tcPr>
            <w:tcW w:w="240" w:type="dxa"/>
            <w:vAlign w:val="bottom"/>
            <w:shd w:val="clear" w:color="auto" w:fill="CCFFCC"/>
          </w:tcPr>
          <w:p>
            <w:pPr>
              <w:spacing w:after="0"/>
              <w:rPr>
                <w:sz w:val="12"/>
                <w:szCs w:val="12"/>
                <w:color w:val="auto"/>
              </w:rPr>
            </w:pPr>
          </w:p>
        </w:tc>
        <w:tc>
          <w:tcPr>
            <w:tcW w:w="10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1,778.8</w:t>
            </w:r>
          </w:p>
        </w:tc>
        <w:tc>
          <w:tcPr>
            <w:tcW w:w="2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1,496.7</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bl>
    <w:p>
      <w:pPr>
        <w:ind w:right="2440" w:firstLine="8"/>
        <w:spacing w:after="0" w:line="250" w:lineRule="auto"/>
        <w:tabs>
          <w:tab w:leader="none" w:pos="25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Shares outstanding of 2,228 million is used for all periods since shares have been issued only for capitalization of profits and inflation adjustment.</w:t>
      </w:r>
    </w:p>
    <w:p>
      <w:pPr>
        <w:ind w:left="260" w:hanging="252"/>
        <w:spacing w:after="0"/>
        <w:tabs>
          <w:tab w:leader="none" w:pos="2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and net gain on foreign exchange transactions.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 includes personnel expenses, administrative expenses and depreciation and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Regulatory Capital / risk-weighted assets. Risk weighted assets include market risk, credit risk and operational risk.</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EL PACIFICO - PERUANO SUIZA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240" w:type="dxa"/>
            <w:vAlign w:val="bottom"/>
            <w:gridSpan w:val="6"/>
          </w:tcPr>
          <w:p>
            <w:pPr>
              <w:jc w:val="center"/>
              <w:ind w:left="606"/>
              <w:spacing w:after="0"/>
              <w:rPr>
                <w:sz w:val="20"/>
                <w:szCs w:val="20"/>
                <w:color w:val="auto"/>
              </w:rPr>
            </w:pPr>
            <w:r>
              <w:rPr>
                <w:rFonts w:ascii="Arial" w:cs="Arial" w:eastAsia="Arial" w:hAnsi="Arial"/>
                <w:sz w:val="11"/>
                <w:szCs w:val="11"/>
                <w:b w:val="1"/>
                <w:bCs w:val="1"/>
                <w:color w:val="auto"/>
                <w:w w:val="88"/>
              </w:rPr>
              <w:t>Balance to and for the period of</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1"/>
                <w:szCs w:val="11"/>
                <w:b w:val="1"/>
                <w:bCs w:val="1"/>
                <w:color w:val="auto"/>
                <w:w w:val="88"/>
              </w:rPr>
              <w:t>Three month ending</w:t>
            </w: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Borders>
              <w:bottom w:val="single" w:sz="8" w:color="auto"/>
            </w:tcBorders>
            <w:gridSpan w:val="3"/>
          </w:tcPr>
          <w:p>
            <w:pPr>
              <w:ind w:left="640"/>
              <w:spacing w:after="0"/>
              <w:rPr>
                <w:sz w:val="20"/>
                <w:szCs w:val="20"/>
                <w:color w:val="auto"/>
              </w:rPr>
            </w:pPr>
            <w:r>
              <w:rPr>
                <w:rFonts w:ascii="Arial" w:cs="Arial" w:eastAsia="Arial" w:hAnsi="Arial"/>
                <w:sz w:val="11"/>
                <w:szCs w:val="11"/>
                <w:b w:val="1"/>
                <w:bCs w:val="1"/>
                <w:color w:val="auto"/>
                <w:w w:val="88"/>
              </w:rPr>
              <w:t>Year to date</w:t>
            </w:r>
          </w:p>
        </w:tc>
        <w:tc>
          <w:tcPr>
            <w:tcW w:w="6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1"/>
                <w:szCs w:val="11"/>
                <w:b w:val="1"/>
                <w:bCs w:val="1"/>
                <w:color w:val="auto"/>
              </w:rPr>
              <w:t>Change %</w:t>
            </w: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940" w:type="dxa"/>
            <w:vAlign w:val="bottom"/>
            <w:gridSpan w:val="2"/>
          </w:tcPr>
          <w:p>
            <w:pPr>
              <w:jc w:val="right"/>
              <w:ind w:right="320"/>
              <w:spacing w:after="0" w:line="108" w:lineRule="exact"/>
              <w:rPr>
                <w:sz w:val="20"/>
                <w:szCs w:val="20"/>
                <w:color w:val="auto"/>
              </w:rPr>
            </w:pPr>
            <w:r>
              <w:rPr>
                <w:rFonts w:ascii="Arial" w:cs="Arial" w:eastAsia="Arial" w:hAnsi="Arial"/>
                <w:sz w:val="11"/>
                <w:szCs w:val="11"/>
                <w:b w:val="1"/>
                <w:bCs w:val="1"/>
                <w:color w:val="auto"/>
              </w:rPr>
              <w:t>31 Dec 10</w:t>
            </w:r>
          </w:p>
        </w:tc>
        <w:tc>
          <w:tcPr>
            <w:tcW w:w="100" w:type="dxa"/>
            <w:vAlign w:val="bottom"/>
          </w:tcPr>
          <w:p>
            <w:pPr>
              <w:spacing w:after="0"/>
              <w:rPr>
                <w:sz w:val="9"/>
                <w:szCs w:val="9"/>
                <w:color w:val="auto"/>
              </w:rPr>
            </w:pPr>
          </w:p>
        </w:tc>
        <w:tc>
          <w:tcPr>
            <w:tcW w:w="1200" w:type="dxa"/>
            <w:vAlign w:val="bottom"/>
            <w:gridSpan w:val="3"/>
          </w:tcPr>
          <w:p>
            <w:pPr>
              <w:jc w:val="center"/>
              <w:ind w:right="400"/>
              <w:spacing w:after="0" w:line="108" w:lineRule="exact"/>
              <w:rPr>
                <w:sz w:val="20"/>
                <w:szCs w:val="20"/>
                <w:color w:val="auto"/>
              </w:rPr>
            </w:pPr>
            <w:r>
              <w:rPr>
                <w:rFonts w:ascii="Arial" w:cs="Arial" w:eastAsia="Arial" w:hAnsi="Arial"/>
                <w:sz w:val="11"/>
                <w:szCs w:val="11"/>
                <w:b w:val="1"/>
                <w:bCs w:val="1"/>
                <w:color w:val="auto"/>
                <w:w w:val="86"/>
              </w:rPr>
              <w:t>30 Sep 10</w:t>
            </w:r>
          </w:p>
        </w:tc>
        <w:tc>
          <w:tcPr>
            <w:tcW w:w="660" w:type="dxa"/>
            <w:vAlign w:val="bottom"/>
          </w:tcPr>
          <w:p>
            <w:pPr>
              <w:jc w:val="right"/>
              <w:ind w:right="126"/>
              <w:spacing w:after="0" w:line="108" w:lineRule="exact"/>
              <w:rPr>
                <w:sz w:val="20"/>
                <w:szCs w:val="20"/>
                <w:color w:val="auto"/>
              </w:rPr>
            </w:pPr>
            <w:r>
              <w:rPr>
                <w:rFonts w:ascii="Arial" w:cs="Arial" w:eastAsia="Arial" w:hAnsi="Arial"/>
                <w:sz w:val="11"/>
                <w:szCs w:val="11"/>
                <w:b w:val="1"/>
                <w:bCs w:val="1"/>
                <w:color w:val="auto"/>
                <w:w w:val="90"/>
              </w:rPr>
              <w:t>31 Dec 09</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jc w:val="right"/>
              <w:ind w:right="166"/>
              <w:spacing w:after="0" w:line="108" w:lineRule="exact"/>
              <w:rPr>
                <w:sz w:val="20"/>
                <w:szCs w:val="20"/>
                <w:color w:val="auto"/>
              </w:rPr>
            </w:pPr>
            <w:r>
              <w:rPr>
                <w:rFonts w:ascii="Arial" w:cs="Arial" w:eastAsia="Arial" w:hAnsi="Arial"/>
                <w:sz w:val="11"/>
                <w:szCs w:val="11"/>
                <w:b w:val="1"/>
                <w:bCs w:val="1"/>
                <w:color w:val="auto"/>
              </w:rPr>
              <w:t>Dec 10 /</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4Q10</w:t>
            </w:r>
          </w:p>
        </w:tc>
        <w:tc>
          <w:tcPr>
            <w:tcW w:w="100" w:type="dxa"/>
            <w:vAlign w:val="bottom"/>
          </w:tcPr>
          <w:p>
            <w:pPr>
              <w:spacing w:after="0"/>
              <w:rPr>
                <w:sz w:val="12"/>
                <w:szCs w:val="12"/>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96"/>
              </w:rPr>
              <w:t>3Q10</w:t>
            </w:r>
          </w:p>
        </w:tc>
        <w:tc>
          <w:tcPr>
            <w:tcW w:w="88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4Q09</w:t>
            </w:r>
          </w:p>
        </w:tc>
        <w:tc>
          <w:tcPr>
            <w:tcW w:w="1220" w:type="dxa"/>
            <w:vAlign w:val="bottom"/>
            <w:gridSpan w:val="3"/>
          </w:tcPr>
          <w:p>
            <w:pPr>
              <w:ind w:left="240"/>
              <w:spacing w:after="0"/>
              <w:rPr>
                <w:sz w:val="20"/>
                <w:szCs w:val="20"/>
                <w:color w:val="auto"/>
              </w:rPr>
            </w:pPr>
            <w:r>
              <w:rPr>
                <w:rFonts w:ascii="Arial" w:cs="Arial" w:eastAsia="Arial" w:hAnsi="Arial"/>
                <w:sz w:val="11"/>
                <w:szCs w:val="11"/>
                <w:b w:val="1"/>
                <w:bCs w:val="1"/>
                <w:color w:val="auto"/>
              </w:rPr>
              <w:t>Dec 10</w:t>
            </w:r>
          </w:p>
        </w:tc>
        <w:tc>
          <w:tcPr>
            <w:tcW w:w="80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w w:val="90"/>
              </w:rPr>
              <w:t>Dec 09</w:t>
            </w:r>
          </w:p>
        </w:tc>
        <w:tc>
          <w:tcPr>
            <w:tcW w:w="102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QoQ</w:t>
            </w:r>
          </w:p>
        </w:tc>
        <w:tc>
          <w:tcPr>
            <w:tcW w:w="102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rPr>
              <w:t>YoY</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Dec 09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Results</w:t>
            </w:r>
          </w:p>
        </w:tc>
        <w:tc>
          <w:tcPr>
            <w:tcW w:w="80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20" w:type="dxa"/>
            <w:vAlign w:val="bottom"/>
            <w:tcBorders>
              <w:top w:val="single" w:sz="8" w:color="auto"/>
            </w:tcBorders>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140" w:type="dxa"/>
            <w:vAlign w:val="bottom"/>
            <w:tcBorders>
              <w:top w:val="single" w:sz="8" w:color="auto"/>
            </w:tcBorders>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00" w:type="dxa"/>
            <w:vAlign w:val="bottom"/>
            <w:tcBorders>
              <w:top w:val="single" w:sz="8" w:color="auto"/>
            </w:tcBorders>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160"/>
              <w:spacing w:after="0" w:line="122" w:lineRule="exact"/>
              <w:rPr>
                <w:sz w:val="20"/>
                <w:szCs w:val="20"/>
                <w:color w:val="auto"/>
              </w:rPr>
            </w:pPr>
            <w:r>
              <w:rPr>
                <w:rFonts w:ascii="Arial" w:cs="Arial" w:eastAsia="Arial" w:hAnsi="Arial"/>
                <w:sz w:val="11"/>
                <w:szCs w:val="11"/>
                <w:color w:val="auto"/>
              </w:rPr>
              <w:t>Total Premiums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229,988</w:t>
            </w:r>
          </w:p>
        </w:tc>
        <w:tc>
          <w:tcPr>
            <w:tcW w:w="14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202,871</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172,697</w:t>
            </w:r>
          </w:p>
        </w:tc>
        <w:tc>
          <w:tcPr>
            <w:tcW w:w="22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751,857</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608,824</w:t>
            </w:r>
          </w:p>
        </w:tc>
        <w:tc>
          <w:tcPr>
            <w:tcW w:w="20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13.4%</w:t>
            </w:r>
          </w:p>
        </w:tc>
        <w:tc>
          <w:tcPr>
            <w:tcW w:w="10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33.2%</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23.5%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Ceded Premiums</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44,773</w:t>
            </w:r>
          </w:p>
        </w:tc>
        <w:tc>
          <w:tcPr>
            <w:tcW w:w="14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37,986</w:t>
            </w:r>
          </w:p>
        </w:tc>
        <w:tc>
          <w:tcPr>
            <w:tcW w:w="2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34,968</w:t>
            </w:r>
          </w:p>
        </w:tc>
        <w:tc>
          <w:tcPr>
            <w:tcW w:w="22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125,775</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101,743</w:t>
            </w:r>
          </w:p>
        </w:tc>
        <w:tc>
          <w:tcPr>
            <w:tcW w:w="2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17.9%</w:t>
            </w:r>
          </w:p>
        </w:tc>
        <w:tc>
          <w:tcPr>
            <w:tcW w:w="10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28.0%</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23.6%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160"/>
              <w:spacing w:after="0" w:line="122" w:lineRule="exact"/>
              <w:rPr>
                <w:sz w:val="20"/>
                <w:szCs w:val="20"/>
                <w:color w:val="auto"/>
              </w:rPr>
            </w:pPr>
            <w:r>
              <w:rPr>
                <w:rFonts w:ascii="Arial" w:cs="Arial" w:eastAsia="Arial" w:hAnsi="Arial"/>
                <w:sz w:val="11"/>
                <w:szCs w:val="11"/>
                <w:color w:val="auto"/>
              </w:rPr>
              <w:t>Unearned premium reserves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54,045</w:t>
            </w:r>
          </w:p>
        </w:tc>
        <w:tc>
          <w:tcPr>
            <w:tcW w:w="14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40,675</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18,582</w:t>
            </w:r>
          </w:p>
        </w:tc>
        <w:tc>
          <w:tcPr>
            <w:tcW w:w="22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130,085</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67,567</w:t>
            </w:r>
          </w:p>
        </w:tc>
        <w:tc>
          <w:tcPr>
            <w:tcW w:w="20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32.9%</w:t>
            </w:r>
          </w:p>
        </w:tc>
        <w:tc>
          <w:tcPr>
            <w:tcW w:w="10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190.8%</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92.5%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Net earned premiums</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131,169</w:t>
            </w:r>
          </w:p>
        </w:tc>
        <w:tc>
          <w:tcPr>
            <w:tcW w:w="14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124,210</w:t>
            </w:r>
          </w:p>
        </w:tc>
        <w:tc>
          <w:tcPr>
            <w:tcW w:w="2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119,146</w:t>
            </w: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495,997</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439,515</w:t>
            </w:r>
          </w:p>
        </w:tc>
        <w:tc>
          <w:tcPr>
            <w:tcW w:w="2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5.6%</w:t>
            </w:r>
          </w:p>
        </w:tc>
        <w:tc>
          <w:tcPr>
            <w:tcW w:w="10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10.1%</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12.9%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160"/>
              <w:spacing w:after="0" w:line="122" w:lineRule="exact"/>
              <w:rPr>
                <w:sz w:val="20"/>
                <w:szCs w:val="20"/>
                <w:color w:val="auto"/>
              </w:rPr>
            </w:pPr>
            <w:r>
              <w:rPr>
                <w:rFonts w:ascii="Arial" w:cs="Arial" w:eastAsia="Arial" w:hAnsi="Arial"/>
                <w:sz w:val="11"/>
                <w:szCs w:val="11"/>
                <w:color w:val="auto"/>
              </w:rPr>
              <w:t>Direct claims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94,503</w:t>
            </w:r>
          </w:p>
        </w:tc>
        <w:tc>
          <w:tcPr>
            <w:tcW w:w="14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79,716</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92,473</w:t>
            </w:r>
          </w:p>
        </w:tc>
        <w:tc>
          <w:tcPr>
            <w:tcW w:w="22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346,053</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335,959</w:t>
            </w:r>
          </w:p>
        </w:tc>
        <w:tc>
          <w:tcPr>
            <w:tcW w:w="20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18.5%</w:t>
            </w:r>
          </w:p>
        </w:tc>
        <w:tc>
          <w:tcPr>
            <w:tcW w:w="10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2.2%</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Ceded claims</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10,014</w:t>
            </w:r>
          </w:p>
        </w:tc>
        <w:tc>
          <w:tcPr>
            <w:tcW w:w="14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3,233</w:t>
            </w:r>
          </w:p>
        </w:tc>
        <w:tc>
          <w:tcPr>
            <w:tcW w:w="2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22,396</w:t>
            </w:r>
          </w:p>
        </w:tc>
        <w:tc>
          <w:tcPr>
            <w:tcW w:w="22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30,481</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49,501</w:t>
            </w:r>
          </w:p>
        </w:tc>
        <w:tc>
          <w:tcPr>
            <w:tcW w:w="2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209.8%</w:t>
            </w:r>
          </w:p>
        </w:tc>
        <w:tc>
          <w:tcPr>
            <w:tcW w:w="10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-55.3%</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-38.4%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b w:val="1"/>
                <w:bCs w:val="1"/>
                <w:color w:val="auto"/>
              </w:rPr>
              <w:t>Net claims</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84,488</w:t>
            </w:r>
          </w:p>
        </w:tc>
        <w:tc>
          <w:tcPr>
            <w:tcW w:w="14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76,483</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70,078</w:t>
            </w:r>
          </w:p>
        </w:tc>
        <w:tc>
          <w:tcPr>
            <w:tcW w:w="22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315,572</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286,457</w:t>
            </w:r>
          </w:p>
        </w:tc>
        <w:tc>
          <w:tcPr>
            <w:tcW w:w="20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10.5%</w:t>
            </w:r>
          </w:p>
        </w:tc>
        <w:tc>
          <w:tcPr>
            <w:tcW w:w="10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20.6%</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Direct commissions</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21,534</w:t>
            </w:r>
          </w:p>
        </w:tc>
        <w:tc>
          <w:tcPr>
            <w:tcW w:w="14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21,709</w:t>
            </w:r>
          </w:p>
        </w:tc>
        <w:tc>
          <w:tcPr>
            <w:tcW w:w="2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17,970</w:t>
            </w:r>
          </w:p>
        </w:tc>
        <w:tc>
          <w:tcPr>
            <w:tcW w:w="22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81,291</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69,139</w:t>
            </w:r>
          </w:p>
        </w:tc>
        <w:tc>
          <w:tcPr>
            <w:tcW w:w="2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-0.8%</w:t>
            </w:r>
          </w:p>
        </w:tc>
        <w:tc>
          <w:tcPr>
            <w:tcW w:w="10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19.8%</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17.6%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160"/>
              <w:spacing w:after="0" w:line="122" w:lineRule="exact"/>
              <w:rPr>
                <w:sz w:val="20"/>
                <w:szCs w:val="20"/>
                <w:color w:val="auto"/>
              </w:rPr>
            </w:pPr>
            <w:r>
              <w:rPr>
                <w:rFonts w:ascii="Arial" w:cs="Arial" w:eastAsia="Arial" w:hAnsi="Arial"/>
                <w:sz w:val="11"/>
                <w:szCs w:val="11"/>
                <w:color w:val="auto"/>
              </w:rPr>
              <w:t>Commissions received</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3,280</w:t>
            </w:r>
          </w:p>
        </w:tc>
        <w:tc>
          <w:tcPr>
            <w:tcW w:w="14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3,212</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2,395</w:t>
            </w:r>
          </w:p>
        </w:tc>
        <w:tc>
          <w:tcPr>
            <w:tcW w:w="22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11,678</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9,565</w:t>
            </w:r>
          </w:p>
        </w:tc>
        <w:tc>
          <w:tcPr>
            <w:tcW w:w="20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2.1%</w:t>
            </w:r>
          </w:p>
        </w:tc>
        <w:tc>
          <w:tcPr>
            <w:tcW w:w="10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37.0%</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22.1%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Net commissions</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18,254</w:t>
            </w:r>
          </w:p>
        </w:tc>
        <w:tc>
          <w:tcPr>
            <w:tcW w:w="14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18,497</w:t>
            </w:r>
          </w:p>
        </w:tc>
        <w:tc>
          <w:tcPr>
            <w:tcW w:w="2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15,575</w:t>
            </w:r>
          </w:p>
        </w:tc>
        <w:tc>
          <w:tcPr>
            <w:tcW w:w="22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69,613</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59,574</w:t>
            </w:r>
          </w:p>
        </w:tc>
        <w:tc>
          <w:tcPr>
            <w:tcW w:w="2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-1.3%</w:t>
            </w:r>
          </w:p>
        </w:tc>
        <w:tc>
          <w:tcPr>
            <w:tcW w:w="10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17.2%</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16.9%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160"/>
              <w:spacing w:after="0" w:line="122" w:lineRule="exact"/>
              <w:rPr>
                <w:sz w:val="20"/>
                <w:szCs w:val="20"/>
                <w:color w:val="auto"/>
              </w:rPr>
            </w:pPr>
            <w:r>
              <w:rPr>
                <w:rFonts w:ascii="Arial" w:cs="Arial" w:eastAsia="Arial" w:hAnsi="Arial"/>
                <w:sz w:val="11"/>
                <w:szCs w:val="11"/>
                <w:color w:val="auto"/>
              </w:rPr>
              <w:t>Technical expenses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8,149</w:t>
            </w:r>
          </w:p>
        </w:tc>
        <w:tc>
          <w:tcPr>
            <w:tcW w:w="14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7,556</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7,267</w:t>
            </w:r>
          </w:p>
        </w:tc>
        <w:tc>
          <w:tcPr>
            <w:tcW w:w="22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28,808</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24,777</w:t>
            </w:r>
          </w:p>
        </w:tc>
        <w:tc>
          <w:tcPr>
            <w:tcW w:w="20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7.9%</w:t>
            </w:r>
          </w:p>
        </w:tc>
        <w:tc>
          <w:tcPr>
            <w:tcW w:w="10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12.1%</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16.3%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Technical resolves</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3,998</w:t>
            </w:r>
          </w:p>
        </w:tc>
        <w:tc>
          <w:tcPr>
            <w:tcW w:w="14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2,531</w:t>
            </w:r>
          </w:p>
        </w:tc>
        <w:tc>
          <w:tcPr>
            <w:tcW w:w="2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2,749</w:t>
            </w:r>
          </w:p>
        </w:tc>
        <w:tc>
          <w:tcPr>
            <w:tcW w:w="22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11,395</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11,202</w:t>
            </w:r>
          </w:p>
        </w:tc>
        <w:tc>
          <w:tcPr>
            <w:tcW w:w="2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58.0%</w:t>
            </w:r>
          </w:p>
        </w:tc>
        <w:tc>
          <w:tcPr>
            <w:tcW w:w="10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45.4%</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b w:val="1"/>
                <w:bCs w:val="1"/>
                <w:color w:val="auto"/>
              </w:rPr>
              <w:t>Net technical expenses</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4,152</w:t>
            </w:r>
          </w:p>
        </w:tc>
        <w:tc>
          <w:tcPr>
            <w:tcW w:w="14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5,025</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4,518</w:t>
            </w:r>
          </w:p>
        </w:tc>
        <w:tc>
          <w:tcPr>
            <w:tcW w:w="22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17,413</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13,574</w:t>
            </w:r>
          </w:p>
        </w:tc>
        <w:tc>
          <w:tcPr>
            <w:tcW w:w="20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-17.4%</w:t>
            </w:r>
          </w:p>
        </w:tc>
        <w:tc>
          <w:tcPr>
            <w:tcW w:w="10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-8.1%</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28.3%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Underwriting results</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24,275</w:t>
            </w:r>
          </w:p>
        </w:tc>
        <w:tc>
          <w:tcPr>
            <w:tcW w:w="14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24,205</w:t>
            </w:r>
          </w:p>
        </w:tc>
        <w:tc>
          <w:tcPr>
            <w:tcW w:w="2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28,976</w:t>
            </w:r>
          </w:p>
        </w:tc>
        <w:tc>
          <w:tcPr>
            <w:tcW w:w="22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93,399</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79,909</w:t>
            </w:r>
          </w:p>
        </w:tc>
        <w:tc>
          <w:tcPr>
            <w:tcW w:w="2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0.3%</w:t>
            </w:r>
          </w:p>
        </w:tc>
        <w:tc>
          <w:tcPr>
            <w:tcW w:w="10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-16.2%</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16.9%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Financial income</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17,435</w:t>
            </w:r>
          </w:p>
        </w:tc>
        <w:tc>
          <w:tcPr>
            <w:tcW w:w="14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17,766</w:t>
            </w:r>
          </w:p>
        </w:tc>
        <w:tc>
          <w:tcPr>
            <w:tcW w:w="2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16,043</w:t>
            </w:r>
          </w:p>
        </w:tc>
        <w:tc>
          <w:tcPr>
            <w:tcW w:w="22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70,689</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61,471</w:t>
            </w:r>
          </w:p>
        </w:tc>
        <w:tc>
          <w:tcPr>
            <w:tcW w:w="2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-1.9%</w:t>
            </w:r>
          </w:p>
        </w:tc>
        <w:tc>
          <w:tcPr>
            <w:tcW w:w="10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8.7%</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15.0%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160"/>
              <w:spacing w:after="0" w:line="122" w:lineRule="exact"/>
              <w:rPr>
                <w:sz w:val="20"/>
                <w:szCs w:val="20"/>
                <w:color w:val="auto"/>
              </w:rPr>
            </w:pPr>
            <w:r>
              <w:rPr>
                <w:rFonts w:ascii="Arial" w:cs="Arial" w:eastAsia="Arial" w:hAnsi="Arial"/>
                <w:sz w:val="11"/>
                <w:szCs w:val="11"/>
                <w:color w:val="auto"/>
              </w:rPr>
              <w:t>Gains on sale of real state and secutirities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6,552</w:t>
            </w:r>
          </w:p>
        </w:tc>
        <w:tc>
          <w:tcPr>
            <w:tcW w:w="14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5,768</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2,262</w:t>
            </w:r>
          </w:p>
        </w:tc>
        <w:tc>
          <w:tcPr>
            <w:tcW w:w="22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18,775</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12,173</w:t>
            </w:r>
          </w:p>
        </w:tc>
        <w:tc>
          <w:tcPr>
            <w:tcW w:w="20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13.6%</w:t>
            </w:r>
          </w:p>
        </w:tc>
        <w:tc>
          <w:tcPr>
            <w:tcW w:w="10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189.6%</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54.2%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Net property and rental income</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1,052</w:t>
            </w:r>
          </w:p>
        </w:tc>
        <w:tc>
          <w:tcPr>
            <w:tcW w:w="14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1,117</w:t>
            </w:r>
          </w:p>
        </w:tc>
        <w:tc>
          <w:tcPr>
            <w:tcW w:w="2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1,147</w:t>
            </w:r>
          </w:p>
        </w:tc>
        <w:tc>
          <w:tcPr>
            <w:tcW w:w="22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4,505</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4,025</w:t>
            </w:r>
          </w:p>
        </w:tc>
        <w:tc>
          <w:tcPr>
            <w:tcW w:w="2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-5.8%</w:t>
            </w:r>
          </w:p>
        </w:tc>
        <w:tc>
          <w:tcPr>
            <w:tcW w:w="10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-8.2%</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11.9%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160"/>
              <w:spacing w:after="0" w:line="122" w:lineRule="exact"/>
              <w:rPr>
                <w:sz w:val="20"/>
                <w:szCs w:val="20"/>
                <w:color w:val="auto"/>
              </w:rPr>
            </w:pPr>
            <w:r>
              <w:rPr>
                <w:rFonts w:ascii="Arial" w:cs="Arial" w:eastAsia="Arial" w:hAnsi="Arial"/>
                <w:sz w:val="11"/>
                <w:szCs w:val="11"/>
                <w:color w:val="auto"/>
              </w:rPr>
              <w:t>(-) Financial expenses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640</w:t>
            </w:r>
          </w:p>
        </w:tc>
        <w:tc>
          <w:tcPr>
            <w:tcW w:w="140" w:type="dxa"/>
            <w:vAlign w:val="bottom"/>
          </w:tcPr>
          <w:p>
            <w:pPr>
              <w:spacing w:after="0"/>
              <w:rPr>
                <w:sz w:val="10"/>
                <w:szCs w:val="10"/>
                <w:color w:val="auto"/>
              </w:rPr>
            </w:pPr>
          </w:p>
        </w:tc>
        <w:tc>
          <w:tcPr>
            <w:tcW w:w="116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(621)</w:t>
            </w: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493</w:t>
            </w:r>
          </w:p>
        </w:tc>
        <w:tc>
          <w:tcPr>
            <w:tcW w:w="22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1,788</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2,017</w:t>
            </w:r>
          </w:p>
        </w:tc>
        <w:tc>
          <w:tcPr>
            <w:tcW w:w="20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-203.0%</w:t>
            </w:r>
          </w:p>
        </w:tc>
        <w:tc>
          <w:tcPr>
            <w:tcW w:w="10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29.8%</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-11.4%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Financial income, net</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24,400</w:t>
            </w:r>
          </w:p>
        </w:tc>
        <w:tc>
          <w:tcPr>
            <w:tcW w:w="14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25,272</w:t>
            </w:r>
          </w:p>
        </w:tc>
        <w:tc>
          <w:tcPr>
            <w:tcW w:w="2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18,960</w:t>
            </w:r>
          </w:p>
        </w:tc>
        <w:tc>
          <w:tcPr>
            <w:tcW w:w="22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92,181</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75,652</w:t>
            </w:r>
          </w:p>
        </w:tc>
        <w:tc>
          <w:tcPr>
            <w:tcW w:w="2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-3.5%</w:t>
            </w:r>
          </w:p>
        </w:tc>
        <w:tc>
          <w:tcPr>
            <w:tcW w:w="10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28.7%</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21.8%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Salaries and benefits</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16,883</w:t>
            </w:r>
          </w:p>
        </w:tc>
        <w:tc>
          <w:tcPr>
            <w:tcW w:w="14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14,768</w:t>
            </w:r>
          </w:p>
        </w:tc>
        <w:tc>
          <w:tcPr>
            <w:tcW w:w="2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14,258</w:t>
            </w:r>
          </w:p>
        </w:tc>
        <w:tc>
          <w:tcPr>
            <w:tcW w:w="22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58,657</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46,713</w:t>
            </w:r>
          </w:p>
        </w:tc>
        <w:tc>
          <w:tcPr>
            <w:tcW w:w="2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14.3%</w:t>
            </w:r>
          </w:p>
        </w:tc>
        <w:tc>
          <w:tcPr>
            <w:tcW w:w="10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18.4%</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25.6%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160"/>
              <w:spacing w:after="0" w:line="122" w:lineRule="exact"/>
              <w:rPr>
                <w:sz w:val="20"/>
                <w:szCs w:val="20"/>
                <w:color w:val="auto"/>
              </w:rPr>
            </w:pPr>
            <w:r>
              <w:rPr>
                <w:rFonts w:ascii="Arial" w:cs="Arial" w:eastAsia="Arial" w:hAnsi="Arial"/>
                <w:sz w:val="11"/>
                <w:szCs w:val="11"/>
                <w:color w:val="auto"/>
              </w:rPr>
              <w:t>Administrative expenses</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12,563</w:t>
            </w:r>
          </w:p>
        </w:tc>
        <w:tc>
          <w:tcPr>
            <w:tcW w:w="14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14,593</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17,128</w:t>
            </w:r>
          </w:p>
        </w:tc>
        <w:tc>
          <w:tcPr>
            <w:tcW w:w="22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48,202</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44,777</w:t>
            </w:r>
          </w:p>
        </w:tc>
        <w:tc>
          <w:tcPr>
            <w:tcW w:w="20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-13.9%</w:t>
            </w:r>
          </w:p>
        </w:tc>
        <w:tc>
          <w:tcPr>
            <w:tcW w:w="10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-26.7%</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7.6%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rPr>
              <w:t>Third party services</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5,932</w:t>
            </w:r>
          </w:p>
        </w:tc>
        <w:tc>
          <w:tcPr>
            <w:tcW w:w="14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6,841</w:t>
            </w:r>
          </w:p>
        </w:tc>
        <w:tc>
          <w:tcPr>
            <w:tcW w:w="2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5,039</w:t>
            </w:r>
          </w:p>
        </w:tc>
        <w:tc>
          <w:tcPr>
            <w:tcW w:w="22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22,948</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17,806</w:t>
            </w:r>
          </w:p>
        </w:tc>
        <w:tc>
          <w:tcPr>
            <w:tcW w:w="2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-13.3%</w:t>
            </w:r>
          </w:p>
        </w:tc>
        <w:tc>
          <w:tcPr>
            <w:tcW w:w="10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17.7%</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28.9%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320"/>
              <w:spacing w:after="0" w:line="122" w:lineRule="exact"/>
              <w:rPr>
                <w:sz w:val="20"/>
                <w:szCs w:val="20"/>
                <w:color w:val="auto"/>
              </w:rPr>
            </w:pPr>
            <w:r>
              <w:rPr>
                <w:rFonts w:ascii="Arial" w:cs="Arial" w:eastAsia="Arial" w:hAnsi="Arial"/>
                <w:sz w:val="11"/>
                <w:szCs w:val="11"/>
                <w:color w:val="auto"/>
              </w:rPr>
              <w:t>Management expenses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2,666</w:t>
            </w:r>
          </w:p>
        </w:tc>
        <w:tc>
          <w:tcPr>
            <w:tcW w:w="14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2,544</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2,192</w:t>
            </w:r>
          </w:p>
        </w:tc>
        <w:tc>
          <w:tcPr>
            <w:tcW w:w="22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9,698</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7,303</w:t>
            </w:r>
          </w:p>
        </w:tc>
        <w:tc>
          <w:tcPr>
            <w:tcW w:w="20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4.8%</w:t>
            </w:r>
          </w:p>
        </w:tc>
        <w:tc>
          <w:tcPr>
            <w:tcW w:w="10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21.6%</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32.8%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rPr>
              <w:t>Provisions</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1,735</w:t>
            </w:r>
          </w:p>
        </w:tc>
        <w:tc>
          <w:tcPr>
            <w:tcW w:w="14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1,796</w:t>
            </w:r>
          </w:p>
        </w:tc>
        <w:tc>
          <w:tcPr>
            <w:tcW w:w="2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5,204</w:t>
            </w:r>
          </w:p>
        </w:tc>
        <w:tc>
          <w:tcPr>
            <w:tcW w:w="22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6,635</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5,819</w:t>
            </w:r>
          </w:p>
        </w:tc>
        <w:tc>
          <w:tcPr>
            <w:tcW w:w="2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-3.4%</w:t>
            </w:r>
          </w:p>
        </w:tc>
        <w:tc>
          <w:tcPr>
            <w:tcW w:w="10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-66.7%</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14.0%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320"/>
              <w:spacing w:after="0" w:line="122" w:lineRule="exact"/>
              <w:rPr>
                <w:sz w:val="20"/>
                <w:szCs w:val="20"/>
                <w:color w:val="auto"/>
              </w:rPr>
            </w:pPr>
            <w:r>
              <w:rPr>
                <w:rFonts w:ascii="Arial" w:cs="Arial" w:eastAsia="Arial" w:hAnsi="Arial"/>
                <w:sz w:val="11"/>
                <w:szCs w:val="11"/>
                <w:color w:val="auto"/>
              </w:rPr>
              <w:t>Taxes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1,893</w:t>
            </w:r>
          </w:p>
        </w:tc>
        <w:tc>
          <w:tcPr>
            <w:tcW w:w="14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1,384</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1,697</w:t>
            </w:r>
          </w:p>
        </w:tc>
        <w:tc>
          <w:tcPr>
            <w:tcW w:w="22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5,852</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5,441</w:t>
            </w:r>
          </w:p>
        </w:tc>
        <w:tc>
          <w:tcPr>
            <w:tcW w:w="20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36.8%</w:t>
            </w:r>
          </w:p>
        </w:tc>
        <w:tc>
          <w:tcPr>
            <w:tcW w:w="10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11.5%</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7.6%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rPr>
              <w:t>Other expenses</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338</w:t>
            </w:r>
          </w:p>
        </w:tc>
        <w:tc>
          <w:tcPr>
            <w:tcW w:w="14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2,029</w:t>
            </w:r>
          </w:p>
        </w:tc>
        <w:tc>
          <w:tcPr>
            <w:tcW w:w="2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2,997</w:t>
            </w:r>
          </w:p>
        </w:tc>
        <w:tc>
          <w:tcPr>
            <w:tcW w:w="22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3,068</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8,408</w:t>
            </w:r>
          </w:p>
        </w:tc>
        <w:tc>
          <w:tcPr>
            <w:tcW w:w="2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-83.3%</w:t>
            </w:r>
          </w:p>
        </w:tc>
        <w:tc>
          <w:tcPr>
            <w:tcW w:w="10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-88.7%</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-63.5%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b w:val="1"/>
                <w:bCs w:val="1"/>
                <w:color w:val="auto"/>
              </w:rPr>
              <w:t>General expenses</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29,446</w:t>
            </w:r>
          </w:p>
        </w:tc>
        <w:tc>
          <w:tcPr>
            <w:tcW w:w="14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29,360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31,386</w:t>
            </w:r>
          </w:p>
        </w:tc>
        <w:tc>
          <w:tcPr>
            <w:tcW w:w="22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106,859</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91,489</w:t>
            </w:r>
          </w:p>
        </w:tc>
        <w:tc>
          <w:tcPr>
            <w:tcW w:w="20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0.3%</w:t>
            </w:r>
          </w:p>
        </w:tc>
        <w:tc>
          <w:tcPr>
            <w:tcW w:w="10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-6.2%</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16.8%</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3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color w:val="auto"/>
              </w:rPr>
              <w:t>Other income</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2,321</w:t>
            </w:r>
          </w:p>
        </w:tc>
        <w:tc>
          <w:tcPr>
            <w:tcW w:w="14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945</w:t>
            </w:r>
          </w:p>
        </w:tc>
        <w:tc>
          <w:tcPr>
            <w:tcW w:w="22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2,894</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1,778</w:t>
            </w:r>
          </w:p>
        </w:tc>
        <w:tc>
          <w:tcPr>
            <w:tcW w:w="20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11675.9%</w:t>
            </w:r>
          </w:p>
        </w:tc>
        <w:tc>
          <w:tcPr>
            <w:tcW w:w="10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145.5%</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62.8%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Traslations results</w:t>
            </w:r>
          </w:p>
        </w:tc>
        <w:tc>
          <w:tcPr>
            <w:tcW w:w="9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(547)</w:t>
            </w: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1,516</w:t>
            </w:r>
          </w:p>
        </w:tc>
        <w:tc>
          <w:tcPr>
            <w:tcW w:w="2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382</w:t>
            </w:r>
          </w:p>
        </w:tc>
        <w:tc>
          <w:tcPr>
            <w:tcW w:w="22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2,503</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4,474</w:t>
            </w:r>
          </w:p>
        </w:tc>
        <w:tc>
          <w:tcPr>
            <w:tcW w:w="2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-136.1%</w:t>
            </w:r>
          </w:p>
        </w:tc>
        <w:tc>
          <w:tcPr>
            <w:tcW w:w="10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-243.2%</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-44.1%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color w:val="auto"/>
              </w:rPr>
              <w:t>Employee participation and income tax</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4,553</w:t>
            </w:r>
          </w:p>
        </w:tc>
        <w:tc>
          <w:tcPr>
            <w:tcW w:w="14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5,267</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(2,388)</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15,778</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8,637</w:t>
            </w:r>
          </w:p>
        </w:tc>
        <w:tc>
          <w:tcPr>
            <w:tcW w:w="20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-13.6%</w:t>
            </w:r>
          </w:p>
        </w:tc>
        <w:tc>
          <w:tcPr>
            <w:tcW w:w="10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-290.7%</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82.7%</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3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b w:val="1"/>
                <w:bCs w:val="1"/>
                <w:color w:val="auto"/>
              </w:rPr>
              <w:t>Income before minority interest</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16,450</w:t>
            </w:r>
          </w:p>
        </w:tc>
        <w:tc>
          <w:tcPr>
            <w:tcW w:w="14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16,386</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20,264</w:t>
            </w:r>
          </w:p>
        </w:tc>
        <w:tc>
          <w:tcPr>
            <w:tcW w:w="22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68,340</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61,687</w:t>
            </w:r>
          </w:p>
        </w:tc>
        <w:tc>
          <w:tcPr>
            <w:tcW w:w="20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0.4%</w:t>
            </w:r>
          </w:p>
        </w:tc>
        <w:tc>
          <w:tcPr>
            <w:tcW w:w="10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-18.8%</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10.8%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Minority interest</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3,294</w:t>
            </w:r>
          </w:p>
        </w:tc>
        <w:tc>
          <w:tcPr>
            <w:tcW w:w="14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2,645</w:t>
            </w:r>
          </w:p>
        </w:tc>
        <w:tc>
          <w:tcPr>
            <w:tcW w:w="2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3,981</w:t>
            </w:r>
          </w:p>
        </w:tc>
        <w:tc>
          <w:tcPr>
            <w:tcW w:w="22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12,872</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12,495</w:t>
            </w:r>
          </w:p>
        </w:tc>
        <w:tc>
          <w:tcPr>
            <w:tcW w:w="2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24.5%</w:t>
            </w:r>
          </w:p>
        </w:tc>
        <w:tc>
          <w:tcPr>
            <w:tcW w:w="10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-17.3%</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Net income</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13,157</w:t>
            </w:r>
          </w:p>
        </w:tc>
        <w:tc>
          <w:tcPr>
            <w:tcW w:w="14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13,741</w:t>
            </w:r>
          </w:p>
        </w:tc>
        <w:tc>
          <w:tcPr>
            <w:tcW w:w="2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16,283</w:t>
            </w:r>
          </w:p>
        </w:tc>
        <w:tc>
          <w:tcPr>
            <w:tcW w:w="22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55,468</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49,192</w:t>
            </w:r>
          </w:p>
        </w:tc>
        <w:tc>
          <w:tcPr>
            <w:tcW w:w="2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-4.3%</w:t>
            </w:r>
          </w:p>
        </w:tc>
        <w:tc>
          <w:tcPr>
            <w:tcW w:w="10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-19.2%</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12.8%</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Balance (end of period)</w:t>
            </w:r>
          </w:p>
        </w:tc>
        <w:tc>
          <w:tcPr>
            <w:tcW w:w="8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Total Assets</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1,783,115</w:t>
            </w:r>
          </w:p>
        </w:tc>
        <w:tc>
          <w:tcPr>
            <w:tcW w:w="14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1,739,047</w:t>
            </w:r>
          </w:p>
        </w:tc>
        <w:tc>
          <w:tcPr>
            <w:tcW w:w="2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1,498,255</w:t>
            </w:r>
          </w:p>
        </w:tc>
        <w:tc>
          <w:tcPr>
            <w:tcW w:w="22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1,783,115</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1,498,255</w:t>
            </w:r>
          </w:p>
        </w:tc>
        <w:tc>
          <w:tcPr>
            <w:tcW w:w="2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2.5%</w:t>
            </w:r>
          </w:p>
        </w:tc>
        <w:tc>
          <w:tcPr>
            <w:tcW w:w="10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19.0%</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19.0%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color w:val="auto"/>
              </w:rPr>
              <w:t>Invesment on securities and real state (1)</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1,269,293</w:t>
            </w:r>
          </w:p>
        </w:tc>
        <w:tc>
          <w:tcPr>
            <w:tcW w:w="14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1,259,896</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1,057,162</w:t>
            </w:r>
          </w:p>
        </w:tc>
        <w:tc>
          <w:tcPr>
            <w:tcW w:w="22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1,269,293</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1,057,162</w:t>
            </w:r>
          </w:p>
        </w:tc>
        <w:tc>
          <w:tcPr>
            <w:tcW w:w="20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0.7%</w:t>
            </w:r>
          </w:p>
        </w:tc>
        <w:tc>
          <w:tcPr>
            <w:tcW w:w="10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20.1%</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20.1%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Technical reserves</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1,196,506</w:t>
            </w:r>
          </w:p>
        </w:tc>
        <w:tc>
          <w:tcPr>
            <w:tcW w:w="14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1,126,039</w:t>
            </w:r>
          </w:p>
        </w:tc>
        <w:tc>
          <w:tcPr>
            <w:tcW w:w="2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1,019,551</w:t>
            </w:r>
          </w:p>
        </w:tc>
        <w:tc>
          <w:tcPr>
            <w:tcW w:w="22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1,196,506</w:t>
            </w: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1,019,551</w:t>
            </w:r>
          </w:p>
        </w:tc>
        <w:tc>
          <w:tcPr>
            <w:tcW w:w="2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6.3%</w:t>
            </w:r>
          </w:p>
        </w:tc>
        <w:tc>
          <w:tcPr>
            <w:tcW w:w="10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17.4%</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17.4%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color w:val="auto"/>
              </w:rPr>
              <w:t>Net equity</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330,701</w:t>
            </w:r>
          </w:p>
        </w:tc>
        <w:tc>
          <w:tcPr>
            <w:tcW w:w="14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338,320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265,219</w:t>
            </w:r>
          </w:p>
        </w:tc>
        <w:tc>
          <w:tcPr>
            <w:tcW w:w="22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330,701</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265,219</w:t>
            </w:r>
          </w:p>
        </w:tc>
        <w:tc>
          <w:tcPr>
            <w:tcW w:w="200" w:type="dxa"/>
            <w:vAlign w:val="bottom"/>
          </w:tcPr>
          <w:p>
            <w:pPr>
              <w:spacing w:after="0"/>
              <w:rPr>
                <w:sz w:val="10"/>
                <w:szCs w:val="10"/>
                <w:color w:val="auto"/>
              </w:rPr>
            </w:pP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-2.3%</w:t>
            </w:r>
          </w:p>
        </w:tc>
        <w:tc>
          <w:tcPr>
            <w:tcW w:w="10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24.7%</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24.7%</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3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b w:val="1"/>
                <w:bCs w:val="1"/>
                <w:color w:val="auto"/>
              </w:rPr>
              <w:t>Ratios</w:t>
            </w: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3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color w:val="auto"/>
              </w:rPr>
              <w:t>Ceded</w:t>
            </w:r>
          </w:p>
        </w:tc>
        <w:tc>
          <w:tcPr>
            <w:tcW w:w="9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19.5%</w:t>
            </w:r>
          </w:p>
        </w:tc>
        <w:tc>
          <w:tcPr>
            <w:tcW w:w="11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18.7%</w:t>
            </w:r>
          </w:p>
        </w:tc>
        <w:tc>
          <w:tcPr>
            <w:tcW w:w="14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20.2%</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16.7%</w:t>
            </w:r>
          </w:p>
        </w:tc>
        <w:tc>
          <w:tcPr>
            <w:tcW w:w="20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16.7%</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Gross loss ratio</w:t>
            </w:r>
          </w:p>
        </w:tc>
        <w:tc>
          <w:tcPr>
            <w:tcW w:w="94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41.1%</w:t>
            </w:r>
          </w:p>
        </w:tc>
        <w:tc>
          <w:tcPr>
            <w:tcW w:w="1160" w:type="dxa"/>
            <w:vAlign w:val="bottom"/>
            <w:gridSpan w:val="3"/>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39.3%</w:t>
            </w:r>
          </w:p>
        </w:tc>
        <w:tc>
          <w:tcPr>
            <w:tcW w:w="14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53.5%</w:t>
            </w: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46.0%</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55.2%</w:t>
            </w: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color w:val="auto"/>
              </w:rPr>
              <w:t>Loss ratio</w:t>
            </w:r>
          </w:p>
        </w:tc>
        <w:tc>
          <w:tcPr>
            <w:tcW w:w="9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64.4%</w:t>
            </w:r>
          </w:p>
        </w:tc>
        <w:tc>
          <w:tcPr>
            <w:tcW w:w="11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61.6%</w:t>
            </w:r>
          </w:p>
        </w:tc>
        <w:tc>
          <w:tcPr>
            <w:tcW w:w="14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58.8%</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63.6%</w:t>
            </w:r>
          </w:p>
        </w:tc>
        <w:tc>
          <w:tcPr>
            <w:tcW w:w="20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65.2%</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Acquisition costs/ earned premium</w:t>
            </w:r>
          </w:p>
        </w:tc>
        <w:tc>
          <w:tcPr>
            <w:tcW w:w="94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13.9%</w:t>
            </w:r>
          </w:p>
        </w:tc>
        <w:tc>
          <w:tcPr>
            <w:tcW w:w="1160" w:type="dxa"/>
            <w:vAlign w:val="bottom"/>
            <w:gridSpan w:val="3"/>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14.9%</w:t>
            </w:r>
          </w:p>
        </w:tc>
        <w:tc>
          <w:tcPr>
            <w:tcW w:w="14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13.1%</w:t>
            </w: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14.0%</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13.6%</w:t>
            </w: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color w:val="auto"/>
              </w:rPr>
              <w:t>Commissions + technical expenses, net / net earned premiums</w:t>
            </w:r>
          </w:p>
        </w:tc>
        <w:tc>
          <w:tcPr>
            <w:tcW w:w="9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17.1%</w:t>
            </w:r>
          </w:p>
        </w:tc>
        <w:tc>
          <w:tcPr>
            <w:tcW w:w="11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18.9%</w:t>
            </w:r>
          </w:p>
        </w:tc>
        <w:tc>
          <w:tcPr>
            <w:tcW w:w="14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16.9%</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17.5%</w:t>
            </w:r>
          </w:p>
        </w:tc>
        <w:tc>
          <w:tcPr>
            <w:tcW w:w="20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16.6%</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Underwriting results / total premium</w:t>
            </w:r>
          </w:p>
        </w:tc>
        <w:tc>
          <w:tcPr>
            <w:tcW w:w="94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10.6%</w:t>
            </w:r>
          </w:p>
        </w:tc>
        <w:tc>
          <w:tcPr>
            <w:tcW w:w="1160" w:type="dxa"/>
            <w:vAlign w:val="bottom"/>
            <w:gridSpan w:val="3"/>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11.9%</w:t>
            </w:r>
          </w:p>
        </w:tc>
        <w:tc>
          <w:tcPr>
            <w:tcW w:w="14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16.8%</w:t>
            </w: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12.4%</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13.1%</w:t>
            </w: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color w:val="auto"/>
              </w:rPr>
              <w:t>Underwriting results / net earned premiums</w:t>
            </w:r>
          </w:p>
        </w:tc>
        <w:tc>
          <w:tcPr>
            <w:tcW w:w="9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18.5%</w:t>
            </w:r>
          </w:p>
        </w:tc>
        <w:tc>
          <w:tcPr>
            <w:tcW w:w="11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19.5%</w:t>
            </w:r>
          </w:p>
        </w:tc>
        <w:tc>
          <w:tcPr>
            <w:tcW w:w="14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24.3%</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18.8%</w:t>
            </w:r>
          </w:p>
        </w:tc>
        <w:tc>
          <w:tcPr>
            <w:tcW w:w="20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18.2%</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General expenses / net earned premiums</w:t>
            </w:r>
          </w:p>
        </w:tc>
        <w:tc>
          <w:tcPr>
            <w:tcW w:w="94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22.4%</w:t>
            </w:r>
          </w:p>
        </w:tc>
        <w:tc>
          <w:tcPr>
            <w:tcW w:w="1160" w:type="dxa"/>
            <w:vAlign w:val="bottom"/>
            <w:gridSpan w:val="3"/>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23.6%</w:t>
            </w:r>
          </w:p>
        </w:tc>
        <w:tc>
          <w:tcPr>
            <w:tcW w:w="14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26.3%</w:t>
            </w: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21.5%</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20.8%</w:t>
            </w: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color w:val="auto"/>
              </w:rPr>
              <w:t>Net income / total premiums</w:t>
            </w:r>
          </w:p>
        </w:tc>
        <w:tc>
          <w:tcPr>
            <w:tcW w:w="9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5.7%</w:t>
            </w:r>
          </w:p>
        </w:tc>
        <w:tc>
          <w:tcPr>
            <w:tcW w:w="11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6.8%</w:t>
            </w:r>
          </w:p>
        </w:tc>
        <w:tc>
          <w:tcPr>
            <w:tcW w:w="14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9.4%</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7.4%</w:t>
            </w:r>
          </w:p>
        </w:tc>
        <w:tc>
          <w:tcPr>
            <w:tcW w:w="20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8.1%</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Return on equity (2)(3)</w:t>
            </w:r>
          </w:p>
        </w:tc>
        <w:tc>
          <w:tcPr>
            <w:tcW w:w="94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16.7%</w:t>
            </w:r>
          </w:p>
        </w:tc>
        <w:tc>
          <w:tcPr>
            <w:tcW w:w="1160" w:type="dxa"/>
            <w:vAlign w:val="bottom"/>
            <w:gridSpan w:val="3"/>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18.7%</w:t>
            </w:r>
          </w:p>
        </w:tc>
        <w:tc>
          <w:tcPr>
            <w:tcW w:w="14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6.4%</w:t>
            </w: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18.6%</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23.9%</w:t>
            </w: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color w:val="auto"/>
              </w:rPr>
              <w:t>Return on total premiums</w:t>
            </w:r>
          </w:p>
        </w:tc>
        <w:tc>
          <w:tcPr>
            <w:tcW w:w="9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5.7%</w:t>
            </w:r>
          </w:p>
        </w:tc>
        <w:tc>
          <w:tcPr>
            <w:tcW w:w="11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6.8%</w:t>
            </w:r>
          </w:p>
        </w:tc>
        <w:tc>
          <w:tcPr>
            <w:tcW w:w="14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9.4%</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7.4%</w:t>
            </w:r>
          </w:p>
        </w:tc>
        <w:tc>
          <w:tcPr>
            <w:tcW w:w="20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8.1%</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Net equity / total assets</w:t>
            </w:r>
          </w:p>
        </w:tc>
        <w:tc>
          <w:tcPr>
            <w:tcW w:w="94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18.5%</w:t>
            </w:r>
          </w:p>
        </w:tc>
        <w:tc>
          <w:tcPr>
            <w:tcW w:w="1160" w:type="dxa"/>
            <w:vAlign w:val="bottom"/>
            <w:gridSpan w:val="3"/>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19.5%</w:t>
            </w:r>
          </w:p>
        </w:tc>
        <w:tc>
          <w:tcPr>
            <w:tcW w:w="14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17.7%</w:t>
            </w: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18.5%</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17.7%</w:t>
            </w: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color w:val="auto"/>
              </w:rPr>
              <w:t>Increase in technical reserves</w:t>
            </w:r>
          </w:p>
        </w:tc>
        <w:tc>
          <w:tcPr>
            <w:tcW w:w="9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29.2%</w:t>
            </w:r>
          </w:p>
        </w:tc>
        <w:tc>
          <w:tcPr>
            <w:tcW w:w="11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24.7%</w:t>
            </w:r>
          </w:p>
        </w:tc>
        <w:tc>
          <w:tcPr>
            <w:tcW w:w="14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13.5%</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20.8%</w:t>
            </w:r>
          </w:p>
        </w:tc>
        <w:tc>
          <w:tcPr>
            <w:tcW w:w="20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13.3%</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General expenses / assets (2)(3)</w:t>
            </w:r>
          </w:p>
        </w:tc>
        <w:tc>
          <w:tcPr>
            <w:tcW w:w="94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6.9%</w:t>
            </w:r>
          </w:p>
        </w:tc>
        <w:tc>
          <w:tcPr>
            <w:tcW w:w="1160" w:type="dxa"/>
            <w:vAlign w:val="bottom"/>
            <w:gridSpan w:val="3"/>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7.2%</w:t>
            </w:r>
          </w:p>
        </w:tc>
        <w:tc>
          <w:tcPr>
            <w:tcW w:w="14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2.1%</w:t>
            </w: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6.5%</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6.5%</w:t>
            </w: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Combined ratio of PPS + PS (4)</w:t>
            </w:r>
          </w:p>
        </w:tc>
        <w:tc>
          <w:tcPr>
            <w:tcW w:w="94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b w:val="1"/>
                <w:bCs w:val="1"/>
                <w:color w:val="auto"/>
              </w:rPr>
              <w:t>97.3%</w:t>
            </w:r>
          </w:p>
        </w:tc>
        <w:tc>
          <w:tcPr>
            <w:tcW w:w="1160" w:type="dxa"/>
            <w:vAlign w:val="bottom"/>
            <w:gridSpan w:val="3"/>
            <w:shd w:val="clear" w:color="auto" w:fill="CCFFCC"/>
          </w:tcPr>
          <w:p>
            <w:pPr>
              <w:jc w:val="right"/>
              <w:ind w:right="140"/>
              <w:spacing w:after="0" w:line="122" w:lineRule="exact"/>
              <w:rPr>
                <w:sz w:val="20"/>
                <w:szCs w:val="20"/>
                <w:color w:val="auto"/>
              </w:rPr>
            </w:pPr>
            <w:r>
              <w:rPr>
                <w:rFonts w:ascii="Arial" w:cs="Arial" w:eastAsia="Arial" w:hAnsi="Arial"/>
                <w:sz w:val="11"/>
                <w:szCs w:val="11"/>
                <w:b w:val="1"/>
                <w:bCs w:val="1"/>
                <w:color w:val="auto"/>
              </w:rPr>
              <w:t>93.8%</w:t>
            </w:r>
          </w:p>
        </w:tc>
        <w:tc>
          <w:tcPr>
            <w:tcW w:w="14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94.2%</w:t>
            </w: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b w:val="1"/>
                <w:bCs w:val="1"/>
                <w:color w:val="auto"/>
              </w:rPr>
              <w:t>94.9%</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96.8%</w:t>
            </w: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color w:val="auto"/>
              </w:rPr>
              <w:t>Net claims / net earned premiums</w:t>
            </w:r>
          </w:p>
        </w:tc>
        <w:tc>
          <w:tcPr>
            <w:tcW w:w="9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65.6%</w:t>
            </w:r>
          </w:p>
        </w:tc>
        <w:tc>
          <w:tcPr>
            <w:tcW w:w="11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58.2%</w:t>
            </w:r>
          </w:p>
        </w:tc>
        <w:tc>
          <w:tcPr>
            <w:tcW w:w="14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54.7%</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62.4%</w:t>
            </w:r>
          </w:p>
        </w:tc>
        <w:tc>
          <w:tcPr>
            <w:tcW w:w="20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65.6%</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General expenses and commissions / net earned premiums</w:t>
            </w:r>
          </w:p>
        </w:tc>
        <w:tc>
          <w:tcPr>
            <w:tcW w:w="94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31.7%</w:t>
            </w:r>
          </w:p>
        </w:tc>
        <w:tc>
          <w:tcPr>
            <w:tcW w:w="1160" w:type="dxa"/>
            <w:vAlign w:val="bottom"/>
            <w:gridSpan w:val="3"/>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35.6%</w:t>
            </w:r>
          </w:p>
        </w:tc>
        <w:tc>
          <w:tcPr>
            <w:tcW w:w="14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39.5%</w:t>
            </w:r>
          </w:p>
        </w:tc>
        <w:tc>
          <w:tcPr>
            <w:tcW w:w="10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32.5%</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31.2%</w:t>
            </w: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Real state investment were excluded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Average are determined as the average of period - begging and period ending</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consolidated adjusments</w:t>
      </w:r>
    </w:p>
    <w:p>
      <w:pPr>
        <w:spacing w:after="0" w:line="386" w:lineRule="exact"/>
        <w:rPr>
          <w:sz w:val="20"/>
          <w:szCs w:val="20"/>
          <w:color w:val="auto"/>
        </w:rPr>
      </w:pPr>
    </w:p>
    <w:p>
      <w:pPr>
        <w:ind w:left="1120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February 4, 2011</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9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Giuliana Cuzquen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Giuliana Cuzquen</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lowerRoman"/>
      <w:start w:val="2"/>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lowerRoman"/>
      <w:start w:val="1"/>
    </w:lvl>
  </w:abstractNum>
  <w:abstractNum w:abstractNumId="9">
    <w:nsid w:val="4E6AFB66"/>
    <w:multiLevelType w:val="hybridMultilevel"/>
    <w:lvl w:ilvl="0">
      <w:lvlJc w:val="left"/>
      <w:lvlText w:val="%1)"/>
      <w:numFmt w:val="lowerRoman"/>
      <w:start w:val="2"/>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lowerRoman"/>
      <w:start w:val="1"/>
    </w:lvl>
  </w:abstractNum>
  <w:abstractNum w:abstractNumId="12">
    <w:nsid w:val="431BD7B7"/>
    <w:multiLevelType w:val="hybridMultilevel"/>
    <w:lvl w:ilvl="0">
      <w:lvlJc w:val="left"/>
      <w:lvlText w:val="%1)"/>
      <w:numFmt w:val="lowerRoman"/>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lowerRoman"/>
      <w:start w:val="1"/>
    </w:lvl>
  </w:abstractNum>
  <w:abstractNum w:abstractNumId="16">
    <w:nsid w:val="62BBD95A"/>
    <w:multiLevelType w:val="hybridMultilevel"/>
    <w:lvl w:ilvl="0">
      <w:lvlJc w:val="left"/>
      <w:lvlText w:val="%1)"/>
      <w:numFmt w:val="lowerRoman"/>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lowerRoman"/>
      <w:start w:val="1"/>
    </w:lvl>
  </w:abstractNum>
  <w:abstractNum w:abstractNumId="19">
    <w:nsid w:val="333AB105"/>
    <w:multiLevelType w:val="hybridMultilevel"/>
    <w:lvl w:ilvl="0">
      <w:lvlJc w:val="left"/>
      <w:lvlText w:val="%1)"/>
      <w:numFmt w:val="lowerRoman"/>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2019-12-10T15:07:48Z</dcterms:created>
  <dcterms:modified xsi:type="dcterms:W3CDTF">2019-12-10T15:07:48Z</dcterms:modified>
</cp:coreProperties>
</file>