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Report of Foreign Private Issuer</w:t>
      </w:r>
    </w:p>
    <w:p>
      <w:pPr>
        <w:jc w:val="center"/>
        <w:ind w:right="-19"/>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19"/>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month of February,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Church Street</w:t>
      </w:r>
    </w:p>
    <w:p>
      <w:pPr>
        <w:jc w:val="center"/>
        <w:ind w:right="-19"/>
        <w:spacing w:after="0"/>
        <w:rPr>
          <w:sz w:val="20"/>
          <w:szCs w:val="20"/>
          <w:color w:val="auto"/>
        </w:rPr>
      </w:pPr>
      <w:r>
        <w:rPr>
          <w:rFonts w:ascii="Arial" w:cs="Arial" w:eastAsia="Arial" w:hAnsi="Arial"/>
          <w:sz w:val="22"/>
          <w:szCs w:val="22"/>
          <w:b w:val="1"/>
          <w:bCs w:val="1"/>
          <w:color w:val="auto"/>
        </w:rPr>
        <w:t>Hamilton HM 11 Bermuda</w:t>
      </w: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347"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6" w:lineRule="exact"/>
        <w:rPr>
          <w:sz w:val="24"/>
          <w:szCs w:val="24"/>
          <w:color w:val="auto"/>
        </w:rPr>
      </w:pPr>
    </w:p>
    <w:p>
      <w:pPr>
        <w:ind w:left="392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firstLine="54"/>
        <w:spacing w:after="0" w:line="251" w:lineRule="auto"/>
        <w:rPr>
          <w:sz w:val="20"/>
          <w:szCs w:val="20"/>
          <w:color w:val="auto"/>
        </w:rPr>
      </w:pPr>
      <w:r>
        <w:rPr>
          <w:rFonts w:ascii="Arial" w:cs="Arial" w:eastAsia="Arial" w:hAnsi="Arial"/>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5260340</wp:posOffset>
            </wp:positionH>
            <wp:positionV relativeFrom="page">
              <wp:posOffset>88900</wp:posOffset>
            </wp:positionV>
            <wp:extent cx="2143760"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43760" cy="565785"/>
                    </a:xfrm>
                    <a:prstGeom prst="rect">
                      <a:avLst/>
                    </a:prstGeom>
                    <a:noFill/>
                  </pic:spPr>
                </pic:pic>
              </a:graphicData>
            </a:graphic>
          </wp:anchor>
        </w:drawing>
        <w:t>February 24, 2006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Messrs.</w:t>
      </w:r>
    </w:p>
    <w:p>
      <w:pPr>
        <w:spacing w:after="0" w:line="238" w:lineRule="auto"/>
        <w:rPr>
          <w:sz w:val="20"/>
          <w:szCs w:val="20"/>
          <w:color w:val="auto"/>
        </w:rPr>
      </w:pPr>
      <w:r>
        <w:rPr>
          <w:rFonts w:ascii="Arial" w:cs="Arial" w:eastAsia="Arial" w:hAnsi="Arial"/>
          <w:sz w:val="22"/>
          <w:szCs w:val="22"/>
          <w:b w:val="1"/>
          <w:bCs w:val="1"/>
          <w:color w:val="auto"/>
        </w:rPr>
        <w:t>COMISIÓN NACIONAL SUPERVISORA</w:t>
      </w:r>
    </w:p>
    <w:p>
      <w:pPr>
        <w:spacing w:after="0" w:line="230" w:lineRule="auto"/>
        <w:rPr>
          <w:sz w:val="20"/>
          <w:szCs w:val="20"/>
          <w:color w:val="auto"/>
        </w:rPr>
      </w:pPr>
      <w:r>
        <w:rPr>
          <w:rFonts w:ascii="Arial" w:cs="Arial" w:eastAsia="Arial" w:hAnsi="Arial"/>
          <w:sz w:val="22"/>
          <w:szCs w:val="22"/>
          <w:b w:val="1"/>
          <w:bCs w:val="1"/>
          <w:color w:val="auto"/>
        </w:rPr>
        <w:t>DE EMPRESAS Y VALORES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CONASEV</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MATERIAL EVENT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Gentlemen: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CREDICORP LTD., in accordance with article 28 of the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18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Credicorp’s Board of Directors, in the session held yesterday, February 23, 2006, agreed to submit for consideration and approval at the company’s Annual General Meeting of Shareholders, which will be held on March 31, 2006, the following matters:</w:t>
      </w:r>
    </w:p>
    <w:p>
      <w:pPr>
        <w:spacing w:after="0" w:line="105" w:lineRule="exact"/>
        <w:rPr>
          <w:sz w:val="20"/>
          <w:szCs w:val="20"/>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Approved the Annual Report of the Company for the financial year 2005.</w:t>
      </w:r>
    </w:p>
    <w:p>
      <w:pPr>
        <w:spacing w:after="0" w:line="206" w:lineRule="exact"/>
        <w:rPr>
          <w:rFonts w:ascii="Arial" w:cs="Arial" w:eastAsia="Arial" w:hAnsi="Arial"/>
          <w:sz w:val="22"/>
          <w:szCs w:val="22"/>
          <w:color w:val="auto"/>
        </w:rPr>
      </w:pPr>
    </w:p>
    <w:p>
      <w:pPr>
        <w:ind w:firstLine="8"/>
        <w:spacing w:after="0" w:line="328" w:lineRule="auto"/>
        <w:tabs>
          <w:tab w:leader="none" w:pos="245" w:val="left"/>
        </w:tabs>
        <w:numPr>
          <w:ilvl w:val="0"/>
          <w:numId w:val="1"/>
        </w:numPr>
        <w:rPr>
          <w:rFonts w:ascii="Arial" w:cs="Arial" w:eastAsia="Arial" w:hAnsi="Arial"/>
          <w:sz w:val="19"/>
          <w:szCs w:val="19"/>
          <w:color w:val="auto"/>
        </w:rPr>
      </w:pPr>
      <w:r>
        <w:rPr>
          <w:rFonts w:ascii="Arial" w:cs="Arial" w:eastAsia="Arial" w:hAnsi="Arial"/>
          <w:sz w:val="19"/>
          <w:szCs w:val="19"/>
          <w:color w:val="auto"/>
        </w:rPr>
        <w:t>Approved the consolidated financial statements of the Company and its subsidiaries for the year ended December 31, 2005, including the report of the independent auditors Medina, Zaldívar, Paredes &amp; Asociados, a member firm of Ernst &amp; Young in Perú.</w:t>
      </w:r>
    </w:p>
    <w:p>
      <w:pPr>
        <w:spacing w:after="0" w:line="105" w:lineRule="exact"/>
        <w:rPr>
          <w:rFonts w:ascii="Arial" w:cs="Arial" w:eastAsia="Arial" w:hAnsi="Arial"/>
          <w:sz w:val="19"/>
          <w:szCs w:val="19"/>
          <w:color w:val="auto"/>
        </w:rPr>
      </w:pPr>
    </w:p>
    <w:p>
      <w:pPr>
        <w:jc w:val="both"/>
        <w:ind w:firstLine="8"/>
        <w:spacing w:after="0"/>
        <w:tabs>
          <w:tab w:leader="none" w:pos="260" w:val="left"/>
        </w:tabs>
        <w:numPr>
          <w:ilvl w:val="0"/>
          <w:numId w:val="1"/>
        </w:numPr>
        <w:rPr>
          <w:rFonts w:ascii="Arial" w:cs="Arial" w:eastAsia="Arial" w:hAnsi="Arial"/>
          <w:sz w:val="22"/>
          <w:szCs w:val="22"/>
          <w:color w:val="auto"/>
        </w:rPr>
      </w:pPr>
      <w:r>
        <w:rPr>
          <w:rFonts w:ascii="Arial" w:cs="Arial" w:eastAsia="Arial" w:hAnsi="Arial"/>
          <w:sz w:val="22"/>
          <w:szCs w:val="22"/>
          <w:color w:val="auto"/>
        </w:rPr>
        <w:t>Approved to postpone for another Board of Director’s session the designation of independent auditors for the year 2006, according to the solicitation made by the Audit Committee, which will present its recommendation through the proposal by the Board of Directors to the Annual General meeting.</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Please note that Credicorp’s Board of Directors, in the session held on February 23, 2005, agreed to pay its shareholders a cash dividend of US$103,820,549.00, which amount to US$1.10 per share, payable on May 3, 2006, to shareholders registered as of April 12, 2006 (“Record Date”).</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In accordance with CONASEV Resolution No. 107-2002-EF/94.10.0, we are enclosing the company’s Annual Report and consolidated financial statements as of December 31, 2004 together with the external auditor’s opinion, as well as the 2004 Annual Information Document, also approved by the Board.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18" w:lineRule="exact"/>
        <w:rPr>
          <w:sz w:val="20"/>
          <w:szCs w:val="20"/>
          <w:color w:val="auto"/>
        </w:rPr>
      </w:pPr>
    </w:p>
    <w:p>
      <w:pPr>
        <w:jc w:val="center"/>
        <w:ind w:right="8040"/>
        <w:spacing w:after="0"/>
        <w:rPr>
          <w:sz w:val="20"/>
          <w:szCs w:val="20"/>
          <w:color w:val="auto"/>
        </w:rPr>
      </w:pPr>
      <w:r>
        <w:rPr>
          <w:rFonts w:ascii="Arial" w:cs="Arial" w:eastAsia="Arial" w:hAnsi="Arial"/>
          <w:sz w:val="15"/>
          <w:szCs w:val="15"/>
          <w:color w:val="auto"/>
        </w:rPr>
        <w:t>/s/</w:t>
      </w:r>
      <w:r>
        <w:rPr>
          <w:rFonts w:ascii="Arial" w:cs="Arial" w:eastAsia="Arial" w:hAnsi="Arial"/>
          <w:sz w:val="15"/>
          <w:szCs w:val="15"/>
          <w:u w:val="single" w:color="auto"/>
          <w:color w:val="auto"/>
        </w:rPr>
        <w:t>Fernando Palao</w:t>
      </w:r>
    </w:p>
    <w:p>
      <w:pPr>
        <w:jc w:val="center"/>
        <w:ind w:right="8040"/>
        <w:spacing w:after="0" w:line="227" w:lineRule="auto"/>
        <w:rPr>
          <w:sz w:val="20"/>
          <w:szCs w:val="20"/>
          <w:color w:val="auto"/>
        </w:rPr>
      </w:pPr>
      <w:r>
        <w:rPr>
          <w:rFonts w:ascii="Arial" w:cs="Arial" w:eastAsia="Arial" w:hAnsi="Arial"/>
          <w:sz w:val="15"/>
          <w:szCs w:val="15"/>
          <w:color w:val="auto"/>
        </w:rPr>
        <w:t>Fernando Palao</w:t>
      </w:r>
    </w:p>
    <w:p>
      <w:pPr>
        <w:spacing w:after="0" w:line="1" w:lineRule="exact"/>
        <w:rPr>
          <w:sz w:val="20"/>
          <w:szCs w:val="20"/>
          <w:color w:val="auto"/>
        </w:rPr>
      </w:pPr>
    </w:p>
    <w:p>
      <w:pPr>
        <w:jc w:val="center"/>
        <w:ind w:right="8000"/>
        <w:spacing w:after="0"/>
        <w:rPr>
          <w:sz w:val="20"/>
          <w:szCs w:val="20"/>
          <w:color w:val="auto"/>
        </w:rPr>
      </w:pPr>
      <w:r>
        <w:rPr>
          <w:rFonts w:ascii="Arial" w:cs="Arial" w:eastAsia="Arial" w:hAnsi="Arial"/>
          <w:sz w:val="15"/>
          <w:szCs w:val="15"/>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5" w:right="239" w:bottom="1440" w:gutter="0" w:footer="0" w:header="0"/>
        </w:sectPr>
      </w:pPr>
    </w:p>
    <w:bookmarkStart w:id="2" w:name="page3"/>
    <w:bookmarkEnd w:id="2"/>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5260340</wp:posOffset>
            </wp:positionH>
            <wp:positionV relativeFrom="page">
              <wp:posOffset>88900</wp:posOffset>
            </wp:positionV>
            <wp:extent cx="214376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43760" cy="565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color w:val="auto"/>
        </w:rPr>
        <w:t>Credicorp Ltd. and Subsidiaries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Information Document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438150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3220" w:type="dxa"/>
            <w:vAlign w:val="bottom"/>
          </w:tcPr>
          <w:p>
            <w:pPr>
              <w:spacing w:after="0"/>
              <w:rPr>
                <w:sz w:val="24"/>
                <w:szCs w:val="24"/>
                <w:color w:val="auto"/>
              </w:rPr>
            </w:pPr>
          </w:p>
        </w:tc>
        <w:tc>
          <w:tcPr>
            <w:tcW w:w="8200" w:type="dxa"/>
            <w:vAlign w:val="bottom"/>
          </w:tcPr>
          <w:p>
            <w:pPr>
              <w:jc w:val="right"/>
              <w:ind w:right="4456"/>
              <w:spacing w:after="0"/>
              <w:rPr>
                <w:sz w:val="20"/>
                <w:szCs w:val="20"/>
                <w:color w:val="auto"/>
              </w:rPr>
            </w:pPr>
            <w:r>
              <w:rPr>
                <w:rFonts w:ascii="Arial" w:cs="Arial" w:eastAsia="Arial" w:hAnsi="Arial"/>
                <w:sz w:val="22"/>
                <w:szCs w:val="22"/>
                <w:b w:val="1"/>
                <w:bCs w:val="1"/>
                <w:color w:val="auto"/>
              </w:rPr>
              <w:t>TABLE OF CONTENTS</w:t>
            </w:r>
          </w:p>
        </w:tc>
      </w:tr>
      <w:tr>
        <w:trPr>
          <w:trHeight w:val="385"/>
        </w:trPr>
        <w:tc>
          <w:tcPr>
            <w:tcW w:w="3220" w:type="dxa"/>
            <w:vAlign w:val="bottom"/>
          </w:tcPr>
          <w:p>
            <w:pPr>
              <w:spacing w:after="0"/>
              <w:rPr>
                <w:sz w:val="24"/>
                <w:szCs w:val="24"/>
                <w:color w:val="auto"/>
              </w:rPr>
            </w:pPr>
          </w:p>
        </w:tc>
        <w:tc>
          <w:tcPr>
            <w:tcW w:w="8200" w:type="dxa"/>
            <w:vAlign w:val="bottom"/>
          </w:tcPr>
          <w:p>
            <w:pPr>
              <w:jc w:val="right"/>
              <w:spacing w:after="0"/>
              <w:rPr>
                <w:sz w:val="20"/>
                <w:szCs w:val="20"/>
                <w:color w:val="auto"/>
              </w:rPr>
            </w:pPr>
            <w:r>
              <w:rPr>
                <w:rFonts w:ascii="Arial" w:cs="Arial" w:eastAsia="Arial" w:hAnsi="Arial"/>
                <w:sz w:val="15"/>
                <w:szCs w:val="15"/>
                <w:b w:val="1"/>
                <w:bCs w:val="1"/>
                <w:color w:val="auto"/>
              </w:rPr>
              <w:t>Pág.</w:t>
            </w:r>
          </w:p>
        </w:tc>
      </w:tr>
      <w:tr>
        <w:trPr>
          <w:trHeight w:val="294"/>
        </w:trPr>
        <w:tc>
          <w:tcPr>
            <w:tcW w:w="3220" w:type="dxa"/>
            <w:vAlign w:val="bottom"/>
          </w:tcPr>
          <w:p>
            <w:pPr>
              <w:spacing w:after="0"/>
              <w:rPr>
                <w:sz w:val="20"/>
                <w:szCs w:val="20"/>
                <w:color w:val="auto"/>
              </w:rPr>
            </w:pPr>
            <w:r>
              <w:rPr>
                <w:rFonts w:ascii="Arial" w:cs="Arial" w:eastAsia="Arial" w:hAnsi="Arial"/>
                <w:sz w:val="15"/>
                <w:szCs w:val="15"/>
                <w:b w:val="1"/>
                <w:bCs w:val="1"/>
                <w:color w:val="auto"/>
              </w:rPr>
              <w:t>SECTION I</w:t>
            </w:r>
          </w:p>
        </w:tc>
        <w:tc>
          <w:tcPr>
            <w:tcW w:w="8200" w:type="dxa"/>
            <w:vAlign w:val="bottom"/>
          </w:tcPr>
          <w:p>
            <w:pPr>
              <w:spacing w:after="0"/>
              <w:rPr>
                <w:sz w:val="24"/>
                <w:szCs w:val="24"/>
                <w:color w:val="auto"/>
              </w:rPr>
            </w:pPr>
          </w:p>
        </w:tc>
      </w:tr>
      <w:tr>
        <w:trPr>
          <w:trHeight w:val="192"/>
        </w:trPr>
        <w:tc>
          <w:tcPr>
            <w:tcW w:w="3220" w:type="dxa"/>
            <w:vAlign w:val="bottom"/>
          </w:tcPr>
          <w:p>
            <w:pPr>
              <w:spacing w:after="0"/>
              <w:rPr>
                <w:sz w:val="20"/>
                <w:szCs w:val="20"/>
                <w:color w:val="auto"/>
              </w:rPr>
            </w:pPr>
            <w:r>
              <w:rPr>
                <w:rFonts w:ascii="Arial" w:cs="Arial" w:eastAsia="Arial" w:hAnsi="Arial"/>
                <w:sz w:val="15"/>
                <w:szCs w:val="15"/>
                <w:b w:val="1"/>
                <w:bCs w:val="1"/>
                <w:color w:val="auto"/>
              </w:rPr>
              <w:t>Declaration of Responsability</w:t>
            </w:r>
          </w:p>
        </w:tc>
        <w:tc>
          <w:tcPr>
            <w:tcW w:w="820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294"/>
        </w:trPr>
        <w:tc>
          <w:tcPr>
            <w:tcW w:w="3220" w:type="dxa"/>
            <w:vAlign w:val="bottom"/>
          </w:tcPr>
          <w:p>
            <w:pPr>
              <w:spacing w:after="0"/>
              <w:rPr>
                <w:sz w:val="20"/>
                <w:szCs w:val="20"/>
                <w:color w:val="auto"/>
              </w:rPr>
            </w:pPr>
            <w:r>
              <w:rPr>
                <w:rFonts w:ascii="Arial" w:cs="Arial" w:eastAsia="Arial" w:hAnsi="Arial"/>
                <w:sz w:val="15"/>
                <w:szCs w:val="15"/>
                <w:b w:val="1"/>
                <w:bCs w:val="1"/>
                <w:color w:val="auto"/>
              </w:rPr>
              <w:t>SECTION II</w:t>
            </w:r>
          </w:p>
        </w:tc>
        <w:tc>
          <w:tcPr>
            <w:tcW w:w="8200" w:type="dxa"/>
            <w:vAlign w:val="bottom"/>
          </w:tcPr>
          <w:p>
            <w:pPr>
              <w:spacing w:after="0"/>
              <w:rPr>
                <w:sz w:val="24"/>
                <w:szCs w:val="24"/>
                <w:color w:val="auto"/>
              </w:rPr>
            </w:pPr>
          </w:p>
        </w:tc>
      </w:tr>
      <w:tr>
        <w:trPr>
          <w:trHeight w:val="192"/>
        </w:trPr>
        <w:tc>
          <w:tcPr>
            <w:tcW w:w="3220" w:type="dxa"/>
            <w:vAlign w:val="bottom"/>
          </w:tcPr>
          <w:p>
            <w:pPr>
              <w:spacing w:after="0"/>
              <w:rPr>
                <w:sz w:val="20"/>
                <w:szCs w:val="20"/>
                <w:color w:val="auto"/>
              </w:rPr>
            </w:pPr>
            <w:r>
              <w:rPr>
                <w:rFonts w:ascii="Arial" w:cs="Arial" w:eastAsia="Arial" w:hAnsi="Arial"/>
                <w:sz w:val="15"/>
                <w:szCs w:val="15"/>
                <w:b w:val="1"/>
                <w:bCs w:val="1"/>
                <w:color w:val="auto"/>
              </w:rPr>
              <w:t>Business</w:t>
            </w:r>
          </w:p>
        </w:tc>
        <w:tc>
          <w:tcPr>
            <w:tcW w:w="8200" w:type="dxa"/>
            <w:vAlign w:val="bottom"/>
          </w:tcPr>
          <w:p>
            <w:pPr>
              <w:jc w:val="right"/>
              <w:spacing w:after="0"/>
              <w:rPr>
                <w:sz w:val="20"/>
                <w:szCs w:val="20"/>
                <w:color w:val="auto"/>
              </w:rPr>
            </w:pPr>
            <w:r>
              <w:rPr>
                <w:rFonts w:ascii="Arial" w:cs="Arial" w:eastAsia="Arial" w:hAnsi="Arial"/>
                <w:sz w:val="15"/>
                <w:szCs w:val="15"/>
                <w:b w:val="1"/>
                <w:bCs w:val="1"/>
                <w:color w:val="auto"/>
              </w:rPr>
              <w:t>4</w:t>
            </w:r>
          </w:p>
        </w:tc>
      </w:tr>
      <w:tr>
        <w:trPr>
          <w:trHeight w:val="294"/>
        </w:trPr>
        <w:tc>
          <w:tcPr>
            <w:tcW w:w="3220" w:type="dxa"/>
            <w:vAlign w:val="bottom"/>
          </w:tcPr>
          <w:p>
            <w:pPr>
              <w:spacing w:after="0"/>
              <w:rPr>
                <w:sz w:val="20"/>
                <w:szCs w:val="20"/>
                <w:color w:val="auto"/>
              </w:rPr>
            </w:pPr>
            <w:r>
              <w:rPr>
                <w:rFonts w:ascii="Arial" w:cs="Arial" w:eastAsia="Arial" w:hAnsi="Arial"/>
                <w:sz w:val="15"/>
                <w:szCs w:val="15"/>
                <w:b w:val="1"/>
                <w:bCs w:val="1"/>
                <w:color w:val="auto"/>
              </w:rPr>
              <w:t>SECTION III</w:t>
            </w:r>
          </w:p>
        </w:tc>
        <w:tc>
          <w:tcPr>
            <w:tcW w:w="8200" w:type="dxa"/>
            <w:vAlign w:val="bottom"/>
          </w:tcPr>
          <w:p>
            <w:pPr>
              <w:spacing w:after="0"/>
              <w:rPr>
                <w:sz w:val="24"/>
                <w:szCs w:val="24"/>
                <w:color w:val="auto"/>
              </w:rPr>
            </w:pPr>
          </w:p>
        </w:tc>
      </w:tr>
      <w:tr>
        <w:trPr>
          <w:trHeight w:val="192"/>
        </w:trPr>
        <w:tc>
          <w:tcPr>
            <w:tcW w:w="3220" w:type="dxa"/>
            <w:vAlign w:val="bottom"/>
          </w:tcPr>
          <w:p>
            <w:pPr>
              <w:spacing w:after="0"/>
              <w:rPr>
                <w:sz w:val="20"/>
                <w:szCs w:val="20"/>
                <w:color w:val="auto"/>
              </w:rPr>
            </w:pPr>
            <w:r>
              <w:rPr>
                <w:rFonts w:ascii="Arial" w:cs="Arial" w:eastAsia="Arial" w:hAnsi="Arial"/>
                <w:sz w:val="15"/>
                <w:szCs w:val="15"/>
                <w:b w:val="1"/>
                <w:bCs w:val="1"/>
                <w:color w:val="auto"/>
              </w:rPr>
              <w:t>Financial Statements</w:t>
            </w:r>
          </w:p>
        </w:tc>
        <w:tc>
          <w:tcPr>
            <w:tcW w:w="8200" w:type="dxa"/>
            <w:vAlign w:val="bottom"/>
          </w:tcPr>
          <w:p>
            <w:pPr>
              <w:jc w:val="right"/>
              <w:spacing w:after="0"/>
              <w:rPr>
                <w:sz w:val="20"/>
                <w:szCs w:val="20"/>
                <w:color w:val="auto"/>
              </w:rPr>
            </w:pPr>
            <w:r>
              <w:rPr>
                <w:rFonts w:ascii="Arial" w:cs="Arial" w:eastAsia="Arial" w:hAnsi="Arial"/>
                <w:sz w:val="15"/>
                <w:szCs w:val="15"/>
                <w:b w:val="1"/>
                <w:bCs w:val="1"/>
                <w:color w:val="auto"/>
              </w:rPr>
              <w:t>12</w:t>
            </w:r>
          </w:p>
        </w:tc>
      </w:tr>
      <w:tr>
        <w:trPr>
          <w:trHeight w:val="294"/>
        </w:trPr>
        <w:tc>
          <w:tcPr>
            <w:tcW w:w="3220" w:type="dxa"/>
            <w:vAlign w:val="bottom"/>
          </w:tcPr>
          <w:p>
            <w:pPr>
              <w:spacing w:after="0"/>
              <w:rPr>
                <w:sz w:val="20"/>
                <w:szCs w:val="20"/>
                <w:color w:val="auto"/>
              </w:rPr>
            </w:pPr>
            <w:r>
              <w:rPr>
                <w:rFonts w:ascii="Arial" w:cs="Arial" w:eastAsia="Arial" w:hAnsi="Arial"/>
                <w:sz w:val="15"/>
                <w:szCs w:val="15"/>
                <w:b w:val="1"/>
                <w:bCs w:val="1"/>
                <w:color w:val="auto"/>
              </w:rPr>
              <w:t>SECTION IV</w:t>
            </w:r>
          </w:p>
        </w:tc>
        <w:tc>
          <w:tcPr>
            <w:tcW w:w="8200" w:type="dxa"/>
            <w:vAlign w:val="bottom"/>
          </w:tcPr>
          <w:p>
            <w:pPr>
              <w:spacing w:after="0"/>
              <w:rPr>
                <w:sz w:val="24"/>
                <w:szCs w:val="24"/>
                <w:color w:val="auto"/>
              </w:rPr>
            </w:pPr>
          </w:p>
        </w:tc>
      </w:tr>
      <w:tr>
        <w:trPr>
          <w:trHeight w:val="192"/>
        </w:trPr>
        <w:tc>
          <w:tcPr>
            <w:tcW w:w="3220" w:type="dxa"/>
            <w:vAlign w:val="bottom"/>
          </w:tcPr>
          <w:p>
            <w:pPr>
              <w:spacing w:after="0"/>
              <w:rPr>
                <w:sz w:val="20"/>
                <w:szCs w:val="20"/>
                <w:color w:val="auto"/>
              </w:rPr>
            </w:pPr>
            <w:r>
              <w:rPr>
                <w:rFonts w:ascii="Arial" w:cs="Arial" w:eastAsia="Arial" w:hAnsi="Arial"/>
                <w:sz w:val="15"/>
                <w:szCs w:val="15"/>
                <w:b w:val="1"/>
                <w:bCs w:val="1"/>
                <w:color w:val="auto"/>
              </w:rPr>
              <w:t>Exhibits</w:t>
            </w:r>
          </w:p>
        </w:tc>
        <w:tc>
          <w:tcPr>
            <w:tcW w:w="8200" w:type="dxa"/>
            <w:vAlign w:val="bottom"/>
          </w:tcPr>
          <w:p>
            <w:pPr>
              <w:jc w:val="right"/>
              <w:spacing w:after="0"/>
              <w:rPr>
                <w:sz w:val="20"/>
                <w:szCs w:val="20"/>
                <w:color w:val="auto"/>
              </w:rPr>
            </w:pPr>
            <w:r>
              <w:rPr>
                <w:rFonts w:ascii="Arial" w:cs="Arial" w:eastAsia="Arial" w:hAnsi="Arial"/>
                <w:sz w:val="15"/>
                <w:szCs w:val="15"/>
                <w:b w:val="1"/>
                <w:bCs w:val="1"/>
                <w:color w:val="auto"/>
              </w:rPr>
              <w:t>34</w:t>
            </w:r>
          </w:p>
        </w:tc>
      </w:tr>
      <w:tr>
        <w:trPr>
          <w:trHeight w:val="695"/>
        </w:trPr>
        <w:tc>
          <w:tcPr>
            <w:tcW w:w="3220" w:type="dxa"/>
            <w:vAlign w:val="bottom"/>
          </w:tcPr>
          <w:p>
            <w:pPr>
              <w:spacing w:after="0"/>
              <w:rPr>
                <w:sz w:val="24"/>
                <w:szCs w:val="24"/>
                <w:color w:val="auto"/>
              </w:rPr>
            </w:pPr>
          </w:p>
        </w:tc>
        <w:tc>
          <w:tcPr>
            <w:tcW w:w="8200" w:type="dxa"/>
            <w:vAlign w:val="bottom"/>
          </w:tcPr>
          <w:p>
            <w:pPr>
              <w:jc w:val="right"/>
              <w:ind w:right="5576"/>
              <w:spacing w:after="0"/>
              <w:rPr>
                <w:sz w:val="20"/>
                <w:szCs w:val="20"/>
                <w:color w:val="auto"/>
              </w:rPr>
            </w:pPr>
            <w:r>
              <w:rPr>
                <w:rFonts w:ascii="Arial" w:cs="Arial" w:eastAsia="Arial" w:hAnsi="Arial"/>
                <w:sz w:val="22"/>
                <w:szCs w:val="22"/>
                <w:color w:val="auto"/>
              </w:rPr>
              <w:t>2</w:t>
            </w:r>
          </w:p>
        </w:tc>
      </w:tr>
      <w:tr>
        <w:trPr>
          <w:trHeight w:val="216"/>
        </w:trPr>
        <w:tc>
          <w:tcPr>
            <w:tcW w:w="322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22"/>
          <w:szCs w:val="22"/>
          <w:b w:val="1"/>
          <w:bCs w:val="1"/>
          <w:color w:val="auto"/>
        </w:rPr>
        <w:t>Section I</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Declaration of Responsibility</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This document contains truthful and sufficiently detailed information with respect to the business activity of Credicorp Ltd. and its subsidiaries during year 2005. Notwithstanding the responsibilities of the registrant, the undersigned is responsible for the information under the scope of its competence according to applicable regulations.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/s/</w:t>
      </w:r>
      <w:r>
        <w:rPr>
          <w:sz w:val="20"/>
          <w:szCs w:val="20"/>
          <w:color w:val="auto"/>
        </w:rPr>
        <w:tab/>
      </w:r>
      <w:r>
        <w:rPr>
          <w:rFonts w:ascii="Arial" w:cs="Arial" w:eastAsia="Arial" w:hAnsi="Arial"/>
          <w:sz w:val="22"/>
          <w:szCs w:val="22"/>
          <w:color w:val="auto"/>
        </w:rPr>
        <w:t>WALTER BAYLY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97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7660" cy="889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Walter Bayly</w:t>
      </w:r>
    </w:p>
    <w:p>
      <w:pPr>
        <w:spacing w:after="0"/>
        <w:rPr>
          <w:sz w:val="20"/>
          <w:szCs w:val="20"/>
          <w:color w:val="auto"/>
        </w:rPr>
      </w:pPr>
      <w:r>
        <w:rPr>
          <w:rFonts w:ascii="Arial" w:cs="Arial" w:eastAsia="Arial" w:hAnsi="Arial"/>
          <w:sz w:val="22"/>
          <w:szCs w:val="22"/>
          <w:color w:val="auto"/>
        </w:rPr>
        <w:t>Chief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February 23, 2006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2" w:right="359" w:bottom="1440" w:gutter="0" w:footer="0" w:header="0"/>
        </w:sectPr>
      </w:pPr>
    </w:p>
    <w:bookmarkStart w:id="5" w:name="page6"/>
    <w:bookmarkEnd w:id="5"/>
    <w:p>
      <w:pPr>
        <w:ind w:left="5260"/>
        <w:spacing w:after="0"/>
        <w:rPr>
          <w:sz w:val="20"/>
          <w:szCs w:val="20"/>
          <w:color w:val="auto"/>
        </w:rPr>
      </w:pPr>
      <w:r>
        <w:rPr>
          <w:rFonts w:ascii="Arial" w:cs="Arial" w:eastAsia="Arial" w:hAnsi="Arial"/>
          <w:sz w:val="19"/>
          <w:szCs w:val="19"/>
          <w:b w:val="1"/>
          <w:bCs w:val="1"/>
          <w:color w:val="auto"/>
        </w:rPr>
        <w:t>Section II</w:t>
      </w:r>
    </w:p>
    <w:p>
      <w:pPr>
        <w:spacing w:after="0" w:line="24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Information</w:t>
      </w:r>
    </w:p>
    <w:p>
      <w:pPr>
        <w:sectPr>
          <w:pgSz w:w="11900" w:h="16838" w:orient="portrait"/>
          <w:cols w:equalWidth="0" w:num="1">
            <w:col w:w="11420"/>
          </w:cols>
          <w:pgMar w:left="240" w:top="111" w:right="23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Name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Credicorp Ltd.</w:t>
      </w:r>
    </w:p>
    <w:p>
      <w:pPr>
        <w:spacing w:after="0" w:line="163" w:lineRule="exact"/>
        <w:rPr>
          <w:sz w:val="20"/>
          <w:szCs w:val="20"/>
          <w:color w:val="auto"/>
        </w:rPr>
      </w:pPr>
    </w:p>
    <w:p>
      <w:pPr>
        <w:sectPr>
          <w:pgSz w:w="11900" w:h="16838" w:orient="portrait"/>
          <w:cols w:equalWidth="0" w:num="2">
            <w:col w:w="1000" w:space="720"/>
            <w:col w:w="9700"/>
          </w:cols>
          <w:pgMar w:left="240" w:top="111" w:right="239" w:bottom="1440" w:gutter="0" w:footer="0" w:header="0"/>
          <w:type w:val="continuous"/>
        </w:sectPr>
      </w:pPr>
    </w:p>
    <w:p>
      <w:pPr>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Centenario 156, La Molina</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Lima 12 , Peru</w:t>
      </w:r>
    </w:p>
    <w:p>
      <w:pPr>
        <w:spacing w:after="0" w:line="140" w:lineRule="exact"/>
        <w:rPr>
          <w:sz w:val="20"/>
          <w:szCs w:val="20"/>
          <w:color w:val="auto"/>
        </w:rPr>
      </w:pPr>
    </w:p>
    <w:p>
      <w:pPr>
        <w:sectPr>
          <w:pgSz w:w="11900" w:h="16838" w:orient="portrait"/>
          <w:cols w:equalWidth="0" w:num="2">
            <w:col w:w="1000" w:space="720"/>
            <w:col w:w="9700"/>
          </w:cols>
          <w:pgMar w:left="240" w:top="111" w:right="239" w:bottom="1440" w:gutter="0" w:footer="0" w:header="0"/>
          <w:type w:val="continuous"/>
        </w:sectPr>
      </w:pPr>
    </w:p>
    <w:p>
      <w:pPr>
        <w:spacing w:after="0"/>
        <w:rPr>
          <w:sz w:val="20"/>
          <w:szCs w:val="20"/>
          <w:color w:val="auto"/>
        </w:rPr>
      </w:pPr>
      <w:r>
        <w:rPr>
          <w:rFonts w:ascii="Arial" w:cs="Arial" w:eastAsia="Arial" w:hAnsi="Arial"/>
          <w:sz w:val="13"/>
          <w:szCs w:val="13"/>
          <w:color w:val="auto"/>
        </w:rPr>
        <w:t>Telephone :</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Fax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51-1-313-2000</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51-1-313-2135</w:t>
      </w:r>
    </w:p>
    <w:p>
      <w:pPr>
        <w:spacing w:after="0" w:line="222" w:lineRule="exact"/>
        <w:rPr>
          <w:sz w:val="20"/>
          <w:szCs w:val="20"/>
          <w:color w:val="auto"/>
        </w:rPr>
      </w:pPr>
    </w:p>
    <w:p>
      <w:pPr>
        <w:sectPr>
          <w:pgSz w:w="11900" w:h="16838" w:orient="portrait"/>
          <w:cols w:equalWidth="0" w:num="2">
            <w:col w:w="1000" w:space="720"/>
            <w:col w:w="9700"/>
          </w:cols>
          <w:pgMar w:left="240" w:top="111" w:right="23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Incorporation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Credicorp Ltd, August 17</w:t>
      </w:r>
      <w:r>
        <w:rPr>
          <w:rFonts w:ascii="Arial" w:cs="Arial" w:eastAsia="Arial" w:hAnsi="Arial"/>
          <w:sz w:val="36"/>
          <w:szCs w:val="36"/>
          <w:color w:val="auto"/>
          <w:vertAlign w:val="superscript"/>
        </w:rPr>
        <w:t>th</w:t>
      </w:r>
      <w:r>
        <w:rPr>
          <w:rFonts w:ascii="Arial" w:cs="Arial" w:eastAsia="Arial" w:hAnsi="Arial"/>
          <w:sz w:val="22"/>
          <w:szCs w:val="22"/>
          <w:color w:val="auto"/>
        </w:rPr>
        <w:t>, 1995 in Hamilton, Bermuda, registry No. EC21045.</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The duration of the society is indefinite.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Credicorp was formed in 1995 for the purposes of acquiring through an exchange offer (the “Exchange Offer”) the common shares of BCP, ASHC and PPS. Pursuant to the Exchange Offer, in October 1995, Credicorp acquired 90.1% of BCP; 98.2% of ASHC; and 75.8% of PPS. Credicorp’s shares began to be traded in the New York Stock Exchange, immediately after finishing the exchange offer, with a closing price at such date of US$11.61 (adjusted for stock dividends). Credicorp acquired in March 19, 1996, pursuant to an exchange offer, the remaining 1.8% outstanding shares of ASHC. Credicorp also owns 99.99% of Inversiones Credito, which is a non-financial entity with long-term investments.</w:t>
      </w:r>
    </w:p>
    <w:p>
      <w:pPr>
        <w:spacing w:after="0" w:line="177"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BCP began operations in 1889 as Banco Italiano and changed its name to Banco de Crédito del Perú in 1941. BCP has been the largest commercial bank in Peru since the 1920s.</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ASHC was organized in December 1981 as a wholly owned subsidiary of BCP, under the name Crédito Del Peru Holding Corporation (“BCP International”), in the Cayman Islands and became the first Peruvian bank to establish an offshore banking presence to serve its Peruvian customers. In 1983, BCP distributed the shares of BCP International as dividends to the shareholders of BCP to protect its privately held status in the event BCP were nationalized. BCP International established its first physical presence offshore (previously having been operated through BCP’s corporate offices) by opening an office in Panama in 1984, and in 1986 opened an agency in Miami and changed its name to Atlantic Security Holding Corporation.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6" w:name="page7"/>
    <w:bookmarkEnd w:id="6"/>
    <w:p>
      <w:pPr>
        <w:ind w:right="360"/>
        <w:spacing w:after="0" w:line="329" w:lineRule="auto"/>
        <w:rPr>
          <w:sz w:val="20"/>
          <w:szCs w:val="20"/>
          <w:color w:val="auto"/>
        </w:rPr>
      </w:pPr>
      <w:r>
        <w:rPr>
          <w:rFonts w:ascii="Arial" w:cs="Arial" w:eastAsia="Arial" w:hAnsi="Arial"/>
          <w:sz w:val="19"/>
          <w:szCs w:val="19"/>
          <w:color w:val="auto"/>
        </w:rPr>
        <w:t>PPS was formed in 1992 as a result of a merger between El Pacífico Compañía de Seguros y Reaseguros S.A. and Compañía de Seguros y Reaseguros Peruano-Suiza S.A., and leads the insurance group with the largest market share in Perú.</w:t>
      </w:r>
    </w:p>
    <w:p>
      <w:pPr>
        <w:spacing w:after="0" w:line="104"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In November 2004, Credicorp announced the start-up of a new Private Pension Fund Management Company, Prima AFP, which operates in the Peruvian market since July 2005. Credicorp’s subsidiary Inversiones Credito is the principal shareholder in the new company, with which Credicorp returns to this business after the sale of its stake in AFP Unión in 1999.</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During 2005, Prima AFP began its operations with good results, exceeding the expectations. The results of Prima reflect a growing tendency in the increasing number of clients, which permitted to close the year with near 60,000 clients. In addition, at the end of the year, Prima manages a fund of more than US$ 250 million, which is approximately 2.5% of the total fund of the Private Pension System and also exceeds in 70% the original figure projected.</w:t>
      </w:r>
    </w:p>
    <w:p>
      <w:pPr>
        <w:spacing w:after="0" w:line="174" w:lineRule="exact"/>
        <w:rPr>
          <w:sz w:val="20"/>
          <w:szCs w:val="20"/>
          <w:color w:val="auto"/>
        </w:rPr>
      </w:pPr>
    </w:p>
    <w:p>
      <w:pPr>
        <w:ind w:right="420"/>
        <w:spacing w:after="0" w:line="238" w:lineRule="auto"/>
        <w:rPr>
          <w:sz w:val="20"/>
          <w:szCs w:val="20"/>
          <w:color w:val="auto"/>
        </w:rPr>
      </w:pPr>
      <w:r>
        <w:rPr>
          <w:rFonts w:ascii="Arial" w:cs="Arial" w:eastAsia="Arial" w:hAnsi="Arial"/>
          <w:sz w:val="22"/>
          <w:szCs w:val="22"/>
          <w:color w:val="auto"/>
        </w:rPr>
        <w:t>BCP had important growths in all the segments of its loan portfolio during 2005, along with an improvement of its loan quality ratios Thus, as of December 2005 the past due loan ratio falls to 1.9% and the coverage ratio increased to 209%, reflecting a healthy growth. Likewise it was observed during the year a good management of portfolio recoveries generating incomes by approximately S/.95 million.</w:t>
      </w:r>
    </w:p>
    <w:p>
      <w:pPr>
        <w:spacing w:after="0" w:line="185"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In March 2005 the sale of Banco Tequendama was done, with the respective approval of the Colombian authorities regulators. This operation was carried out in October 2004.</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After three consecutive years when financial support was needed from BCP in order to cover provision expenses required by subs-tandard loans, Banco de Crédito de Bolivia had an outstanding year. More importantly, during 2005, this performance was still more successful, given that the net income reported in 2005 was two times the net income of 2004. The Bolivian subsidiary reached a net income of US$ 10.2 million, an increase of 112.5% with respect to its net income of 2004. Additionally, its loan portfolio quality improved significantly, decreasing the past due loan ratio from 11.0% at year-end 2004 to 5.8% in 2005, while the coverage of past due loans with loan provisions increased from 100.6% to 129.9% .</w:t>
      </w:r>
    </w:p>
    <w:p>
      <w:pPr>
        <w:spacing w:after="0" w:line="177" w:lineRule="exact"/>
        <w:rPr>
          <w:sz w:val="20"/>
          <w:szCs w:val="20"/>
          <w:color w:val="auto"/>
        </w:rPr>
      </w:pPr>
    </w:p>
    <w:p>
      <w:pPr>
        <w:ind w:right="400"/>
        <w:spacing w:after="0" w:line="238" w:lineRule="auto"/>
        <w:rPr>
          <w:sz w:val="20"/>
          <w:szCs w:val="20"/>
          <w:color w:val="auto"/>
        </w:rPr>
      </w:pPr>
      <w:r>
        <w:rPr>
          <w:rFonts w:ascii="Arial" w:cs="Arial" w:eastAsia="Arial" w:hAnsi="Arial"/>
          <w:sz w:val="22"/>
          <w:szCs w:val="22"/>
          <w:color w:val="auto"/>
        </w:rPr>
        <w:t>During 2005 ASHC has maintained a conservative but constant expansion of its business. ASHC again has shown a stable contribution for the results of Credicorp, with high profitability and low operating risk. ASHC has closed the year with a contribution of US$13.5 millions to Credicorp’s attributable net income, showing a stable performance compared with last year contribution that reached US$13.3 millions.</w:t>
      </w:r>
    </w:p>
    <w:p>
      <w:pPr>
        <w:spacing w:after="0" w:line="185"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As of December 2005, ASHC reported a net income of US$25.2 millions, 31.5% higher than US$19.1 million of net income reached in the 2004. The net income of 2005 includes the income by dividends received from Credicorp. This increase is the result of higher cash out of Credicorp’s dividends during 2005 due to the adequate results obtained in 2004.</w:t>
      </w:r>
    </w:p>
    <w:p>
      <w:pPr>
        <w:spacing w:after="0" w:line="134"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With respect to the insurance business, its contribution fell during 2005 due to higher claims and tough competition in the market. Thus, PPS faces a process of restructuring in order to recover the profitability reached in previous years. The results obtained 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ind w:right="20"/>
        <w:spacing w:after="0" w:line="241" w:lineRule="auto"/>
        <w:rPr>
          <w:sz w:val="20"/>
          <w:szCs w:val="20"/>
          <w:color w:val="auto"/>
        </w:rPr>
      </w:pPr>
      <w:r>
        <w:rPr>
          <w:rFonts w:ascii="Arial" w:cs="Arial" w:eastAsia="Arial" w:hAnsi="Arial"/>
          <w:sz w:val="22"/>
          <w:szCs w:val="22"/>
          <w:color w:val="auto"/>
        </w:rPr>
        <w:t>PPS for the year are lower than the expectations. The insurance business shows an important fall in competitiveness and profitability due to high claims, mainly in two of the three business segments: medical and property and casualty. The life insurance business maintains a better profitability.</w:t>
      </w:r>
    </w:p>
    <w:p>
      <w:pPr>
        <w:spacing w:after="0" w:line="184"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All in all, the excellent results of Credicorp’s banking business and the strategies executed by management compensated the deterioration of the insurance business’ income and Prima’s start-up looses. These results constituted a great achievement for a business of mainly Peruvian capitals and are product not only of the business management but also of the recovery and important growth of the Peruvian economy.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Shareholders</w:t>
      </w:r>
    </w:p>
    <w:p>
      <w:pPr>
        <w:spacing w:after="0" w:line="21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As of December 31, 2005, the company had paid-in capital of US$471,911,585, which is represented by 94,382,317, shares with a par value of US$ 5.00 each.</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Shareholders with 5% or more of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9940" w:type="dxa"/>
            <w:vAlign w:val="bottom"/>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r>
      <w:tr>
        <w:trPr>
          <w:trHeight w:val="149"/>
        </w:trPr>
        <w:tc>
          <w:tcPr>
            <w:tcW w:w="99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shd w:val="clear" w:color="auto" w:fill="CCCCCC"/>
          </w:tcPr>
          <w:p>
            <w:pPr>
              <w:jc w:val="right"/>
              <w:ind w:right="266"/>
              <w:spacing w:after="0" w:line="149" w:lineRule="exact"/>
              <w:rPr>
                <w:sz w:val="20"/>
                <w:szCs w:val="20"/>
                <w:color w:val="auto"/>
              </w:rPr>
            </w:pPr>
            <w:r>
              <w:rPr>
                <w:rFonts w:ascii="Arial" w:cs="Arial" w:eastAsia="Arial" w:hAnsi="Arial"/>
                <w:sz w:val="15"/>
                <w:szCs w:val="15"/>
                <w:b w:val="1"/>
                <w:bCs w:val="1"/>
                <w:color w:val="auto"/>
              </w:rPr>
              <w:t>Participation</w:t>
            </w:r>
          </w:p>
        </w:tc>
      </w:tr>
      <w:tr>
        <w:trPr>
          <w:trHeight w:val="160"/>
        </w:trPr>
        <w:tc>
          <w:tcPr>
            <w:tcW w:w="9940" w:type="dxa"/>
            <w:vAlign w:val="bottom"/>
          </w:tcPr>
          <w:p>
            <w:pPr>
              <w:spacing w:after="0" w:line="160" w:lineRule="exact"/>
              <w:rPr>
                <w:sz w:val="20"/>
                <w:szCs w:val="20"/>
                <w:color w:val="auto"/>
              </w:rPr>
            </w:pPr>
            <w:r>
              <w:rPr>
                <w:rFonts w:ascii="Arial" w:cs="Arial" w:eastAsia="Arial" w:hAnsi="Arial"/>
                <w:sz w:val="15"/>
                <w:szCs w:val="15"/>
                <w:color w:val="auto"/>
              </w:rPr>
              <w:t>Atlantic Security Holding Corporation</w:t>
            </w: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15.49%</w:t>
            </w:r>
          </w:p>
        </w:tc>
      </w:tr>
      <w:tr>
        <w:trPr>
          <w:trHeight w:val="162"/>
        </w:trPr>
        <w:tc>
          <w:tcPr>
            <w:tcW w:w="9940" w:type="dxa"/>
            <w:vAlign w:val="bottom"/>
          </w:tcPr>
          <w:p>
            <w:pPr>
              <w:spacing w:after="0" w:line="162" w:lineRule="exact"/>
              <w:rPr>
                <w:sz w:val="20"/>
                <w:szCs w:val="20"/>
                <w:color w:val="auto"/>
              </w:rPr>
            </w:pPr>
            <w:r>
              <w:rPr>
                <w:rFonts w:ascii="Arial" w:cs="Arial" w:eastAsia="Arial" w:hAnsi="Arial"/>
                <w:sz w:val="15"/>
                <w:szCs w:val="15"/>
                <w:color w:val="auto"/>
              </w:rPr>
              <w:t>IN-Fondos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10.94%</w:t>
            </w:r>
          </w:p>
        </w:tc>
      </w:tr>
      <w:tr>
        <w:trPr>
          <w:trHeight w:val="162"/>
        </w:trPr>
        <w:tc>
          <w:tcPr>
            <w:tcW w:w="9940" w:type="dxa"/>
            <w:vAlign w:val="bottom"/>
          </w:tcPr>
          <w:p>
            <w:pPr>
              <w:spacing w:after="0" w:line="162" w:lineRule="exact"/>
              <w:rPr>
                <w:sz w:val="20"/>
                <w:szCs w:val="20"/>
                <w:color w:val="auto"/>
              </w:rPr>
            </w:pPr>
            <w:r>
              <w:rPr>
                <w:rFonts w:ascii="Arial" w:cs="Arial" w:eastAsia="Arial" w:hAnsi="Arial"/>
                <w:sz w:val="15"/>
                <w:szCs w:val="15"/>
                <w:color w:val="auto"/>
              </w:rPr>
              <w:t>HO-Fondos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8.91%</w:t>
            </w:r>
          </w:p>
        </w:tc>
      </w:tr>
      <w:tr>
        <w:trPr>
          <w:trHeight w:val="162"/>
        </w:trPr>
        <w:tc>
          <w:tcPr>
            <w:tcW w:w="9940" w:type="dxa"/>
            <w:vAlign w:val="bottom"/>
          </w:tcPr>
          <w:p>
            <w:pPr>
              <w:spacing w:after="0" w:line="162" w:lineRule="exact"/>
              <w:rPr>
                <w:sz w:val="20"/>
                <w:szCs w:val="20"/>
                <w:color w:val="auto"/>
              </w:rPr>
            </w:pPr>
            <w:r>
              <w:rPr>
                <w:rFonts w:ascii="Arial" w:cs="Arial" w:eastAsia="Arial" w:hAnsi="Arial"/>
                <w:sz w:val="15"/>
                <w:szCs w:val="15"/>
                <w:color w:val="auto"/>
              </w:rPr>
              <w:t>NV-Fondos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7.60%</w:t>
            </w:r>
          </w:p>
        </w:tc>
      </w:tr>
      <w:tr>
        <w:trPr>
          <w:trHeight w:val="171"/>
        </w:trPr>
        <w:tc>
          <w:tcPr>
            <w:tcW w:w="994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PR-Fondos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5.66%</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Shares with right to vote: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780" w:type="dxa"/>
            <w:vAlign w:val="bottom"/>
          </w:tcPr>
          <w:p>
            <w:pPr>
              <w:spacing w:after="0"/>
              <w:rPr>
                <w:sz w:val="3"/>
                <w:szCs w:val="3"/>
                <w:color w:val="auto"/>
              </w:rPr>
            </w:pPr>
          </w:p>
        </w:tc>
        <w:tc>
          <w:tcPr>
            <w:tcW w:w="7460" w:type="dxa"/>
            <w:vAlign w:val="bottom"/>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r>
      <w:tr>
        <w:trPr>
          <w:trHeight w:val="149"/>
        </w:trPr>
        <w:tc>
          <w:tcPr>
            <w:tcW w:w="78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480" w:type="dxa"/>
            <w:vAlign w:val="bottom"/>
            <w:shd w:val="clear" w:color="auto" w:fill="CCCCCC"/>
          </w:tcPr>
          <w:p>
            <w:pPr>
              <w:jc w:val="center"/>
              <w:spacing w:after="0" w:line="149" w:lineRule="exact"/>
              <w:rPr>
                <w:sz w:val="20"/>
                <w:szCs w:val="20"/>
                <w:color w:val="auto"/>
              </w:rPr>
            </w:pPr>
            <w:r>
              <w:rPr>
                <w:rFonts w:ascii="Arial" w:cs="Arial" w:eastAsia="Arial" w:hAnsi="Arial"/>
                <w:sz w:val="15"/>
                <w:szCs w:val="15"/>
                <w:b w:val="1"/>
                <w:bCs w:val="1"/>
                <w:color w:val="auto"/>
                <w:w w:val="90"/>
              </w:rPr>
              <w:t>Number of</w:t>
            </w:r>
          </w:p>
        </w:tc>
        <w:tc>
          <w:tcPr>
            <w:tcW w:w="1700" w:type="dxa"/>
            <w:vAlign w:val="bottom"/>
            <w:shd w:val="clear" w:color="auto" w:fill="CCCCCC"/>
          </w:tcPr>
          <w:p>
            <w:pPr>
              <w:ind w:left="600"/>
              <w:spacing w:after="0" w:line="149" w:lineRule="exact"/>
              <w:rPr>
                <w:sz w:val="20"/>
                <w:szCs w:val="20"/>
                <w:color w:val="auto"/>
              </w:rPr>
            </w:pPr>
            <w:r>
              <w:rPr>
                <w:rFonts w:ascii="Arial" w:cs="Arial" w:eastAsia="Arial" w:hAnsi="Arial"/>
                <w:sz w:val="15"/>
                <w:szCs w:val="15"/>
                <w:b w:val="1"/>
                <w:bCs w:val="1"/>
                <w:color w:val="auto"/>
              </w:rPr>
              <w:t>Percentage</w:t>
            </w:r>
          </w:p>
        </w:tc>
      </w:tr>
      <w:tr>
        <w:trPr>
          <w:trHeight w:val="162"/>
        </w:trPr>
        <w:tc>
          <w:tcPr>
            <w:tcW w:w="780" w:type="dxa"/>
            <w:vAlign w:val="bottom"/>
            <w:tcBorders>
              <w:bottom w:val="single" w:sz="8" w:color="auto"/>
            </w:tcBorders>
          </w:tcPr>
          <w:p>
            <w:pPr>
              <w:spacing w:after="0"/>
              <w:rPr>
                <w:sz w:val="14"/>
                <w:szCs w:val="14"/>
                <w:color w:val="auto"/>
              </w:rPr>
            </w:pPr>
          </w:p>
        </w:tc>
        <w:tc>
          <w:tcPr>
            <w:tcW w:w="7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shd w:val="clear" w:color="auto" w:fill="CCCCCC"/>
          </w:tcPr>
          <w:p>
            <w:pPr>
              <w:jc w:val="center"/>
              <w:spacing w:after="0" w:line="162" w:lineRule="exact"/>
              <w:rPr>
                <w:sz w:val="20"/>
                <w:szCs w:val="20"/>
                <w:color w:val="auto"/>
              </w:rPr>
            </w:pPr>
            <w:r>
              <w:rPr>
                <w:rFonts w:ascii="Arial" w:cs="Arial" w:eastAsia="Arial" w:hAnsi="Arial"/>
                <w:sz w:val="15"/>
                <w:szCs w:val="15"/>
                <w:b w:val="1"/>
                <w:bCs w:val="1"/>
                <w:color w:val="auto"/>
                <w:w w:val="87"/>
              </w:rPr>
              <w:t>Shareholders</w:t>
            </w:r>
          </w:p>
        </w:tc>
        <w:tc>
          <w:tcPr>
            <w:tcW w:w="1700" w:type="dxa"/>
            <w:vAlign w:val="bottom"/>
            <w:tcBorders>
              <w:bottom w:val="single" w:sz="8" w:color="auto"/>
            </w:tcBorders>
            <w:shd w:val="clear" w:color="auto" w:fill="CCCCCC"/>
          </w:tcPr>
          <w:p>
            <w:pPr>
              <w:spacing w:after="0"/>
              <w:rPr>
                <w:sz w:val="14"/>
                <w:szCs w:val="14"/>
                <w:color w:val="auto"/>
              </w:rPr>
            </w:pPr>
          </w:p>
        </w:tc>
      </w:tr>
      <w:tr>
        <w:trPr>
          <w:trHeight w:val="169"/>
        </w:trPr>
        <w:tc>
          <w:tcPr>
            <w:tcW w:w="824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color w:val="auto"/>
              </w:rPr>
              <w:t>Less than 1%</w:t>
            </w: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color w:val="auto"/>
                <w:w w:val="90"/>
              </w:rPr>
              <w:t>4,876</w:t>
            </w:r>
          </w:p>
        </w:tc>
        <w:tc>
          <w:tcPr>
            <w:tcW w:w="1700" w:type="dxa"/>
            <w:vAlign w:val="bottom"/>
            <w:tcBorders>
              <w:bottom w:val="single" w:sz="8" w:color="auto"/>
            </w:tcBorders>
          </w:tcPr>
          <w:p>
            <w:pPr>
              <w:jc w:val="center"/>
              <w:ind w:left="126"/>
              <w:spacing w:after="0" w:line="169" w:lineRule="exact"/>
              <w:rPr>
                <w:sz w:val="20"/>
                <w:szCs w:val="20"/>
                <w:color w:val="auto"/>
              </w:rPr>
            </w:pPr>
            <w:r>
              <w:rPr>
                <w:rFonts w:ascii="Arial" w:cs="Arial" w:eastAsia="Arial" w:hAnsi="Arial"/>
                <w:sz w:val="15"/>
                <w:szCs w:val="15"/>
                <w:color w:val="auto"/>
                <w:w w:val="90"/>
              </w:rPr>
              <w:t>11.92%</w:t>
            </w:r>
          </w:p>
        </w:tc>
      </w:tr>
      <w:tr>
        <w:trPr>
          <w:trHeight w:val="169"/>
        </w:trPr>
        <w:tc>
          <w:tcPr>
            <w:tcW w:w="78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w w:val="90"/>
              </w:rPr>
              <w:t>Between 1%</w:t>
            </w:r>
          </w:p>
        </w:tc>
        <w:tc>
          <w:tcPr>
            <w:tcW w:w="7460" w:type="dxa"/>
            <w:vAlign w:val="bottom"/>
            <w:tcBorders>
              <w:bottom w:val="single" w:sz="8" w:color="auto"/>
            </w:tcBorders>
          </w:tcPr>
          <w:p>
            <w:pPr>
              <w:ind w:left="20"/>
              <w:spacing w:after="0" w:line="169" w:lineRule="exact"/>
              <w:rPr>
                <w:sz w:val="20"/>
                <w:szCs w:val="20"/>
                <w:color w:val="auto"/>
              </w:rPr>
            </w:pPr>
            <w:r>
              <w:rPr>
                <w:rFonts w:ascii="Arial" w:cs="Arial" w:eastAsia="Arial" w:hAnsi="Arial"/>
                <w:sz w:val="15"/>
                <w:szCs w:val="15"/>
                <w:color w:val="auto"/>
              </w:rPr>
              <w:t>- 5%</w:t>
            </w: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color w:val="auto"/>
                <w:w w:val="95"/>
              </w:rPr>
              <w:t>3</w:t>
            </w:r>
          </w:p>
        </w:tc>
        <w:tc>
          <w:tcPr>
            <w:tcW w:w="1700" w:type="dxa"/>
            <w:vAlign w:val="bottom"/>
            <w:tcBorders>
              <w:bottom w:val="single" w:sz="8" w:color="auto"/>
            </w:tcBorders>
          </w:tcPr>
          <w:p>
            <w:pPr>
              <w:jc w:val="center"/>
              <w:ind w:left="126"/>
              <w:spacing w:after="0" w:line="169" w:lineRule="exact"/>
              <w:rPr>
                <w:sz w:val="20"/>
                <w:szCs w:val="20"/>
                <w:color w:val="auto"/>
              </w:rPr>
            </w:pPr>
            <w:r>
              <w:rPr>
                <w:rFonts w:ascii="Arial" w:cs="Arial" w:eastAsia="Arial" w:hAnsi="Arial"/>
                <w:sz w:val="15"/>
                <w:szCs w:val="15"/>
                <w:color w:val="auto"/>
                <w:w w:val="89"/>
              </w:rPr>
              <w:t>5.97%</w:t>
            </w:r>
          </w:p>
        </w:tc>
      </w:tr>
      <w:tr>
        <w:trPr>
          <w:trHeight w:val="169"/>
        </w:trPr>
        <w:tc>
          <w:tcPr>
            <w:tcW w:w="78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w w:val="90"/>
              </w:rPr>
              <w:t>Between 5%</w:t>
            </w:r>
          </w:p>
        </w:tc>
        <w:tc>
          <w:tcPr>
            <w:tcW w:w="7460" w:type="dxa"/>
            <w:vAlign w:val="bottom"/>
            <w:tcBorders>
              <w:bottom w:val="single" w:sz="8" w:color="auto"/>
            </w:tcBorders>
          </w:tcPr>
          <w:p>
            <w:pPr>
              <w:ind w:left="20"/>
              <w:spacing w:after="0" w:line="169" w:lineRule="exact"/>
              <w:rPr>
                <w:sz w:val="20"/>
                <w:szCs w:val="20"/>
                <w:color w:val="auto"/>
              </w:rPr>
            </w:pPr>
            <w:r>
              <w:rPr>
                <w:rFonts w:ascii="Arial" w:cs="Arial" w:eastAsia="Arial" w:hAnsi="Arial"/>
                <w:sz w:val="15"/>
                <w:szCs w:val="15"/>
                <w:color w:val="auto"/>
              </w:rPr>
              <w:t>-10%</w:t>
            </w: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color w:val="auto"/>
                <w:w w:val="95"/>
              </w:rPr>
              <w:t>3</w:t>
            </w:r>
          </w:p>
        </w:tc>
        <w:tc>
          <w:tcPr>
            <w:tcW w:w="1700" w:type="dxa"/>
            <w:vAlign w:val="bottom"/>
            <w:tcBorders>
              <w:bottom w:val="single" w:sz="8" w:color="auto"/>
            </w:tcBorders>
          </w:tcPr>
          <w:p>
            <w:pPr>
              <w:jc w:val="center"/>
              <w:ind w:left="126"/>
              <w:spacing w:after="0" w:line="169" w:lineRule="exact"/>
              <w:rPr>
                <w:sz w:val="20"/>
                <w:szCs w:val="20"/>
                <w:color w:val="auto"/>
              </w:rPr>
            </w:pPr>
            <w:r>
              <w:rPr>
                <w:rFonts w:ascii="Arial" w:cs="Arial" w:eastAsia="Arial" w:hAnsi="Arial"/>
                <w:sz w:val="15"/>
                <w:szCs w:val="15"/>
                <w:color w:val="auto"/>
                <w:w w:val="90"/>
              </w:rPr>
              <w:t>22.17%</w:t>
            </w:r>
          </w:p>
        </w:tc>
      </w:tr>
      <w:tr>
        <w:trPr>
          <w:trHeight w:val="169"/>
        </w:trPr>
        <w:tc>
          <w:tcPr>
            <w:tcW w:w="824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color w:val="auto"/>
              </w:rPr>
              <w:t>More than 10%</w:t>
            </w: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color w:val="auto"/>
                <w:w w:val="95"/>
              </w:rPr>
              <w:t>2</w:t>
            </w:r>
          </w:p>
        </w:tc>
        <w:tc>
          <w:tcPr>
            <w:tcW w:w="1700" w:type="dxa"/>
            <w:vAlign w:val="bottom"/>
            <w:tcBorders>
              <w:bottom w:val="single" w:sz="8" w:color="auto"/>
            </w:tcBorders>
          </w:tcPr>
          <w:p>
            <w:pPr>
              <w:jc w:val="center"/>
              <w:ind w:left="126"/>
              <w:spacing w:after="0" w:line="169" w:lineRule="exact"/>
              <w:rPr>
                <w:sz w:val="20"/>
                <w:szCs w:val="20"/>
                <w:color w:val="auto"/>
              </w:rPr>
            </w:pPr>
            <w:r>
              <w:rPr>
                <w:rFonts w:ascii="Arial" w:cs="Arial" w:eastAsia="Arial" w:hAnsi="Arial"/>
                <w:sz w:val="15"/>
                <w:szCs w:val="15"/>
                <w:color w:val="auto"/>
                <w:w w:val="90"/>
              </w:rPr>
              <w:t>26.43%</w:t>
            </w:r>
          </w:p>
        </w:tc>
      </w:tr>
      <w:tr>
        <w:trPr>
          <w:trHeight w:val="169"/>
        </w:trPr>
        <w:tc>
          <w:tcPr>
            <w:tcW w:w="824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color w:val="auto"/>
              </w:rPr>
              <w:t>(*) CEDEFAST</w:t>
            </w: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color w:val="auto"/>
                <w:w w:val="99"/>
              </w:rPr>
              <w:t>--</w:t>
            </w:r>
          </w:p>
        </w:tc>
        <w:tc>
          <w:tcPr>
            <w:tcW w:w="1700" w:type="dxa"/>
            <w:vAlign w:val="bottom"/>
            <w:tcBorders>
              <w:bottom w:val="single" w:sz="8" w:color="auto"/>
            </w:tcBorders>
          </w:tcPr>
          <w:p>
            <w:pPr>
              <w:jc w:val="center"/>
              <w:ind w:left="126"/>
              <w:spacing w:after="0" w:line="169" w:lineRule="exact"/>
              <w:rPr>
                <w:sz w:val="20"/>
                <w:szCs w:val="20"/>
                <w:color w:val="auto"/>
              </w:rPr>
            </w:pPr>
            <w:r>
              <w:rPr>
                <w:rFonts w:ascii="Arial" w:cs="Arial" w:eastAsia="Arial" w:hAnsi="Arial"/>
                <w:sz w:val="15"/>
                <w:szCs w:val="15"/>
                <w:color w:val="auto"/>
                <w:w w:val="90"/>
              </w:rPr>
              <w:t>33.51%</w:t>
            </w:r>
          </w:p>
        </w:tc>
      </w:tr>
      <w:tr>
        <w:trPr>
          <w:trHeight w:val="186"/>
        </w:trPr>
        <w:tc>
          <w:tcPr>
            <w:tcW w:w="780" w:type="dxa"/>
            <w:vAlign w:val="bottom"/>
          </w:tcPr>
          <w:p>
            <w:pPr>
              <w:spacing w:after="0"/>
              <w:rPr>
                <w:sz w:val="20"/>
                <w:szCs w:val="20"/>
                <w:color w:val="auto"/>
              </w:rPr>
            </w:pPr>
            <w:r>
              <w:rPr>
                <w:rFonts w:ascii="Arial" w:cs="Arial" w:eastAsia="Arial" w:hAnsi="Arial"/>
                <w:sz w:val="15"/>
                <w:szCs w:val="15"/>
                <w:color w:val="auto"/>
              </w:rPr>
              <w:t>Total</w:t>
            </w:r>
          </w:p>
        </w:tc>
        <w:tc>
          <w:tcPr>
            <w:tcW w:w="74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90"/>
              </w:rPr>
              <w:t>4,884</w:t>
            </w:r>
          </w:p>
        </w:tc>
        <w:tc>
          <w:tcPr>
            <w:tcW w:w="1700" w:type="dxa"/>
            <w:vAlign w:val="bottom"/>
          </w:tcPr>
          <w:p>
            <w:pPr>
              <w:jc w:val="center"/>
              <w:ind w:left="126"/>
              <w:spacing w:after="0"/>
              <w:rPr>
                <w:sz w:val="20"/>
                <w:szCs w:val="20"/>
                <w:color w:val="auto"/>
              </w:rPr>
            </w:pPr>
            <w:r>
              <w:rPr>
                <w:rFonts w:ascii="Arial" w:cs="Arial" w:eastAsia="Arial" w:hAnsi="Arial"/>
                <w:sz w:val="15"/>
                <w:szCs w:val="15"/>
                <w:color w:val="auto"/>
                <w:w w:val="91"/>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660" w:right="5540" w:hanging="5652"/>
        <w:spacing w:after="0" w:line="396" w:lineRule="auto"/>
        <w:tabs>
          <w:tab w:leader="none" w:pos="314" w:val="left"/>
        </w:tabs>
        <w:numPr>
          <w:ilvl w:val="0"/>
          <w:numId w:val="2"/>
        </w:numPr>
        <w:rPr>
          <w:rFonts w:ascii="Arial" w:cs="Arial" w:eastAsia="Arial" w:hAnsi="Arial"/>
          <w:sz w:val="19"/>
          <w:szCs w:val="19"/>
          <w:color w:val="auto"/>
        </w:rPr>
      </w:pPr>
      <w:r>
        <w:rPr>
          <w:rFonts w:ascii="Arial" w:cs="Arial" w:eastAsia="Arial" w:hAnsi="Arial"/>
          <w:sz w:val="19"/>
          <w:szCs w:val="19"/>
          <w:color w:val="auto"/>
        </w:rPr>
        <w:t>Includes holdings in CEDEFAST - DTC, for electronic clearing.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Number of employees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824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r>
      <w:tr>
        <w:trPr>
          <w:trHeight w:val="149"/>
        </w:trPr>
        <w:tc>
          <w:tcPr>
            <w:tcW w:w="8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shd w:val="clear" w:color="auto" w:fill="CCCCCC"/>
          </w:tcPr>
          <w:p>
            <w:pPr>
              <w:jc w:val="right"/>
              <w:ind w:right="26"/>
              <w:spacing w:after="0" w:line="149" w:lineRule="exact"/>
              <w:rPr>
                <w:sz w:val="20"/>
                <w:szCs w:val="20"/>
                <w:color w:val="auto"/>
              </w:rPr>
            </w:pPr>
            <w:r>
              <w:rPr>
                <w:rFonts w:ascii="Arial" w:cs="Arial" w:eastAsia="Arial" w:hAnsi="Arial"/>
                <w:sz w:val="15"/>
                <w:szCs w:val="15"/>
                <w:b w:val="1"/>
                <w:bCs w:val="1"/>
                <w:color w:val="auto"/>
              </w:rPr>
              <w:t>2004</w:t>
            </w:r>
          </w:p>
        </w:tc>
        <w:tc>
          <w:tcPr>
            <w:tcW w:w="900" w:type="dxa"/>
            <w:vAlign w:val="bottom"/>
            <w:tcBorders>
              <w:bottom w:val="single" w:sz="8" w:color="auto"/>
            </w:tcBorders>
            <w:shd w:val="clear" w:color="auto" w:fill="CCCCCC"/>
          </w:tcPr>
          <w:p>
            <w:pPr>
              <w:spacing w:after="0"/>
              <w:rPr>
                <w:sz w:val="12"/>
                <w:szCs w:val="12"/>
                <w:color w:val="auto"/>
              </w:rPr>
            </w:pPr>
          </w:p>
        </w:tc>
        <w:tc>
          <w:tcPr>
            <w:tcW w:w="1320" w:type="dxa"/>
            <w:vAlign w:val="bottom"/>
            <w:tcBorders>
              <w:bottom w:val="single" w:sz="8" w:color="auto"/>
            </w:tcBorders>
            <w:shd w:val="clear" w:color="auto" w:fill="CCCCCC"/>
          </w:tcPr>
          <w:p>
            <w:pPr>
              <w:jc w:val="right"/>
              <w:ind w:right="526"/>
              <w:spacing w:after="0" w:line="149" w:lineRule="exact"/>
              <w:rPr>
                <w:sz w:val="20"/>
                <w:szCs w:val="20"/>
                <w:color w:val="auto"/>
              </w:rPr>
            </w:pPr>
            <w:r>
              <w:rPr>
                <w:rFonts w:ascii="Arial" w:cs="Arial" w:eastAsia="Arial" w:hAnsi="Arial"/>
                <w:sz w:val="15"/>
                <w:szCs w:val="15"/>
                <w:b w:val="1"/>
                <w:bCs w:val="1"/>
                <w:color w:val="auto"/>
              </w:rPr>
              <w:t>2005</w:t>
            </w:r>
          </w:p>
        </w:tc>
      </w:tr>
      <w:tr>
        <w:trPr>
          <w:trHeight w:val="169"/>
        </w:trPr>
        <w:tc>
          <w:tcPr>
            <w:tcW w:w="920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color w:val="auto"/>
              </w:rPr>
              <w:t>Managers</w:t>
            </w:r>
          </w:p>
        </w:tc>
        <w:tc>
          <w:tcPr>
            <w:tcW w:w="900" w:type="dxa"/>
            <w:vAlign w:val="bottom"/>
            <w:tcBorders>
              <w:bottom w:val="single" w:sz="8" w:color="auto"/>
            </w:tcBorders>
          </w:tcPr>
          <w:p>
            <w:pPr>
              <w:jc w:val="right"/>
              <w:ind w:right="346"/>
              <w:spacing w:after="0" w:line="169" w:lineRule="exact"/>
              <w:rPr>
                <w:sz w:val="20"/>
                <w:szCs w:val="20"/>
                <w:color w:val="auto"/>
              </w:rPr>
            </w:pPr>
            <w:r>
              <w:rPr>
                <w:rFonts w:ascii="Arial" w:cs="Arial" w:eastAsia="Arial" w:hAnsi="Arial"/>
                <w:sz w:val="15"/>
                <w:szCs w:val="15"/>
                <w:color w:val="auto"/>
              </w:rPr>
              <w:t>414</w:t>
            </w: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372</w:t>
            </w:r>
          </w:p>
        </w:tc>
      </w:tr>
      <w:tr>
        <w:trPr>
          <w:trHeight w:val="169"/>
        </w:trPr>
        <w:tc>
          <w:tcPr>
            <w:tcW w:w="920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color w:val="auto"/>
              </w:rPr>
              <w:t>Indefinite term: Employees</w:t>
            </w:r>
          </w:p>
        </w:tc>
        <w:tc>
          <w:tcPr>
            <w:tcW w:w="900" w:type="dxa"/>
            <w:vAlign w:val="bottom"/>
            <w:tcBorders>
              <w:bottom w:val="single" w:sz="8" w:color="auto"/>
            </w:tcBorders>
          </w:tcPr>
          <w:p>
            <w:pPr>
              <w:jc w:val="right"/>
              <w:ind w:right="346"/>
              <w:spacing w:after="0" w:line="169" w:lineRule="exact"/>
              <w:rPr>
                <w:sz w:val="20"/>
                <w:szCs w:val="20"/>
                <w:color w:val="auto"/>
              </w:rPr>
            </w:pPr>
            <w:r>
              <w:rPr>
                <w:rFonts w:ascii="Arial" w:cs="Arial" w:eastAsia="Arial" w:hAnsi="Arial"/>
                <w:sz w:val="15"/>
                <w:szCs w:val="15"/>
                <w:color w:val="auto"/>
              </w:rPr>
              <w:t>5,000</w:t>
            </w: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4,994</w:t>
            </w:r>
          </w:p>
        </w:tc>
      </w:tr>
      <w:tr>
        <w:trPr>
          <w:trHeight w:val="169"/>
        </w:trPr>
        <w:tc>
          <w:tcPr>
            <w:tcW w:w="920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color w:val="auto"/>
              </w:rPr>
              <w:t>Fixed term: Employees.</w:t>
            </w:r>
          </w:p>
        </w:tc>
        <w:tc>
          <w:tcPr>
            <w:tcW w:w="900" w:type="dxa"/>
            <w:vAlign w:val="bottom"/>
            <w:tcBorders>
              <w:bottom w:val="single" w:sz="8" w:color="auto"/>
            </w:tcBorders>
          </w:tcPr>
          <w:p>
            <w:pPr>
              <w:jc w:val="right"/>
              <w:ind w:right="346"/>
              <w:spacing w:after="0" w:line="169" w:lineRule="exact"/>
              <w:rPr>
                <w:sz w:val="20"/>
                <w:szCs w:val="20"/>
                <w:color w:val="auto"/>
              </w:rPr>
            </w:pPr>
            <w:r>
              <w:rPr>
                <w:rFonts w:ascii="Arial" w:cs="Arial" w:eastAsia="Arial" w:hAnsi="Arial"/>
                <w:sz w:val="15"/>
                <w:szCs w:val="15"/>
                <w:color w:val="auto"/>
              </w:rPr>
              <w:t>5,898</w:t>
            </w: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6,497</w:t>
            </w:r>
          </w:p>
        </w:tc>
      </w:tr>
      <w:tr>
        <w:trPr>
          <w:trHeight w:val="169"/>
        </w:trPr>
        <w:tc>
          <w:tcPr>
            <w:tcW w:w="920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b w:val="1"/>
                <w:bCs w:val="1"/>
                <w:color w:val="auto"/>
              </w:rPr>
              <w:t>Total</w:t>
            </w:r>
          </w:p>
        </w:tc>
        <w:tc>
          <w:tcPr>
            <w:tcW w:w="900" w:type="dxa"/>
            <w:vAlign w:val="bottom"/>
            <w:tcBorders>
              <w:bottom w:val="single" w:sz="8" w:color="auto"/>
            </w:tcBorders>
          </w:tcPr>
          <w:p>
            <w:pPr>
              <w:jc w:val="right"/>
              <w:ind w:right="346"/>
              <w:spacing w:after="0" w:line="169" w:lineRule="exact"/>
              <w:rPr>
                <w:sz w:val="20"/>
                <w:szCs w:val="20"/>
                <w:color w:val="auto"/>
              </w:rPr>
            </w:pPr>
            <w:r>
              <w:rPr>
                <w:rFonts w:ascii="Arial" w:cs="Arial" w:eastAsia="Arial" w:hAnsi="Arial"/>
                <w:sz w:val="15"/>
                <w:szCs w:val="15"/>
                <w:b w:val="1"/>
                <w:bCs w:val="1"/>
                <w:color w:val="auto"/>
              </w:rPr>
              <w:t>11,312</w:t>
            </w: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11,863</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Credicorp is the largest financial services holding company in Peru. Credicorp is engaged principally in commercial banking (including trade finance and leasing), capital market activities (including corporate finance, brokerage services, asset management, trust, custody and proprietary trading and investment), insurance (including commercial property, transportation, marine hull, automobile, life, health and pension fund underwriting insurance) and since August 2005 in the Pension Funds business through its subsidiary Prima AFP.</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212" w:lineRule="exact"/>
        <w:rPr>
          <w:sz w:val="20"/>
          <w:szCs w:val="20"/>
          <w:color w:val="auto"/>
        </w:rPr>
      </w:pPr>
    </w:p>
    <w:p>
      <w:pPr>
        <w:ind w:right="680"/>
        <w:spacing w:after="0" w:line="328" w:lineRule="auto"/>
        <w:rPr>
          <w:sz w:val="20"/>
          <w:szCs w:val="20"/>
          <w:color w:val="auto"/>
        </w:rPr>
      </w:pPr>
      <w:r>
        <w:rPr>
          <w:rFonts w:ascii="Arial" w:cs="Arial" w:eastAsia="Arial" w:hAnsi="Arial"/>
          <w:sz w:val="19"/>
          <w:szCs w:val="19"/>
          <w:color w:val="auto"/>
        </w:rPr>
        <w:t>Credicorp and its subsidiaries are involved in certain legal proceedings incidental to the normal conduct of their business. In opinion of the Management, none of these would affect the normal development of its activities and business.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Control of Registrant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the current Directors of Credicorp.</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0" w:type="dxa"/>
            <w:vAlign w:val="bottom"/>
            <w:vMerge w:val="restart"/>
          </w:tcPr>
          <w:p>
            <w:pPr>
              <w:spacing w:after="0"/>
              <w:rPr>
                <w:sz w:val="20"/>
                <w:szCs w:val="20"/>
                <w:color w:val="auto"/>
              </w:rPr>
            </w:pPr>
            <w:r>
              <w:rPr>
                <w:rFonts w:ascii="Arial" w:cs="Arial" w:eastAsia="Arial" w:hAnsi="Arial"/>
                <w:sz w:val="15"/>
                <w:szCs w:val="15"/>
                <w:b w:val="1"/>
                <w:bCs w:val="1"/>
                <w:color w:val="auto"/>
                <w:w w:val="88"/>
              </w:rPr>
              <w:t>Name</w:t>
            </w:r>
          </w:p>
        </w:tc>
        <w:tc>
          <w:tcPr>
            <w:tcW w:w="3980" w:type="dxa"/>
            <w:vAlign w:val="bottom"/>
            <w:vMerge w:val="restart"/>
          </w:tcPr>
          <w:p>
            <w:pPr>
              <w:spacing w:after="0"/>
              <w:rPr>
                <w:sz w:val="13"/>
                <w:szCs w:val="13"/>
                <w:color w:val="auto"/>
              </w:rPr>
            </w:pPr>
          </w:p>
        </w:tc>
        <w:tc>
          <w:tcPr>
            <w:tcW w:w="28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Position</w:t>
            </w:r>
          </w:p>
        </w:tc>
        <w:tc>
          <w:tcPr>
            <w:tcW w:w="2960" w:type="dxa"/>
            <w:vAlign w:val="bottom"/>
            <w:gridSpan w:val="2"/>
            <w:vMerge w:val="restart"/>
          </w:tcPr>
          <w:p>
            <w:pPr>
              <w:ind w:left="1840"/>
              <w:spacing w:after="0"/>
              <w:rPr>
                <w:sz w:val="20"/>
                <w:szCs w:val="20"/>
                <w:color w:val="auto"/>
              </w:rPr>
            </w:pPr>
            <w:r>
              <w:rPr>
                <w:rFonts w:ascii="Arial" w:cs="Arial" w:eastAsia="Arial" w:hAnsi="Arial"/>
                <w:sz w:val="15"/>
                <w:szCs w:val="15"/>
                <w:b w:val="1"/>
                <w:bCs w:val="1"/>
                <w:color w:val="auto"/>
                <w:w w:val="89"/>
              </w:rPr>
              <w:t>Years as Director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1"/>
              </w:rPr>
              <w:t>(1)</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80" w:type="dxa"/>
            <w:vAlign w:val="bottom"/>
            <w:vMerge w:val="continue"/>
          </w:tcPr>
          <w:p>
            <w:pPr>
              <w:spacing w:after="0"/>
              <w:rPr>
                <w:sz w:val="2"/>
                <w:szCs w:val="2"/>
                <w:color w:val="auto"/>
              </w:rPr>
            </w:pPr>
          </w:p>
        </w:tc>
        <w:tc>
          <w:tcPr>
            <w:tcW w:w="3980" w:type="dxa"/>
            <w:vAlign w:val="bottom"/>
            <w:vMerge w:val="continue"/>
          </w:tcPr>
          <w:p>
            <w:pPr>
              <w:spacing w:after="0"/>
              <w:rPr>
                <w:sz w:val="2"/>
                <w:szCs w:val="2"/>
                <w:color w:val="auto"/>
              </w:rPr>
            </w:pPr>
          </w:p>
        </w:tc>
        <w:tc>
          <w:tcPr>
            <w:tcW w:w="2880" w:type="dxa"/>
            <w:vAlign w:val="bottom"/>
            <w:gridSpan w:val="2"/>
            <w:vMerge w:val="continue"/>
          </w:tcPr>
          <w:p>
            <w:pPr>
              <w:spacing w:after="0"/>
              <w:rPr>
                <w:sz w:val="2"/>
                <w:szCs w:val="2"/>
                <w:color w:val="auto"/>
              </w:rPr>
            </w:pPr>
          </w:p>
        </w:tc>
        <w:tc>
          <w:tcPr>
            <w:tcW w:w="2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360" w:type="dxa"/>
            <w:vAlign w:val="bottom"/>
            <w:gridSpan w:val="2"/>
          </w:tcPr>
          <w:p>
            <w:pPr>
              <w:spacing w:after="0"/>
              <w:rPr>
                <w:sz w:val="20"/>
                <w:szCs w:val="20"/>
                <w:color w:val="auto"/>
              </w:rPr>
            </w:pPr>
            <w:r>
              <w:rPr>
                <w:rFonts w:ascii="Arial" w:cs="Arial" w:eastAsia="Arial" w:hAnsi="Arial"/>
                <w:sz w:val="15"/>
                <w:szCs w:val="15"/>
                <w:color w:val="auto"/>
              </w:rPr>
              <w:t>Dionisio Romero</w:t>
            </w:r>
          </w:p>
        </w:tc>
        <w:tc>
          <w:tcPr>
            <w:tcW w:w="2880" w:type="dxa"/>
            <w:vAlign w:val="bottom"/>
            <w:gridSpan w:val="2"/>
          </w:tcPr>
          <w:p>
            <w:pPr>
              <w:spacing w:after="0"/>
              <w:rPr>
                <w:sz w:val="20"/>
                <w:szCs w:val="20"/>
                <w:color w:val="auto"/>
              </w:rPr>
            </w:pPr>
            <w:r>
              <w:rPr>
                <w:rFonts w:ascii="Arial" w:cs="Arial" w:eastAsia="Arial" w:hAnsi="Arial"/>
                <w:sz w:val="15"/>
                <w:szCs w:val="15"/>
                <w:color w:val="auto"/>
              </w:rPr>
              <w:t>Chairman</w:t>
            </w:r>
          </w:p>
        </w:tc>
        <w:tc>
          <w:tcPr>
            <w:tcW w:w="2960" w:type="dxa"/>
            <w:vAlign w:val="bottom"/>
            <w:gridSpan w:val="2"/>
          </w:tcPr>
          <w:p>
            <w:pPr>
              <w:jc w:val="center"/>
              <w:ind w:left="1866"/>
              <w:spacing w:after="0"/>
              <w:rPr>
                <w:sz w:val="20"/>
                <w:szCs w:val="20"/>
                <w:color w:val="auto"/>
              </w:rPr>
            </w:pPr>
            <w:r>
              <w:rPr>
                <w:rFonts w:ascii="Arial" w:cs="Arial" w:eastAsia="Arial" w:hAnsi="Arial"/>
                <w:sz w:val="15"/>
                <w:szCs w:val="15"/>
                <w:color w:val="auto"/>
                <w:w w:val="83"/>
              </w:rPr>
              <w:t>35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Luis Nicolini</w:t>
            </w:r>
          </w:p>
        </w:tc>
        <w:tc>
          <w:tcPr>
            <w:tcW w:w="2880" w:type="dxa"/>
            <w:vAlign w:val="bottom"/>
            <w:gridSpan w:val="2"/>
          </w:tcPr>
          <w:p>
            <w:pPr>
              <w:spacing w:after="0" w:line="162" w:lineRule="exact"/>
              <w:rPr>
                <w:sz w:val="20"/>
                <w:szCs w:val="20"/>
                <w:color w:val="auto"/>
              </w:rPr>
            </w:pPr>
            <w:r>
              <w:rPr>
                <w:rFonts w:ascii="Arial" w:cs="Arial" w:eastAsia="Arial" w:hAnsi="Arial"/>
                <w:sz w:val="15"/>
                <w:szCs w:val="15"/>
                <w:color w:val="auto"/>
              </w:rPr>
              <w:t>Deputy Chairman</w:t>
            </w:r>
          </w:p>
        </w:tc>
        <w:tc>
          <w:tcPr>
            <w:tcW w:w="2960" w:type="dxa"/>
            <w:vAlign w:val="bottom"/>
            <w:gridSpan w:val="2"/>
          </w:tcPr>
          <w:p>
            <w:pPr>
              <w:jc w:val="center"/>
              <w:ind w:left="1866"/>
              <w:spacing w:after="0" w:line="162" w:lineRule="exact"/>
              <w:rPr>
                <w:sz w:val="20"/>
                <w:szCs w:val="20"/>
                <w:color w:val="auto"/>
              </w:rPr>
            </w:pPr>
            <w:r>
              <w:rPr>
                <w:rFonts w:ascii="Arial" w:cs="Arial" w:eastAsia="Arial" w:hAnsi="Arial"/>
                <w:sz w:val="15"/>
                <w:szCs w:val="15"/>
                <w:color w:val="auto"/>
                <w:w w:val="83"/>
              </w:rPr>
              <w:t>24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Fernando Fort</w:t>
            </w:r>
          </w:p>
        </w:tc>
        <w:tc>
          <w:tcPr>
            <w:tcW w:w="288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960" w:type="dxa"/>
            <w:vAlign w:val="bottom"/>
            <w:gridSpan w:val="2"/>
          </w:tcPr>
          <w:p>
            <w:pPr>
              <w:jc w:val="center"/>
              <w:ind w:left="1866"/>
              <w:spacing w:after="0" w:line="162" w:lineRule="exact"/>
              <w:rPr>
                <w:sz w:val="20"/>
                <w:szCs w:val="20"/>
                <w:color w:val="auto"/>
              </w:rPr>
            </w:pPr>
            <w:r>
              <w:rPr>
                <w:rFonts w:ascii="Arial" w:cs="Arial" w:eastAsia="Arial" w:hAnsi="Arial"/>
                <w:sz w:val="15"/>
                <w:szCs w:val="15"/>
                <w:color w:val="auto"/>
                <w:w w:val="83"/>
              </w:rPr>
              <w:t>23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Reynaldo Llosa</w:t>
            </w:r>
          </w:p>
        </w:tc>
        <w:tc>
          <w:tcPr>
            <w:tcW w:w="288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960" w:type="dxa"/>
            <w:vAlign w:val="bottom"/>
            <w:gridSpan w:val="2"/>
          </w:tcPr>
          <w:p>
            <w:pPr>
              <w:jc w:val="center"/>
              <w:ind w:left="1866"/>
              <w:spacing w:after="0" w:line="162" w:lineRule="exact"/>
              <w:rPr>
                <w:sz w:val="20"/>
                <w:szCs w:val="20"/>
                <w:color w:val="auto"/>
              </w:rPr>
            </w:pPr>
            <w:r>
              <w:rPr>
                <w:rFonts w:ascii="Arial" w:cs="Arial" w:eastAsia="Arial" w:hAnsi="Arial"/>
                <w:sz w:val="15"/>
                <w:szCs w:val="15"/>
                <w:color w:val="auto"/>
                <w:w w:val="83"/>
              </w:rPr>
              <w:t>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Juan Carlos Verme</w:t>
            </w:r>
          </w:p>
        </w:tc>
        <w:tc>
          <w:tcPr>
            <w:tcW w:w="288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960" w:type="dxa"/>
            <w:vAlign w:val="bottom"/>
            <w:gridSpan w:val="2"/>
          </w:tcPr>
          <w:p>
            <w:pPr>
              <w:jc w:val="center"/>
              <w:ind w:left="1866"/>
              <w:spacing w:after="0" w:line="162" w:lineRule="exact"/>
              <w:rPr>
                <w:sz w:val="20"/>
                <w:szCs w:val="20"/>
                <w:color w:val="auto"/>
              </w:rPr>
            </w:pPr>
            <w:r>
              <w:rPr>
                <w:rFonts w:ascii="Arial" w:cs="Arial" w:eastAsia="Arial" w:hAnsi="Arial"/>
                <w:sz w:val="15"/>
                <w:szCs w:val="15"/>
                <w:color w:val="auto"/>
                <w:w w:val="83"/>
              </w:rPr>
              <w:t>15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Luis Enrique Yarur</w:t>
            </w:r>
          </w:p>
        </w:tc>
        <w:tc>
          <w:tcPr>
            <w:tcW w:w="288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960" w:type="dxa"/>
            <w:vAlign w:val="bottom"/>
            <w:gridSpan w:val="2"/>
          </w:tcPr>
          <w:p>
            <w:pPr>
              <w:jc w:val="center"/>
              <w:ind w:left="1886"/>
              <w:spacing w:after="0" w:line="162" w:lineRule="exact"/>
              <w:rPr>
                <w:sz w:val="20"/>
                <w:szCs w:val="20"/>
                <w:color w:val="auto"/>
              </w:rPr>
            </w:pPr>
            <w:r>
              <w:rPr>
                <w:rFonts w:ascii="Arial" w:cs="Arial" w:eastAsia="Arial" w:hAnsi="Arial"/>
                <w:sz w:val="15"/>
                <w:szCs w:val="15"/>
                <w:color w:val="auto"/>
                <w:w w:val="95"/>
              </w:rPr>
              <w:t>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Germán Suárez</w:t>
            </w:r>
          </w:p>
        </w:tc>
        <w:tc>
          <w:tcPr>
            <w:tcW w:w="288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960" w:type="dxa"/>
            <w:vAlign w:val="bottom"/>
            <w:gridSpan w:val="2"/>
          </w:tcPr>
          <w:p>
            <w:pPr>
              <w:jc w:val="center"/>
              <w:ind w:left="1886"/>
              <w:spacing w:after="0" w:line="162" w:lineRule="exact"/>
              <w:rPr>
                <w:sz w:val="20"/>
                <w:szCs w:val="20"/>
                <w:color w:val="auto"/>
              </w:rPr>
            </w:pPr>
            <w:r>
              <w:rPr>
                <w:rFonts w:ascii="Arial" w:cs="Arial" w:eastAsia="Arial" w:hAnsi="Arial"/>
                <w:sz w:val="15"/>
                <w:szCs w:val="15"/>
                <w:color w:val="auto"/>
                <w:w w:val="95"/>
              </w:rPr>
              <w:t>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360" w:type="dxa"/>
            <w:vAlign w:val="bottom"/>
            <w:gridSpan w:val="2"/>
          </w:tcPr>
          <w:p>
            <w:pPr>
              <w:spacing w:after="0"/>
              <w:rPr>
                <w:sz w:val="20"/>
                <w:szCs w:val="20"/>
                <w:color w:val="auto"/>
              </w:rPr>
            </w:pPr>
            <w:r>
              <w:rPr>
                <w:rFonts w:ascii="Arial" w:cs="Arial" w:eastAsia="Arial" w:hAnsi="Arial"/>
                <w:sz w:val="15"/>
                <w:szCs w:val="15"/>
                <w:color w:val="auto"/>
              </w:rPr>
              <w:t>Felipe Ortiz de Zevallos</w:t>
            </w:r>
          </w:p>
        </w:tc>
        <w:tc>
          <w:tcPr>
            <w:tcW w:w="288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960" w:type="dxa"/>
            <w:vAlign w:val="bottom"/>
            <w:gridSpan w:val="2"/>
          </w:tcPr>
          <w:p>
            <w:pPr>
              <w:jc w:val="center"/>
              <w:ind w:left="1886"/>
              <w:spacing w:after="0"/>
              <w:rPr>
                <w:sz w:val="20"/>
                <w:szCs w:val="20"/>
                <w:color w:val="auto"/>
              </w:rPr>
            </w:pPr>
            <w:r>
              <w:rPr>
                <w:rFonts w:ascii="Arial" w:cs="Arial" w:eastAsia="Arial" w:hAnsi="Arial"/>
                <w:sz w:val="15"/>
                <w:szCs w:val="15"/>
                <w:color w:val="auto"/>
                <w:w w:val="95"/>
              </w:rPr>
              <w:t>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w:t>
      </w:r>
    </w:p>
    <w:p>
      <w:pPr>
        <w:spacing w:after="0" w:line="8" w:lineRule="exact"/>
        <w:rPr>
          <w:sz w:val="20"/>
          <w:szCs w:val="20"/>
          <w:color w:val="auto"/>
        </w:rPr>
      </w:pPr>
    </w:p>
    <w:p>
      <w:pPr>
        <w:ind w:left="5660" w:right="4380" w:hanging="5652"/>
        <w:spacing w:after="0" w:line="439" w:lineRule="auto"/>
        <w:tabs>
          <w:tab w:leader="none" w:pos="314" w:val="left"/>
        </w:tabs>
        <w:numPr>
          <w:ilvl w:val="0"/>
          <w:numId w:val="3"/>
        </w:numPr>
        <w:rPr>
          <w:rFonts w:ascii="Arial" w:cs="Arial" w:eastAsia="Arial" w:hAnsi="Arial"/>
          <w:sz w:val="22"/>
          <w:szCs w:val="22"/>
          <w:color w:val="auto"/>
        </w:rPr>
      </w:pPr>
      <w:r>
        <w:rPr>
          <w:rFonts w:ascii="Arial" w:cs="Arial" w:eastAsia="Arial" w:hAnsi="Arial"/>
          <w:sz w:val="22"/>
          <w:szCs w:val="22"/>
          <w:color w:val="auto"/>
        </w:rPr>
        <w:t>Of Credicorp, its subsidiaries and their predecessors as of December 31, 2005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ind w:right="200"/>
        <w:spacing w:after="0" w:line="251" w:lineRule="auto"/>
        <w:rPr>
          <w:sz w:val="20"/>
          <w:szCs w:val="20"/>
          <w:color w:val="auto"/>
        </w:rPr>
      </w:pPr>
      <w:r>
        <w:rPr>
          <w:rFonts w:ascii="Arial" w:cs="Arial" w:eastAsia="Arial" w:hAnsi="Arial"/>
          <w:sz w:val="22"/>
          <w:szCs w:val="22"/>
          <w:color w:val="auto"/>
        </w:rPr>
        <w:t>The Secretary of the Board of Directors is Dawna L. Ferguson. The Assistant Secretary of the Board of Directors is Mr. Fernando Palao.</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Audit Committe</w:t>
      </w:r>
      <w:r>
        <w:rPr>
          <w:rFonts w:ascii="Arial" w:cs="Arial" w:eastAsia="Arial" w:hAnsi="Arial"/>
          <w:sz w:val="22"/>
          <w:szCs w:val="22"/>
          <w:color w:val="auto"/>
        </w:rPr>
        <w:t xml:space="preserve"> is composed of the following independent Board members:</w:t>
      </w:r>
    </w:p>
    <w:p>
      <w:pPr>
        <w:spacing w:after="0" w:line="212" w:lineRule="exact"/>
        <w:rPr>
          <w:sz w:val="20"/>
          <w:szCs w:val="20"/>
          <w:color w:val="auto"/>
        </w:rPr>
      </w:pPr>
    </w:p>
    <w:p>
      <w:pPr>
        <w:ind w:left="140" w:hanging="132"/>
        <w:spacing w:after="0"/>
        <w:tabs>
          <w:tab w:leader="none" w:pos="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Luis Enrique Yarur, President</w:t>
      </w:r>
    </w:p>
    <w:p>
      <w:pPr>
        <w:spacing w:after="0" w:line="8" w:lineRule="exact"/>
        <w:rPr>
          <w:rFonts w:ascii="Arial" w:cs="Arial" w:eastAsia="Arial" w:hAnsi="Arial"/>
          <w:sz w:val="22"/>
          <w:szCs w:val="22"/>
          <w:color w:val="auto"/>
        </w:rPr>
      </w:pPr>
    </w:p>
    <w:p>
      <w:pPr>
        <w:ind w:left="140" w:hanging="132"/>
        <w:spacing w:after="0" w:line="230" w:lineRule="auto"/>
        <w:tabs>
          <w:tab w:leader="none" w:pos="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Luis Nicolini</w:t>
      </w:r>
    </w:p>
    <w:p>
      <w:pPr>
        <w:ind w:left="140" w:hanging="132"/>
        <w:spacing w:after="0" w:line="230" w:lineRule="auto"/>
        <w:tabs>
          <w:tab w:leader="none" w:pos="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Reynaldo Llosa</w:t>
      </w:r>
    </w:p>
    <w:p>
      <w:pPr>
        <w:ind w:left="140" w:hanging="132"/>
        <w:spacing w:after="0"/>
        <w:tabs>
          <w:tab w:leader="none" w:pos="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Juan Carlos Verme</w:t>
      </w:r>
    </w:p>
    <w:p>
      <w:pPr>
        <w:spacing w:after="0" w:line="188" w:lineRule="exact"/>
        <w:rPr>
          <w:sz w:val="20"/>
          <w:szCs w:val="20"/>
          <w:color w:val="auto"/>
        </w:rPr>
      </w:pPr>
    </w:p>
    <w:p>
      <w:pPr>
        <w:jc w:val="both"/>
        <w:ind w:right="420"/>
        <w:spacing w:after="0"/>
        <w:rPr>
          <w:sz w:val="20"/>
          <w:szCs w:val="20"/>
          <w:color w:val="auto"/>
        </w:rPr>
      </w:pPr>
      <w:r>
        <w:rPr>
          <w:rFonts w:ascii="Arial" w:cs="Arial" w:eastAsia="Arial" w:hAnsi="Arial"/>
          <w:sz w:val="22"/>
          <w:szCs w:val="22"/>
          <w:color w:val="auto"/>
        </w:rPr>
        <w:t>The compensation is paid only to the Directors that not serve in the Board of directors of BCP. The compensation is US$ 5,000 monthly, total amount agreed by the General Shareholder’s Meeting yearly. Audit Committee members perceive an additional monthly remuneration of US$5,000 by session.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Dionisio Romero Seminario</w:t>
      </w:r>
    </w:p>
    <w:p>
      <w:pPr>
        <w:spacing w:after="0" w:line="14"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Masters degree in Business Administration from Stanford University in United States of America and BA in Economics from Pomona College-California. Mr. Romero was the Chairman of Banco de Crédito del Perú from 1966 to 1987 (with an interruption of 2 years between 1977 and 1979) and has served as a Board Member from December 1990 to the present. He is Chairman of Credicorp since 1995 and President of Atlantic Security Holding Corporation, Gran Cayman. He is Director and President of Banco de Credito de Bolivia, President of Grupo Crédito and President of BCP’s subsidiaries: Credileasing, Credifondo SAFM, Creditítulos, Inmobiliaria BCP, Soluciones en Procesamiento – Servicorp. He is also Deputy Chairman of Pacífico Peruano Suiza and Director of Banco de Crédito e Inversiones, Chile.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Luis Nicolini Bernucci</w:t>
      </w:r>
    </w:p>
    <w:p>
      <w:pPr>
        <w:spacing w:after="0" w:line="14" w:lineRule="exact"/>
        <w:rPr>
          <w:sz w:val="20"/>
          <w:szCs w:val="20"/>
          <w:color w:val="auto"/>
        </w:rPr>
      </w:pPr>
    </w:p>
    <w:p>
      <w:pPr>
        <w:ind w:right="180"/>
        <w:spacing w:after="0" w:line="233" w:lineRule="auto"/>
        <w:rPr>
          <w:sz w:val="20"/>
          <w:szCs w:val="20"/>
          <w:color w:val="auto"/>
        </w:rPr>
      </w:pPr>
      <w:r>
        <w:rPr>
          <w:rFonts w:ascii="Arial" w:cs="Arial" w:eastAsia="Arial" w:hAnsi="Arial"/>
          <w:sz w:val="22"/>
          <w:szCs w:val="22"/>
          <w:color w:val="auto"/>
        </w:rPr>
        <w:t>Businessman especially dedicated to industrial, financial activities. As a banker, he is Deputy Chairman of Banco de Crédito del Perú since August 1995. He is Director of BCP from March 1977 to October of 1987, and since March 1991 to date. He is also Deputy Chairman and Director of Banco de Credito de Bolivia and all of BCP’s Subsidiaries. Mr. Nicolini is Deputy Chairman of Credicorp from August of 1995 and of Atlantic Security Bank. He is Director of Inversiones Centenario, Alicorp and Pacifico Peruano Suiza. Independent board member.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Fernando Fort Marie</w:t>
      </w:r>
    </w:p>
    <w:p>
      <w:pPr>
        <w:spacing w:after="0" w:line="14"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Lawyer and Partner at the law firm of Fort, Bertorini and Godoy. Mr. Fort has served as a Director of Banco de Credito del Peru from March 1979 to October 1987 and from March of 1990 to the present. He is Director of BCP’s Subsidiaries, Atlantic Security Bank and Banco de Credito de Bolivia. He has served as a Director of Credicorp since March 1999. He serves as a Director on the Boards of various other companies.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Reynaldo Llosa Barber</w:t>
      </w:r>
    </w:p>
    <w:p>
      <w:pPr>
        <w:spacing w:after="0" w:line="15" w:lineRule="exact"/>
        <w:rPr>
          <w:sz w:val="20"/>
          <w:szCs w:val="20"/>
          <w:color w:val="auto"/>
        </w:rPr>
      </w:pPr>
    </w:p>
    <w:p>
      <w:pPr>
        <w:ind w:right="120"/>
        <w:spacing w:after="0" w:line="246" w:lineRule="auto"/>
        <w:rPr>
          <w:sz w:val="20"/>
          <w:szCs w:val="20"/>
          <w:color w:val="auto"/>
        </w:rPr>
      </w:pPr>
      <w:r>
        <w:rPr>
          <w:rFonts w:ascii="Arial" w:cs="Arial" w:eastAsia="Arial" w:hAnsi="Arial"/>
          <w:sz w:val="21"/>
          <w:szCs w:val="21"/>
          <w:color w:val="auto"/>
        </w:rPr>
        <w:t>Reynaldo Llosa is a businessman and Director of Banco de Crédito from March 1980 to October of 1987 and from March 1990 to the present. He serves as Director on the Board of Banco de Crédito de Bolivia, on BCP’s subsidiaries, Atlantic Security Bank and Credicorp (from August 1995). He is the Chairman of Edelnor and member of the Board of Directors of Pacifico Compañía de Seguros, Distrilima, Generalima, Etevensa and of other companies. Independent board member.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Luis Enrique Yarur</w:t>
      </w:r>
    </w:p>
    <w:p>
      <w:pPr>
        <w:spacing w:after="0" w:line="14"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Luis Enrique Yarur</w:t>
      </w:r>
      <w:r>
        <w:rPr>
          <w:rFonts w:ascii="Arial" w:cs="Arial" w:eastAsia="Arial" w:hAnsi="Arial"/>
          <w:sz w:val="21"/>
          <w:szCs w:val="21"/>
          <w:i w:val="1"/>
          <w:iCs w:val="1"/>
          <w:color w:val="auto"/>
        </w:rPr>
        <w:t>,</w:t>
      </w:r>
      <w:r>
        <w:rPr>
          <w:rFonts w:ascii="Arial" w:cs="Arial" w:eastAsia="Arial" w:hAnsi="Arial"/>
          <w:sz w:val="21"/>
          <w:szCs w:val="21"/>
          <w:color w:val="auto"/>
        </w:rPr>
        <w:t xml:space="preserve"> is a businessman with an undergraduate degree in law from Universidad de Navarra and has a master degree in economics and management from IESE, Spain. Currently, he is Chairman of the Board of Empresas Juan Yarur S.A.C. and of Banco de Crédito e Inversiones (Chile). He is also Vice-President of Asociación de Bancos e Instituciones Financieras and and Director of Bolsa de Comercio de Santiago. He became Director of Credicorp on October 31, 2002. Mr. Yarur has served as Director of Banco de Crédito del Perú since February 1995. Independent board member.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Juan Carlos Verme Giannoni</w:t>
      </w:r>
    </w:p>
    <w:p>
      <w:pPr>
        <w:spacing w:after="0" w:line="14"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Mr. Verme is a Businessman. He studied at Universidad de Zurich. Mr. Verme has served as Director of Banco de Crédito del Perú since March 1990 and as Director of Credicorp since August 1995. He is member of the Board of Atlantic Security Bank, Banco de Crédito de Bolivia and BCP’s subsidiaries. Mr. Verme also serves as Director on the Boards of Hermes Transportes Blindados S.A., Cerámica Lima S.A., Corporación Cerámica S.A. and other companies. He is also Chairman of Inversiones Centenario S.A.A. Mr.</w:t>
      </w:r>
    </w:p>
    <w:p>
      <w:pPr>
        <w:jc w:val="both"/>
        <w:spacing w:after="0" w:line="237" w:lineRule="auto"/>
        <w:rPr>
          <w:sz w:val="20"/>
          <w:szCs w:val="20"/>
          <w:color w:val="auto"/>
        </w:rPr>
      </w:pPr>
      <w:r>
        <w:rPr>
          <w:rFonts w:ascii="Arial" w:cs="Arial" w:eastAsia="Arial" w:hAnsi="Arial"/>
          <w:sz w:val="22"/>
          <w:szCs w:val="22"/>
          <w:color w:val="auto"/>
        </w:rPr>
        <w:t>Verme is member and President of Asamblea General de Asociados del Patronato del Museo de Arte de Lima and Vice-President of Asociación Cultural Filarmonía. Independent board member.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Germán Suárez</w:t>
      </w:r>
    </w:p>
    <w:p>
      <w:pPr>
        <w:spacing w:after="0" w:line="14"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Mr Suárez has a degree in Economics from UNMSM and Masters degree in economics from Columbia University. Mr. Suárez worked at Banco Central de Reserva del Perú from 1964 to 1990. He represented Brazil and Peru in the International Monetary Fund from 1979 to 1980. Mr. Suárez was Officer of Ministerio de Economía y Finanzas (Perú), Chairman of Banco de la Nación from 1990 to 1992 and Chairman of Banco Centralde Reserva del Peru (BCRP) from 1992 to 2001. Besides, he represented Banco de la Nación in Bladex, Extebandes and Arlabank. Member of the Board of directors of various businesses, among them, Compañía Minera Buenaventura. Chairman of G-24 of IMF from 2000 to 2001. Mr. Suárez became a Director of Credicorp on March 31, 2005. Independent Board member.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Felipe Ortiz de Zevallos</w:t>
      </w:r>
    </w:p>
    <w:p>
      <w:pPr>
        <w:spacing w:after="0" w:line="14" w:lineRule="exact"/>
        <w:rPr>
          <w:sz w:val="20"/>
          <w:szCs w:val="20"/>
          <w:color w:val="auto"/>
        </w:rPr>
      </w:pPr>
    </w:p>
    <w:p>
      <w:pPr>
        <w:ind w:right="300"/>
        <w:spacing w:after="0" w:line="277" w:lineRule="auto"/>
        <w:rPr>
          <w:sz w:val="20"/>
          <w:szCs w:val="20"/>
          <w:color w:val="auto"/>
        </w:rPr>
      </w:pPr>
      <w:r>
        <w:rPr>
          <w:rFonts w:ascii="Arial" w:cs="Arial" w:eastAsia="Arial" w:hAnsi="Arial"/>
          <w:sz w:val="19"/>
          <w:szCs w:val="19"/>
          <w:color w:val="auto"/>
        </w:rPr>
        <w:t>Mr. Ortiz de Zevallos has a degree in Industrial Engineering from Universidad Nacional de Ingenieria-UNI, Perú with a Masters degree in Management from Rochester University, New York and post graduate degree in Management Program from Harvard Business School. Professor and President of Universidad del Pacífico in Lima. Founder in 1977 of Grupo APOYO, being its Chairman since then. Mr. Ortiz de Zevallos is member of the Board of Directors of several businesses, among them Compañía Minera Buenaventura and non-profit organizations. He is invited columnist in newspapers and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1" w:name="page12"/>
    <w:bookmarkEnd w:id="11"/>
    <w:p>
      <w:pPr>
        <w:ind w:right="440"/>
        <w:spacing w:after="0" w:line="251" w:lineRule="auto"/>
        <w:rPr>
          <w:sz w:val="20"/>
          <w:szCs w:val="20"/>
          <w:color w:val="auto"/>
        </w:rPr>
      </w:pPr>
      <w:r>
        <w:rPr>
          <w:rFonts w:ascii="Arial" w:cs="Arial" w:eastAsia="Arial" w:hAnsi="Arial"/>
          <w:sz w:val="22"/>
          <w:szCs w:val="22"/>
          <w:color w:val="auto"/>
        </w:rPr>
        <w:t>Peruvian and international magazines and events. He is member of the Board of Credicorp since March 31, 2005. Independent Board member.</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Officers</w:t>
      </w:r>
    </w:p>
    <w:p>
      <w:pPr>
        <w:spacing w:after="0" w:line="212"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Pursuant to the By-Laws,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Pr>
          <w:p>
            <w:pPr>
              <w:spacing w:after="0"/>
              <w:rPr>
                <w:sz w:val="20"/>
                <w:szCs w:val="20"/>
                <w:color w:val="auto"/>
              </w:rPr>
            </w:pPr>
            <w:r>
              <w:rPr>
                <w:rFonts w:ascii="Arial" w:cs="Arial" w:eastAsia="Arial" w:hAnsi="Arial"/>
                <w:sz w:val="15"/>
                <w:szCs w:val="15"/>
                <w:b w:val="1"/>
                <w:bCs w:val="1"/>
                <w:color w:val="auto"/>
                <w:w w:val="88"/>
              </w:rPr>
              <w:t>Name</w:t>
            </w:r>
          </w:p>
        </w:tc>
        <w:tc>
          <w:tcPr>
            <w:tcW w:w="218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640" w:type="dxa"/>
            <w:vAlign w:val="bottom"/>
            <w:gridSpan w:val="2"/>
          </w:tcPr>
          <w:p>
            <w:pPr>
              <w:spacing w:after="0"/>
              <w:rPr>
                <w:sz w:val="20"/>
                <w:szCs w:val="20"/>
                <w:color w:val="auto"/>
              </w:rPr>
            </w:pPr>
            <w:r>
              <w:rPr>
                <w:rFonts w:ascii="Arial" w:cs="Arial" w:eastAsia="Arial" w:hAnsi="Arial"/>
                <w:sz w:val="15"/>
                <w:szCs w:val="15"/>
                <w:b w:val="1"/>
                <w:bCs w:val="1"/>
                <w:color w:val="auto"/>
              </w:rPr>
              <w:t>Position</w:t>
            </w:r>
          </w:p>
        </w:tc>
        <w:tc>
          <w:tcPr>
            <w:tcW w:w="2180" w:type="dxa"/>
            <w:vAlign w:val="bottom"/>
          </w:tcPr>
          <w:p>
            <w:pPr>
              <w:jc w:val="center"/>
              <w:ind w:left="970"/>
              <w:spacing w:after="0"/>
              <w:rPr>
                <w:sz w:val="20"/>
                <w:szCs w:val="20"/>
                <w:color w:val="auto"/>
              </w:rPr>
            </w:pPr>
            <w:r>
              <w:rPr>
                <w:rFonts w:ascii="Arial" w:cs="Arial" w:eastAsia="Arial" w:hAnsi="Arial"/>
                <w:sz w:val="15"/>
                <w:szCs w:val="15"/>
                <w:b w:val="1"/>
                <w:bCs w:val="1"/>
                <w:color w:val="auto"/>
                <w:w w:val="86"/>
              </w:rPr>
              <w:t>Years of Officer</w:t>
            </w:r>
            <w:r>
              <w:rPr>
                <w:rFonts w:ascii="Arial" w:cs="Arial" w:eastAsia="Arial" w:hAnsi="Arial"/>
                <w:sz w:val="24"/>
                <w:szCs w:val="24"/>
                <w:color w:val="auto"/>
                <w:w w:val="86"/>
                <w:vertAlign w:val="superscript"/>
              </w:rPr>
              <w:t>(1)</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80" w:type="dxa"/>
            <w:vAlign w:val="bottom"/>
            <w:vMerge w:val="restart"/>
          </w:tcPr>
          <w:p>
            <w:pPr>
              <w:jc w:val="center"/>
              <w:ind w:left="970"/>
              <w:spacing w:after="0"/>
              <w:rPr>
                <w:sz w:val="20"/>
                <w:szCs w:val="20"/>
                <w:color w:val="auto"/>
              </w:rPr>
            </w:pPr>
            <w:r>
              <w:rPr>
                <w:rFonts w:ascii="Arial" w:cs="Arial" w:eastAsia="Arial" w:hAnsi="Arial"/>
                <w:sz w:val="29"/>
                <w:szCs w:val="29"/>
                <w:color w:val="auto"/>
                <w:w w:val="85"/>
                <w:vertAlign w:val="subscript"/>
              </w:rPr>
              <w:t>35</w:t>
            </w:r>
            <w:r>
              <w:rPr>
                <w:rFonts w:ascii="Arial" w:cs="Arial" w:eastAsia="Arial" w:hAnsi="Arial"/>
                <w:sz w:val="12"/>
                <w:szCs w:val="12"/>
                <w:color w:val="auto"/>
                <w:w w:val="85"/>
              </w:rPr>
              <w:t xml:space="preserve"> (2)</w:t>
            </w:r>
          </w:p>
        </w:tc>
        <w:tc>
          <w:tcPr>
            <w:tcW w:w="0" w:type="dxa"/>
            <w:vAlign w:val="bottom"/>
          </w:tcPr>
          <w:p>
            <w:pPr>
              <w:spacing w:after="0" w:line="20" w:lineRule="exact"/>
              <w:rPr>
                <w:sz w:val="1"/>
                <w:szCs w:val="1"/>
                <w:color w:val="auto"/>
              </w:rPr>
            </w:pPr>
          </w:p>
        </w:tc>
      </w:tr>
      <w:tr>
        <w:trPr>
          <w:trHeight w:val="335"/>
        </w:trPr>
        <w:tc>
          <w:tcPr>
            <w:tcW w:w="2560" w:type="dxa"/>
            <w:vAlign w:val="bottom"/>
            <w:gridSpan w:val="2"/>
          </w:tcPr>
          <w:p>
            <w:pPr>
              <w:spacing w:after="0"/>
              <w:rPr>
                <w:sz w:val="20"/>
                <w:szCs w:val="20"/>
                <w:color w:val="auto"/>
              </w:rPr>
            </w:pPr>
            <w:r>
              <w:rPr>
                <w:rFonts w:ascii="Arial" w:cs="Arial" w:eastAsia="Arial" w:hAnsi="Arial"/>
                <w:sz w:val="15"/>
                <w:szCs w:val="15"/>
                <w:color w:val="auto"/>
              </w:rPr>
              <w:t>Dionisio Romero</w:t>
            </w:r>
          </w:p>
        </w:tc>
        <w:tc>
          <w:tcPr>
            <w:tcW w:w="5540" w:type="dxa"/>
            <w:vAlign w:val="bottom"/>
            <w:gridSpan w:val="3"/>
          </w:tcPr>
          <w:p>
            <w:pPr>
              <w:ind w:left="1100"/>
              <w:spacing w:after="0"/>
              <w:rPr>
                <w:sz w:val="20"/>
                <w:szCs w:val="20"/>
                <w:color w:val="auto"/>
              </w:rPr>
            </w:pPr>
            <w:r>
              <w:rPr>
                <w:rFonts w:ascii="Arial" w:cs="Arial" w:eastAsia="Arial" w:hAnsi="Arial"/>
                <w:sz w:val="15"/>
                <w:szCs w:val="15"/>
                <w:color w:val="auto"/>
              </w:rPr>
              <w:t>Chief Executive Officer</w:t>
            </w:r>
          </w:p>
        </w:tc>
        <w:tc>
          <w:tcPr>
            <w:tcW w:w="2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560" w:type="dxa"/>
            <w:vAlign w:val="bottom"/>
            <w:gridSpan w:val="2"/>
          </w:tcPr>
          <w:p>
            <w:pPr>
              <w:spacing w:after="0" w:line="162" w:lineRule="exact"/>
              <w:rPr>
                <w:sz w:val="20"/>
                <w:szCs w:val="20"/>
                <w:color w:val="auto"/>
              </w:rPr>
            </w:pPr>
            <w:r>
              <w:rPr>
                <w:rFonts w:ascii="Arial" w:cs="Arial" w:eastAsia="Arial" w:hAnsi="Arial"/>
                <w:sz w:val="15"/>
                <w:szCs w:val="15"/>
                <w:color w:val="auto"/>
              </w:rPr>
              <w:t>Raimundo Morales</w:t>
            </w:r>
          </w:p>
        </w:tc>
        <w:tc>
          <w:tcPr>
            <w:tcW w:w="5540" w:type="dxa"/>
            <w:vAlign w:val="bottom"/>
            <w:gridSpan w:val="3"/>
          </w:tcPr>
          <w:p>
            <w:pPr>
              <w:ind w:left="1100"/>
              <w:spacing w:after="0" w:line="162" w:lineRule="exact"/>
              <w:rPr>
                <w:sz w:val="20"/>
                <w:szCs w:val="20"/>
                <w:color w:val="auto"/>
              </w:rPr>
            </w:pPr>
            <w:r>
              <w:rPr>
                <w:rFonts w:ascii="Arial" w:cs="Arial" w:eastAsia="Arial" w:hAnsi="Arial"/>
                <w:sz w:val="15"/>
                <w:szCs w:val="15"/>
                <w:color w:val="auto"/>
              </w:rPr>
              <w:t>Chief Operating Officer</w:t>
            </w:r>
          </w:p>
        </w:tc>
        <w:tc>
          <w:tcPr>
            <w:tcW w:w="2180" w:type="dxa"/>
            <w:vAlign w:val="bottom"/>
          </w:tcPr>
          <w:p>
            <w:pPr>
              <w:jc w:val="center"/>
              <w:ind w:left="930"/>
              <w:spacing w:after="0" w:line="162" w:lineRule="exact"/>
              <w:rPr>
                <w:sz w:val="20"/>
                <w:szCs w:val="20"/>
                <w:color w:val="auto"/>
              </w:rPr>
            </w:pPr>
            <w:r>
              <w:rPr>
                <w:rFonts w:ascii="Arial" w:cs="Arial" w:eastAsia="Arial" w:hAnsi="Arial"/>
                <w:sz w:val="15"/>
                <w:szCs w:val="15"/>
                <w:color w:val="auto"/>
                <w:w w:val="83"/>
              </w:rPr>
              <w:t>26</w:t>
            </w:r>
          </w:p>
        </w:tc>
        <w:tc>
          <w:tcPr>
            <w:tcW w:w="0" w:type="dxa"/>
            <w:vAlign w:val="bottom"/>
          </w:tcPr>
          <w:p>
            <w:pPr>
              <w:spacing w:after="0"/>
              <w:rPr>
                <w:sz w:val="1"/>
                <w:szCs w:val="1"/>
                <w:color w:val="auto"/>
              </w:rPr>
            </w:pPr>
          </w:p>
        </w:tc>
      </w:tr>
      <w:tr>
        <w:trPr>
          <w:trHeight w:val="162"/>
        </w:trPr>
        <w:tc>
          <w:tcPr>
            <w:tcW w:w="2560" w:type="dxa"/>
            <w:vAlign w:val="bottom"/>
            <w:gridSpan w:val="2"/>
          </w:tcPr>
          <w:p>
            <w:pPr>
              <w:spacing w:after="0" w:line="162" w:lineRule="exact"/>
              <w:rPr>
                <w:sz w:val="20"/>
                <w:szCs w:val="20"/>
                <w:color w:val="auto"/>
              </w:rPr>
            </w:pPr>
            <w:r>
              <w:rPr>
                <w:rFonts w:ascii="Arial" w:cs="Arial" w:eastAsia="Arial" w:hAnsi="Arial"/>
                <w:sz w:val="15"/>
                <w:szCs w:val="15"/>
                <w:color w:val="auto"/>
              </w:rPr>
              <w:t>Carlos Muñoz</w:t>
            </w:r>
          </w:p>
        </w:tc>
        <w:tc>
          <w:tcPr>
            <w:tcW w:w="5540" w:type="dxa"/>
            <w:vAlign w:val="bottom"/>
            <w:gridSpan w:val="3"/>
          </w:tcPr>
          <w:p>
            <w:pPr>
              <w:ind w:left="1100"/>
              <w:spacing w:after="0" w:line="162" w:lineRule="exact"/>
              <w:rPr>
                <w:sz w:val="20"/>
                <w:szCs w:val="20"/>
                <w:color w:val="auto"/>
              </w:rPr>
            </w:pPr>
            <w:r>
              <w:rPr>
                <w:rFonts w:ascii="Arial" w:cs="Arial" w:eastAsia="Arial" w:hAnsi="Arial"/>
                <w:sz w:val="15"/>
                <w:szCs w:val="15"/>
                <w:color w:val="auto"/>
              </w:rPr>
              <w:t>Executive Vice President</w:t>
            </w:r>
          </w:p>
        </w:tc>
        <w:tc>
          <w:tcPr>
            <w:tcW w:w="2180" w:type="dxa"/>
            <w:vAlign w:val="bottom"/>
          </w:tcPr>
          <w:p>
            <w:pPr>
              <w:jc w:val="center"/>
              <w:ind w:left="930"/>
              <w:spacing w:after="0" w:line="162" w:lineRule="exact"/>
              <w:rPr>
                <w:sz w:val="20"/>
                <w:szCs w:val="20"/>
                <w:color w:val="auto"/>
              </w:rPr>
            </w:pPr>
            <w:r>
              <w:rPr>
                <w:rFonts w:ascii="Arial" w:cs="Arial" w:eastAsia="Arial" w:hAnsi="Arial"/>
                <w:sz w:val="15"/>
                <w:szCs w:val="15"/>
                <w:color w:val="auto"/>
                <w:w w:val="83"/>
              </w:rPr>
              <w:t>25</w:t>
            </w:r>
          </w:p>
        </w:tc>
        <w:tc>
          <w:tcPr>
            <w:tcW w:w="0" w:type="dxa"/>
            <w:vAlign w:val="bottom"/>
          </w:tcPr>
          <w:p>
            <w:pPr>
              <w:spacing w:after="0"/>
              <w:rPr>
                <w:sz w:val="1"/>
                <w:szCs w:val="1"/>
                <w:color w:val="auto"/>
              </w:rPr>
            </w:pPr>
          </w:p>
        </w:tc>
      </w:tr>
      <w:tr>
        <w:trPr>
          <w:trHeight w:val="159"/>
        </w:trPr>
        <w:tc>
          <w:tcPr>
            <w:tcW w:w="2560" w:type="dxa"/>
            <w:vAlign w:val="bottom"/>
            <w:gridSpan w:val="2"/>
          </w:tcPr>
          <w:p>
            <w:pPr>
              <w:spacing w:after="0" w:line="159" w:lineRule="exact"/>
              <w:rPr>
                <w:sz w:val="20"/>
                <w:szCs w:val="20"/>
                <w:color w:val="auto"/>
              </w:rPr>
            </w:pPr>
            <w:r>
              <w:rPr>
                <w:rFonts w:ascii="Arial" w:cs="Arial" w:eastAsia="Arial" w:hAnsi="Arial"/>
                <w:sz w:val="15"/>
                <w:szCs w:val="15"/>
                <w:color w:val="auto"/>
              </w:rPr>
              <w:t>Walter Bayly</w:t>
            </w:r>
          </w:p>
        </w:tc>
        <w:tc>
          <w:tcPr>
            <w:tcW w:w="5540" w:type="dxa"/>
            <w:vAlign w:val="bottom"/>
            <w:gridSpan w:val="3"/>
          </w:tcPr>
          <w:p>
            <w:pPr>
              <w:ind w:left="1100"/>
              <w:spacing w:after="0" w:line="159" w:lineRule="exact"/>
              <w:rPr>
                <w:sz w:val="20"/>
                <w:szCs w:val="20"/>
                <w:color w:val="auto"/>
              </w:rPr>
            </w:pPr>
            <w:r>
              <w:rPr>
                <w:rFonts w:ascii="Arial" w:cs="Arial" w:eastAsia="Arial" w:hAnsi="Arial"/>
                <w:sz w:val="15"/>
                <w:szCs w:val="15"/>
                <w:color w:val="auto"/>
              </w:rPr>
              <w:t>Chief Financial and Accounting Officer</w:t>
            </w:r>
          </w:p>
        </w:tc>
        <w:tc>
          <w:tcPr>
            <w:tcW w:w="2180" w:type="dxa"/>
            <w:vAlign w:val="bottom"/>
          </w:tcPr>
          <w:p>
            <w:pPr>
              <w:jc w:val="center"/>
              <w:ind w:left="930"/>
              <w:spacing w:after="0" w:line="159" w:lineRule="exact"/>
              <w:rPr>
                <w:sz w:val="20"/>
                <w:szCs w:val="20"/>
                <w:color w:val="auto"/>
              </w:rPr>
            </w:pPr>
            <w:r>
              <w:rPr>
                <w:rFonts w:ascii="Arial" w:cs="Arial" w:eastAsia="Arial" w:hAnsi="Arial"/>
                <w:sz w:val="15"/>
                <w:szCs w:val="15"/>
                <w:color w:val="auto"/>
                <w:w w:val="83"/>
              </w:rPr>
              <w:t>12</w:t>
            </w:r>
          </w:p>
        </w:tc>
        <w:tc>
          <w:tcPr>
            <w:tcW w:w="0" w:type="dxa"/>
            <w:vAlign w:val="bottom"/>
          </w:tcPr>
          <w:p>
            <w:pPr>
              <w:spacing w:after="0"/>
              <w:rPr>
                <w:sz w:val="1"/>
                <w:szCs w:val="1"/>
                <w:color w:val="auto"/>
              </w:rPr>
            </w:pPr>
          </w:p>
        </w:tc>
      </w:tr>
      <w:tr>
        <w:trPr>
          <w:trHeight w:val="192"/>
        </w:trPr>
        <w:tc>
          <w:tcPr>
            <w:tcW w:w="2560" w:type="dxa"/>
            <w:vAlign w:val="bottom"/>
            <w:gridSpan w:val="2"/>
          </w:tcPr>
          <w:p>
            <w:pPr>
              <w:spacing w:after="0"/>
              <w:rPr>
                <w:sz w:val="20"/>
                <w:szCs w:val="20"/>
                <w:color w:val="auto"/>
              </w:rPr>
            </w:pPr>
            <w:r>
              <w:rPr>
                <w:rFonts w:ascii="Arial" w:cs="Arial" w:eastAsia="Arial" w:hAnsi="Arial"/>
                <w:sz w:val="15"/>
                <w:szCs w:val="15"/>
                <w:color w:val="auto"/>
              </w:rPr>
              <w:t>José Luis Gagliardi</w:t>
            </w:r>
          </w:p>
        </w:tc>
        <w:tc>
          <w:tcPr>
            <w:tcW w:w="5540" w:type="dxa"/>
            <w:vAlign w:val="bottom"/>
            <w:gridSpan w:val="3"/>
          </w:tcPr>
          <w:p>
            <w:pPr>
              <w:ind w:left="1140"/>
              <w:spacing w:after="0"/>
              <w:rPr>
                <w:sz w:val="20"/>
                <w:szCs w:val="20"/>
                <w:color w:val="auto"/>
              </w:rPr>
            </w:pPr>
            <w:r>
              <w:rPr>
                <w:rFonts w:ascii="Arial" w:cs="Arial" w:eastAsia="Arial" w:hAnsi="Arial"/>
                <w:sz w:val="15"/>
                <w:szCs w:val="15"/>
                <w:color w:val="auto"/>
              </w:rPr>
              <w:t>Senior Vice President-Administration Human Resources</w:t>
            </w:r>
          </w:p>
        </w:tc>
        <w:tc>
          <w:tcPr>
            <w:tcW w:w="2180" w:type="dxa"/>
            <w:vAlign w:val="bottom"/>
          </w:tcPr>
          <w:p>
            <w:pPr>
              <w:jc w:val="center"/>
              <w:ind w:left="970"/>
              <w:spacing w:after="0" w:line="192" w:lineRule="exact"/>
              <w:rPr>
                <w:sz w:val="20"/>
                <w:szCs w:val="20"/>
                <w:color w:val="auto"/>
              </w:rPr>
            </w:pPr>
            <w:r>
              <w:rPr>
                <w:rFonts w:ascii="Arial" w:cs="Arial" w:eastAsia="Arial" w:hAnsi="Arial"/>
                <w:sz w:val="22"/>
                <w:szCs w:val="22"/>
                <w:color w:val="auto"/>
                <w:vertAlign w:val="subscript"/>
              </w:rPr>
              <w:t>25</w:t>
            </w:r>
            <w:r>
              <w:rPr>
                <w:rFonts w:ascii="Arial" w:cs="Arial" w:eastAsia="Arial" w:hAnsi="Arial"/>
                <w:sz w:val="11"/>
                <w:szCs w:val="11"/>
                <w:color w:val="auto"/>
              </w:rPr>
              <w:t xml:space="preserve"> (3)</w:t>
            </w:r>
          </w:p>
        </w:tc>
        <w:tc>
          <w:tcPr>
            <w:tcW w:w="0" w:type="dxa"/>
            <w:vAlign w:val="bottom"/>
          </w:tcPr>
          <w:p>
            <w:pPr>
              <w:spacing w:after="0"/>
              <w:rPr>
                <w:sz w:val="1"/>
                <w:szCs w:val="1"/>
                <w:color w:val="auto"/>
              </w:rPr>
            </w:pPr>
          </w:p>
        </w:tc>
      </w:tr>
      <w:tr>
        <w:trPr>
          <w:trHeight w:val="162"/>
        </w:trPr>
        <w:tc>
          <w:tcPr>
            <w:tcW w:w="2560" w:type="dxa"/>
            <w:vAlign w:val="bottom"/>
            <w:gridSpan w:val="2"/>
          </w:tcPr>
          <w:p>
            <w:pPr>
              <w:spacing w:after="0" w:line="162" w:lineRule="exact"/>
              <w:rPr>
                <w:sz w:val="20"/>
                <w:szCs w:val="20"/>
                <w:color w:val="auto"/>
              </w:rPr>
            </w:pPr>
            <w:r>
              <w:rPr>
                <w:rFonts w:ascii="Arial" w:cs="Arial" w:eastAsia="Arial" w:hAnsi="Arial"/>
                <w:sz w:val="15"/>
                <w:szCs w:val="15"/>
                <w:color w:val="auto"/>
              </w:rPr>
              <w:t>Arturo Rodrigo</w:t>
            </w:r>
          </w:p>
        </w:tc>
        <w:tc>
          <w:tcPr>
            <w:tcW w:w="5540" w:type="dxa"/>
            <w:vAlign w:val="bottom"/>
            <w:gridSpan w:val="3"/>
          </w:tcPr>
          <w:p>
            <w:pPr>
              <w:ind w:left="1140"/>
              <w:spacing w:after="0" w:line="162" w:lineRule="exact"/>
              <w:rPr>
                <w:sz w:val="20"/>
                <w:szCs w:val="20"/>
                <w:color w:val="auto"/>
              </w:rPr>
            </w:pPr>
            <w:r>
              <w:rPr>
                <w:rFonts w:ascii="Arial" w:cs="Arial" w:eastAsia="Arial" w:hAnsi="Arial"/>
                <w:sz w:val="15"/>
                <w:szCs w:val="15"/>
                <w:color w:val="auto"/>
              </w:rPr>
              <w:t>Senior Vice President-Insurance</w:t>
            </w:r>
          </w:p>
        </w:tc>
        <w:tc>
          <w:tcPr>
            <w:tcW w:w="2180" w:type="dxa"/>
            <w:vAlign w:val="bottom"/>
          </w:tcPr>
          <w:p>
            <w:pPr>
              <w:jc w:val="center"/>
              <w:ind w:left="930"/>
              <w:spacing w:after="0" w:line="162" w:lineRule="exact"/>
              <w:rPr>
                <w:sz w:val="20"/>
                <w:szCs w:val="20"/>
                <w:color w:val="auto"/>
              </w:rPr>
            </w:pPr>
            <w:r>
              <w:rPr>
                <w:rFonts w:ascii="Arial" w:cs="Arial" w:eastAsia="Arial" w:hAnsi="Arial"/>
                <w:sz w:val="15"/>
                <w:szCs w:val="15"/>
                <w:color w:val="auto"/>
                <w:w w:val="83"/>
              </w:rPr>
              <w:t>30</w:t>
            </w:r>
          </w:p>
        </w:tc>
        <w:tc>
          <w:tcPr>
            <w:tcW w:w="0" w:type="dxa"/>
            <w:vAlign w:val="bottom"/>
          </w:tcPr>
          <w:p>
            <w:pPr>
              <w:spacing w:after="0"/>
              <w:rPr>
                <w:sz w:val="1"/>
                <w:szCs w:val="1"/>
                <w:color w:val="auto"/>
              </w:rPr>
            </w:pPr>
          </w:p>
        </w:tc>
      </w:tr>
      <w:tr>
        <w:trPr>
          <w:trHeight w:val="188"/>
        </w:trPr>
        <w:tc>
          <w:tcPr>
            <w:tcW w:w="2560" w:type="dxa"/>
            <w:vAlign w:val="bottom"/>
            <w:gridSpan w:val="2"/>
          </w:tcPr>
          <w:p>
            <w:pPr>
              <w:spacing w:after="0"/>
              <w:rPr>
                <w:sz w:val="20"/>
                <w:szCs w:val="20"/>
                <w:color w:val="auto"/>
              </w:rPr>
            </w:pPr>
            <w:r>
              <w:rPr>
                <w:rFonts w:ascii="Arial" w:cs="Arial" w:eastAsia="Arial" w:hAnsi="Arial"/>
                <w:sz w:val="15"/>
                <w:szCs w:val="15"/>
                <w:color w:val="auto"/>
              </w:rPr>
              <w:t>(To December 31, 2005)</w:t>
            </w:r>
          </w:p>
        </w:tc>
        <w:tc>
          <w:tcPr>
            <w:tcW w:w="2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w:t>
      </w:r>
    </w:p>
    <w:p>
      <w:pPr>
        <w:ind w:left="320" w:hanging="312"/>
        <w:spacing w:after="0" w:line="238" w:lineRule="auto"/>
        <w:tabs>
          <w:tab w:leader="none" w:pos="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OF Credicorp, its subsidiaries and their predecessors as of December 31, 2005.</w:t>
      </w:r>
    </w:p>
    <w:p>
      <w:pPr>
        <w:ind w:firstLine="8"/>
        <w:spacing w:after="0" w:line="230" w:lineRule="auto"/>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Mr. Romero served as an officer of BCP from 1966 through 1987 and from 1990 to the present. Mr. Romero has been an officer of PPS since 1972.</w:t>
      </w:r>
    </w:p>
    <w:p>
      <w:pPr>
        <w:spacing w:after="0" w:line="1" w:lineRule="exact"/>
        <w:rPr>
          <w:rFonts w:ascii="Arial" w:cs="Arial" w:eastAsia="Arial" w:hAnsi="Arial"/>
          <w:sz w:val="22"/>
          <w:szCs w:val="22"/>
          <w:color w:val="auto"/>
        </w:rPr>
      </w:pPr>
    </w:p>
    <w:p>
      <w:pPr>
        <w:ind w:left="320" w:hanging="312"/>
        <w:spacing w:after="0"/>
        <w:tabs>
          <w:tab w:leader="none" w:pos="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Mr. Gagliardi served as an officer of BCP from 1981 through 1988.</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Dionisio Romero</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detailed in the preceding section.</w:t>
      </w:r>
    </w:p>
    <w:p>
      <w:pPr>
        <w:spacing w:after="0" w:line="206"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b w:val="1"/>
          <w:bCs w:val="1"/>
          <w:color w:val="auto"/>
        </w:rPr>
        <w:t>Raimundo Morales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Chief Operating Officer of Credicorp, is also the General Manager of BCP, having joined BCP in 1980.</w:t>
      </w:r>
      <w:r>
        <w:rPr>
          <w:rFonts w:ascii="Arial" w:cs="Arial" w:eastAsia="Arial" w:hAnsi="Arial"/>
          <w:sz w:val="21"/>
          <w:szCs w:val="21"/>
          <w:b w:val="1"/>
          <w:bCs w:val="1"/>
          <w:color w:val="auto"/>
        </w:rPr>
        <w:t xml:space="preserve"> </w:t>
      </w:r>
      <w:r>
        <w:rPr>
          <w:rFonts w:ascii="Arial" w:cs="Arial" w:eastAsia="Arial" w:hAnsi="Arial"/>
          <w:sz w:val="21"/>
          <w:szCs w:val="21"/>
          <w:color w:val="auto"/>
        </w:rPr>
        <w:t>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General Manager in 1990. Mr. Morales received his Masters degree in Finance from the Wharton School of Business in the United States.</w:t>
      </w:r>
    </w:p>
    <w:p>
      <w:pPr>
        <w:spacing w:after="0" w:line="171" w:lineRule="exact"/>
        <w:rPr>
          <w:sz w:val="20"/>
          <w:szCs w:val="20"/>
          <w:color w:val="auto"/>
        </w:rPr>
      </w:pPr>
    </w:p>
    <w:p>
      <w:pPr>
        <w:spacing w:after="0" w:line="235" w:lineRule="auto"/>
        <w:rPr>
          <w:sz w:val="20"/>
          <w:szCs w:val="20"/>
          <w:color w:val="auto"/>
        </w:rPr>
      </w:pPr>
      <w:r>
        <w:rPr>
          <w:rFonts w:ascii="Arial" w:cs="Arial" w:eastAsia="Arial" w:hAnsi="Arial"/>
          <w:sz w:val="22"/>
          <w:szCs w:val="22"/>
          <w:b w:val="1"/>
          <w:bCs w:val="1"/>
          <w:color w:val="auto"/>
        </w:rPr>
        <w:t>Carlos Muñoz</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Vice President of Credicorp and, the Deputy General Manager of BCP, is also the President of ASB.</w:t>
      </w:r>
      <w:r>
        <w:rPr>
          <w:rFonts w:ascii="Arial" w:cs="Arial" w:eastAsia="Arial" w:hAnsi="Arial"/>
          <w:sz w:val="22"/>
          <w:szCs w:val="22"/>
          <w:b w:val="1"/>
          <w:bCs w:val="1"/>
          <w:color w:val="auto"/>
        </w:rPr>
        <w:t xml:space="preserve"> </w:t>
      </w:r>
      <w:r>
        <w:rPr>
          <w:rFonts w:ascii="Arial" w:cs="Arial" w:eastAsia="Arial" w:hAnsi="Arial"/>
          <w:sz w:val="22"/>
          <w:szCs w:val="22"/>
          <w:color w:val="auto"/>
        </w:rPr>
        <w:t>He previously served as Senior Vice President and Manager of BCP’s Metropolitan Division Group and later managed the Retail Banking Group as an Executive Vice President. Previously, Mr. Muñoz held positions as an Investment Officer for the International Finance Corporation (World Bank Group) in Washington, D.C. and with the Philadelphia National Bank in Philadelphia, Paris and Buenos Aires, where his last position was Assistant Vice President and Regional Representative. From 1988 to 1990, Mr. Muñoz served as Executive Vice President of ASB. Mr. Muñoz received his Masters degree in Finance from the Wharton School of Business in the United States.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 w:name="page13"/>
    <w:bookmarkEnd w:id="12"/>
    <w:p>
      <w:pPr>
        <w:ind w:right="140"/>
        <w:spacing w:after="0" w:line="254" w:lineRule="auto"/>
        <w:rPr>
          <w:sz w:val="20"/>
          <w:szCs w:val="20"/>
          <w:color w:val="auto"/>
        </w:rPr>
      </w:pPr>
      <w:r>
        <w:rPr>
          <w:rFonts w:ascii="Arial" w:cs="Arial" w:eastAsia="Arial" w:hAnsi="Arial"/>
          <w:sz w:val="21"/>
          <w:szCs w:val="21"/>
          <w:b w:val="1"/>
          <w:bCs w:val="1"/>
          <w:color w:val="auto"/>
        </w:rPr>
        <w:t>José Luis Gagliardi</w:t>
      </w:r>
      <w:r>
        <w:rPr>
          <w:rFonts w:ascii="Arial" w:cs="Arial" w:eastAsia="Arial" w:hAnsi="Arial"/>
          <w:sz w:val="21"/>
          <w:szCs w:val="21"/>
          <w:color w:val="auto"/>
        </w:rPr>
        <w:t>, the Senior Vice President, Administration and Human Resources of Credicorp and Executive Vice President</w:t>
      </w:r>
      <w:r>
        <w:rPr>
          <w:rFonts w:ascii="Arial" w:cs="Arial" w:eastAsia="Arial" w:hAnsi="Arial"/>
          <w:sz w:val="21"/>
          <w:szCs w:val="21"/>
          <w:b w:val="1"/>
          <w:bCs w:val="1"/>
          <w:color w:val="auto"/>
        </w:rPr>
        <w:t xml:space="preserve"> </w:t>
      </w:r>
      <w:r>
        <w:rPr>
          <w:rFonts w:ascii="Arial" w:cs="Arial" w:eastAsia="Arial" w:hAnsi="Arial"/>
          <w:sz w:val="21"/>
          <w:szCs w:val="21"/>
          <w:color w:val="auto"/>
        </w:rPr>
        <w:t>of Administration of BCP, first joined BCP in 1981. From March 1981 until December 1988 he served as the Manager of Human Resources and Central Manager of Resources and Administration. In 1988, Mr. Gagliardi left BCP to manage Human Resources for Bank of America’s Latin American Division. He rejoined BCP in November 1990.</w:t>
      </w:r>
    </w:p>
    <w:p>
      <w:pPr>
        <w:spacing w:after="0" w:line="167" w:lineRule="exact"/>
        <w:rPr>
          <w:sz w:val="20"/>
          <w:szCs w:val="20"/>
          <w:color w:val="auto"/>
        </w:rPr>
      </w:pPr>
    </w:p>
    <w:p>
      <w:pPr>
        <w:spacing w:after="0" w:line="278" w:lineRule="auto"/>
        <w:rPr>
          <w:sz w:val="20"/>
          <w:szCs w:val="20"/>
          <w:color w:val="auto"/>
        </w:rPr>
      </w:pPr>
      <w:r>
        <w:rPr>
          <w:rFonts w:ascii="Arial" w:cs="Arial" w:eastAsia="Arial" w:hAnsi="Arial"/>
          <w:sz w:val="19"/>
          <w:szCs w:val="19"/>
          <w:b w:val="1"/>
          <w:bCs w:val="1"/>
          <w:color w:val="auto"/>
        </w:rPr>
        <w:t>Walter Bayly</w:t>
      </w:r>
      <w:r>
        <w:rPr>
          <w:rFonts w:ascii="Arial" w:cs="Arial" w:eastAsia="Arial" w:hAnsi="Arial"/>
          <w:sz w:val="19"/>
          <w:szCs w:val="19"/>
          <w:color w:val="auto"/>
        </w:rPr>
        <w:t>, was appointed Chief Financial and Accounting Officer of Credicorp and Executive Vice President of Planning and</w:t>
      </w:r>
      <w:r>
        <w:rPr>
          <w:rFonts w:ascii="Arial" w:cs="Arial" w:eastAsia="Arial" w:hAnsi="Arial"/>
          <w:sz w:val="19"/>
          <w:szCs w:val="19"/>
          <w:b w:val="1"/>
          <w:bCs w:val="1"/>
          <w:color w:val="auto"/>
        </w:rPr>
        <w:t xml:space="preserve"> </w:t>
      </w:r>
      <w:r>
        <w:rPr>
          <w:rFonts w:ascii="Arial" w:cs="Arial" w:eastAsia="Arial" w:hAnsi="Arial"/>
          <w:sz w:val="19"/>
          <w:szCs w:val="19"/>
          <w:color w:val="auto"/>
        </w:rPr>
        <w:t>Finance of BCP in April 2004. Previously, Mr. Bayly held various other management positions within BCP, having managed the Wholesale Banking, Middle Market Banking, Systems and Organization, and Investment Banking groups. Mr. Bayly joined BCP in 1993, after three years at Casa Bolsa México where he was Partner and Managing Director in Corporate Finance and after ten years at Citibank in Lima, New York, México, and Caracas, where he worked primarily in the Corporate Finance and Loan Syndication groups. Mr. Bayly received a Bachelor degree in Business Administration from Universidad del Pacífico in Lima, Perú, and a Masters degree in Management from Arthur D. Little Management in Cambridge, Massachusetts.</w:t>
      </w:r>
    </w:p>
    <w:p>
      <w:pPr>
        <w:spacing w:after="0" w:line="146" w:lineRule="exact"/>
        <w:rPr>
          <w:sz w:val="20"/>
          <w:szCs w:val="20"/>
          <w:color w:val="auto"/>
        </w:rPr>
      </w:pPr>
    </w:p>
    <w:p>
      <w:pPr>
        <w:ind w:right="120"/>
        <w:spacing w:after="0" w:line="301" w:lineRule="auto"/>
        <w:rPr>
          <w:sz w:val="20"/>
          <w:szCs w:val="20"/>
          <w:color w:val="auto"/>
        </w:rPr>
      </w:pPr>
      <w:r>
        <w:rPr>
          <w:rFonts w:ascii="Arial" w:cs="Arial" w:eastAsia="Arial" w:hAnsi="Arial"/>
          <w:sz w:val="19"/>
          <w:szCs w:val="19"/>
          <w:b w:val="1"/>
          <w:bCs w:val="1"/>
          <w:color w:val="auto"/>
        </w:rPr>
        <w:t>Arturo Rodrigo</w:t>
      </w:r>
      <w:r>
        <w:rPr>
          <w:rFonts w:ascii="Arial" w:cs="Arial" w:eastAsia="Arial" w:hAnsi="Arial"/>
          <w:sz w:val="19"/>
          <w:szCs w:val="19"/>
          <w:color w:val="auto"/>
        </w:rPr>
        <w:t>, is the Senior Vice President, Insurance for Credicorp and is the General Manager of PPS. Prior to joining PPS in</w:t>
      </w:r>
      <w:r>
        <w:rPr>
          <w:rFonts w:ascii="Arial" w:cs="Arial" w:eastAsia="Arial" w:hAnsi="Arial"/>
          <w:sz w:val="19"/>
          <w:szCs w:val="19"/>
          <w:b w:val="1"/>
          <w:bCs w:val="1"/>
          <w:color w:val="auto"/>
        </w:rPr>
        <w:t xml:space="preserve"> </w:t>
      </w:r>
      <w:r>
        <w:rPr>
          <w:rFonts w:ascii="Arial" w:cs="Arial" w:eastAsia="Arial" w:hAnsi="Arial"/>
          <w:sz w:val="19"/>
          <w:szCs w:val="19"/>
          <w:color w:val="auto"/>
        </w:rPr>
        <w:t>1976, Mr. Rodrigo worked at La Vitalicia Compañía de Seguros. Before becoming General Manager of PPS, Mr. Rodrigo held various management positions at PPS, managing both the technical area and the commercial property line.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2"/>
          <w:szCs w:val="22"/>
          <w:b w:val="1"/>
          <w:bCs w:val="1"/>
          <w:color w:val="auto"/>
        </w:rPr>
        <w:t>Section III</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CREDICORP LTD.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Credicorp’s operating results are evidence of the dynamic expansion of Credicorp’s businesses, reaching an unprecedented net profit in 2005. For the twelve months ended December 31, 2005, Credicorp achieved a consolidated net profit of US$ 181.9 million attributable to the parent company; this was 39% greater than the net profit of US$ 130.7 million that was obtained during the same period of 2004, or earnings per share of US$ 2.28 versus US$ 1.64, respectively..</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These results are explained by a major expansion of Credicorp’s banking business. The strategy applied during 2005, which focused on expanding those businesses that offered higher growth and better margins in retail banking (which grew 27% during the year), as well as the expansion of transactional business, taking advantage of BCP’s solid customer base (with fees for banking services rising 11% in the year) proved fruitful, leading to the growth of both financial and non-financial income.</w:t>
      </w:r>
    </w:p>
    <w:p>
      <w:pPr>
        <w:spacing w:after="0" w:line="143"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This focus positioned Credicorp to also benefit from the expansion and steady growth of the Peruvian economy, which in addition to allowing income growth, contributed to improving portfolio quality. This led to lower levels of portfolio provisions, as well as the recovery of write-offs from prior periods, resulting in an unusually negative position for net provisions for 2005, and thus contributing even more to the increase in net income.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the insurance activities, however, the accumulated income for 2005 was 19% below results for the previous year. This is a result of the challenges that were previously identified in three areas of Credicorp’s insurance business (strong overall competition, higher claims on marine hull risks, lower results in the health area, etc).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While the new PRIMA operation (Credicorp’s pension fund administrator) has generated high expectations due to the good results achieved to date (PRIMA’s current portfolio has reached nearly US$ 250 million with almost 60,000 members), it continues to have a negative contribution to Credicorp’s results, in accordance with projections.</w:t>
      </w:r>
    </w:p>
    <w:p>
      <w:pPr>
        <w:spacing w:after="0" w:line="18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Despite this, the superior income levels achieved this year managed to offset the income decline in the insurance business, while also absorbing the start-up losses for the new PRIMA operation.</w:t>
      </w:r>
    </w:p>
    <w:p>
      <w:pPr>
        <w:spacing w:after="0" w:line="17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Also contributing to this improvement was the Company’s ability to successfully apply cost-control policies. This has allowed Credicorp to obtain income growth with a reduction in overall expenses, which more that compensates for the increase in personnel expenses. The net result was a year-to-year reduction of total expenses of 3.4% .</w:t>
      </w:r>
    </w:p>
    <w:p>
      <w:pPr>
        <w:spacing w:after="0" w:line="18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As a result, Credicorp has been able to achieve strong growth while maintaining a solid balance sheet, an extremely sound portfolio and a sufficiently high capital position that positions the Company for future expansion.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CREDICORP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INCOME STATEMENTS</w:t>
      </w:r>
    </w:p>
    <w:p>
      <w:pPr>
        <w:jc w:val="center"/>
        <w:spacing w:after="0"/>
        <w:rPr>
          <w:sz w:val="20"/>
          <w:szCs w:val="20"/>
          <w:color w:val="auto"/>
        </w:rPr>
      </w:pPr>
      <w:r>
        <w:rPr>
          <w:rFonts w:ascii="Arial" w:cs="Arial" w:eastAsia="Arial" w:hAnsi="Arial"/>
          <w:sz w:val="22"/>
          <w:szCs w:val="22"/>
          <w:i w:val="1"/>
          <w:iCs w:val="1"/>
          <w:color w:val="auto"/>
        </w:rPr>
        <w:t>(In thousands of U.S. Dollars)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200" w:type="dxa"/>
            <w:vAlign w:val="bottom"/>
            <w:tcBorders>
              <w:bottom w:val="single" w:sz="8" w:color="auto"/>
            </w:tcBorders>
            <w:gridSpan w:val="2"/>
          </w:tcPr>
          <w:p>
            <w:pPr>
              <w:jc w:val="right"/>
              <w:ind w:right="866"/>
              <w:spacing w:after="0"/>
              <w:rPr>
                <w:sz w:val="20"/>
                <w:szCs w:val="20"/>
                <w:color w:val="auto"/>
              </w:rPr>
            </w:pPr>
            <w:r>
              <w:rPr>
                <w:rFonts w:ascii="Arial" w:cs="Arial" w:eastAsia="Arial" w:hAnsi="Arial"/>
                <w:sz w:val="15"/>
                <w:szCs w:val="15"/>
                <w:b w:val="1"/>
                <w:bCs w:val="1"/>
                <w:color w:val="auto"/>
              </w:rPr>
              <w:t>Twelve months ended</w:t>
            </w:r>
          </w:p>
        </w:tc>
        <w:tc>
          <w:tcPr>
            <w:tcW w:w="1700" w:type="dxa"/>
            <w:vAlign w:val="bottom"/>
            <w:vMerge w:val="restart"/>
          </w:tcPr>
          <w:p>
            <w:pPr>
              <w:jc w:val="right"/>
              <w:ind w:right="546"/>
              <w:spacing w:after="0"/>
              <w:rPr>
                <w:sz w:val="20"/>
                <w:szCs w:val="20"/>
                <w:color w:val="auto"/>
              </w:rPr>
            </w:pPr>
            <w:r>
              <w:rPr>
                <w:rFonts w:ascii="Arial" w:cs="Arial" w:eastAsia="Arial" w:hAnsi="Arial"/>
                <w:sz w:val="15"/>
                <w:szCs w:val="15"/>
                <w:b w:val="1"/>
                <w:bCs w:val="1"/>
                <w:color w:val="auto"/>
              </w:rPr>
              <w:t>Var.</w:t>
            </w:r>
          </w:p>
        </w:tc>
        <w:tc>
          <w:tcPr>
            <w:tcW w:w="0" w:type="dxa"/>
            <w:vAlign w:val="bottom"/>
          </w:tcPr>
          <w:p>
            <w:pPr>
              <w:spacing w:after="0"/>
              <w:rPr>
                <w:sz w:val="1"/>
                <w:szCs w:val="1"/>
                <w:color w:val="auto"/>
              </w:rPr>
            </w:pPr>
          </w:p>
        </w:tc>
      </w:tr>
      <w:tr>
        <w:trPr>
          <w:trHeight w:val="169"/>
        </w:trPr>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0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646"/>
              <w:spacing w:after="0" w:line="169" w:lineRule="exact"/>
              <w:rPr>
                <w:sz w:val="20"/>
                <w:szCs w:val="20"/>
                <w:color w:val="auto"/>
              </w:rPr>
            </w:pPr>
            <w:r>
              <w:rPr>
                <w:rFonts w:ascii="Arial" w:cs="Arial" w:eastAsia="Arial" w:hAnsi="Arial"/>
                <w:sz w:val="15"/>
                <w:szCs w:val="15"/>
                <w:b w:val="1"/>
                <w:bCs w:val="1"/>
                <w:color w:val="auto"/>
              </w:rPr>
              <w:t>31.12.2004</w:t>
            </w:r>
          </w:p>
        </w:tc>
        <w:tc>
          <w:tcPr>
            <w:tcW w:w="1420" w:type="dxa"/>
            <w:vAlign w:val="bottom"/>
            <w:tcBorders>
              <w:bottom w:val="single" w:sz="8" w:color="auto"/>
            </w:tcBorders>
          </w:tcPr>
          <w:p>
            <w:pPr>
              <w:jc w:val="right"/>
              <w:ind w:right="346"/>
              <w:spacing w:after="0" w:line="169" w:lineRule="exact"/>
              <w:rPr>
                <w:sz w:val="20"/>
                <w:szCs w:val="20"/>
                <w:color w:val="auto"/>
              </w:rPr>
            </w:pPr>
            <w:r>
              <w:rPr>
                <w:rFonts w:ascii="Arial" w:cs="Arial" w:eastAsia="Arial" w:hAnsi="Arial"/>
                <w:sz w:val="15"/>
                <w:szCs w:val="15"/>
                <w:b w:val="1"/>
                <w:bCs w:val="1"/>
                <w:color w:val="auto"/>
              </w:rPr>
              <w:t>31.12.2005</w:t>
            </w:r>
          </w:p>
        </w:tc>
        <w:tc>
          <w:tcPr>
            <w:tcW w:w="1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520" w:type="dxa"/>
            <w:vAlign w:val="bottom"/>
            <w:gridSpan w:val="3"/>
          </w:tcPr>
          <w:p>
            <w:pPr>
              <w:spacing w:after="0" w:line="160" w:lineRule="exact"/>
              <w:rPr>
                <w:sz w:val="20"/>
                <w:szCs w:val="20"/>
                <w:color w:val="auto"/>
              </w:rPr>
            </w:pPr>
            <w:r>
              <w:rPr>
                <w:rFonts w:ascii="Arial" w:cs="Arial" w:eastAsia="Arial" w:hAnsi="Arial"/>
                <w:sz w:val="15"/>
                <w:szCs w:val="15"/>
                <w:b w:val="1"/>
                <w:bCs w:val="1"/>
                <w:color w:val="auto"/>
              </w:rPr>
              <w:t>INTEREST INCOME</w:t>
            </w:r>
          </w:p>
        </w:tc>
        <w:tc>
          <w:tcPr>
            <w:tcW w:w="1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Interest on loans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426,537</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446,582</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4.70%</w:t>
            </w: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Interest and dividends on investments: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3,492</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1,925</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-44.87%</w:t>
            </w: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Interest on deposits with banks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20,143</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37,127</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84.32%</w:t>
            </w: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Interest on trading securities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92,235</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130,215</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41.18%</w:t>
            </w:r>
          </w:p>
        </w:tc>
        <w:tc>
          <w:tcPr>
            <w:tcW w:w="0" w:type="dxa"/>
            <w:vAlign w:val="bottom"/>
          </w:tcPr>
          <w:p>
            <w:pPr>
              <w:spacing w:after="0"/>
              <w:rPr>
                <w:sz w:val="1"/>
                <w:szCs w:val="1"/>
                <w:color w:val="auto"/>
              </w:rPr>
            </w:pPr>
          </w:p>
        </w:tc>
      </w:tr>
      <w:tr>
        <w:trPr>
          <w:trHeight w:val="188"/>
        </w:trPr>
        <w:tc>
          <w:tcPr>
            <w:tcW w:w="6520" w:type="dxa"/>
            <w:vAlign w:val="bottom"/>
            <w:gridSpan w:val="3"/>
          </w:tcPr>
          <w:p>
            <w:pPr>
              <w:ind w:left="300"/>
              <w:spacing w:after="0"/>
              <w:rPr>
                <w:sz w:val="20"/>
                <w:szCs w:val="20"/>
                <w:color w:val="auto"/>
              </w:rPr>
            </w:pPr>
            <w:r>
              <w:rPr>
                <w:rFonts w:ascii="Arial" w:cs="Arial" w:eastAsia="Arial" w:hAnsi="Arial"/>
                <w:sz w:val="15"/>
                <w:szCs w:val="15"/>
                <w:color w:val="auto"/>
              </w:rPr>
              <w:t>Total Interest Income</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542,407</w:t>
            </w:r>
          </w:p>
        </w:tc>
        <w:tc>
          <w:tcPr>
            <w:tcW w:w="1420" w:type="dxa"/>
            <w:vAlign w:val="bottom"/>
          </w:tcPr>
          <w:p>
            <w:pPr>
              <w:jc w:val="right"/>
              <w:spacing w:after="0"/>
              <w:rPr>
                <w:sz w:val="20"/>
                <w:szCs w:val="20"/>
                <w:color w:val="auto"/>
              </w:rPr>
            </w:pPr>
            <w:r>
              <w:rPr>
                <w:rFonts w:ascii="Arial" w:cs="Arial" w:eastAsia="Arial" w:hAnsi="Arial"/>
                <w:sz w:val="15"/>
                <w:szCs w:val="15"/>
                <w:color w:val="auto"/>
              </w:rPr>
              <w:t>615,850</w:t>
            </w:r>
          </w:p>
        </w:tc>
        <w:tc>
          <w:tcPr>
            <w:tcW w:w="1700" w:type="dxa"/>
            <w:vAlign w:val="bottom"/>
          </w:tcPr>
          <w:p>
            <w:pPr>
              <w:jc w:val="right"/>
              <w:spacing w:after="0"/>
              <w:rPr>
                <w:sz w:val="20"/>
                <w:szCs w:val="20"/>
                <w:color w:val="auto"/>
              </w:rPr>
            </w:pPr>
            <w:r>
              <w:rPr>
                <w:rFonts w:ascii="Arial" w:cs="Arial" w:eastAsia="Arial" w:hAnsi="Arial"/>
                <w:sz w:val="15"/>
                <w:szCs w:val="15"/>
                <w:color w:val="auto"/>
              </w:rPr>
              <w:t>13.54%</w:t>
            </w:r>
          </w:p>
        </w:tc>
        <w:tc>
          <w:tcPr>
            <w:tcW w:w="0" w:type="dxa"/>
            <w:vAlign w:val="bottom"/>
          </w:tcPr>
          <w:p>
            <w:pPr>
              <w:spacing w:after="0"/>
              <w:rPr>
                <w:sz w:val="1"/>
                <w:szCs w:val="1"/>
                <w:color w:val="auto"/>
              </w:rPr>
            </w:pPr>
          </w:p>
        </w:tc>
      </w:tr>
      <w:tr>
        <w:trPr>
          <w:trHeight w:val="298"/>
        </w:trPr>
        <w:tc>
          <w:tcPr>
            <w:tcW w:w="6520" w:type="dxa"/>
            <w:vAlign w:val="bottom"/>
            <w:gridSpan w:val="3"/>
          </w:tcPr>
          <w:p>
            <w:pPr>
              <w:spacing w:after="0"/>
              <w:rPr>
                <w:sz w:val="20"/>
                <w:szCs w:val="20"/>
                <w:color w:val="auto"/>
              </w:rPr>
            </w:pPr>
            <w:r>
              <w:rPr>
                <w:rFonts w:ascii="Arial" w:cs="Arial" w:eastAsia="Arial" w:hAnsi="Arial"/>
                <w:sz w:val="15"/>
                <w:szCs w:val="15"/>
                <w:b w:val="1"/>
                <w:bCs w:val="1"/>
                <w:color w:val="auto"/>
              </w:rPr>
              <w:t>INTEREST EXPENSE</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Interest on deposits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95,497</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117,655</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23.20%</w:t>
            </w: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Interest on borrowed funds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16,367</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21,805</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33.22%</w:t>
            </w: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Other interest expense</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48,038</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37,116</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-22.74%</w:t>
            </w:r>
          </w:p>
        </w:tc>
        <w:tc>
          <w:tcPr>
            <w:tcW w:w="0" w:type="dxa"/>
            <w:vAlign w:val="bottom"/>
          </w:tcPr>
          <w:p>
            <w:pPr>
              <w:spacing w:after="0"/>
              <w:rPr>
                <w:sz w:val="1"/>
                <w:szCs w:val="1"/>
                <w:color w:val="auto"/>
              </w:rPr>
            </w:pPr>
          </w:p>
        </w:tc>
      </w:tr>
      <w:tr>
        <w:trPr>
          <w:trHeight w:val="188"/>
        </w:trPr>
        <w:tc>
          <w:tcPr>
            <w:tcW w:w="6520" w:type="dxa"/>
            <w:vAlign w:val="bottom"/>
            <w:gridSpan w:val="3"/>
          </w:tcPr>
          <w:p>
            <w:pPr>
              <w:ind w:left="300"/>
              <w:spacing w:after="0"/>
              <w:rPr>
                <w:sz w:val="20"/>
                <w:szCs w:val="20"/>
                <w:color w:val="auto"/>
              </w:rPr>
            </w:pPr>
            <w:r>
              <w:rPr>
                <w:rFonts w:ascii="Arial" w:cs="Arial" w:eastAsia="Arial" w:hAnsi="Arial"/>
                <w:sz w:val="15"/>
                <w:szCs w:val="15"/>
                <w:color w:val="auto"/>
              </w:rPr>
              <w:t>Total Interest Expense</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159,902</w:t>
            </w:r>
          </w:p>
        </w:tc>
        <w:tc>
          <w:tcPr>
            <w:tcW w:w="1420" w:type="dxa"/>
            <w:vAlign w:val="bottom"/>
          </w:tcPr>
          <w:p>
            <w:pPr>
              <w:jc w:val="right"/>
              <w:spacing w:after="0"/>
              <w:rPr>
                <w:sz w:val="20"/>
                <w:szCs w:val="20"/>
                <w:color w:val="auto"/>
              </w:rPr>
            </w:pPr>
            <w:r>
              <w:rPr>
                <w:rFonts w:ascii="Arial" w:cs="Arial" w:eastAsia="Arial" w:hAnsi="Arial"/>
                <w:sz w:val="15"/>
                <w:szCs w:val="15"/>
                <w:color w:val="auto"/>
              </w:rPr>
              <w:t>176,576</w:t>
            </w:r>
          </w:p>
        </w:tc>
        <w:tc>
          <w:tcPr>
            <w:tcW w:w="1700" w:type="dxa"/>
            <w:vAlign w:val="bottom"/>
          </w:tcPr>
          <w:p>
            <w:pPr>
              <w:jc w:val="right"/>
              <w:spacing w:after="0"/>
              <w:rPr>
                <w:sz w:val="20"/>
                <w:szCs w:val="20"/>
                <w:color w:val="auto"/>
              </w:rPr>
            </w:pPr>
            <w:r>
              <w:rPr>
                <w:rFonts w:ascii="Arial" w:cs="Arial" w:eastAsia="Arial" w:hAnsi="Arial"/>
                <w:sz w:val="15"/>
                <w:szCs w:val="15"/>
                <w:color w:val="auto"/>
              </w:rPr>
              <w:t>10.43%</w:t>
            </w:r>
          </w:p>
        </w:tc>
        <w:tc>
          <w:tcPr>
            <w:tcW w:w="0" w:type="dxa"/>
            <w:vAlign w:val="bottom"/>
          </w:tcPr>
          <w:p>
            <w:pPr>
              <w:spacing w:after="0"/>
              <w:rPr>
                <w:sz w:val="1"/>
                <w:szCs w:val="1"/>
                <w:color w:val="auto"/>
              </w:rPr>
            </w:pPr>
          </w:p>
        </w:tc>
      </w:tr>
      <w:tr>
        <w:trPr>
          <w:trHeight w:val="294"/>
        </w:trPr>
        <w:tc>
          <w:tcPr>
            <w:tcW w:w="30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5"/>
                <w:szCs w:val="15"/>
                <w:color w:val="auto"/>
              </w:rPr>
              <w:t>Net Interest Income</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382,505</w:t>
            </w:r>
          </w:p>
        </w:tc>
        <w:tc>
          <w:tcPr>
            <w:tcW w:w="1420" w:type="dxa"/>
            <w:vAlign w:val="bottom"/>
          </w:tcPr>
          <w:p>
            <w:pPr>
              <w:jc w:val="right"/>
              <w:spacing w:after="0"/>
              <w:rPr>
                <w:sz w:val="20"/>
                <w:szCs w:val="20"/>
                <w:color w:val="auto"/>
              </w:rPr>
            </w:pPr>
            <w:r>
              <w:rPr>
                <w:rFonts w:ascii="Arial" w:cs="Arial" w:eastAsia="Arial" w:hAnsi="Arial"/>
                <w:sz w:val="15"/>
                <w:szCs w:val="15"/>
                <w:color w:val="auto"/>
              </w:rPr>
              <w:t>439,274</w:t>
            </w:r>
          </w:p>
        </w:tc>
        <w:tc>
          <w:tcPr>
            <w:tcW w:w="1700" w:type="dxa"/>
            <w:vAlign w:val="bottom"/>
          </w:tcPr>
          <w:p>
            <w:pPr>
              <w:jc w:val="right"/>
              <w:spacing w:after="0"/>
              <w:rPr>
                <w:sz w:val="20"/>
                <w:szCs w:val="20"/>
                <w:color w:val="auto"/>
              </w:rPr>
            </w:pPr>
            <w:r>
              <w:rPr>
                <w:rFonts w:ascii="Arial" w:cs="Arial" w:eastAsia="Arial" w:hAnsi="Arial"/>
                <w:sz w:val="15"/>
                <w:szCs w:val="15"/>
                <w:color w:val="auto"/>
              </w:rPr>
              <w:t>14.84%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6520" w:type="dxa"/>
            <w:vAlign w:val="bottom"/>
            <w:gridSpan w:val="3"/>
          </w:tcPr>
          <w:p>
            <w:pPr>
              <w:spacing w:after="0"/>
              <w:rPr>
                <w:sz w:val="20"/>
                <w:szCs w:val="20"/>
                <w:color w:val="auto"/>
              </w:rPr>
            </w:pPr>
            <w:r>
              <w:rPr>
                <w:rFonts w:ascii="Arial" w:cs="Arial" w:eastAsia="Arial" w:hAnsi="Arial"/>
                <w:sz w:val="15"/>
                <w:szCs w:val="15"/>
                <w:color w:val="auto"/>
              </w:rPr>
              <w:t>Provision for possible loan losses, net (1)</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16,131</w:t>
            </w:r>
          </w:p>
        </w:tc>
        <w:tc>
          <w:tcPr>
            <w:tcW w:w="1420" w:type="dxa"/>
            <w:vAlign w:val="bottom"/>
          </w:tcPr>
          <w:p>
            <w:pPr>
              <w:jc w:val="right"/>
              <w:spacing w:after="0"/>
              <w:rPr>
                <w:sz w:val="20"/>
                <w:szCs w:val="20"/>
                <w:color w:val="auto"/>
              </w:rPr>
            </w:pPr>
            <w:r>
              <w:rPr>
                <w:rFonts w:ascii="Arial" w:cs="Arial" w:eastAsia="Arial" w:hAnsi="Arial"/>
                <w:sz w:val="15"/>
                <w:szCs w:val="15"/>
                <w:color w:val="auto"/>
              </w:rPr>
              <w:t>-6,356</w:t>
            </w:r>
          </w:p>
        </w:tc>
        <w:tc>
          <w:tcPr>
            <w:tcW w:w="1700" w:type="dxa"/>
            <w:vAlign w:val="bottom"/>
          </w:tcPr>
          <w:p>
            <w:pPr>
              <w:jc w:val="right"/>
              <w:spacing w:after="0"/>
              <w:rPr>
                <w:sz w:val="20"/>
                <w:szCs w:val="20"/>
                <w:color w:val="auto"/>
              </w:rPr>
            </w:pPr>
            <w:r>
              <w:rPr>
                <w:rFonts w:ascii="Arial" w:cs="Arial" w:eastAsia="Arial" w:hAnsi="Arial"/>
                <w:sz w:val="15"/>
                <w:szCs w:val="15"/>
                <w:color w:val="auto"/>
              </w:rPr>
              <w:t>-139.40%</w:t>
            </w:r>
          </w:p>
        </w:tc>
        <w:tc>
          <w:tcPr>
            <w:tcW w:w="0" w:type="dxa"/>
            <w:vAlign w:val="bottom"/>
          </w:tcPr>
          <w:p>
            <w:pPr>
              <w:spacing w:after="0"/>
              <w:rPr>
                <w:sz w:val="1"/>
                <w:szCs w:val="1"/>
                <w:color w:val="auto"/>
              </w:rPr>
            </w:pPr>
          </w:p>
        </w:tc>
      </w:tr>
      <w:tr>
        <w:trPr>
          <w:trHeight w:val="294"/>
        </w:trPr>
        <w:tc>
          <w:tcPr>
            <w:tcW w:w="6520" w:type="dxa"/>
            <w:vAlign w:val="bottom"/>
            <w:gridSpan w:val="3"/>
          </w:tcPr>
          <w:p>
            <w:pPr>
              <w:spacing w:after="0"/>
              <w:rPr>
                <w:sz w:val="20"/>
                <w:szCs w:val="20"/>
                <w:color w:val="auto"/>
              </w:rPr>
            </w:pPr>
            <w:r>
              <w:rPr>
                <w:rFonts w:ascii="Arial" w:cs="Arial" w:eastAsia="Arial" w:hAnsi="Arial"/>
                <w:sz w:val="15"/>
                <w:szCs w:val="15"/>
                <w:b w:val="1"/>
                <w:bCs w:val="1"/>
                <w:color w:val="auto"/>
              </w:rPr>
              <w:t>Net interest income after provision for</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520" w:type="dxa"/>
            <w:vAlign w:val="bottom"/>
            <w:gridSpan w:val="3"/>
          </w:tcPr>
          <w:p>
            <w:pPr>
              <w:ind w:left="120"/>
              <w:spacing w:after="0"/>
              <w:rPr>
                <w:sz w:val="20"/>
                <w:szCs w:val="20"/>
                <w:color w:val="auto"/>
              </w:rPr>
            </w:pPr>
            <w:r>
              <w:rPr>
                <w:rFonts w:ascii="Arial" w:cs="Arial" w:eastAsia="Arial" w:hAnsi="Arial"/>
                <w:sz w:val="15"/>
                <w:szCs w:val="15"/>
                <w:b w:val="1"/>
                <w:bCs w:val="1"/>
                <w:color w:val="auto"/>
              </w:rPr>
              <w:t>possible loan losses</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366,373</w:t>
            </w:r>
          </w:p>
        </w:tc>
        <w:tc>
          <w:tcPr>
            <w:tcW w:w="1420" w:type="dxa"/>
            <w:vAlign w:val="bottom"/>
          </w:tcPr>
          <w:p>
            <w:pPr>
              <w:jc w:val="right"/>
              <w:spacing w:after="0"/>
              <w:rPr>
                <w:sz w:val="20"/>
                <w:szCs w:val="20"/>
                <w:color w:val="auto"/>
              </w:rPr>
            </w:pPr>
            <w:r>
              <w:rPr>
                <w:rFonts w:ascii="Arial" w:cs="Arial" w:eastAsia="Arial" w:hAnsi="Arial"/>
                <w:sz w:val="15"/>
                <w:szCs w:val="15"/>
                <w:color w:val="auto"/>
              </w:rPr>
              <w:t>445,630</w:t>
            </w:r>
          </w:p>
        </w:tc>
        <w:tc>
          <w:tcPr>
            <w:tcW w:w="1700" w:type="dxa"/>
            <w:vAlign w:val="bottom"/>
          </w:tcPr>
          <w:p>
            <w:pPr>
              <w:jc w:val="right"/>
              <w:spacing w:after="0"/>
              <w:rPr>
                <w:sz w:val="20"/>
                <w:szCs w:val="20"/>
                <w:color w:val="auto"/>
              </w:rPr>
            </w:pPr>
            <w:r>
              <w:rPr>
                <w:rFonts w:ascii="Arial" w:cs="Arial" w:eastAsia="Arial" w:hAnsi="Arial"/>
                <w:sz w:val="15"/>
                <w:szCs w:val="15"/>
                <w:color w:val="auto"/>
              </w:rPr>
              <w:t>21.63%</w:t>
            </w:r>
          </w:p>
        </w:tc>
        <w:tc>
          <w:tcPr>
            <w:tcW w:w="0" w:type="dxa"/>
            <w:vAlign w:val="bottom"/>
          </w:tcPr>
          <w:p>
            <w:pPr>
              <w:spacing w:after="0"/>
              <w:rPr>
                <w:sz w:val="1"/>
                <w:szCs w:val="1"/>
                <w:color w:val="auto"/>
              </w:rPr>
            </w:pPr>
          </w:p>
        </w:tc>
      </w:tr>
      <w:tr>
        <w:trPr>
          <w:trHeight w:val="298"/>
        </w:trPr>
        <w:tc>
          <w:tcPr>
            <w:tcW w:w="6520" w:type="dxa"/>
            <w:vAlign w:val="bottom"/>
            <w:gridSpan w:val="3"/>
          </w:tcPr>
          <w:p>
            <w:pPr>
              <w:spacing w:after="0"/>
              <w:rPr>
                <w:sz w:val="20"/>
                <w:szCs w:val="20"/>
                <w:color w:val="auto"/>
              </w:rPr>
            </w:pPr>
            <w:r>
              <w:rPr>
                <w:rFonts w:ascii="Arial" w:cs="Arial" w:eastAsia="Arial" w:hAnsi="Arial"/>
                <w:sz w:val="15"/>
                <w:szCs w:val="15"/>
                <w:b w:val="1"/>
                <w:bCs w:val="1"/>
                <w:color w:val="auto"/>
              </w:rPr>
              <w:t>OTHER INCOME</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Fees and commissions from banking services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192,125</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205,701</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7.07%</w:t>
            </w: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Net gains from sales of securities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10,135</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8,967</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-11.52%</w:t>
            </w: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Net gains on foreign exchange transactions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24,165</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29,286</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21.19%</w:t>
            </w: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Other income (1)</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25,009</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23,874</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-4.54%</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251,435</w:t>
            </w:r>
          </w:p>
        </w:tc>
        <w:tc>
          <w:tcPr>
            <w:tcW w:w="1420" w:type="dxa"/>
            <w:vAlign w:val="bottom"/>
          </w:tcPr>
          <w:p>
            <w:pPr>
              <w:jc w:val="right"/>
              <w:spacing w:after="0"/>
              <w:rPr>
                <w:sz w:val="20"/>
                <w:szCs w:val="20"/>
                <w:color w:val="auto"/>
              </w:rPr>
            </w:pPr>
            <w:r>
              <w:rPr>
                <w:rFonts w:ascii="Arial" w:cs="Arial" w:eastAsia="Arial" w:hAnsi="Arial"/>
                <w:sz w:val="15"/>
                <w:szCs w:val="15"/>
                <w:color w:val="auto"/>
              </w:rPr>
              <w:t>267,828</w:t>
            </w:r>
          </w:p>
        </w:tc>
        <w:tc>
          <w:tcPr>
            <w:tcW w:w="1700" w:type="dxa"/>
            <w:vAlign w:val="bottom"/>
          </w:tcPr>
          <w:p>
            <w:pPr>
              <w:jc w:val="right"/>
              <w:spacing w:after="0"/>
              <w:rPr>
                <w:sz w:val="20"/>
                <w:szCs w:val="20"/>
                <w:color w:val="auto"/>
              </w:rPr>
            </w:pPr>
            <w:r>
              <w:rPr>
                <w:rFonts w:ascii="Arial" w:cs="Arial" w:eastAsia="Arial" w:hAnsi="Arial"/>
                <w:sz w:val="15"/>
                <w:szCs w:val="15"/>
                <w:color w:val="auto"/>
              </w:rPr>
              <w:t>6.52%</w:t>
            </w:r>
          </w:p>
        </w:tc>
        <w:tc>
          <w:tcPr>
            <w:tcW w:w="0" w:type="dxa"/>
            <w:vAlign w:val="bottom"/>
          </w:tcPr>
          <w:p>
            <w:pPr>
              <w:spacing w:after="0"/>
              <w:rPr>
                <w:sz w:val="1"/>
                <w:szCs w:val="1"/>
                <w:color w:val="auto"/>
              </w:rPr>
            </w:pPr>
          </w:p>
        </w:tc>
      </w:tr>
      <w:tr>
        <w:trPr>
          <w:trHeight w:val="298"/>
        </w:trPr>
        <w:tc>
          <w:tcPr>
            <w:tcW w:w="6520" w:type="dxa"/>
            <w:vAlign w:val="bottom"/>
            <w:gridSpan w:val="3"/>
          </w:tcPr>
          <w:p>
            <w:pPr>
              <w:spacing w:after="0"/>
              <w:rPr>
                <w:sz w:val="20"/>
                <w:szCs w:val="20"/>
                <w:color w:val="auto"/>
              </w:rPr>
            </w:pPr>
            <w:r>
              <w:rPr>
                <w:rFonts w:ascii="Arial" w:cs="Arial" w:eastAsia="Arial" w:hAnsi="Arial"/>
                <w:sz w:val="15"/>
                <w:szCs w:val="15"/>
                <w:b w:val="1"/>
                <w:bCs w:val="1"/>
                <w:color w:val="auto"/>
              </w:rPr>
              <w:t>PREMIUMS AND CLAIMS ON INSURANCE ACTIVITIES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Net premiums earned</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202,021</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218,955</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8.38%</w:t>
            </w: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Net claims incurred</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-34,791</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-42,569</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22.36%</w:t>
            </w: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Increase in future policy benefits for life and health</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-113,604</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-132,931</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17.01%</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53,626</w:t>
            </w:r>
          </w:p>
        </w:tc>
        <w:tc>
          <w:tcPr>
            <w:tcW w:w="1420" w:type="dxa"/>
            <w:vAlign w:val="bottom"/>
          </w:tcPr>
          <w:p>
            <w:pPr>
              <w:jc w:val="right"/>
              <w:spacing w:after="0"/>
              <w:rPr>
                <w:sz w:val="20"/>
                <w:szCs w:val="20"/>
                <w:color w:val="auto"/>
              </w:rPr>
            </w:pPr>
            <w:r>
              <w:rPr>
                <w:rFonts w:ascii="Arial" w:cs="Arial" w:eastAsia="Arial" w:hAnsi="Arial"/>
                <w:sz w:val="15"/>
                <w:szCs w:val="15"/>
                <w:color w:val="auto"/>
              </w:rPr>
              <w:t>43,455</w:t>
            </w:r>
          </w:p>
        </w:tc>
        <w:tc>
          <w:tcPr>
            <w:tcW w:w="1700" w:type="dxa"/>
            <w:vAlign w:val="bottom"/>
          </w:tcPr>
          <w:p>
            <w:pPr>
              <w:jc w:val="right"/>
              <w:spacing w:after="0"/>
              <w:rPr>
                <w:sz w:val="20"/>
                <w:szCs w:val="20"/>
                <w:color w:val="auto"/>
              </w:rPr>
            </w:pPr>
            <w:r>
              <w:rPr>
                <w:rFonts w:ascii="Arial" w:cs="Arial" w:eastAsia="Arial" w:hAnsi="Arial"/>
                <w:sz w:val="15"/>
                <w:szCs w:val="15"/>
                <w:color w:val="auto"/>
              </w:rPr>
              <w:t>-18.97%</w:t>
            </w:r>
          </w:p>
        </w:tc>
        <w:tc>
          <w:tcPr>
            <w:tcW w:w="0" w:type="dxa"/>
            <w:vAlign w:val="bottom"/>
          </w:tcPr>
          <w:p>
            <w:pPr>
              <w:spacing w:after="0"/>
              <w:rPr>
                <w:sz w:val="1"/>
                <w:szCs w:val="1"/>
                <w:color w:val="auto"/>
              </w:rPr>
            </w:pPr>
          </w:p>
        </w:tc>
      </w:tr>
      <w:tr>
        <w:trPr>
          <w:trHeight w:val="298"/>
        </w:trPr>
        <w:tc>
          <w:tcPr>
            <w:tcW w:w="6520" w:type="dxa"/>
            <w:vAlign w:val="bottom"/>
            <w:gridSpan w:val="3"/>
          </w:tcPr>
          <w:p>
            <w:pPr>
              <w:spacing w:after="0"/>
              <w:rPr>
                <w:sz w:val="20"/>
                <w:szCs w:val="20"/>
                <w:color w:val="auto"/>
              </w:rPr>
            </w:pPr>
            <w:r>
              <w:rPr>
                <w:rFonts w:ascii="Arial" w:cs="Arial" w:eastAsia="Arial" w:hAnsi="Arial"/>
                <w:sz w:val="15"/>
                <w:szCs w:val="15"/>
                <w:b w:val="1"/>
                <w:bCs w:val="1"/>
                <w:color w:val="auto"/>
              </w:rPr>
              <w:t>OTHER EXPENSES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Salaries and employee benefits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188,960</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206,656</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9.36%</w:t>
            </w: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General, administrative, and other taxes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153,710</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138,294</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-10.03%</w:t>
            </w: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Depreciation and amortization</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46,595</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38,876</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-16.57%</w:t>
            </w:r>
          </w:p>
        </w:tc>
        <w:tc>
          <w:tcPr>
            <w:tcW w:w="0" w:type="dxa"/>
            <w:vAlign w:val="bottom"/>
          </w:tcPr>
          <w:p>
            <w:pPr>
              <w:spacing w:after="0"/>
              <w:rPr>
                <w:sz w:val="1"/>
                <w:szCs w:val="1"/>
                <w:color w:val="auto"/>
              </w:rPr>
            </w:pPr>
          </w:p>
        </w:tc>
      </w:tr>
      <w:tr>
        <w:trPr>
          <w:trHeight w:val="162"/>
        </w:trPr>
        <w:tc>
          <w:tcPr>
            <w:tcW w:w="6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Other</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91,088</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83,956</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-7.83%</w:t>
            </w:r>
          </w:p>
        </w:tc>
        <w:tc>
          <w:tcPr>
            <w:tcW w:w="0" w:type="dxa"/>
            <w:vAlign w:val="bottom"/>
          </w:tcPr>
          <w:p>
            <w:pPr>
              <w:spacing w:after="0"/>
              <w:rPr>
                <w:sz w:val="1"/>
                <w:szCs w:val="1"/>
                <w:color w:val="auto"/>
              </w:rPr>
            </w:pPr>
          </w:p>
        </w:tc>
      </w:tr>
      <w:tr>
        <w:trPr>
          <w:trHeight w:val="188"/>
        </w:trPr>
        <w:tc>
          <w:tcPr>
            <w:tcW w:w="6520" w:type="dxa"/>
            <w:vAlign w:val="bottom"/>
            <w:gridSpan w:val="3"/>
          </w:tcPr>
          <w:p>
            <w:pPr>
              <w:ind w:left="40"/>
              <w:spacing w:after="0"/>
              <w:rPr>
                <w:sz w:val="20"/>
                <w:szCs w:val="20"/>
                <w:color w:val="auto"/>
              </w:rPr>
            </w:pPr>
            <w:r>
              <w:rPr>
                <w:rFonts w:ascii="Arial" w:cs="Arial" w:eastAsia="Arial" w:hAnsi="Arial"/>
                <w:sz w:val="15"/>
                <w:szCs w:val="15"/>
                <w:color w:val="auto"/>
              </w:rPr>
              <w:t>Merger costs</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3,742</w:t>
            </w:r>
          </w:p>
        </w:tc>
        <w:tc>
          <w:tcPr>
            <w:tcW w:w="1420" w:type="dxa"/>
            <w:vAlign w:val="bottom"/>
          </w:tcPr>
          <w:p>
            <w:pPr>
              <w:jc w:val="right"/>
              <w:spacing w:after="0"/>
              <w:rPr>
                <w:sz w:val="20"/>
                <w:szCs w:val="20"/>
                <w:color w:val="auto"/>
              </w:rPr>
            </w:pPr>
            <w:r>
              <w:rPr>
                <w:rFonts w:ascii="Arial" w:cs="Arial" w:eastAsia="Arial" w:hAnsi="Arial"/>
                <w:sz w:val="15"/>
                <w:szCs w:val="15"/>
                <w:color w:val="auto"/>
              </w:rPr>
              <w:t>0</w:t>
            </w:r>
          </w:p>
        </w:tc>
        <w:tc>
          <w:tcPr>
            <w:tcW w:w="1700" w:type="dxa"/>
            <w:vAlign w:val="bottom"/>
          </w:tcPr>
          <w:p>
            <w:pPr>
              <w:jc w:val="right"/>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486"/>
        </w:trPr>
        <w:tc>
          <w:tcPr>
            <w:tcW w:w="6520" w:type="dxa"/>
            <w:vAlign w:val="bottom"/>
            <w:gridSpan w:val="3"/>
          </w:tcPr>
          <w:p>
            <w:pPr>
              <w:spacing w:after="0"/>
              <w:rPr>
                <w:sz w:val="20"/>
                <w:szCs w:val="20"/>
                <w:color w:val="auto"/>
              </w:rPr>
            </w:pPr>
            <w:r>
              <w:rPr>
                <w:rFonts w:ascii="Arial" w:cs="Arial" w:eastAsia="Arial" w:hAnsi="Arial"/>
                <w:sz w:val="15"/>
                <w:szCs w:val="15"/>
                <w:b w:val="1"/>
                <w:bCs w:val="1"/>
                <w:color w:val="auto"/>
              </w:rPr>
              <w:t>Translation result</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6,316</w:t>
            </w:r>
          </w:p>
        </w:tc>
        <w:tc>
          <w:tcPr>
            <w:tcW w:w="1420" w:type="dxa"/>
            <w:vAlign w:val="bottom"/>
          </w:tcPr>
          <w:p>
            <w:pPr>
              <w:jc w:val="right"/>
              <w:spacing w:after="0"/>
              <w:rPr>
                <w:sz w:val="20"/>
                <w:szCs w:val="20"/>
                <w:color w:val="auto"/>
              </w:rPr>
            </w:pPr>
            <w:r>
              <w:rPr>
                <w:rFonts w:ascii="Arial" w:cs="Arial" w:eastAsia="Arial" w:hAnsi="Arial"/>
                <w:sz w:val="15"/>
                <w:szCs w:val="15"/>
                <w:color w:val="auto"/>
              </w:rPr>
              <w:t>-9,600</w:t>
            </w:r>
          </w:p>
        </w:tc>
        <w:tc>
          <w:tcPr>
            <w:tcW w:w="1700" w:type="dxa"/>
            <w:vAlign w:val="bottom"/>
          </w:tcPr>
          <w:p>
            <w:pPr>
              <w:jc w:val="right"/>
              <w:spacing w:after="0"/>
              <w:rPr>
                <w:sz w:val="20"/>
                <w:szCs w:val="20"/>
                <w:color w:val="auto"/>
              </w:rPr>
            </w:pPr>
            <w:r>
              <w:rPr>
                <w:rFonts w:ascii="Arial" w:cs="Arial" w:eastAsia="Arial" w:hAnsi="Arial"/>
                <w:sz w:val="15"/>
                <w:szCs w:val="15"/>
                <w:color w:val="auto"/>
              </w:rPr>
              <w:t>-251.98%</w:t>
            </w:r>
          </w:p>
        </w:tc>
        <w:tc>
          <w:tcPr>
            <w:tcW w:w="0" w:type="dxa"/>
            <w:vAlign w:val="bottom"/>
          </w:tcPr>
          <w:p>
            <w:pPr>
              <w:spacing w:after="0"/>
              <w:rPr>
                <w:sz w:val="1"/>
                <w:szCs w:val="1"/>
                <w:color w:val="auto"/>
              </w:rPr>
            </w:pPr>
          </w:p>
        </w:tc>
      </w:tr>
      <w:tr>
        <w:trPr>
          <w:trHeight w:val="324"/>
        </w:trPr>
        <w:tc>
          <w:tcPr>
            <w:tcW w:w="6520" w:type="dxa"/>
            <w:vAlign w:val="bottom"/>
            <w:gridSpan w:val="3"/>
          </w:tcPr>
          <w:p>
            <w:pPr>
              <w:spacing w:after="0"/>
              <w:rPr>
                <w:sz w:val="20"/>
                <w:szCs w:val="20"/>
                <w:color w:val="auto"/>
              </w:rPr>
            </w:pPr>
            <w:r>
              <w:rPr>
                <w:rFonts w:ascii="Arial" w:cs="Arial" w:eastAsia="Arial" w:hAnsi="Arial"/>
                <w:sz w:val="15"/>
                <w:szCs w:val="15"/>
                <w:b w:val="1"/>
                <w:bCs w:val="1"/>
                <w:color w:val="auto"/>
              </w:rPr>
              <w:t>Net Income before income tax</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193,655</w:t>
            </w:r>
          </w:p>
        </w:tc>
        <w:tc>
          <w:tcPr>
            <w:tcW w:w="1420" w:type="dxa"/>
            <w:vAlign w:val="bottom"/>
          </w:tcPr>
          <w:p>
            <w:pPr>
              <w:jc w:val="right"/>
              <w:spacing w:after="0"/>
              <w:rPr>
                <w:sz w:val="20"/>
                <w:szCs w:val="20"/>
                <w:color w:val="auto"/>
              </w:rPr>
            </w:pPr>
            <w:r>
              <w:rPr>
                <w:rFonts w:ascii="Arial" w:cs="Arial" w:eastAsia="Arial" w:hAnsi="Arial"/>
                <w:sz w:val="15"/>
                <w:szCs w:val="15"/>
                <w:color w:val="auto"/>
              </w:rPr>
              <w:t>279,532</w:t>
            </w:r>
          </w:p>
        </w:tc>
        <w:tc>
          <w:tcPr>
            <w:tcW w:w="1700" w:type="dxa"/>
            <w:vAlign w:val="bottom"/>
          </w:tcPr>
          <w:p>
            <w:pPr>
              <w:jc w:val="right"/>
              <w:spacing w:after="0"/>
              <w:rPr>
                <w:sz w:val="20"/>
                <w:szCs w:val="20"/>
                <w:color w:val="auto"/>
              </w:rPr>
            </w:pPr>
            <w:r>
              <w:rPr>
                <w:rFonts w:ascii="Arial" w:cs="Arial" w:eastAsia="Arial" w:hAnsi="Arial"/>
                <w:sz w:val="15"/>
                <w:szCs w:val="15"/>
                <w:color w:val="auto"/>
              </w:rPr>
              <w:t>44.35%</w:t>
            </w:r>
          </w:p>
        </w:tc>
        <w:tc>
          <w:tcPr>
            <w:tcW w:w="0" w:type="dxa"/>
            <w:vAlign w:val="bottom"/>
          </w:tcPr>
          <w:p>
            <w:pPr>
              <w:spacing w:after="0"/>
              <w:rPr>
                <w:sz w:val="1"/>
                <w:szCs w:val="1"/>
                <w:color w:val="auto"/>
              </w:rPr>
            </w:pPr>
          </w:p>
        </w:tc>
      </w:tr>
      <w:tr>
        <w:trPr>
          <w:trHeight w:val="298"/>
        </w:trPr>
        <w:tc>
          <w:tcPr>
            <w:tcW w:w="6520" w:type="dxa"/>
            <w:vAlign w:val="bottom"/>
            <w:gridSpan w:val="3"/>
          </w:tcPr>
          <w:p>
            <w:pPr>
              <w:ind w:left="40"/>
              <w:spacing w:after="0"/>
              <w:rPr>
                <w:sz w:val="20"/>
                <w:szCs w:val="20"/>
                <w:color w:val="auto"/>
              </w:rPr>
            </w:pPr>
            <w:r>
              <w:rPr>
                <w:rFonts w:ascii="Arial" w:cs="Arial" w:eastAsia="Arial" w:hAnsi="Arial"/>
                <w:sz w:val="15"/>
                <w:szCs w:val="15"/>
                <w:color w:val="auto"/>
              </w:rPr>
              <w:t>Employee profit sharing(2)</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-6,647</w:t>
            </w:r>
          </w:p>
        </w:tc>
        <w:tc>
          <w:tcPr>
            <w:tcW w:w="1420" w:type="dxa"/>
            <w:vAlign w:val="bottom"/>
          </w:tcPr>
          <w:p>
            <w:pPr>
              <w:jc w:val="right"/>
              <w:spacing w:after="0"/>
              <w:rPr>
                <w:sz w:val="20"/>
                <w:szCs w:val="20"/>
                <w:color w:val="auto"/>
              </w:rPr>
            </w:pPr>
            <w:r>
              <w:rPr>
                <w:rFonts w:ascii="Arial" w:cs="Arial" w:eastAsia="Arial" w:hAnsi="Arial"/>
                <w:sz w:val="15"/>
                <w:szCs w:val="15"/>
                <w:color w:val="auto"/>
              </w:rPr>
              <w:t>-11,135</w:t>
            </w:r>
          </w:p>
        </w:tc>
        <w:tc>
          <w:tcPr>
            <w:tcW w:w="1700" w:type="dxa"/>
            <w:vAlign w:val="bottom"/>
          </w:tcPr>
          <w:p>
            <w:pPr>
              <w:jc w:val="right"/>
              <w:spacing w:after="0"/>
              <w:rPr>
                <w:sz w:val="20"/>
                <w:szCs w:val="20"/>
                <w:color w:val="auto"/>
              </w:rPr>
            </w:pPr>
            <w:r>
              <w:rPr>
                <w:rFonts w:ascii="Arial" w:cs="Arial" w:eastAsia="Arial" w:hAnsi="Arial"/>
                <w:sz w:val="15"/>
                <w:szCs w:val="15"/>
                <w:color w:val="auto"/>
              </w:rPr>
              <w:t>67.54%</w:t>
            </w:r>
          </w:p>
        </w:tc>
        <w:tc>
          <w:tcPr>
            <w:tcW w:w="0" w:type="dxa"/>
            <w:vAlign w:val="bottom"/>
          </w:tcPr>
          <w:p>
            <w:pPr>
              <w:spacing w:after="0"/>
              <w:rPr>
                <w:sz w:val="1"/>
                <w:szCs w:val="1"/>
                <w:color w:val="auto"/>
              </w:rPr>
            </w:pPr>
          </w:p>
        </w:tc>
      </w:tr>
      <w:tr>
        <w:trPr>
          <w:trHeight w:val="158"/>
        </w:trPr>
        <w:tc>
          <w:tcPr>
            <w:tcW w:w="6520" w:type="dxa"/>
            <w:vAlign w:val="bottom"/>
            <w:gridSpan w:val="3"/>
          </w:tcPr>
          <w:p>
            <w:pPr>
              <w:ind w:left="40"/>
              <w:spacing w:after="0" w:line="158" w:lineRule="exact"/>
              <w:rPr>
                <w:sz w:val="20"/>
                <w:szCs w:val="20"/>
                <w:color w:val="auto"/>
              </w:rPr>
            </w:pPr>
            <w:r>
              <w:rPr>
                <w:rFonts w:ascii="Arial" w:cs="Arial" w:eastAsia="Arial" w:hAnsi="Arial"/>
                <w:sz w:val="15"/>
                <w:szCs w:val="15"/>
                <w:color w:val="auto"/>
              </w:rPr>
              <w:t>Income Tax</w:t>
            </w:r>
          </w:p>
        </w:tc>
        <w:tc>
          <w:tcPr>
            <w:tcW w:w="1780" w:type="dxa"/>
            <w:vAlign w:val="bottom"/>
          </w:tcPr>
          <w:p>
            <w:pPr>
              <w:jc w:val="right"/>
              <w:ind w:right="266"/>
              <w:spacing w:after="0" w:line="158" w:lineRule="exact"/>
              <w:rPr>
                <w:sz w:val="20"/>
                <w:szCs w:val="20"/>
                <w:color w:val="auto"/>
              </w:rPr>
            </w:pPr>
            <w:r>
              <w:rPr>
                <w:rFonts w:ascii="Arial" w:cs="Arial" w:eastAsia="Arial" w:hAnsi="Arial"/>
                <w:sz w:val="15"/>
                <w:szCs w:val="15"/>
                <w:color w:val="auto"/>
              </w:rPr>
              <w:t>-45,497</w:t>
            </w:r>
          </w:p>
        </w:tc>
        <w:tc>
          <w:tcPr>
            <w:tcW w:w="1420" w:type="dxa"/>
            <w:vAlign w:val="bottom"/>
          </w:tcPr>
          <w:p>
            <w:pPr>
              <w:jc w:val="right"/>
              <w:spacing w:after="0" w:line="158" w:lineRule="exact"/>
              <w:rPr>
                <w:sz w:val="20"/>
                <w:szCs w:val="20"/>
                <w:color w:val="auto"/>
              </w:rPr>
            </w:pPr>
            <w:r>
              <w:rPr>
                <w:rFonts w:ascii="Arial" w:cs="Arial" w:eastAsia="Arial" w:hAnsi="Arial"/>
                <w:sz w:val="15"/>
                <w:szCs w:val="15"/>
                <w:color w:val="auto"/>
              </w:rPr>
              <w:t>-73,546</w:t>
            </w:r>
          </w:p>
        </w:tc>
        <w:tc>
          <w:tcPr>
            <w:tcW w:w="1700" w:type="dxa"/>
            <w:vAlign w:val="bottom"/>
          </w:tcPr>
          <w:p>
            <w:pPr>
              <w:jc w:val="right"/>
              <w:spacing w:after="0" w:line="158" w:lineRule="exact"/>
              <w:rPr>
                <w:sz w:val="20"/>
                <w:szCs w:val="20"/>
                <w:color w:val="auto"/>
              </w:rPr>
            </w:pPr>
            <w:r>
              <w:rPr>
                <w:rFonts w:ascii="Arial" w:cs="Arial" w:eastAsia="Arial" w:hAnsi="Arial"/>
                <w:sz w:val="15"/>
                <w:szCs w:val="15"/>
                <w:color w:val="auto"/>
              </w:rPr>
              <w:t>61.65%</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6220" w:type="dxa"/>
            <w:vAlign w:val="bottom"/>
            <w:gridSpan w:val="2"/>
          </w:tcPr>
          <w:p>
            <w:pPr>
              <w:spacing w:after="0" w:line="167" w:lineRule="exact"/>
              <w:rPr>
                <w:sz w:val="20"/>
                <w:szCs w:val="20"/>
                <w:color w:val="auto"/>
              </w:rPr>
            </w:pPr>
            <w:r>
              <w:rPr>
                <w:rFonts w:ascii="Arial" w:cs="Arial" w:eastAsia="Arial" w:hAnsi="Arial"/>
                <w:sz w:val="15"/>
                <w:szCs w:val="15"/>
                <w:b w:val="1"/>
                <w:bCs w:val="1"/>
                <w:color w:val="auto"/>
              </w:rPr>
              <w:t>NET INCOME</w:t>
            </w:r>
          </w:p>
        </w:tc>
        <w:tc>
          <w:tcPr>
            <w:tcW w:w="1780" w:type="dxa"/>
            <w:vAlign w:val="bottom"/>
          </w:tcPr>
          <w:p>
            <w:pPr>
              <w:jc w:val="right"/>
              <w:ind w:right="266"/>
              <w:spacing w:after="0" w:line="167" w:lineRule="exact"/>
              <w:rPr>
                <w:sz w:val="20"/>
                <w:szCs w:val="20"/>
                <w:color w:val="auto"/>
              </w:rPr>
            </w:pPr>
            <w:r>
              <w:rPr>
                <w:rFonts w:ascii="Arial" w:cs="Arial" w:eastAsia="Arial" w:hAnsi="Arial"/>
                <w:sz w:val="15"/>
                <w:szCs w:val="15"/>
                <w:color w:val="auto"/>
              </w:rPr>
              <w:t>141,511</w:t>
            </w:r>
          </w:p>
        </w:tc>
        <w:tc>
          <w:tcPr>
            <w:tcW w:w="1420" w:type="dxa"/>
            <w:vAlign w:val="bottom"/>
          </w:tcPr>
          <w:p>
            <w:pPr>
              <w:jc w:val="right"/>
              <w:spacing w:after="0" w:line="167" w:lineRule="exact"/>
              <w:rPr>
                <w:sz w:val="20"/>
                <w:szCs w:val="20"/>
                <w:color w:val="auto"/>
              </w:rPr>
            </w:pPr>
            <w:r>
              <w:rPr>
                <w:rFonts w:ascii="Arial" w:cs="Arial" w:eastAsia="Arial" w:hAnsi="Arial"/>
                <w:sz w:val="15"/>
                <w:szCs w:val="15"/>
                <w:color w:val="auto"/>
              </w:rPr>
              <w:t>194,851</w:t>
            </w:r>
          </w:p>
        </w:tc>
        <w:tc>
          <w:tcPr>
            <w:tcW w:w="1700" w:type="dxa"/>
            <w:vAlign w:val="bottom"/>
          </w:tcPr>
          <w:p>
            <w:pPr>
              <w:jc w:val="right"/>
              <w:spacing w:after="0" w:line="167" w:lineRule="exact"/>
              <w:rPr>
                <w:sz w:val="20"/>
                <w:szCs w:val="20"/>
                <w:color w:val="auto"/>
              </w:rPr>
            </w:pPr>
            <w:r>
              <w:rPr>
                <w:rFonts w:ascii="Arial" w:cs="Arial" w:eastAsia="Arial" w:hAnsi="Arial"/>
                <w:sz w:val="15"/>
                <w:szCs w:val="15"/>
                <w:color w:val="auto"/>
              </w:rPr>
              <w:t>37.69%</w:t>
            </w:r>
          </w:p>
        </w:tc>
        <w:tc>
          <w:tcPr>
            <w:tcW w:w="0" w:type="dxa"/>
            <w:vAlign w:val="bottom"/>
          </w:tcPr>
          <w:p>
            <w:pPr>
              <w:spacing w:after="0"/>
              <w:rPr>
                <w:sz w:val="1"/>
                <w:szCs w:val="1"/>
                <w:color w:val="auto"/>
              </w:rPr>
            </w:pPr>
          </w:p>
        </w:tc>
      </w:tr>
      <w:tr>
        <w:trPr>
          <w:trHeight w:val="158"/>
        </w:trPr>
        <w:tc>
          <w:tcPr>
            <w:tcW w:w="6520" w:type="dxa"/>
            <w:vAlign w:val="bottom"/>
            <w:gridSpan w:val="3"/>
          </w:tcPr>
          <w:p>
            <w:pPr>
              <w:ind w:left="40"/>
              <w:spacing w:after="0" w:line="158" w:lineRule="exact"/>
              <w:rPr>
                <w:sz w:val="20"/>
                <w:szCs w:val="20"/>
                <w:color w:val="auto"/>
              </w:rPr>
            </w:pPr>
            <w:r>
              <w:rPr>
                <w:rFonts w:ascii="Arial" w:cs="Arial" w:eastAsia="Arial" w:hAnsi="Arial"/>
                <w:sz w:val="15"/>
                <w:szCs w:val="15"/>
                <w:color w:val="auto"/>
              </w:rPr>
              <w:t>Minority Interest</w:t>
            </w:r>
          </w:p>
        </w:tc>
        <w:tc>
          <w:tcPr>
            <w:tcW w:w="1780" w:type="dxa"/>
            <w:vAlign w:val="bottom"/>
          </w:tcPr>
          <w:p>
            <w:pPr>
              <w:jc w:val="right"/>
              <w:ind w:right="266"/>
              <w:spacing w:after="0" w:line="158" w:lineRule="exact"/>
              <w:rPr>
                <w:sz w:val="20"/>
                <w:szCs w:val="20"/>
                <w:color w:val="auto"/>
              </w:rPr>
            </w:pPr>
            <w:r>
              <w:rPr>
                <w:rFonts w:ascii="Arial" w:cs="Arial" w:eastAsia="Arial" w:hAnsi="Arial"/>
                <w:sz w:val="15"/>
                <w:szCs w:val="15"/>
                <w:color w:val="auto"/>
              </w:rPr>
              <w:t>-10,764</w:t>
            </w:r>
          </w:p>
        </w:tc>
        <w:tc>
          <w:tcPr>
            <w:tcW w:w="1420" w:type="dxa"/>
            <w:vAlign w:val="bottom"/>
          </w:tcPr>
          <w:p>
            <w:pPr>
              <w:jc w:val="right"/>
              <w:spacing w:after="0" w:line="158" w:lineRule="exact"/>
              <w:rPr>
                <w:sz w:val="20"/>
                <w:szCs w:val="20"/>
                <w:color w:val="auto"/>
              </w:rPr>
            </w:pPr>
            <w:r>
              <w:rPr>
                <w:rFonts w:ascii="Arial" w:cs="Arial" w:eastAsia="Arial" w:hAnsi="Arial"/>
                <w:sz w:val="15"/>
                <w:szCs w:val="15"/>
                <w:color w:val="auto"/>
              </w:rPr>
              <w:t>-12,968</w:t>
            </w:r>
          </w:p>
        </w:tc>
        <w:tc>
          <w:tcPr>
            <w:tcW w:w="1700" w:type="dxa"/>
            <w:vAlign w:val="bottom"/>
          </w:tcPr>
          <w:p>
            <w:pPr>
              <w:jc w:val="right"/>
              <w:spacing w:after="0" w:line="158" w:lineRule="exact"/>
              <w:rPr>
                <w:sz w:val="20"/>
                <w:szCs w:val="20"/>
                <w:color w:val="auto"/>
              </w:rPr>
            </w:pPr>
            <w:r>
              <w:rPr>
                <w:rFonts w:ascii="Arial" w:cs="Arial" w:eastAsia="Arial" w:hAnsi="Arial"/>
                <w:sz w:val="15"/>
                <w:szCs w:val="15"/>
                <w:color w:val="auto"/>
              </w:rPr>
              <w:t>20.47%</w:t>
            </w:r>
          </w:p>
        </w:tc>
        <w:tc>
          <w:tcPr>
            <w:tcW w:w="0" w:type="dxa"/>
            <w:vAlign w:val="bottom"/>
          </w:tcPr>
          <w:p>
            <w:pPr>
              <w:spacing w:after="0"/>
              <w:rPr>
                <w:sz w:val="1"/>
                <w:szCs w:val="1"/>
                <w:color w:val="auto"/>
              </w:rPr>
            </w:pPr>
          </w:p>
        </w:tc>
      </w:tr>
      <w:tr>
        <w:trPr>
          <w:trHeight w:val="192"/>
        </w:trPr>
        <w:tc>
          <w:tcPr>
            <w:tcW w:w="6520" w:type="dxa"/>
            <w:vAlign w:val="bottom"/>
            <w:gridSpan w:val="3"/>
          </w:tcPr>
          <w:p>
            <w:pPr>
              <w:ind w:left="120"/>
              <w:spacing w:after="0"/>
              <w:rPr>
                <w:sz w:val="20"/>
                <w:szCs w:val="20"/>
                <w:color w:val="auto"/>
              </w:rPr>
            </w:pPr>
            <w:r>
              <w:rPr>
                <w:rFonts w:ascii="Arial" w:cs="Arial" w:eastAsia="Arial" w:hAnsi="Arial"/>
                <w:sz w:val="15"/>
                <w:szCs w:val="15"/>
                <w:b w:val="1"/>
                <w:bCs w:val="1"/>
                <w:color w:val="auto"/>
              </w:rPr>
              <w:t>NET INCOME ATTRIBUTABLE TO HOME OFFICE</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130,747</w:t>
            </w:r>
          </w:p>
        </w:tc>
        <w:tc>
          <w:tcPr>
            <w:tcW w:w="1420" w:type="dxa"/>
            <w:vAlign w:val="bottom"/>
          </w:tcPr>
          <w:p>
            <w:pPr>
              <w:jc w:val="right"/>
              <w:spacing w:after="0"/>
              <w:rPr>
                <w:sz w:val="20"/>
                <w:szCs w:val="20"/>
                <w:color w:val="auto"/>
              </w:rPr>
            </w:pPr>
            <w:r>
              <w:rPr>
                <w:rFonts w:ascii="Arial" w:cs="Arial" w:eastAsia="Arial" w:hAnsi="Arial"/>
                <w:sz w:val="15"/>
                <w:szCs w:val="15"/>
                <w:color w:val="auto"/>
              </w:rPr>
              <w:t>181,883</w:t>
            </w:r>
          </w:p>
        </w:tc>
        <w:tc>
          <w:tcPr>
            <w:tcW w:w="1700" w:type="dxa"/>
            <w:vAlign w:val="bottom"/>
          </w:tcPr>
          <w:p>
            <w:pPr>
              <w:jc w:val="right"/>
              <w:spacing w:after="0"/>
              <w:rPr>
                <w:sz w:val="20"/>
                <w:szCs w:val="20"/>
                <w:color w:val="auto"/>
              </w:rPr>
            </w:pPr>
            <w:r>
              <w:rPr>
                <w:rFonts w:ascii="Arial" w:cs="Arial" w:eastAsia="Arial" w:hAnsi="Arial"/>
                <w:sz w:val="15"/>
                <w:szCs w:val="15"/>
                <w:color w:val="auto"/>
              </w:rPr>
              <w:t>39.11%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22"/>
          <w:szCs w:val="22"/>
          <w:i w:val="1"/>
          <w:iCs w:val="1"/>
          <w:color w:val="auto"/>
        </w:rPr>
        <w:t>(1)Income from recoveries of charged-off loans has been reclassified within Provisions for loan losses.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(2)Previously reported as part of personnel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Income from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Credicorp’s principal subsidiaries contributed to net income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(US$Mn)</w:t>
            </w:r>
          </w:p>
        </w:tc>
        <w:tc>
          <w:tcPr>
            <w:tcW w:w="3040" w:type="dxa"/>
            <w:vAlign w:val="bottom"/>
            <w:tcBorders>
              <w:top w:val="single" w:sz="8" w:color="auto"/>
              <w:bottom w:val="single" w:sz="8" w:color="auto"/>
            </w:tcBorders>
          </w:tcPr>
          <w:p>
            <w:pPr>
              <w:ind w:left="2520"/>
              <w:spacing w:after="0"/>
              <w:rPr>
                <w:sz w:val="20"/>
                <w:szCs w:val="20"/>
                <w:color w:val="auto"/>
              </w:rPr>
            </w:pPr>
            <w:r>
              <w:rPr>
                <w:rFonts w:ascii="Arial" w:cs="Arial" w:eastAsia="Arial" w:hAnsi="Arial"/>
                <w:sz w:val="15"/>
                <w:szCs w:val="15"/>
                <w:b w:val="1"/>
                <w:bCs w:val="1"/>
                <w:color w:val="auto"/>
              </w:rPr>
              <w:t>12M04</w:t>
            </w:r>
          </w:p>
        </w:tc>
        <w:tc>
          <w:tcPr>
            <w:tcW w:w="1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12M05</w:t>
            </w:r>
          </w:p>
        </w:tc>
        <w:tc>
          <w:tcPr>
            <w:tcW w:w="8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5"/>
                <w:szCs w:val="15"/>
                <w:b w:val="1"/>
                <w:bCs w:val="1"/>
                <w:color w:val="auto"/>
              </w:rPr>
              <w:t>Var</w:t>
            </w:r>
          </w:p>
        </w:tc>
      </w:tr>
      <w:tr>
        <w:trPr>
          <w:trHeight w:val="160"/>
        </w:trPr>
        <w:tc>
          <w:tcPr>
            <w:tcW w:w="4500" w:type="dxa"/>
            <w:vAlign w:val="bottom"/>
          </w:tcPr>
          <w:p>
            <w:pPr>
              <w:spacing w:after="0" w:line="160" w:lineRule="exact"/>
              <w:rPr>
                <w:sz w:val="20"/>
                <w:szCs w:val="20"/>
                <w:color w:val="auto"/>
              </w:rPr>
            </w:pPr>
            <w:r>
              <w:rPr>
                <w:rFonts w:ascii="Arial" w:cs="Arial" w:eastAsia="Arial" w:hAnsi="Arial"/>
                <w:sz w:val="15"/>
                <w:szCs w:val="15"/>
                <w:color w:val="auto"/>
              </w:rPr>
              <w:t>Banco de Crédito BCP(1)</w:t>
            </w:r>
          </w:p>
        </w:tc>
        <w:tc>
          <w:tcPr>
            <w:tcW w:w="3040" w:type="dxa"/>
            <w:vAlign w:val="bottom"/>
          </w:tcPr>
          <w:p>
            <w:pPr>
              <w:spacing w:after="0"/>
              <w:rPr>
                <w:sz w:val="13"/>
                <w:szCs w:val="13"/>
                <w:color w:val="auto"/>
              </w:rPr>
            </w:pPr>
          </w:p>
        </w:tc>
        <w:tc>
          <w:tcPr>
            <w:tcW w:w="1720" w:type="dxa"/>
            <w:vAlign w:val="bottom"/>
          </w:tcPr>
          <w:p>
            <w:pPr>
              <w:jc w:val="right"/>
              <w:ind w:right="1226"/>
              <w:spacing w:after="0" w:line="160" w:lineRule="exact"/>
              <w:rPr>
                <w:sz w:val="20"/>
                <w:szCs w:val="20"/>
                <w:color w:val="auto"/>
              </w:rPr>
            </w:pPr>
            <w:r>
              <w:rPr>
                <w:rFonts w:ascii="Arial" w:cs="Arial" w:eastAsia="Arial" w:hAnsi="Arial"/>
                <w:sz w:val="15"/>
                <w:szCs w:val="15"/>
                <w:color w:val="auto"/>
              </w:rPr>
              <w:t>111.4</w:t>
            </w:r>
          </w:p>
        </w:tc>
        <w:tc>
          <w:tcPr>
            <w:tcW w:w="860" w:type="dxa"/>
            <w:vAlign w:val="bottom"/>
          </w:tcPr>
          <w:p>
            <w:pPr>
              <w:jc w:val="right"/>
              <w:ind w:right="366"/>
              <w:spacing w:after="0" w:line="160" w:lineRule="exact"/>
              <w:rPr>
                <w:sz w:val="20"/>
                <w:szCs w:val="20"/>
                <w:color w:val="auto"/>
              </w:rPr>
            </w:pPr>
            <w:r>
              <w:rPr>
                <w:rFonts w:ascii="Arial" w:cs="Arial" w:eastAsia="Arial" w:hAnsi="Arial"/>
                <w:sz w:val="15"/>
                <w:szCs w:val="15"/>
                <w:color w:val="auto"/>
              </w:rPr>
              <w:t>176.5</w:t>
            </w:r>
          </w:p>
        </w:tc>
        <w:tc>
          <w:tcPr>
            <w:tcW w:w="1300" w:type="dxa"/>
            <w:vAlign w:val="bottom"/>
          </w:tcPr>
          <w:p>
            <w:pPr>
              <w:jc w:val="right"/>
              <w:spacing w:after="0" w:line="160" w:lineRule="exact"/>
              <w:rPr>
                <w:sz w:val="20"/>
                <w:szCs w:val="20"/>
                <w:color w:val="auto"/>
              </w:rPr>
            </w:pPr>
            <w:r>
              <w:rPr>
                <w:rFonts w:ascii="Arial" w:cs="Arial" w:eastAsia="Arial" w:hAnsi="Arial"/>
                <w:sz w:val="15"/>
                <w:szCs w:val="15"/>
                <w:color w:val="auto"/>
              </w:rPr>
              <w:t>58.4%</w:t>
            </w:r>
          </w:p>
        </w:tc>
      </w:tr>
      <w:tr>
        <w:trPr>
          <w:trHeight w:val="162"/>
        </w:trPr>
        <w:tc>
          <w:tcPr>
            <w:tcW w:w="4500" w:type="dxa"/>
            <w:vAlign w:val="bottom"/>
          </w:tcPr>
          <w:p>
            <w:pPr>
              <w:ind w:left="160"/>
              <w:spacing w:after="0" w:line="162" w:lineRule="exact"/>
              <w:rPr>
                <w:sz w:val="20"/>
                <w:szCs w:val="20"/>
                <w:color w:val="auto"/>
              </w:rPr>
            </w:pPr>
            <w:r>
              <w:rPr>
                <w:rFonts w:ascii="Arial" w:cs="Arial" w:eastAsia="Arial" w:hAnsi="Arial"/>
                <w:sz w:val="15"/>
                <w:szCs w:val="15"/>
                <w:color w:val="auto"/>
              </w:rPr>
              <w:t>BCB</w:t>
            </w:r>
          </w:p>
        </w:tc>
        <w:tc>
          <w:tcPr>
            <w:tcW w:w="3040" w:type="dxa"/>
            <w:vAlign w:val="bottom"/>
          </w:tcPr>
          <w:p>
            <w:pPr>
              <w:spacing w:after="0"/>
              <w:rPr>
                <w:sz w:val="14"/>
                <w:szCs w:val="14"/>
                <w:color w:val="auto"/>
              </w:rPr>
            </w:pPr>
          </w:p>
        </w:tc>
        <w:tc>
          <w:tcPr>
            <w:tcW w:w="1720" w:type="dxa"/>
            <w:vAlign w:val="bottom"/>
          </w:tcPr>
          <w:p>
            <w:pPr>
              <w:jc w:val="right"/>
              <w:ind w:right="1226"/>
              <w:spacing w:after="0" w:line="162" w:lineRule="exact"/>
              <w:rPr>
                <w:sz w:val="20"/>
                <w:szCs w:val="20"/>
                <w:color w:val="auto"/>
              </w:rPr>
            </w:pPr>
            <w:r>
              <w:rPr>
                <w:rFonts w:ascii="Arial" w:cs="Arial" w:eastAsia="Arial" w:hAnsi="Arial"/>
                <w:sz w:val="15"/>
                <w:szCs w:val="15"/>
                <w:color w:val="auto"/>
              </w:rPr>
              <w:t>4.8</w:t>
            </w:r>
          </w:p>
        </w:tc>
        <w:tc>
          <w:tcPr>
            <w:tcW w:w="86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10.2</w:t>
            </w:r>
          </w:p>
        </w:tc>
        <w:tc>
          <w:tcPr>
            <w:tcW w:w="1300" w:type="dxa"/>
            <w:vAlign w:val="bottom"/>
          </w:tcPr>
          <w:p>
            <w:pPr>
              <w:jc w:val="right"/>
              <w:spacing w:after="0" w:line="162" w:lineRule="exact"/>
              <w:rPr>
                <w:sz w:val="20"/>
                <w:szCs w:val="20"/>
                <w:color w:val="auto"/>
              </w:rPr>
            </w:pPr>
            <w:r>
              <w:rPr>
                <w:rFonts w:ascii="Arial" w:cs="Arial" w:eastAsia="Arial" w:hAnsi="Arial"/>
                <w:sz w:val="15"/>
                <w:szCs w:val="15"/>
                <w:color w:val="auto"/>
              </w:rPr>
              <w:t>112.5%</w:t>
            </w: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5"/>
                <w:szCs w:val="15"/>
                <w:color w:val="auto"/>
              </w:rPr>
              <w:t>Atlantic</w:t>
            </w:r>
          </w:p>
        </w:tc>
        <w:tc>
          <w:tcPr>
            <w:tcW w:w="3040" w:type="dxa"/>
            <w:vAlign w:val="bottom"/>
          </w:tcPr>
          <w:p>
            <w:pPr>
              <w:spacing w:after="0"/>
              <w:rPr>
                <w:sz w:val="14"/>
                <w:szCs w:val="14"/>
                <w:color w:val="auto"/>
              </w:rPr>
            </w:pPr>
          </w:p>
        </w:tc>
        <w:tc>
          <w:tcPr>
            <w:tcW w:w="1720" w:type="dxa"/>
            <w:vAlign w:val="bottom"/>
          </w:tcPr>
          <w:p>
            <w:pPr>
              <w:jc w:val="right"/>
              <w:ind w:right="1226"/>
              <w:spacing w:after="0" w:line="162" w:lineRule="exact"/>
              <w:rPr>
                <w:sz w:val="20"/>
                <w:szCs w:val="20"/>
                <w:color w:val="auto"/>
              </w:rPr>
            </w:pPr>
            <w:r>
              <w:rPr>
                <w:rFonts w:ascii="Arial" w:cs="Arial" w:eastAsia="Arial" w:hAnsi="Arial"/>
                <w:sz w:val="15"/>
                <w:szCs w:val="15"/>
                <w:color w:val="auto"/>
              </w:rPr>
              <w:t>13.3</w:t>
            </w:r>
          </w:p>
        </w:tc>
        <w:tc>
          <w:tcPr>
            <w:tcW w:w="86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13.5</w:t>
            </w:r>
          </w:p>
        </w:tc>
        <w:tc>
          <w:tcPr>
            <w:tcW w:w="130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5"/>
                <w:szCs w:val="15"/>
                <w:color w:val="auto"/>
              </w:rPr>
              <w:t>PPS</w:t>
            </w:r>
          </w:p>
        </w:tc>
        <w:tc>
          <w:tcPr>
            <w:tcW w:w="3040" w:type="dxa"/>
            <w:vAlign w:val="bottom"/>
          </w:tcPr>
          <w:p>
            <w:pPr>
              <w:spacing w:after="0"/>
              <w:rPr>
                <w:sz w:val="14"/>
                <w:szCs w:val="14"/>
                <w:color w:val="auto"/>
              </w:rPr>
            </w:pPr>
          </w:p>
        </w:tc>
        <w:tc>
          <w:tcPr>
            <w:tcW w:w="1720" w:type="dxa"/>
            <w:vAlign w:val="bottom"/>
          </w:tcPr>
          <w:p>
            <w:pPr>
              <w:jc w:val="right"/>
              <w:ind w:right="1226"/>
              <w:spacing w:after="0" w:line="162" w:lineRule="exact"/>
              <w:rPr>
                <w:sz w:val="20"/>
                <w:szCs w:val="20"/>
                <w:color w:val="auto"/>
              </w:rPr>
            </w:pPr>
            <w:r>
              <w:rPr>
                <w:rFonts w:ascii="Arial" w:cs="Arial" w:eastAsia="Arial" w:hAnsi="Arial"/>
                <w:sz w:val="15"/>
                <w:szCs w:val="15"/>
                <w:color w:val="auto"/>
              </w:rPr>
              <w:t>9.6</w:t>
            </w:r>
          </w:p>
        </w:tc>
        <w:tc>
          <w:tcPr>
            <w:tcW w:w="86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5.6</w:t>
            </w:r>
          </w:p>
        </w:tc>
        <w:tc>
          <w:tcPr>
            <w:tcW w:w="1300" w:type="dxa"/>
            <w:vAlign w:val="bottom"/>
          </w:tcPr>
          <w:p>
            <w:pPr>
              <w:jc w:val="right"/>
              <w:spacing w:after="0" w:line="162" w:lineRule="exact"/>
              <w:rPr>
                <w:sz w:val="20"/>
                <w:szCs w:val="20"/>
                <w:color w:val="auto"/>
              </w:rPr>
            </w:pPr>
            <w:r>
              <w:rPr>
                <w:rFonts w:ascii="Arial" w:cs="Arial" w:eastAsia="Arial" w:hAnsi="Arial"/>
                <w:sz w:val="15"/>
                <w:szCs w:val="15"/>
                <w:color w:val="auto"/>
              </w:rPr>
              <w:t>-41.7%</w:t>
            </w: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5"/>
                <w:szCs w:val="15"/>
                <w:color w:val="auto"/>
              </w:rPr>
              <w:t>Credicorp and Grupo Credito (2)</w:t>
            </w:r>
          </w:p>
        </w:tc>
        <w:tc>
          <w:tcPr>
            <w:tcW w:w="3040" w:type="dxa"/>
            <w:vAlign w:val="bottom"/>
          </w:tcPr>
          <w:p>
            <w:pPr>
              <w:spacing w:after="0"/>
              <w:rPr>
                <w:sz w:val="14"/>
                <w:szCs w:val="14"/>
                <w:color w:val="auto"/>
              </w:rPr>
            </w:pPr>
          </w:p>
        </w:tc>
        <w:tc>
          <w:tcPr>
            <w:tcW w:w="1720" w:type="dxa"/>
            <w:vAlign w:val="bottom"/>
          </w:tcPr>
          <w:p>
            <w:pPr>
              <w:jc w:val="right"/>
              <w:ind w:right="1226"/>
              <w:spacing w:after="0" w:line="162" w:lineRule="exact"/>
              <w:rPr>
                <w:sz w:val="20"/>
                <w:szCs w:val="20"/>
                <w:color w:val="auto"/>
              </w:rPr>
            </w:pPr>
            <w:r>
              <w:rPr>
                <w:rFonts w:ascii="Arial" w:cs="Arial" w:eastAsia="Arial" w:hAnsi="Arial"/>
                <w:sz w:val="15"/>
                <w:szCs w:val="15"/>
                <w:color w:val="auto"/>
              </w:rPr>
              <w:t>-3.6</w:t>
            </w:r>
          </w:p>
        </w:tc>
        <w:tc>
          <w:tcPr>
            <w:tcW w:w="86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-13.7</w:t>
            </w:r>
          </w:p>
        </w:tc>
        <w:tc>
          <w:tcPr>
            <w:tcW w:w="1300" w:type="dxa"/>
            <w:vAlign w:val="bottom"/>
          </w:tcPr>
          <w:p>
            <w:pPr>
              <w:jc w:val="right"/>
              <w:spacing w:after="0" w:line="162" w:lineRule="exact"/>
              <w:rPr>
                <w:sz w:val="20"/>
                <w:szCs w:val="20"/>
                <w:color w:val="auto"/>
              </w:rPr>
            </w:pPr>
            <w:r>
              <w:rPr>
                <w:rFonts w:ascii="Arial" w:cs="Arial" w:eastAsia="Arial" w:hAnsi="Arial"/>
                <w:sz w:val="15"/>
                <w:szCs w:val="15"/>
                <w:color w:val="auto"/>
              </w:rPr>
              <w:t>280.6%</w:t>
            </w:r>
          </w:p>
        </w:tc>
      </w:tr>
      <w:tr>
        <w:trPr>
          <w:trHeight w:val="158"/>
        </w:trPr>
        <w:tc>
          <w:tcPr>
            <w:tcW w:w="4500" w:type="dxa"/>
            <w:vAlign w:val="bottom"/>
          </w:tcPr>
          <w:p>
            <w:pPr>
              <w:ind w:left="120"/>
              <w:spacing w:after="0" w:line="158" w:lineRule="exact"/>
              <w:rPr>
                <w:sz w:val="20"/>
                <w:szCs w:val="20"/>
                <w:color w:val="auto"/>
              </w:rPr>
            </w:pPr>
            <w:r>
              <w:rPr>
                <w:rFonts w:ascii="Arial" w:cs="Arial" w:eastAsia="Arial" w:hAnsi="Arial"/>
                <w:sz w:val="15"/>
                <w:szCs w:val="15"/>
                <w:color w:val="auto"/>
              </w:rPr>
              <w:t>Prima</w:t>
            </w:r>
          </w:p>
        </w:tc>
        <w:tc>
          <w:tcPr>
            <w:tcW w:w="3040" w:type="dxa"/>
            <w:vAlign w:val="bottom"/>
          </w:tcPr>
          <w:p>
            <w:pPr>
              <w:spacing w:after="0"/>
              <w:rPr>
                <w:sz w:val="13"/>
                <w:szCs w:val="13"/>
                <w:color w:val="auto"/>
              </w:rPr>
            </w:pPr>
          </w:p>
        </w:tc>
        <w:tc>
          <w:tcPr>
            <w:tcW w:w="1720" w:type="dxa"/>
            <w:vAlign w:val="bottom"/>
          </w:tcPr>
          <w:p>
            <w:pPr>
              <w:jc w:val="right"/>
              <w:ind w:right="1226"/>
              <w:spacing w:after="0" w:line="158"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366"/>
              <w:spacing w:after="0" w:line="158" w:lineRule="exact"/>
              <w:rPr>
                <w:sz w:val="20"/>
                <w:szCs w:val="20"/>
                <w:color w:val="auto"/>
              </w:rPr>
            </w:pPr>
            <w:r>
              <w:rPr>
                <w:rFonts w:ascii="Arial" w:cs="Arial" w:eastAsia="Arial" w:hAnsi="Arial"/>
                <w:sz w:val="15"/>
                <w:szCs w:val="15"/>
                <w:color w:val="auto"/>
              </w:rPr>
              <w:t>-7.6</w:t>
            </w:r>
          </w:p>
        </w:tc>
        <w:tc>
          <w:tcPr>
            <w:tcW w:w="1300" w:type="dxa"/>
            <w:vAlign w:val="bottom"/>
          </w:tcPr>
          <w:p>
            <w:pPr>
              <w:spacing w:after="0"/>
              <w:rPr>
                <w:sz w:val="13"/>
                <w:szCs w:val="13"/>
                <w:color w:val="auto"/>
              </w:rPr>
            </w:pPr>
          </w:p>
        </w:tc>
      </w:tr>
      <w:tr>
        <w:trPr>
          <w:trHeight w:val="192"/>
        </w:trPr>
        <w:tc>
          <w:tcPr>
            <w:tcW w:w="4500" w:type="dxa"/>
            <w:vAlign w:val="bottom"/>
          </w:tcPr>
          <w:p>
            <w:pPr>
              <w:spacing w:after="0"/>
              <w:rPr>
                <w:sz w:val="20"/>
                <w:szCs w:val="20"/>
                <w:color w:val="auto"/>
              </w:rPr>
            </w:pPr>
            <w:r>
              <w:rPr>
                <w:rFonts w:ascii="Arial" w:cs="Arial" w:eastAsia="Arial" w:hAnsi="Arial"/>
                <w:sz w:val="15"/>
                <w:szCs w:val="15"/>
                <w:b w:val="1"/>
                <w:bCs w:val="1"/>
                <w:color w:val="auto"/>
              </w:rPr>
              <w:t>Net income attributable to</w:t>
            </w:r>
          </w:p>
        </w:tc>
        <w:tc>
          <w:tcPr>
            <w:tcW w:w="3040" w:type="dxa"/>
            <w:vAlign w:val="bottom"/>
          </w:tcPr>
          <w:p>
            <w:pPr>
              <w:spacing w:after="0"/>
              <w:rPr>
                <w:sz w:val="16"/>
                <w:szCs w:val="16"/>
                <w:color w:val="auto"/>
              </w:rPr>
            </w:pPr>
          </w:p>
        </w:tc>
        <w:tc>
          <w:tcPr>
            <w:tcW w:w="1720" w:type="dxa"/>
            <w:vAlign w:val="bottom"/>
          </w:tcPr>
          <w:p>
            <w:pPr>
              <w:jc w:val="right"/>
              <w:ind w:right="1226"/>
              <w:spacing w:after="0"/>
              <w:rPr>
                <w:sz w:val="20"/>
                <w:szCs w:val="20"/>
                <w:color w:val="auto"/>
              </w:rPr>
            </w:pPr>
            <w:r>
              <w:rPr>
                <w:rFonts w:ascii="Arial" w:cs="Arial" w:eastAsia="Arial" w:hAnsi="Arial"/>
                <w:sz w:val="15"/>
                <w:szCs w:val="15"/>
                <w:b w:val="1"/>
                <w:bCs w:val="1"/>
                <w:color w:val="auto"/>
              </w:rPr>
              <w:t>130.7</w:t>
            </w:r>
          </w:p>
        </w:tc>
        <w:tc>
          <w:tcPr>
            <w:tcW w:w="860" w:type="dxa"/>
            <w:vAlign w:val="bottom"/>
          </w:tcPr>
          <w:p>
            <w:pPr>
              <w:jc w:val="right"/>
              <w:ind w:right="366"/>
              <w:spacing w:after="0"/>
              <w:rPr>
                <w:sz w:val="20"/>
                <w:szCs w:val="20"/>
                <w:color w:val="auto"/>
              </w:rPr>
            </w:pPr>
            <w:r>
              <w:rPr>
                <w:rFonts w:ascii="Arial" w:cs="Arial" w:eastAsia="Arial" w:hAnsi="Arial"/>
                <w:sz w:val="15"/>
                <w:szCs w:val="15"/>
                <w:b w:val="1"/>
                <w:bCs w:val="1"/>
                <w:color w:val="auto"/>
              </w:rPr>
              <w:t>181.9</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20" w:hanging="312"/>
        <w:spacing w:after="0" w:line="236" w:lineRule="auto"/>
        <w:tabs>
          <w:tab w:leader="none" w:pos="320"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Includes Banco de Crédito de Bolivia.</w:t>
      </w:r>
    </w:p>
    <w:p>
      <w:pPr>
        <w:ind w:left="320" w:hanging="312"/>
        <w:spacing w:after="0"/>
        <w:tabs>
          <w:tab w:leader="none" w:pos="320"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Includes Grupo Crédito, Credicorp Securities and others.</w:t>
      </w:r>
    </w:p>
    <w:p>
      <w:pPr>
        <w:spacing w:after="0" w:line="182"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color w:val="auto"/>
        </w:rPr>
        <w:t xml:space="preserve">During the fourth quarter of 2005, the </w:t>
      </w:r>
      <w:r>
        <w:rPr>
          <w:rFonts w:ascii="Arial" w:cs="Arial" w:eastAsia="Arial" w:hAnsi="Arial"/>
          <w:sz w:val="22"/>
          <w:szCs w:val="22"/>
          <w:b w:val="1"/>
          <w:bCs w:val="1"/>
          <w:color w:val="auto"/>
        </w:rPr>
        <w:t>Credicorp and others</w:t>
      </w:r>
      <w:r>
        <w:rPr>
          <w:rFonts w:ascii="Arial" w:cs="Arial" w:eastAsia="Arial" w:hAnsi="Arial"/>
          <w:sz w:val="22"/>
          <w:szCs w:val="22"/>
          <w:color w:val="auto"/>
        </w:rPr>
        <w:t xml:space="preserve"> concept contributed a net loss of US$ 13.7 million, explained mainly by losses in Prima AFP, which amounted to US$ 7.6 million for the year.</w:t>
      </w:r>
    </w:p>
    <w:p>
      <w:pPr>
        <w:spacing w:after="0" w:line="163" w:lineRule="exact"/>
        <w:rPr>
          <w:sz w:val="20"/>
          <w:szCs w:val="20"/>
          <w:color w:val="auto"/>
        </w:rPr>
      </w:pPr>
    </w:p>
    <w:p>
      <w:pPr>
        <w:jc w:val="both"/>
        <w:ind w:right="140"/>
        <w:spacing w:after="0" w:line="301" w:lineRule="auto"/>
        <w:rPr>
          <w:sz w:val="20"/>
          <w:szCs w:val="20"/>
          <w:color w:val="auto"/>
        </w:rPr>
      </w:pPr>
      <w:r>
        <w:rPr>
          <w:rFonts w:ascii="Arial" w:cs="Arial" w:eastAsia="Arial" w:hAnsi="Arial"/>
          <w:sz w:val="19"/>
          <w:szCs w:val="19"/>
          <w:color w:val="auto"/>
        </w:rPr>
        <w:t xml:space="preserve">The contributions to Credicorp’s net attributable income from </w:t>
      </w:r>
      <w:r>
        <w:rPr>
          <w:rFonts w:ascii="Arial" w:cs="Arial" w:eastAsia="Arial" w:hAnsi="Arial"/>
          <w:sz w:val="19"/>
          <w:szCs w:val="19"/>
          <w:b w:val="1"/>
          <w:bCs w:val="1"/>
          <w:color w:val="auto"/>
        </w:rPr>
        <w:t>Banco de Crédito BCP</w:t>
      </w:r>
      <w:r>
        <w:rPr>
          <w:rFonts w:ascii="Arial" w:cs="Arial" w:eastAsia="Arial" w:hAnsi="Arial"/>
          <w:sz w:val="19"/>
          <w:szCs w:val="19"/>
          <w:color w:val="auto"/>
        </w:rPr>
        <w:t xml:space="preserve"> and </w:t>
      </w:r>
      <w:r>
        <w:rPr>
          <w:rFonts w:ascii="Arial" w:cs="Arial" w:eastAsia="Arial" w:hAnsi="Arial"/>
          <w:sz w:val="19"/>
          <w:szCs w:val="19"/>
          <w:b w:val="1"/>
          <w:bCs w:val="1"/>
          <w:color w:val="auto"/>
        </w:rPr>
        <w:t>Pacífico Peruano Suiza</w:t>
      </w:r>
      <w:r>
        <w:rPr>
          <w:rFonts w:ascii="Arial" w:cs="Arial" w:eastAsia="Arial" w:hAnsi="Arial"/>
          <w:sz w:val="19"/>
          <w:szCs w:val="19"/>
          <w:color w:val="auto"/>
        </w:rPr>
        <w:t xml:space="preserve"> are the results obtained under IFRS rules in U.S. Dollars, net of minority interests and eliminations for consolidation purposes. BCP contributed with US$176.5 millions to the benefits of Credicorp and reached a net income of US$184.2 million during 2005.</w:t>
      </w:r>
    </w:p>
    <w:p>
      <w:pPr>
        <w:spacing w:after="0" w:line="123" w:lineRule="exact"/>
        <w:rPr>
          <w:sz w:val="20"/>
          <w:szCs w:val="20"/>
          <w:color w:val="auto"/>
        </w:rPr>
      </w:pPr>
    </w:p>
    <w:p>
      <w:pPr>
        <w:ind w:right="200"/>
        <w:spacing w:after="0" w:line="243" w:lineRule="auto"/>
        <w:rPr>
          <w:sz w:val="20"/>
          <w:szCs w:val="20"/>
          <w:color w:val="auto"/>
        </w:rPr>
      </w:pPr>
      <w:r>
        <w:rPr>
          <w:rFonts w:ascii="Arial" w:cs="Arial" w:eastAsia="Arial" w:hAnsi="Arial"/>
          <w:sz w:val="22"/>
          <w:szCs w:val="22"/>
          <w:color w:val="auto"/>
        </w:rPr>
        <w:t xml:space="preserve">The contribution of </w:t>
      </w:r>
      <w:r>
        <w:rPr>
          <w:rFonts w:ascii="Arial" w:cs="Arial" w:eastAsia="Arial" w:hAnsi="Arial"/>
          <w:sz w:val="22"/>
          <w:szCs w:val="22"/>
          <w:b w:val="1"/>
          <w:bCs w:val="1"/>
          <w:color w:val="auto"/>
        </w:rPr>
        <w:t>Pacifico Peruano Suiza</w:t>
      </w:r>
      <w:r>
        <w:rPr>
          <w:rFonts w:ascii="Arial" w:cs="Arial" w:eastAsia="Arial" w:hAnsi="Arial"/>
          <w:sz w:val="22"/>
          <w:szCs w:val="22"/>
          <w:color w:val="auto"/>
        </w:rPr>
        <w:t xml:space="preserve"> to Credicorp in 2005 was US$5.6 million lower than the contribution of US$ 9.6 million reached in 2004. The net income of PPS in 2005 was US$7.1 million, due to eliminations and minority interest of US$1.4 million</w:t>
      </w:r>
    </w:p>
    <w:p>
      <w:pPr>
        <w:spacing w:after="0" w:line="177" w:lineRule="exact"/>
        <w:rPr>
          <w:sz w:val="20"/>
          <w:szCs w:val="20"/>
          <w:color w:val="auto"/>
        </w:rPr>
      </w:pPr>
    </w:p>
    <w:p>
      <w:pPr>
        <w:jc w:val="both"/>
        <w:ind w:right="460"/>
        <w:spacing w:after="0" w:line="243" w:lineRule="auto"/>
        <w:rPr>
          <w:sz w:val="20"/>
          <w:szCs w:val="20"/>
          <w:color w:val="auto"/>
        </w:rPr>
      </w:pPr>
      <w:r>
        <w:rPr>
          <w:rFonts w:ascii="Arial" w:cs="Arial" w:eastAsia="Arial" w:hAnsi="Arial"/>
          <w:sz w:val="22"/>
          <w:szCs w:val="22"/>
          <w:b w:val="1"/>
          <w:bCs w:val="1"/>
          <w:color w:val="auto"/>
        </w:rPr>
        <w:t xml:space="preserve">Atlantic Security Holding Corporation </w:t>
      </w:r>
      <w:r>
        <w:rPr>
          <w:rFonts w:ascii="Arial" w:cs="Arial" w:eastAsia="Arial" w:hAnsi="Arial"/>
          <w:sz w:val="22"/>
          <w:szCs w:val="22"/>
          <w:color w:val="auto"/>
        </w:rPr>
        <w:t>contributed with US$ 13.5 million. The accumulated contribution as of December is</w:t>
      </w:r>
      <w:r>
        <w:rPr>
          <w:rFonts w:ascii="Arial" w:cs="Arial" w:eastAsia="Arial" w:hAnsi="Arial"/>
          <w:sz w:val="22"/>
          <w:szCs w:val="22"/>
          <w:b w:val="1"/>
          <w:bCs w:val="1"/>
          <w:color w:val="auto"/>
        </w:rPr>
        <w:t xml:space="preserve"> </w:t>
      </w:r>
      <w:r>
        <w:rPr>
          <w:rFonts w:ascii="Arial" w:cs="Arial" w:eastAsia="Arial" w:hAnsi="Arial"/>
          <w:sz w:val="22"/>
          <w:szCs w:val="22"/>
          <w:color w:val="auto"/>
        </w:rPr>
        <w:t>lower than the result of US$ 25.2 million in its books due to the elimination, for consolidation purposes, of US$11.7 million in dividends received from Credicorp.</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INCOME AND OTHER INCOME</w:t>
      </w:r>
    </w:p>
    <w:p>
      <w:pPr>
        <w:spacing w:after="0" w:line="212"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u w:val="single" w:color="auto"/>
          <w:color w:val="auto"/>
        </w:rPr>
        <w:t>Note:</w:t>
      </w:r>
      <w:r>
        <w:rPr>
          <w:rFonts w:ascii="Arial" w:cs="Arial" w:eastAsia="Arial" w:hAnsi="Arial"/>
          <w:sz w:val="21"/>
          <w:szCs w:val="21"/>
          <w:color w:val="auto"/>
        </w:rPr>
        <w:t xml:space="preserve"> For comparison purposes, in periods prior to 2005, income from recoveries of previously charged-off loans, which were reported in the </w:t>
      </w:r>
      <w:r>
        <w:rPr>
          <w:rFonts w:ascii="Arial" w:cs="Arial" w:eastAsia="Arial" w:hAnsi="Arial"/>
          <w:sz w:val="21"/>
          <w:szCs w:val="21"/>
          <w:i w:val="1"/>
          <w:iCs w:val="1"/>
          <w:u w:val="single" w:color="auto"/>
          <w:color w:val="auto"/>
        </w:rPr>
        <w:t>Other non-interest income</w:t>
      </w:r>
      <w:r>
        <w:rPr>
          <w:rFonts w:ascii="Arial" w:cs="Arial" w:eastAsia="Arial" w:hAnsi="Arial"/>
          <w:sz w:val="21"/>
          <w:szCs w:val="21"/>
          <w:color w:val="auto"/>
        </w:rPr>
        <w:t xml:space="preserve"> concept, have been reclassified into the </w:t>
      </w:r>
      <w:r>
        <w:rPr>
          <w:rFonts w:ascii="Arial" w:cs="Arial" w:eastAsia="Arial" w:hAnsi="Arial"/>
          <w:sz w:val="21"/>
          <w:szCs w:val="21"/>
          <w:i w:val="1"/>
          <w:iCs w:val="1"/>
          <w:u w:val="single" w:color="auto"/>
          <w:color w:val="auto"/>
        </w:rPr>
        <w:t>Provision for possible loan losses</w:t>
      </w:r>
      <w:r>
        <w:rPr>
          <w:rFonts w:ascii="Arial" w:cs="Arial" w:eastAsia="Arial" w:hAnsi="Arial"/>
          <w:sz w:val="21"/>
          <w:szCs w:val="21"/>
          <w:color w:val="auto"/>
        </w:rPr>
        <w:t xml:space="preserve"> concept, with no effect on net income. Additional minor reclassifications, also with no effect on net income, have been made affecting the captions of </w:t>
      </w:r>
      <w:r>
        <w:rPr>
          <w:rFonts w:ascii="Arial" w:cs="Arial" w:eastAsia="Arial" w:hAnsi="Arial"/>
          <w:sz w:val="21"/>
          <w:szCs w:val="21"/>
          <w:i w:val="1"/>
          <w:iCs w:val="1"/>
          <w:u w:val="single" w:color="auto"/>
          <w:color w:val="auto"/>
        </w:rPr>
        <w:t>Commissions for banking services</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Net premiums earned</w:t>
      </w:r>
      <w:r>
        <w:rPr>
          <w:rFonts w:ascii="Arial" w:cs="Arial" w:eastAsia="Arial" w:hAnsi="Arial"/>
          <w:sz w:val="21"/>
          <w:szCs w:val="21"/>
          <w:color w:val="auto"/>
        </w:rPr>
        <w:t xml:space="preserve">, and </w:t>
      </w:r>
      <w:r>
        <w:rPr>
          <w:rFonts w:ascii="Arial" w:cs="Arial" w:eastAsia="Arial" w:hAnsi="Arial"/>
          <w:sz w:val="21"/>
          <w:szCs w:val="21"/>
          <w:i w:val="1"/>
          <w:iCs w:val="1"/>
          <w:u w:val="single" w:color="auto"/>
          <w:color w:val="auto"/>
        </w:rPr>
        <w:t>Other expenses</w:t>
      </w:r>
      <w:r>
        <w:rPr>
          <w:rFonts w:ascii="Arial" w:cs="Arial" w:eastAsia="Arial" w:hAnsi="Arial"/>
          <w:sz w:val="21"/>
          <w:szCs w:val="21"/>
          <w:color w:val="auto"/>
        </w:rPr>
        <w:t>.</w:t>
      </w:r>
    </w:p>
    <w:p>
      <w:pPr>
        <w:spacing w:after="0" w:line="174"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Net interest income during 2005 grew 13.5% compared to the previous year, while interest expenses rose at a lower rate, increasing only 10.4% for the year, resulting in an accumulated improvement in the net interest margin (NIM) for the year.</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There was a solid growth in loans during 2005, 9.29% compared with the previous year. Interest income on loans grows thus in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4.70% for the exercise of 2005. The evolution of the MNI for the year shows an increment of almost 4%, achieving an NIM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5.59% for 2005 compared to 5.38% for 2004, contributing thus to better results for Credicorp.</w:t>
      </w:r>
    </w:p>
    <w:p>
      <w:pPr>
        <w:spacing w:after="0" w:line="188"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Non-interest income, not including premiums and health fees, was US$ 267.8 million in 2005, growing 6.52% compared with 2004. Nevertheless, banking service fees, the most important line item in this area, as well as the gains from exchange operations, did demonstrate dynamic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spacing w:after="0"/>
        <w:rPr>
          <w:sz w:val="20"/>
          <w:szCs w:val="20"/>
          <w:color w:val="auto"/>
        </w:rPr>
      </w:pPr>
      <w:r>
        <w:rPr>
          <w:rFonts w:ascii="Arial" w:cs="Arial" w:eastAsia="Arial" w:hAnsi="Arial"/>
          <w:sz w:val="19"/>
          <w:szCs w:val="19"/>
          <w:color w:val="auto"/>
        </w:rPr>
        <w:t>expansion, rising 7.07% and 21.19%, respectively, compared to 2004 exercise. Non-interest income components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(In US$ millions)</w:t>
            </w:r>
          </w:p>
        </w:tc>
        <w:tc>
          <w:tcPr>
            <w:tcW w:w="3540" w:type="dxa"/>
            <w:vAlign w:val="bottom"/>
            <w:tcBorders>
              <w:top w:val="single" w:sz="8" w:color="auto"/>
              <w:bottom w:val="single" w:sz="8" w:color="auto"/>
            </w:tcBorders>
          </w:tcPr>
          <w:p>
            <w:pPr>
              <w:jc w:val="center"/>
              <w:ind w:left="1766"/>
              <w:spacing w:after="0"/>
              <w:rPr>
                <w:sz w:val="20"/>
                <w:szCs w:val="20"/>
                <w:color w:val="auto"/>
              </w:rPr>
            </w:pPr>
            <w:r>
              <w:rPr>
                <w:rFonts w:ascii="Arial" w:cs="Arial" w:eastAsia="Arial" w:hAnsi="Arial"/>
                <w:sz w:val="15"/>
                <w:szCs w:val="15"/>
                <w:b w:val="1"/>
                <w:bCs w:val="1"/>
                <w:color w:val="auto"/>
                <w:w w:val="89"/>
              </w:rPr>
              <w:t>2004</w:t>
            </w: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2005</w:t>
            </w:r>
          </w:p>
        </w:tc>
        <w:tc>
          <w:tcPr>
            <w:tcW w:w="16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5"/>
                <w:szCs w:val="15"/>
                <w:b w:val="1"/>
                <w:bCs w:val="1"/>
                <w:color w:val="auto"/>
              </w:rPr>
              <w:t>Var</w:t>
            </w:r>
          </w:p>
        </w:tc>
      </w:tr>
      <w:tr>
        <w:trPr>
          <w:trHeight w:val="160"/>
        </w:trPr>
        <w:tc>
          <w:tcPr>
            <w:tcW w:w="4560" w:type="dxa"/>
            <w:vAlign w:val="bottom"/>
          </w:tcPr>
          <w:p>
            <w:pPr>
              <w:spacing w:after="0" w:line="160" w:lineRule="exact"/>
              <w:rPr>
                <w:sz w:val="20"/>
                <w:szCs w:val="20"/>
                <w:color w:val="auto"/>
              </w:rPr>
            </w:pPr>
            <w:r>
              <w:rPr>
                <w:rFonts w:ascii="Arial" w:cs="Arial" w:eastAsia="Arial" w:hAnsi="Arial"/>
                <w:sz w:val="15"/>
                <w:szCs w:val="15"/>
                <w:color w:val="auto"/>
              </w:rPr>
              <w:t>Commissions for banking services</w:t>
            </w:r>
          </w:p>
        </w:tc>
        <w:tc>
          <w:tcPr>
            <w:tcW w:w="3540" w:type="dxa"/>
            <w:vAlign w:val="bottom"/>
          </w:tcPr>
          <w:p>
            <w:pPr>
              <w:jc w:val="center"/>
              <w:ind w:left="1746"/>
              <w:spacing w:after="0" w:line="160" w:lineRule="exact"/>
              <w:rPr>
                <w:sz w:val="20"/>
                <w:szCs w:val="20"/>
                <w:color w:val="auto"/>
              </w:rPr>
            </w:pPr>
            <w:r>
              <w:rPr>
                <w:rFonts w:ascii="Arial" w:cs="Arial" w:eastAsia="Arial" w:hAnsi="Arial"/>
                <w:sz w:val="15"/>
                <w:szCs w:val="15"/>
                <w:color w:val="auto"/>
                <w:w w:val="85"/>
              </w:rPr>
              <w:t>192.1</w:t>
            </w:r>
          </w:p>
        </w:tc>
        <w:tc>
          <w:tcPr>
            <w:tcW w:w="1680" w:type="dxa"/>
            <w:vAlign w:val="bottom"/>
          </w:tcPr>
          <w:p>
            <w:pPr>
              <w:jc w:val="center"/>
              <w:spacing w:after="0" w:line="160" w:lineRule="exact"/>
              <w:rPr>
                <w:sz w:val="20"/>
                <w:szCs w:val="20"/>
                <w:color w:val="auto"/>
              </w:rPr>
            </w:pPr>
            <w:r>
              <w:rPr>
                <w:rFonts w:ascii="Arial" w:cs="Arial" w:eastAsia="Arial" w:hAnsi="Arial"/>
                <w:sz w:val="15"/>
                <w:szCs w:val="15"/>
                <w:color w:val="auto"/>
                <w:w w:val="90"/>
              </w:rPr>
              <w:t>205.7</w:t>
            </w:r>
          </w:p>
        </w:tc>
        <w:tc>
          <w:tcPr>
            <w:tcW w:w="1640" w:type="dxa"/>
            <w:vAlign w:val="bottom"/>
          </w:tcPr>
          <w:p>
            <w:pPr>
              <w:jc w:val="center"/>
              <w:ind w:left="66"/>
              <w:spacing w:after="0" w:line="160" w:lineRule="exact"/>
              <w:rPr>
                <w:sz w:val="20"/>
                <w:szCs w:val="20"/>
                <w:color w:val="auto"/>
              </w:rPr>
            </w:pPr>
            <w:r>
              <w:rPr>
                <w:rFonts w:ascii="Arial" w:cs="Arial" w:eastAsia="Arial" w:hAnsi="Arial"/>
                <w:sz w:val="15"/>
                <w:szCs w:val="15"/>
                <w:color w:val="auto"/>
                <w:w w:val="87"/>
              </w:rPr>
              <w:t>7.1%</w:t>
            </w: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Gains from sale of securities</w:t>
            </w:r>
          </w:p>
        </w:tc>
        <w:tc>
          <w:tcPr>
            <w:tcW w:w="3540" w:type="dxa"/>
            <w:vAlign w:val="bottom"/>
          </w:tcPr>
          <w:p>
            <w:pPr>
              <w:jc w:val="center"/>
              <w:ind w:left="1766"/>
              <w:spacing w:after="0" w:line="162" w:lineRule="exact"/>
              <w:rPr>
                <w:sz w:val="20"/>
                <w:szCs w:val="20"/>
                <w:color w:val="auto"/>
              </w:rPr>
            </w:pPr>
            <w:r>
              <w:rPr>
                <w:rFonts w:ascii="Arial" w:cs="Arial" w:eastAsia="Arial" w:hAnsi="Arial"/>
                <w:sz w:val="15"/>
                <w:szCs w:val="15"/>
                <w:color w:val="auto"/>
                <w:w w:val="88"/>
              </w:rPr>
              <w:t>10.1</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6"/>
              </w:rPr>
              <w:t>9.0</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8"/>
              </w:rPr>
              <w:t>-11.5%</w:t>
            </w: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Gains from foreign exchange</w:t>
            </w:r>
          </w:p>
        </w:tc>
        <w:tc>
          <w:tcPr>
            <w:tcW w:w="3540" w:type="dxa"/>
            <w:vAlign w:val="bottom"/>
          </w:tcPr>
          <w:p>
            <w:pPr>
              <w:jc w:val="center"/>
              <w:ind w:left="1766"/>
              <w:spacing w:after="0" w:line="162" w:lineRule="exact"/>
              <w:rPr>
                <w:sz w:val="20"/>
                <w:szCs w:val="20"/>
                <w:color w:val="auto"/>
              </w:rPr>
            </w:pPr>
            <w:r>
              <w:rPr>
                <w:rFonts w:ascii="Arial" w:cs="Arial" w:eastAsia="Arial" w:hAnsi="Arial"/>
                <w:sz w:val="15"/>
                <w:szCs w:val="15"/>
                <w:color w:val="auto"/>
                <w:w w:val="88"/>
              </w:rPr>
              <w:t>24.2</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8"/>
              </w:rPr>
              <w:t>29.3</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9"/>
              </w:rPr>
              <w:t>21.2%</w:t>
            </w:r>
          </w:p>
        </w:tc>
      </w:tr>
      <w:tr>
        <w:trPr>
          <w:trHeight w:val="188"/>
        </w:trPr>
        <w:tc>
          <w:tcPr>
            <w:tcW w:w="4560" w:type="dxa"/>
            <w:vAlign w:val="bottom"/>
          </w:tcPr>
          <w:p>
            <w:pPr>
              <w:spacing w:after="0"/>
              <w:rPr>
                <w:sz w:val="20"/>
                <w:szCs w:val="20"/>
                <w:color w:val="auto"/>
              </w:rPr>
            </w:pPr>
            <w:r>
              <w:rPr>
                <w:rFonts w:ascii="Arial" w:cs="Arial" w:eastAsia="Arial" w:hAnsi="Arial"/>
                <w:sz w:val="15"/>
                <w:szCs w:val="15"/>
                <w:color w:val="auto"/>
              </w:rPr>
              <w:t>Other non-interest income</w:t>
            </w:r>
          </w:p>
        </w:tc>
        <w:tc>
          <w:tcPr>
            <w:tcW w:w="3540" w:type="dxa"/>
            <w:vAlign w:val="bottom"/>
          </w:tcPr>
          <w:p>
            <w:pPr>
              <w:jc w:val="center"/>
              <w:ind w:left="1766"/>
              <w:spacing w:after="0"/>
              <w:rPr>
                <w:sz w:val="20"/>
                <w:szCs w:val="20"/>
                <w:color w:val="auto"/>
              </w:rPr>
            </w:pPr>
            <w:r>
              <w:rPr>
                <w:rFonts w:ascii="Arial" w:cs="Arial" w:eastAsia="Arial" w:hAnsi="Arial"/>
                <w:sz w:val="15"/>
                <w:szCs w:val="15"/>
                <w:color w:val="auto"/>
                <w:w w:val="88"/>
              </w:rPr>
              <w:t>25.0</w:t>
            </w:r>
          </w:p>
        </w:tc>
        <w:tc>
          <w:tcPr>
            <w:tcW w:w="1680" w:type="dxa"/>
            <w:vAlign w:val="bottom"/>
          </w:tcPr>
          <w:p>
            <w:pPr>
              <w:jc w:val="center"/>
              <w:spacing w:after="0"/>
              <w:rPr>
                <w:sz w:val="20"/>
                <w:szCs w:val="20"/>
                <w:color w:val="auto"/>
              </w:rPr>
            </w:pPr>
            <w:r>
              <w:rPr>
                <w:rFonts w:ascii="Arial" w:cs="Arial" w:eastAsia="Arial" w:hAnsi="Arial"/>
                <w:sz w:val="15"/>
                <w:szCs w:val="15"/>
                <w:color w:val="auto"/>
                <w:w w:val="88"/>
              </w:rPr>
              <w:t>23.9</w:t>
            </w:r>
          </w:p>
        </w:tc>
        <w:tc>
          <w:tcPr>
            <w:tcW w:w="1640" w:type="dxa"/>
            <w:vAlign w:val="bottom"/>
          </w:tcPr>
          <w:p>
            <w:pPr>
              <w:jc w:val="center"/>
              <w:ind w:left="46"/>
              <w:spacing w:after="0"/>
              <w:rPr>
                <w:sz w:val="20"/>
                <w:szCs w:val="20"/>
                <w:color w:val="auto"/>
              </w:rPr>
            </w:pPr>
            <w:r>
              <w:rPr>
                <w:rFonts w:ascii="Arial" w:cs="Arial" w:eastAsia="Arial" w:hAnsi="Arial"/>
                <w:sz w:val="15"/>
                <w:szCs w:val="15"/>
                <w:color w:val="auto"/>
                <w:w w:val="91"/>
              </w:rPr>
              <w:t>-4.5%</w:t>
            </w:r>
          </w:p>
        </w:tc>
      </w:tr>
      <w:tr>
        <w:trPr>
          <w:trHeight w:val="307"/>
        </w:trPr>
        <w:tc>
          <w:tcPr>
            <w:tcW w:w="45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Non-Interest Income</w:t>
            </w:r>
          </w:p>
        </w:tc>
        <w:tc>
          <w:tcPr>
            <w:tcW w:w="3540" w:type="dxa"/>
            <w:vAlign w:val="bottom"/>
            <w:tcBorders>
              <w:bottom w:val="single" w:sz="8" w:color="auto"/>
            </w:tcBorders>
          </w:tcPr>
          <w:p>
            <w:pPr>
              <w:jc w:val="center"/>
              <w:ind w:left="1746"/>
              <w:spacing w:after="0"/>
              <w:rPr>
                <w:sz w:val="20"/>
                <w:szCs w:val="20"/>
                <w:color w:val="auto"/>
              </w:rPr>
            </w:pPr>
            <w:r>
              <w:rPr>
                <w:rFonts w:ascii="Arial" w:cs="Arial" w:eastAsia="Arial" w:hAnsi="Arial"/>
                <w:sz w:val="15"/>
                <w:szCs w:val="15"/>
                <w:b w:val="1"/>
                <w:bCs w:val="1"/>
                <w:color w:val="auto"/>
                <w:w w:val="85"/>
              </w:rPr>
              <w:t>251.4</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267.8</w:t>
            </w:r>
          </w:p>
        </w:tc>
        <w:tc>
          <w:tcPr>
            <w:tcW w:w="1640" w:type="dxa"/>
            <w:vAlign w:val="bottom"/>
            <w:tcBorders>
              <w:bottom w:val="single" w:sz="8" w:color="auto"/>
            </w:tcBorders>
          </w:tcPr>
          <w:p>
            <w:pPr>
              <w:jc w:val="center"/>
              <w:ind w:left="66"/>
              <w:spacing w:after="0"/>
              <w:rPr>
                <w:sz w:val="20"/>
                <w:szCs w:val="20"/>
                <w:color w:val="auto"/>
              </w:rPr>
            </w:pPr>
            <w:r>
              <w:rPr>
                <w:rFonts w:ascii="Arial" w:cs="Arial" w:eastAsia="Arial" w:hAnsi="Arial"/>
                <w:sz w:val="15"/>
                <w:szCs w:val="15"/>
                <w:b w:val="1"/>
                <w:bCs w:val="1"/>
                <w:color w:val="auto"/>
                <w:w w:val="99"/>
              </w:rPr>
              <w:t>6.5%</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Net revenue from insurance activity, premiums and health fees net of claims and health costs,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(In US$ millions)</w:t>
            </w:r>
          </w:p>
        </w:tc>
        <w:tc>
          <w:tcPr>
            <w:tcW w:w="3260" w:type="dxa"/>
            <w:vAlign w:val="bottom"/>
            <w:tcBorders>
              <w:top w:val="single" w:sz="8" w:color="auto"/>
              <w:bottom w:val="single" w:sz="8" w:color="auto"/>
            </w:tcBorders>
          </w:tcPr>
          <w:p>
            <w:pPr>
              <w:ind w:left="2220"/>
              <w:spacing w:after="0"/>
              <w:rPr>
                <w:sz w:val="20"/>
                <w:szCs w:val="20"/>
                <w:color w:val="auto"/>
              </w:rPr>
            </w:pPr>
            <w:r>
              <w:rPr>
                <w:rFonts w:ascii="Arial" w:cs="Arial" w:eastAsia="Arial" w:hAnsi="Arial"/>
                <w:sz w:val="15"/>
                <w:szCs w:val="15"/>
                <w:b w:val="1"/>
                <w:bCs w:val="1"/>
                <w:color w:val="auto"/>
              </w:rPr>
              <w:t>2,004</w:t>
            </w:r>
          </w:p>
        </w:tc>
        <w:tc>
          <w:tcPr>
            <w:tcW w:w="17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5"/>
                <w:szCs w:val="15"/>
                <w:b w:val="1"/>
                <w:bCs w:val="1"/>
                <w:color w:val="auto"/>
              </w:rPr>
              <w:t>2,005</w:t>
            </w:r>
          </w:p>
        </w:tc>
        <w:tc>
          <w:tcPr>
            <w:tcW w:w="16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5"/>
                <w:szCs w:val="15"/>
                <w:b w:val="1"/>
                <w:bCs w:val="1"/>
                <w:color w:val="auto"/>
              </w:rPr>
              <w:t>Var</w:t>
            </w:r>
          </w:p>
        </w:tc>
      </w:tr>
      <w:tr>
        <w:trPr>
          <w:trHeight w:val="160"/>
        </w:trPr>
        <w:tc>
          <w:tcPr>
            <w:tcW w:w="4860" w:type="dxa"/>
            <w:vAlign w:val="bottom"/>
          </w:tcPr>
          <w:p>
            <w:pPr>
              <w:spacing w:after="0" w:line="160" w:lineRule="exact"/>
              <w:rPr>
                <w:sz w:val="20"/>
                <w:szCs w:val="20"/>
                <w:color w:val="auto"/>
              </w:rPr>
            </w:pPr>
            <w:r>
              <w:rPr>
                <w:rFonts w:ascii="Arial" w:cs="Arial" w:eastAsia="Arial" w:hAnsi="Arial"/>
                <w:sz w:val="15"/>
                <w:szCs w:val="15"/>
                <w:b w:val="1"/>
                <w:bCs w:val="1"/>
                <w:color w:val="auto"/>
              </w:rPr>
              <w:t>Premiums earned and health fees</w:t>
            </w:r>
          </w:p>
        </w:tc>
        <w:tc>
          <w:tcPr>
            <w:tcW w:w="3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62"/>
        </w:trPr>
        <w:tc>
          <w:tcPr>
            <w:tcW w:w="4860" w:type="dxa"/>
            <w:vAlign w:val="bottom"/>
          </w:tcPr>
          <w:p>
            <w:pPr>
              <w:ind w:left="200"/>
              <w:spacing w:after="0" w:line="162" w:lineRule="exact"/>
              <w:rPr>
                <w:sz w:val="20"/>
                <w:szCs w:val="20"/>
                <w:color w:val="auto"/>
              </w:rPr>
            </w:pPr>
            <w:r>
              <w:rPr>
                <w:rFonts w:ascii="Arial" w:cs="Arial" w:eastAsia="Arial" w:hAnsi="Arial"/>
                <w:sz w:val="15"/>
                <w:szCs w:val="15"/>
                <w:color w:val="auto"/>
              </w:rPr>
              <w:t>Net Premiums earnes</w:t>
            </w:r>
          </w:p>
        </w:tc>
        <w:tc>
          <w:tcPr>
            <w:tcW w:w="3260" w:type="dxa"/>
            <w:vAlign w:val="bottom"/>
          </w:tcPr>
          <w:p>
            <w:pPr>
              <w:ind w:left="2220"/>
              <w:spacing w:after="0" w:line="162" w:lineRule="exact"/>
              <w:rPr>
                <w:sz w:val="20"/>
                <w:szCs w:val="20"/>
                <w:color w:val="auto"/>
              </w:rPr>
            </w:pPr>
            <w:r>
              <w:rPr>
                <w:rFonts w:ascii="Arial" w:cs="Arial" w:eastAsia="Arial" w:hAnsi="Arial"/>
                <w:sz w:val="15"/>
                <w:szCs w:val="15"/>
                <w:color w:val="auto"/>
              </w:rPr>
              <w:t>202.0</w:t>
            </w:r>
          </w:p>
        </w:tc>
        <w:tc>
          <w:tcPr>
            <w:tcW w:w="1700" w:type="dxa"/>
            <w:vAlign w:val="bottom"/>
          </w:tcPr>
          <w:p>
            <w:pPr>
              <w:ind w:left="660"/>
              <w:spacing w:after="0" w:line="162" w:lineRule="exact"/>
              <w:rPr>
                <w:sz w:val="20"/>
                <w:szCs w:val="20"/>
                <w:color w:val="auto"/>
              </w:rPr>
            </w:pPr>
            <w:r>
              <w:rPr>
                <w:rFonts w:ascii="Arial" w:cs="Arial" w:eastAsia="Arial" w:hAnsi="Arial"/>
                <w:sz w:val="15"/>
                <w:szCs w:val="15"/>
                <w:color w:val="auto"/>
              </w:rPr>
              <w:t>219.0</w:t>
            </w:r>
          </w:p>
        </w:tc>
        <w:tc>
          <w:tcPr>
            <w:tcW w:w="1600" w:type="dxa"/>
            <w:vAlign w:val="bottom"/>
          </w:tcPr>
          <w:p>
            <w:pPr>
              <w:jc w:val="center"/>
              <w:ind w:left="26"/>
              <w:spacing w:after="0" w:line="162" w:lineRule="exact"/>
              <w:rPr>
                <w:sz w:val="20"/>
                <w:szCs w:val="20"/>
                <w:color w:val="auto"/>
              </w:rPr>
            </w:pPr>
            <w:r>
              <w:rPr>
                <w:rFonts w:ascii="Arial" w:cs="Arial" w:eastAsia="Arial" w:hAnsi="Arial"/>
                <w:sz w:val="15"/>
                <w:szCs w:val="15"/>
                <w:color w:val="auto"/>
                <w:w w:val="87"/>
              </w:rPr>
              <w:t>8.4%</w:t>
            </w:r>
          </w:p>
        </w:tc>
      </w:tr>
      <w:tr>
        <w:trPr>
          <w:trHeight w:val="162"/>
        </w:trPr>
        <w:tc>
          <w:tcPr>
            <w:tcW w:w="4860" w:type="dxa"/>
            <w:vAlign w:val="bottom"/>
          </w:tcPr>
          <w:p>
            <w:pPr>
              <w:ind w:left="120"/>
              <w:spacing w:after="0" w:line="162" w:lineRule="exact"/>
              <w:rPr>
                <w:sz w:val="20"/>
                <w:szCs w:val="20"/>
                <w:color w:val="auto"/>
              </w:rPr>
            </w:pPr>
            <w:r>
              <w:rPr>
                <w:rFonts w:ascii="Arial" w:cs="Arial" w:eastAsia="Arial" w:hAnsi="Arial"/>
                <w:sz w:val="15"/>
                <w:szCs w:val="15"/>
                <w:color w:val="auto"/>
              </w:rPr>
              <w:t>Claims and health costs incurred</w:t>
            </w:r>
          </w:p>
        </w:tc>
        <w:tc>
          <w:tcPr>
            <w:tcW w:w="3260" w:type="dxa"/>
            <w:vAlign w:val="bottom"/>
          </w:tcPr>
          <w:p>
            <w:pPr>
              <w:ind w:left="2220"/>
              <w:spacing w:after="0" w:line="162" w:lineRule="exact"/>
              <w:rPr>
                <w:sz w:val="20"/>
                <w:szCs w:val="20"/>
                <w:color w:val="auto"/>
              </w:rPr>
            </w:pPr>
            <w:r>
              <w:rPr>
                <w:rFonts w:ascii="Arial" w:cs="Arial" w:eastAsia="Arial" w:hAnsi="Arial"/>
                <w:sz w:val="15"/>
                <w:szCs w:val="15"/>
                <w:color w:val="auto"/>
              </w:rPr>
              <w:t>(34.8)</w:t>
            </w:r>
          </w:p>
        </w:tc>
        <w:tc>
          <w:tcPr>
            <w:tcW w:w="1700" w:type="dxa"/>
            <w:vAlign w:val="bottom"/>
          </w:tcPr>
          <w:p>
            <w:pPr>
              <w:ind w:left="680"/>
              <w:spacing w:after="0" w:line="162" w:lineRule="exact"/>
              <w:rPr>
                <w:sz w:val="20"/>
                <w:szCs w:val="20"/>
                <w:color w:val="auto"/>
              </w:rPr>
            </w:pPr>
            <w:r>
              <w:rPr>
                <w:rFonts w:ascii="Arial" w:cs="Arial" w:eastAsia="Arial" w:hAnsi="Arial"/>
                <w:sz w:val="15"/>
                <w:szCs w:val="15"/>
                <w:color w:val="auto"/>
              </w:rPr>
              <w:t>(42.6)</w:t>
            </w:r>
          </w:p>
        </w:tc>
        <w:tc>
          <w:tcPr>
            <w:tcW w:w="1600" w:type="dxa"/>
            <w:vAlign w:val="bottom"/>
          </w:tcPr>
          <w:p>
            <w:pPr>
              <w:jc w:val="center"/>
              <w:ind w:left="26"/>
              <w:spacing w:after="0" w:line="162" w:lineRule="exact"/>
              <w:rPr>
                <w:sz w:val="20"/>
                <w:szCs w:val="20"/>
                <w:color w:val="auto"/>
              </w:rPr>
            </w:pPr>
            <w:r>
              <w:rPr>
                <w:rFonts w:ascii="Arial" w:cs="Arial" w:eastAsia="Arial" w:hAnsi="Arial"/>
                <w:sz w:val="15"/>
                <w:szCs w:val="15"/>
                <w:color w:val="auto"/>
                <w:w w:val="89"/>
              </w:rPr>
              <w:t>22.4%</w:t>
            </w:r>
          </w:p>
        </w:tc>
      </w:tr>
      <w:tr>
        <w:trPr>
          <w:trHeight w:val="162"/>
        </w:trPr>
        <w:tc>
          <w:tcPr>
            <w:tcW w:w="4860" w:type="dxa"/>
            <w:vAlign w:val="bottom"/>
          </w:tcPr>
          <w:p>
            <w:pPr>
              <w:ind w:left="120"/>
              <w:spacing w:after="0" w:line="162" w:lineRule="exact"/>
              <w:rPr>
                <w:sz w:val="20"/>
                <w:szCs w:val="20"/>
                <w:color w:val="auto"/>
              </w:rPr>
            </w:pPr>
            <w:r>
              <w:rPr>
                <w:rFonts w:ascii="Arial" w:cs="Arial" w:eastAsia="Arial" w:hAnsi="Arial"/>
                <w:sz w:val="15"/>
                <w:szCs w:val="15"/>
                <w:color w:val="auto"/>
              </w:rPr>
              <w:t>Increase in costs for future benefits for life</w:t>
            </w:r>
          </w:p>
        </w:tc>
        <w:tc>
          <w:tcPr>
            <w:tcW w:w="3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58"/>
        </w:trPr>
        <w:tc>
          <w:tcPr>
            <w:tcW w:w="4860" w:type="dxa"/>
            <w:vAlign w:val="bottom"/>
          </w:tcPr>
          <w:p>
            <w:pPr>
              <w:ind w:left="120"/>
              <w:spacing w:after="0" w:line="158" w:lineRule="exact"/>
              <w:rPr>
                <w:sz w:val="20"/>
                <w:szCs w:val="20"/>
                <w:color w:val="auto"/>
              </w:rPr>
            </w:pPr>
            <w:r>
              <w:rPr>
                <w:rFonts w:ascii="Arial" w:cs="Arial" w:eastAsia="Arial" w:hAnsi="Arial"/>
                <w:sz w:val="15"/>
                <w:szCs w:val="15"/>
                <w:color w:val="auto"/>
              </w:rPr>
              <w:t>policies</w:t>
            </w:r>
          </w:p>
        </w:tc>
        <w:tc>
          <w:tcPr>
            <w:tcW w:w="3260" w:type="dxa"/>
            <w:vAlign w:val="bottom"/>
          </w:tcPr>
          <w:p>
            <w:pPr>
              <w:jc w:val="right"/>
              <w:ind w:right="566"/>
              <w:spacing w:after="0" w:line="158" w:lineRule="exact"/>
              <w:rPr>
                <w:sz w:val="20"/>
                <w:szCs w:val="20"/>
                <w:color w:val="auto"/>
              </w:rPr>
            </w:pPr>
            <w:r>
              <w:rPr>
                <w:rFonts w:ascii="Arial" w:cs="Arial" w:eastAsia="Arial" w:hAnsi="Arial"/>
                <w:sz w:val="15"/>
                <w:szCs w:val="15"/>
                <w:color w:val="auto"/>
              </w:rPr>
              <w:t>(113.6)</w:t>
            </w:r>
          </w:p>
        </w:tc>
        <w:tc>
          <w:tcPr>
            <w:tcW w:w="1700" w:type="dxa"/>
            <w:vAlign w:val="bottom"/>
          </w:tcPr>
          <w:p>
            <w:pPr>
              <w:jc w:val="right"/>
              <w:ind w:right="546"/>
              <w:spacing w:after="0" w:line="158" w:lineRule="exact"/>
              <w:rPr>
                <w:sz w:val="20"/>
                <w:szCs w:val="20"/>
                <w:color w:val="auto"/>
              </w:rPr>
            </w:pPr>
            <w:r>
              <w:rPr>
                <w:rFonts w:ascii="Arial" w:cs="Arial" w:eastAsia="Arial" w:hAnsi="Arial"/>
                <w:sz w:val="15"/>
                <w:szCs w:val="15"/>
                <w:color w:val="auto"/>
              </w:rPr>
              <w:t>(132.9)</w:t>
            </w:r>
          </w:p>
        </w:tc>
        <w:tc>
          <w:tcPr>
            <w:tcW w:w="1600" w:type="dxa"/>
            <w:vAlign w:val="bottom"/>
          </w:tcPr>
          <w:p>
            <w:pPr>
              <w:jc w:val="center"/>
              <w:ind w:left="26"/>
              <w:spacing w:after="0" w:line="158" w:lineRule="exact"/>
              <w:rPr>
                <w:sz w:val="20"/>
                <w:szCs w:val="20"/>
                <w:color w:val="auto"/>
              </w:rPr>
            </w:pPr>
            <w:r>
              <w:rPr>
                <w:rFonts w:ascii="Arial" w:cs="Arial" w:eastAsia="Arial" w:hAnsi="Arial"/>
                <w:sz w:val="15"/>
                <w:szCs w:val="15"/>
                <w:color w:val="auto"/>
                <w:w w:val="89"/>
              </w:rPr>
              <w:t>17.0%</w:t>
            </w:r>
          </w:p>
        </w:tc>
      </w:tr>
      <w:tr>
        <w:trPr>
          <w:trHeight w:val="175"/>
        </w:trPr>
        <w:tc>
          <w:tcPr>
            <w:tcW w:w="486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tcPr>
          <w:p>
            <w:pPr>
              <w:jc w:val="right"/>
              <w:ind w:right="666"/>
              <w:spacing w:after="0"/>
              <w:rPr>
                <w:sz w:val="20"/>
                <w:szCs w:val="20"/>
                <w:color w:val="auto"/>
              </w:rPr>
            </w:pPr>
            <w:r>
              <w:rPr>
                <w:rFonts w:ascii="Arial" w:cs="Arial" w:eastAsia="Arial" w:hAnsi="Arial"/>
                <w:sz w:val="15"/>
                <w:szCs w:val="15"/>
                <w:b w:val="1"/>
                <w:bCs w:val="1"/>
                <w:color w:val="auto"/>
              </w:rPr>
              <w:t>53.6</w:t>
            </w:r>
          </w:p>
        </w:tc>
        <w:tc>
          <w:tcPr>
            <w:tcW w:w="1700" w:type="dxa"/>
            <w:vAlign w:val="bottom"/>
            <w:tcBorders>
              <w:bottom w:val="single" w:sz="8" w:color="auto"/>
            </w:tcBorders>
          </w:tcPr>
          <w:p>
            <w:pPr>
              <w:jc w:val="right"/>
              <w:ind w:right="666"/>
              <w:spacing w:after="0"/>
              <w:rPr>
                <w:sz w:val="20"/>
                <w:szCs w:val="20"/>
                <w:color w:val="auto"/>
              </w:rPr>
            </w:pPr>
            <w:r>
              <w:rPr>
                <w:rFonts w:ascii="Arial" w:cs="Arial" w:eastAsia="Arial" w:hAnsi="Arial"/>
                <w:sz w:val="15"/>
                <w:szCs w:val="15"/>
                <w:b w:val="1"/>
                <w:bCs w:val="1"/>
                <w:color w:val="auto"/>
              </w:rPr>
              <w:t>43.5</w:t>
            </w:r>
          </w:p>
        </w:tc>
        <w:tc>
          <w:tcPr>
            <w:tcW w:w="1600" w:type="dxa"/>
            <w:vAlign w:val="bottom"/>
            <w:tcBorders>
              <w:bottom w:val="single" w:sz="8" w:color="auto"/>
            </w:tcBorders>
          </w:tcPr>
          <w:p>
            <w:pPr>
              <w:jc w:val="center"/>
              <w:ind w:left="26"/>
              <w:spacing w:after="0"/>
              <w:rPr>
                <w:sz w:val="20"/>
                <w:szCs w:val="20"/>
                <w:color w:val="auto"/>
              </w:rPr>
            </w:pPr>
            <w:r>
              <w:rPr>
                <w:rFonts w:ascii="Arial" w:cs="Arial" w:eastAsia="Arial" w:hAnsi="Arial"/>
                <w:sz w:val="15"/>
                <w:szCs w:val="15"/>
                <w:b w:val="1"/>
                <w:bCs w:val="1"/>
                <w:color w:val="auto"/>
                <w:w w:val="96"/>
              </w:rPr>
              <w:t>-19.0%</w:t>
            </w:r>
          </w:p>
        </w:tc>
      </w:tr>
    </w:tbl>
    <w:p>
      <w:pPr>
        <w:spacing w:after="0" w:line="200" w:lineRule="exact"/>
        <w:rPr>
          <w:sz w:val="20"/>
          <w:szCs w:val="20"/>
          <w:color w:val="auto"/>
        </w:rPr>
      </w:pPr>
    </w:p>
    <w:p>
      <w:pPr>
        <w:spacing w:after="0" w:line="251"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Although total insurance premiums rose by 4%, when comparing the 4Q05 to the 4Q04, net premiums and fees earned, as well as the underwriting results (net of claims and health costs) posted significant declines, reflecting lower competitiveness and profitability in the insurance business. Income from insurance activity therefore, dropped 19.0% compared to 2004, which is due mainly to an increase in claims in general and medical insurance.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NON-INTEREST EXPENSES</w:t>
      </w:r>
    </w:p>
    <w:p>
      <w:pPr>
        <w:spacing w:after="0" w:line="212"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u w:val="single" w:color="auto"/>
          <w:color w:val="auto"/>
        </w:rPr>
        <w:t>Note:</w:t>
      </w:r>
      <w:r>
        <w:rPr>
          <w:rFonts w:ascii="Arial" w:cs="Arial" w:eastAsia="Arial" w:hAnsi="Arial"/>
          <w:sz w:val="19"/>
          <w:szCs w:val="19"/>
          <w:color w:val="auto"/>
        </w:rPr>
        <w:t xml:space="preserve"> For comparison purposes, in prior periods, expense for </w:t>
      </w:r>
      <w:r>
        <w:rPr>
          <w:rFonts w:ascii="Arial" w:cs="Arial" w:eastAsia="Arial" w:hAnsi="Arial"/>
          <w:sz w:val="19"/>
          <w:szCs w:val="19"/>
          <w:i w:val="1"/>
          <w:iCs w:val="1"/>
          <w:u w:val="single" w:color="auto"/>
          <w:color w:val="auto"/>
        </w:rPr>
        <w:t>Legal employee profit sharing,</w:t>
      </w:r>
      <w:r>
        <w:rPr>
          <w:rFonts w:ascii="Arial" w:cs="Arial" w:eastAsia="Arial" w:hAnsi="Arial"/>
          <w:sz w:val="19"/>
          <w:szCs w:val="19"/>
          <w:color w:val="auto"/>
        </w:rPr>
        <w:t xml:space="preserve"> which was previously reported within the </w:t>
      </w:r>
      <w:r>
        <w:rPr>
          <w:rFonts w:ascii="Arial" w:cs="Arial" w:eastAsia="Arial" w:hAnsi="Arial"/>
          <w:sz w:val="19"/>
          <w:szCs w:val="19"/>
          <w:i w:val="1"/>
          <w:iCs w:val="1"/>
          <w:u w:val="single" w:color="auto"/>
          <w:color w:val="auto"/>
        </w:rPr>
        <w:t>Salaries and employee benefits</w:t>
      </w:r>
      <w:r>
        <w:rPr>
          <w:rFonts w:ascii="Arial" w:cs="Arial" w:eastAsia="Arial" w:hAnsi="Arial"/>
          <w:sz w:val="19"/>
          <w:szCs w:val="19"/>
          <w:color w:val="auto"/>
        </w:rPr>
        <w:t xml:space="preserve"> concept, have been reclassified into a separate line item, with no effect on net income.</w:t>
      </w:r>
    </w:p>
    <w:p>
      <w:pPr>
        <w:spacing w:after="0" w:line="105"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Other non-interest expenses amounted to US$ 467.8 million for 2005, 3.4% lower than expenses for the previous year. This reduction resulted from reversing the provisions related to the value of the Credicorp stock which is the base for the stock appreciation rights that form part of management’s incentive plan, included under the heading ‘Other Expenses’. Excluding the effects resulting from the recent volatility of Peruvian stock prices caused by political events, expenses did increase, namely higher personnel expenses, due to the greater expansion of the business. However, as a whole, the strict cost-controls in the general and administrative expenses resulted in total expense reductions and the consequent improvement in Credicorp’s efficiency ratios.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Credicorp’s other expense components had the following variations: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9"/>
        </w:trPr>
        <w:tc>
          <w:tcPr>
            <w:tcW w:w="6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i w:val="1"/>
                <w:iCs w:val="1"/>
                <w:color w:val="auto"/>
              </w:rPr>
              <w:t>(% change and US$ millions)</w:t>
            </w:r>
          </w:p>
        </w:tc>
        <w:tc>
          <w:tcPr>
            <w:tcW w:w="1820" w:type="dxa"/>
            <w:vAlign w:val="bottom"/>
            <w:tcBorders>
              <w:top w:val="single" w:sz="8" w:color="auto"/>
              <w:bottom w:val="single" w:sz="8" w:color="auto"/>
            </w:tcBorders>
          </w:tcPr>
          <w:p>
            <w:pPr>
              <w:jc w:val="center"/>
              <w:ind w:left="46"/>
              <w:spacing w:after="0"/>
              <w:rPr>
                <w:sz w:val="20"/>
                <w:szCs w:val="20"/>
                <w:color w:val="auto"/>
              </w:rPr>
            </w:pPr>
            <w:r>
              <w:rPr>
                <w:rFonts w:ascii="Arial" w:cs="Arial" w:eastAsia="Arial" w:hAnsi="Arial"/>
                <w:sz w:val="15"/>
                <w:szCs w:val="15"/>
                <w:b w:val="1"/>
                <w:bCs w:val="1"/>
                <w:color w:val="auto"/>
                <w:w w:val="89"/>
              </w:rPr>
              <w:t>2004</w:t>
            </w: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2005</w:t>
            </w:r>
          </w:p>
        </w:tc>
        <w:tc>
          <w:tcPr>
            <w:tcW w:w="16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5"/>
                <w:szCs w:val="15"/>
                <w:b w:val="1"/>
                <w:bCs w:val="1"/>
                <w:color w:val="auto"/>
              </w:rPr>
              <w:t>Var</w:t>
            </w:r>
          </w:p>
        </w:tc>
      </w:tr>
      <w:tr>
        <w:trPr>
          <w:trHeight w:val="160"/>
        </w:trPr>
        <w:tc>
          <w:tcPr>
            <w:tcW w:w="6280" w:type="dxa"/>
            <w:vAlign w:val="bottom"/>
          </w:tcPr>
          <w:p>
            <w:pPr>
              <w:spacing w:after="0" w:line="160" w:lineRule="exact"/>
              <w:rPr>
                <w:sz w:val="20"/>
                <w:szCs w:val="20"/>
                <w:color w:val="auto"/>
              </w:rPr>
            </w:pPr>
            <w:r>
              <w:rPr>
                <w:rFonts w:ascii="Arial" w:cs="Arial" w:eastAsia="Arial" w:hAnsi="Arial"/>
                <w:sz w:val="15"/>
                <w:szCs w:val="15"/>
                <w:color w:val="auto"/>
              </w:rPr>
              <w:t>Salaries and employee benefits</w:t>
            </w:r>
          </w:p>
        </w:tc>
        <w:tc>
          <w:tcPr>
            <w:tcW w:w="1820" w:type="dxa"/>
            <w:vAlign w:val="bottom"/>
          </w:tcPr>
          <w:p>
            <w:pPr>
              <w:jc w:val="center"/>
              <w:ind w:left="26"/>
              <w:spacing w:after="0" w:line="160" w:lineRule="exact"/>
              <w:rPr>
                <w:sz w:val="20"/>
                <w:szCs w:val="20"/>
                <w:color w:val="auto"/>
              </w:rPr>
            </w:pPr>
            <w:r>
              <w:rPr>
                <w:rFonts w:ascii="Arial" w:cs="Arial" w:eastAsia="Arial" w:hAnsi="Arial"/>
                <w:sz w:val="15"/>
                <w:szCs w:val="15"/>
                <w:color w:val="auto"/>
                <w:w w:val="85"/>
              </w:rPr>
              <w:t>189.0</w:t>
            </w:r>
          </w:p>
        </w:tc>
        <w:tc>
          <w:tcPr>
            <w:tcW w:w="1660" w:type="dxa"/>
            <w:vAlign w:val="bottom"/>
          </w:tcPr>
          <w:p>
            <w:pPr>
              <w:jc w:val="center"/>
              <w:spacing w:after="0" w:line="160" w:lineRule="exact"/>
              <w:rPr>
                <w:sz w:val="20"/>
                <w:szCs w:val="20"/>
                <w:color w:val="auto"/>
              </w:rPr>
            </w:pPr>
            <w:r>
              <w:rPr>
                <w:rFonts w:ascii="Arial" w:cs="Arial" w:eastAsia="Arial" w:hAnsi="Arial"/>
                <w:sz w:val="15"/>
                <w:szCs w:val="15"/>
                <w:color w:val="auto"/>
                <w:w w:val="90"/>
              </w:rPr>
              <w:t>206.7</w:t>
            </w:r>
          </w:p>
        </w:tc>
        <w:tc>
          <w:tcPr>
            <w:tcW w:w="1660" w:type="dxa"/>
            <w:vAlign w:val="bottom"/>
          </w:tcPr>
          <w:p>
            <w:pPr>
              <w:jc w:val="center"/>
              <w:ind w:left="86"/>
              <w:spacing w:after="0" w:line="160" w:lineRule="exact"/>
              <w:rPr>
                <w:sz w:val="20"/>
                <w:szCs w:val="20"/>
                <w:color w:val="auto"/>
              </w:rPr>
            </w:pPr>
            <w:r>
              <w:rPr>
                <w:rFonts w:ascii="Arial" w:cs="Arial" w:eastAsia="Arial" w:hAnsi="Arial"/>
                <w:sz w:val="15"/>
                <w:szCs w:val="15"/>
                <w:color w:val="auto"/>
                <w:w w:val="87"/>
              </w:rPr>
              <w:t>9.4%</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General, administrative, and taxes</w:t>
            </w:r>
          </w:p>
        </w:tc>
        <w:tc>
          <w:tcPr>
            <w:tcW w:w="1820" w:type="dxa"/>
            <w:vAlign w:val="bottom"/>
          </w:tcPr>
          <w:p>
            <w:pPr>
              <w:jc w:val="center"/>
              <w:ind w:left="26"/>
              <w:spacing w:after="0" w:line="162" w:lineRule="exact"/>
              <w:rPr>
                <w:sz w:val="20"/>
                <w:szCs w:val="20"/>
                <w:color w:val="auto"/>
              </w:rPr>
            </w:pPr>
            <w:r>
              <w:rPr>
                <w:rFonts w:ascii="Arial" w:cs="Arial" w:eastAsia="Arial" w:hAnsi="Arial"/>
                <w:sz w:val="15"/>
                <w:szCs w:val="15"/>
                <w:color w:val="auto"/>
                <w:w w:val="85"/>
              </w:rPr>
              <w:t>153.7</w:t>
            </w:r>
          </w:p>
        </w:tc>
        <w:tc>
          <w:tcPr>
            <w:tcW w:w="1660" w:type="dxa"/>
            <w:vAlign w:val="bottom"/>
          </w:tcPr>
          <w:p>
            <w:pPr>
              <w:jc w:val="center"/>
              <w:spacing w:after="0" w:line="162" w:lineRule="exact"/>
              <w:rPr>
                <w:sz w:val="20"/>
                <w:szCs w:val="20"/>
                <w:color w:val="auto"/>
              </w:rPr>
            </w:pPr>
            <w:r>
              <w:rPr>
                <w:rFonts w:ascii="Arial" w:cs="Arial" w:eastAsia="Arial" w:hAnsi="Arial"/>
                <w:sz w:val="15"/>
                <w:szCs w:val="15"/>
                <w:color w:val="auto"/>
                <w:w w:val="90"/>
              </w:rPr>
              <w:t>138.3</w:t>
            </w:r>
          </w:p>
        </w:tc>
        <w:tc>
          <w:tcPr>
            <w:tcW w:w="1660" w:type="dxa"/>
            <w:vAlign w:val="bottom"/>
          </w:tcPr>
          <w:p>
            <w:pPr>
              <w:jc w:val="center"/>
              <w:ind w:left="66"/>
              <w:spacing w:after="0" w:line="162" w:lineRule="exact"/>
              <w:rPr>
                <w:sz w:val="20"/>
                <w:szCs w:val="20"/>
                <w:color w:val="auto"/>
              </w:rPr>
            </w:pPr>
            <w:r>
              <w:rPr>
                <w:rFonts w:ascii="Arial" w:cs="Arial" w:eastAsia="Arial" w:hAnsi="Arial"/>
                <w:sz w:val="15"/>
                <w:szCs w:val="15"/>
                <w:color w:val="auto"/>
                <w:w w:val="92"/>
              </w:rPr>
              <w:t>-10.0%</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Depreciation and amortization</w:t>
            </w:r>
          </w:p>
        </w:tc>
        <w:tc>
          <w:tcPr>
            <w:tcW w:w="1820" w:type="dxa"/>
            <w:vAlign w:val="bottom"/>
          </w:tcPr>
          <w:p>
            <w:pPr>
              <w:jc w:val="center"/>
              <w:ind w:left="46"/>
              <w:spacing w:after="0" w:line="162" w:lineRule="exact"/>
              <w:rPr>
                <w:sz w:val="20"/>
                <w:szCs w:val="20"/>
                <w:color w:val="auto"/>
              </w:rPr>
            </w:pPr>
            <w:r>
              <w:rPr>
                <w:rFonts w:ascii="Arial" w:cs="Arial" w:eastAsia="Arial" w:hAnsi="Arial"/>
                <w:sz w:val="15"/>
                <w:szCs w:val="15"/>
                <w:color w:val="auto"/>
                <w:w w:val="88"/>
              </w:rPr>
              <w:t>46.6</w:t>
            </w:r>
          </w:p>
        </w:tc>
        <w:tc>
          <w:tcPr>
            <w:tcW w:w="1660" w:type="dxa"/>
            <w:vAlign w:val="bottom"/>
          </w:tcPr>
          <w:p>
            <w:pPr>
              <w:jc w:val="center"/>
              <w:spacing w:after="0" w:line="162" w:lineRule="exact"/>
              <w:rPr>
                <w:sz w:val="20"/>
                <w:szCs w:val="20"/>
                <w:color w:val="auto"/>
              </w:rPr>
            </w:pPr>
            <w:r>
              <w:rPr>
                <w:rFonts w:ascii="Arial" w:cs="Arial" w:eastAsia="Arial" w:hAnsi="Arial"/>
                <w:sz w:val="15"/>
                <w:szCs w:val="15"/>
                <w:color w:val="auto"/>
                <w:w w:val="88"/>
              </w:rPr>
              <w:t>38.9</w:t>
            </w:r>
          </w:p>
        </w:tc>
        <w:tc>
          <w:tcPr>
            <w:tcW w:w="1660" w:type="dxa"/>
            <w:vAlign w:val="bottom"/>
          </w:tcPr>
          <w:p>
            <w:pPr>
              <w:jc w:val="center"/>
              <w:ind w:left="66"/>
              <w:spacing w:after="0" w:line="162" w:lineRule="exact"/>
              <w:rPr>
                <w:sz w:val="20"/>
                <w:szCs w:val="20"/>
                <w:color w:val="auto"/>
              </w:rPr>
            </w:pPr>
            <w:r>
              <w:rPr>
                <w:rFonts w:ascii="Arial" w:cs="Arial" w:eastAsia="Arial" w:hAnsi="Arial"/>
                <w:sz w:val="15"/>
                <w:szCs w:val="15"/>
                <w:color w:val="auto"/>
                <w:w w:val="92"/>
              </w:rPr>
              <w:t>-16.6%</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Other</w:t>
            </w:r>
          </w:p>
        </w:tc>
        <w:tc>
          <w:tcPr>
            <w:tcW w:w="1820" w:type="dxa"/>
            <w:vAlign w:val="bottom"/>
          </w:tcPr>
          <w:p>
            <w:pPr>
              <w:jc w:val="center"/>
              <w:ind w:left="46"/>
              <w:spacing w:after="0" w:line="162" w:lineRule="exact"/>
              <w:rPr>
                <w:sz w:val="20"/>
                <w:szCs w:val="20"/>
                <w:color w:val="auto"/>
              </w:rPr>
            </w:pPr>
            <w:r>
              <w:rPr>
                <w:rFonts w:ascii="Arial" w:cs="Arial" w:eastAsia="Arial" w:hAnsi="Arial"/>
                <w:sz w:val="15"/>
                <w:szCs w:val="15"/>
                <w:color w:val="auto"/>
                <w:w w:val="88"/>
              </w:rPr>
              <w:t>91.1</w:t>
            </w:r>
          </w:p>
        </w:tc>
        <w:tc>
          <w:tcPr>
            <w:tcW w:w="1660" w:type="dxa"/>
            <w:vAlign w:val="bottom"/>
          </w:tcPr>
          <w:p>
            <w:pPr>
              <w:jc w:val="center"/>
              <w:spacing w:after="0" w:line="162" w:lineRule="exact"/>
              <w:rPr>
                <w:sz w:val="20"/>
                <w:szCs w:val="20"/>
                <w:color w:val="auto"/>
              </w:rPr>
            </w:pPr>
            <w:r>
              <w:rPr>
                <w:rFonts w:ascii="Arial" w:cs="Arial" w:eastAsia="Arial" w:hAnsi="Arial"/>
                <w:sz w:val="15"/>
                <w:szCs w:val="15"/>
                <w:color w:val="auto"/>
                <w:w w:val="88"/>
              </w:rPr>
              <w:t>84.0</w:t>
            </w:r>
          </w:p>
        </w:tc>
        <w:tc>
          <w:tcPr>
            <w:tcW w:w="1660" w:type="dxa"/>
            <w:vAlign w:val="bottom"/>
          </w:tcPr>
          <w:p>
            <w:pPr>
              <w:jc w:val="center"/>
              <w:ind w:left="66"/>
              <w:spacing w:after="0" w:line="162" w:lineRule="exact"/>
              <w:rPr>
                <w:sz w:val="20"/>
                <w:szCs w:val="20"/>
                <w:color w:val="auto"/>
              </w:rPr>
            </w:pPr>
            <w:r>
              <w:rPr>
                <w:rFonts w:ascii="Arial" w:cs="Arial" w:eastAsia="Arial" w:hAnsi="Arial"/>
                <w:sz w:val="15"/>
                <w:szCs w:val="15"/>
                <w:color w:val="auto"/>
                <w:w w:val="91"/>
              </w:rPr>
              <w:t>-7.8%</w:t>
            </w:r>
          </w:p>
        </w:tc>
      </w:tr>
      <w:tr>
        <w:trPr>
          <w:trHeight w:val="158"/>
        </w:trPr>
        <w:tc>
          <w:tcPr>
            <w:tcW w:w="6280" w:type="dxa"/>
            <w:vAlign w:val="bottom"/>
          </w:tcPr>
          <w:p>
            <w:pPr>
              <w:spacing w:after="0" w:line="158" w:lineRule="exact"/>
              <w:rPr>
                <w:sz w:val="20"/>
                <w:szCs w:val="20"/>
                <w:color w:val="auto"/>
              </w:rPr>
            </w:pPr>
            <w:r>
              <w:rPr>
                <w:rFonts w:ascii="Arial" w:cs="Arial" w:eastAsia="Arial" w:hAnsi="Arial"/>
                <w:sz w:val="15"/>
                <w:szCs w:val="15"/>
                <w:color w:val="auto"/>
              </w:rPr>
              <w:t>Merger costs</w:t>
            </w:r>
          </w:p>
        </w:tc>
        <w:tc>
          <w:tcPr>
            <w:tcW w:w="1820" w:type="dxa"/>
            <w:vAlign w:val="bottom"/>
          </w:tcPr>
          <w:p>
            <w:pPr>
              <w:jc w:val="center"/>
              <w:ind w:left="26"/>
              <w:spacing w:after="0" w:line="158" w:lineRule="exact"/>
              <w:rPr>
                <w:sz w:val="20"/>
                <w:szCs w:val="20"/>
                <w:color w:val="auto"/>
              </w:rPr>
            </w:pPr>
            <w:r>
              <w:rPr>
                <w:rFonts w:ascii="Arial" w:cs="Arial" w:eastAsia="Arial" w:hAnsi="Arial"/>
                <w:sz w:val="15"/>
                <w:szCs w:val="15"/>
                <w:color w:val="auto"/>
                <w:w w:val="95"/>
              </w:rPr>
              <w:t>3.7</w:t>
            </w:r>
          </w:p>
        </w:tc>
        <w:tc>
          <w:tcPr>
            <w:tcW w:w="1660" w:type="dxa"/>
            <w:vAlign w:val="bottom"/>
          </w:tcPr>
          <w:p>
            <w:pPr>
              <w:jc w:val="center"/>
              <w:spacing w:after="0" w:line="158" w:lineRule="exact"/>
              <w:rPr>
                <w:sz w:val="20"/>
                <w:szCs w:val="20"/>
                <w:color w:val="auto"/>
              </w:rPr>
            </w:pPr>
            <w:r>
              <w:rPr>
                <w:rFonts w:ascii="Arial" w:cs="Arial" w:eastAsia="Arial" w:hAnsi="Arial"/>
                <w:sz w:val="15"/>
                <w:szCs w:val="15"/>
                <w:color w:val="auto"/>
                <w:w w:val="86"/>
              </w:rPr>
              <w:t>0.0</w:t>
            </w:r>
          </w:p>
        </w:tc>
        <w:tc>
          <w:tcPr>
            <w:tcW w:w="1660" w:type="dxa"/>
            <w:vAlign w:val="bottom"/>
          </w:tcPr>
          <w:p>
            <w:pPr>
              <w:jc w:val="center"/>
              <w:ind w:left="86"/>
              <w:spacing w:after="0" w:line="158" w:lineRule="exact"/>
              <w:rPr>
                <w:sz w:val="20"/>
                <w:szCs w:val="20"/>
                <w:color w:val="auto"/>
              </w:rPr>
            </w:pPr>
            <w:r>
              <w:rPr>
                <w:rFonts w:ascii="Arial" w:cs="Arial" w:eastAsia="Arial" w:hAnsi="Arial"/>
                <w:sz w:val="15"/>
                <w:szCs w:val="15"/>
                <w:color w:val="auto"/>
                <w:w w:val="89"/>
              </w:rPr>
              <w:t>-100.0%</w:t>
            </w:r>
          </w:p>
        </w:tc>
      </w:tr>
      <w:tr>
        <w:trPr>
          <w:trHeight w:val="175"/>
        </w:trPr>
        <w:tc>
          <w:tcPr>
            <w:tcW w:w="62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Other Expenses</w:t>
            </w:r>
          </w:p>
        </w:tc>
        <w:tc>
          <w:tcPr>
            <w:tcW w:w="1820" w:type="dxa"/>
            <w:vAlign w:val="bottom"/>
          </w:tcPr>
          <w:p>
            <w:pPr>
              <w:jc w:val="center"/>
              <w:ind w:left="26"/>
              <w:spacing w:after="0"/>
              <w:rPr>
                <w:sz w:val="20"/>
                <w:szCs w:val="20"/>
                <w:color w:val="auto"/>
              </w:rPr>
            </w:pPr>
            <w:r>
              <w:rPr>
                <w:rFonts w:ascii="Arial" w:cs="Arial" w:eastAsia="Arial" w:hAnsi="Arial"/>
                <w:sz w:val="15"/>
                <w:szCs w:val="15"/>
                <w:b w:val="1"/>
                <w:bCs w:val="1"/>
                <w:color w:val="auto"/>
                <w:w w:val="85"/>
              </w:rPr>
              <w:t>484.1</w:t>
            </w: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w w:val="90"/>
              </w:rPr>
              <w:t>467.8</w:t>
            </w:r>
          </w:p>
        </w:tc>
        <w:tc>
          <w:tcPr>
            <w:tcW w:w="1660" w:type="dxa"/>
            <w:vAlign w:val="bottom"/>
          </w:tcPr>
          <w:p>
            <w:pPr>
              <w:jc w:val="center"/>
              <w:ind w:left="86"/>
              <w:spacing w:after="0"/>
              <w:rPr>
                <w:sz w:val="20"/>
                <w:szCs w:val="20"/>
                <w:color w:val="auto"/>
              </w:rPr>
            </w:pPr>
            <w:r>
              <w:rPr>
                <w:rFonts w:ascii="Arial" w:cs="Arial" w:eastAsia="Arial" w:hAnsi="Arial"/>
                <w:sz w:val="15"/>
                <w:szCs w:val="15"/>
                <w:b w:val="1"/>
                <w:bCs w:val="1"/>
                <w:color w:val="auto"/>
                <w:w w:val="96"/>
              </w:rPr>
              <w:t>-3.4%</w:t>
            </w:r>
          </w:p>
        </w:tc>
      </w:tr>
    </w:tbl>
    <w:p>
      <w:pPr>
        <w:spacing w:after="0" w:line="200" w:lineRule="exact"/>
        <w:rPr>
          <w:sz w:val="20"/>
          <w:szCs w:val="20"/>
          <w:color w:val="auto"/>
        </w:rPr>
      </w:pPr>
    </w:p>
    <w:p>
      <w:pPr>
        <w:spacing w:after="0" w:line="245"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u w:val="single" w:color="auto"/>
          <w:color w:val="auto"/>
        </w:rPr>
        <w:t>Note</w:t>
      </w:r>
      <w:r>
        <w:rPr>
          <w:rFonts w:ascii="Arial" w:cs="Arial" w:eastAsia="Arial" w:hAnsi="Arial"/>
          <w:sz w:val="21"/>
          <w:szCs w:val="21"/>
          <w:color w:val="auto"/>
        </w:rPr>
        <w:t xml:space="preserve"> : Starting with 2005 reports, the determination of the </w:t>
      </w:r>
      <w:r>
        <w:rPr>
          <w:rFonts w:ascii="Arial" w:cs="Arial" w:eastAsia="Arial" w:hAnsi="Arial"/>
          <w:sz w:val="21"/>
          <w:szCs w:val="21"/>
          <w:b w:val="1"/>
          <w:bCs w:val="1"/>
          <w:color w:val="auto"/>
        </w:rPr>
        <w:t>efficiency ratio</w:t>
      </w:r>
      <w:r>
        <w:rPr>
          <w:rFonts w:ascii="Arial" w:cs="Arial" w:eastAsia="Arial" w:hAnsi="Arial"/>
          <w:sz w:val="21"/>
          <w:szCs w:val="21"/>
          <w:color w:val="auto"/>
        </w:rPr>
        <w:t xml:space="preserve"> has been simplified by using only specific line items that are shown in the income statement (see Table No. 2). Additionally, the reclassifications noted at the beginning of this section affected the ratio. The efficiency ratio will be determined based on the following concepts:</w:t>
      </w:r>
    </w:p>
    <w:p>
      <w:pPr>
        <w:spacing w:after="0" w:line="2" w:lineRule="exact"/>
        <w:rPr>
          <w:sz w:val="20"/>
          <w:szCs w:val="20"/>
          <w:color w:val="auto"/>
        </w:rPr>
      </w:pPr>
    </w:p>
    <w:p>
      <w:pPr>
        <w:ind w:right="500" w:firstLine="8"/>
        <w:spacing w:after="0" w:line="230" w:lineRule="auto"/>
        <w:tabs>
          <w:tab w:leader="none" w:pos="126" w:val="left"/>
        </w:tabs>
        <w:numPr>
          <w:ilvl w:val="0"/>
          <w:numId w:val="7"/>
        </w:numPr>
        <w:rPr>
          <w:rFonts w:ascii="Arial" w:cs="Arial" w:eastAsia="Arial" w:hAnsi="Arial"/>
          <w:sz w:val="22"/>
          <w:szCs w:val="22"/>
          <w:color w:val="auto"/>
        </w:rPr>
      </w:pPr>
      <w:r>
        <w:rPr>
          <w:rFonts w:ascii="Arial" w:cs="Arial" w:eastAsia="Arial" w:hAnsi="Arial"/>
          <w:sz w:val="22"/>
          <w:szCs w:val="22"/>
          <w:color w:val="auto"/>
        </w:rPr>
        <w:t>- In the numerator or “operating expenses”: i) salaries and personnel expenses, ii) general expenses, and iii) depreciation and amortization.</w:t>
      </w:r>
    </w:p>
    <w:p>
      <w:pPr>
        <w:spacing w:after="0" w:line="1" w:lineRule="exact"/>
        <w:rPr>
          <w:rFonts w:ascii="Arial" w:cs="Arial" w:eastAsia="Arial" w:hAnsi="Arial"/>
          <w:sz w:val="22"/>
          <w:szCs w:val="22"/>
          <w:color w:val="auto"/>
        </w:rPr>
      </w:pPr>
    </w:p>
    <w:p>
      <w:pPr>
        <w:ind w:right="860" w:firstLine="8"/>
        <w:spacing w:after="0" w:line="237" w:lineRule="auto"/>
        <w:tabs>
          <w:tab w:leader="none" w:pos="126" w:val="left"/>
        </w:tabs>
        <w:numPr>
          <w:ilvl w:val="0"/>
          <w:numId w:val="7"/>
        </w:numPr>
        <w:rPr>
          <w:rFonts w:ascii="Arial" w:cs="Arial" w:eastAsia="Arial" w:hAnsi="Arial"/>
          <w:sz w:val="22"/>
          <w:szCs w:val="22"/>
          <w:color w:val="auto"/>
        </w:rPr>
      </w:pPr>
      <w:r>
        <w:rPr>
          <w:rFonts w:ascii="Arial" w:cs="Arial" w:eastAsia="Arial" w:hAnsi="Arial"/>
          <w:sz w:val="22"/>
          <w:szCs w:val="22"/>
          <w:color w:val="auto"/>
        </w:rPr>
        <w:t>- In the denominator: i) net interest income, ii) fees and commissions on banking services, iii) gains on foreign exchange transactions, and iv) net premiums earned.</w:t>
      </w:r>
    </w:p>
    <w:p>
      <w:pPr>
        <w:spacing w:after="0" w:line="179" w:lineRule="exact"/>
        <w:rPr>
          <w:sz w:val="20"/>
          <w:szCs w:val="20"/>
          <w:color w:val="auto"/>
        </w:rPr>
      </w:pPr>
    </w:p>
    <w:p>
      <w:pPr>
        <w:ind w:right="200"/>
        <w:spacing w:after="0" w:line="243" w:lineRule="auto"/>
        <w:rPr>
          <w:sz w:val="20"/>
          <w:szCs w:val="20"/>
          <w:color w:val="auto"/>
        </w:rPr>
      </w:pPr>
      <w:r>
        <w:rPr>
          <w:rFonts w:ascii="Arial" w:cs="Arial" w:eastAsia="Arial" w:hAnsi="Arial"/>
          <w:sz w:val="22"/>
          <w:szCs w:val="22"/>
          <w:color w:val="auto"/>
        </w:rPr>
        <w:t xml:space="preserve">Thus </w:t>
      </w:r>
      <w:r>
        <w:rPr>
          <w:rFonts w:ascii="Arial" w:cs="Arial" w:eastAsia="Arial" w:hAnsi="Arial"/>
          <w:sz w:val="22"/>
          <w:szCs w:val="22"/>
          <w:b w:val="1"/>
          <w:bCs w:val="1"/>
          <w:color w:val="auto"/>
        </w:rPr>
        <w:t>the efficiency ratio</w:t>
      </w:r>
      <w:r>
        <w:rPr>
          <w:rFonts w:ascii="Arial" w:cs="Arial" w:eastAsia="Arial" w:hAnsi="Arial"/>
          <w:sz w:val="22"/>
          <w:szCs w:val="22"/>
          <w:color w:val="auto"/>
        </w:rPr>
        <w:t xml:space="preserve"> improves from 48.6% to 42.9%, comparing results for the years 2004 and 2005, respectively; while operating expenses, as a percentage of average total assets, improved from 4.5% in 2004 to 4.0% in 2005. These numbers surpass the Company’s internal targets for the year.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ASSETS AND LIABILITIES</w:t>
      </w:r>
    </w:p>
    <w:p>
      <w:pPr>
        <w:spacing w:after="0" w:line="206"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 xml:space="preserve">Credicorp’s </w:t>
      </w:r>
      <w:r>
        <w:rPr>
          <w:rFonts w:ascii="Arial" w:cs="Arial" w:eastAsia="Arial" w:hAnsi="Arial"/>
          <w:sz w:val="22"/>
          <w:szCs w:val="22"/>
          <w:b w:val="1"/>
          <w:bCs w:val="1"/>
          <w:color w:val="auto"/>
        </w:rPr>
        <w:t>total assets</w:t>
      </w:r>
      <w:r>
        <w:rPr>
          <w:rFonts w:ascii="Arial" w:cs="Arial" w:eastAsia="Arial" w:hAnsi="Arial"/>
          <w:sz w:val="22"/>
          <w:szCs w:val="22"/>
          <w:color w:val="auto"/>
        </w:rPr>
        <w:t xml:space="preserve"> indicate the strong expansion of the businesses. Total assets reached US$ 11.050 billion as of December 31, 2005, increasing 21.1% compared with the same period of 2004. As noted in interest income, the strongest growth in the year’s fourth quarter is reported mainly in the investment portfolio, growing 32.5%, and its deposits&amp;cash position, up 45% during 2005. This unusual growth in deposits&amp;cash is the result of a heavy position in US dollars acquired to cover the exposure related to the sale of dollars "forward" due to demand from corporate customers in the face of the exchange-rate volatility during December, as a result of political events.</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Although the investment portfolio posted the highest growth rate and, during 4Q05, the corporate portfolio indicated a reactivation in the growth rate, for the twelve month period, it was BCP’s strategy of focusing on the retail segments that led to solid results and loan growth, reaching 11.12% per year, a quite satisfactory level given the financial environment (With a high degree of disintermediation in the capital market).</w:t>
      </w:r>
    </w:p>
    <w:p>
      <w:pPr>
        <w:spacing w:after="0" w:line="179"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b w:val="1"/>
          <w:bCs w:val="1"/>
          <w:color w:val="auto"/>
        </w:rPr>
        <w:t xml:space="preserve">Total loans </w:t>
      </w:r>
      <w:r>
        <w:rPr>
          <w:rFonts w:ascii="Arial" w:cs="Arial" w:eastAsia="Arial" w:hAnsi="Arial"/>
          <w:sz w:val="19"/>
          <w:szCs w:val="19"/>
          <w:color w:val="auto"/>
        </w:rPr>
        <w:t>at the end of December 2005 were US$ 5.014 billion, 9.3% greater that the balance at December 2004. Interestingly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however, </w:t>
      </w:r>
      <w:r>
        <w:rPr>
          <w:rFonts w:ascii="Arial" w:cs="Arial" w:eastAsia="Arial" w:hAnsi="Arial"/>
          <w:sz w:val="19"/>
          <w:szCs w:val="19"/>
          <w:b w:val="1"/>
          <w:bCs w:val="1"/>
          <w:u w:val="single" w:color="auto"/>
          <w:color w:val="auto"/>
        </w:rPr>
        <w:t>net</w:t>
      </w:r>
      <w:r>
        <w:rPr>
          <w:rFonts w:ascii="Arial" w:cs="Arial" w:eastAsia="Arial" w:hAnsi="Arial"/>
          <w:sz w:val="19"/>
          <w:szCs w:val="19"/>
          <w:color w:val="auto"/>
        </w:rPr>
        <w:t xml:space="preserve"> loans rose at a better rate of 11.1%, thanks to a significant improvement in portfolio quality following the reactivation and continuous growth in the Peruvian economy, as well as the credit policies put into practice. This led to a reduction in past due loans and the reserves for bad loans in portfolio, with a consequent improvement in the portfolio quality ratios.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The portfolio quality indicators show the following trend: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9"/>
        </w:trPr>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(In US$ millions)</w:t>
            </w:r>
          </w:p>
        </w:tc>
        <w:tc>
          <w:tcPr>
            <w:tcW w:w="3960" w:type="dxa"/>
            <w:vAlign w:val="bottom"/>
            <w:tcBorders>
              <w:top w:val="single" w:sz="8" w:color="auto"/>
              <w:bottom w:val="single" w:sz="8" w:color="auto"/>
            </w:tcBorders>
          </w:tcPr>
          <w:p>
            <w:pPr>
              <w:jc w:val="center"/>
              <w:ind w:left="2166"/>
              <w:spacing w:after="0"/>
              <w:rPr>
                <w:sz w:val="20"/>
                <w:szCs w:val="20"/>
                <w:color w:val="auto"/>
              </w:rPr>
            </w:pPr>
            <w:r>
              <w:rPr>
                <w:rFonts w:ascii="Arial" w:cs="Arial" w:eastAsia="Arial" w:hAnsi="Arial"/>
                <w:sz w:val="15"/>
                <w:szCs w:val="15"/>
                <w:b w:val="1"/>
                <w:bCs w:val="1"/>
                <w:color w:val="auto"/>
                <w:w w:val="88"/>
              </w:rPr>
              <w:t>31.12.04</w:t>
            </w:r>
          </w:p>
        </w:tc>
        <w:tc>
          <w:tcPr>
            <w:tcW w:w="1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31.12.05</w:t>
            </w:r>
          </w:p>
        </w:tc>
        <w:tc>
          <w:tcPr>
            <w:tcW w:w="15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5"/>
                <w:szCs w:val="15"/>
                <w:b w:val="1"/>
                <w:bCs w:val="1"/>
                <w:color w:val="auto"/>
              </w:rPr>
              <w:t>Var</w:t>
            </w:r>
          </w:p>
        </w:tc>
      </w:tr>
      <w:tr>
        <w:trPr>
          <w:trHeight w:val="160"/>
        </w:trPr>
        <w:tc>
          <w:tcPr>
            <w:tcW w:w="4140" w:type="dxa"/>
            <w:vAlign w:val="bottom"/>
          </w:tcPr>
          <w:p>
            <w:pPr>
              <w:spacing w:after="0" w:line="160" w:lineRule="exact"/>
              <w:rPr>
                <w:sz w:val="20"/>
                <w:szCs w:val="20"/>
                <w:color w:val="auto"/>
              </w:rPr>
            </w:pPr>
            <w:r>
              <w:rPr>
                <w:rFonts w:ascii="Arial" w:cs="Arial" w:eastAsia="Arial" w:hAnsi="Arial"/>
                <w:sz w:val="15"/>
                <w:szCs w:val="15"/>
                <w:color w:val="auto"/>
              </w:rPr>
              <w:t>Total loans</w:t>
            </w:r>
          </w:p>
        </w:tc>
        <w:tc>
          <w:tcPr>
            <w:tcW w:w="3960" w:type="dxa"/>
            <w:vAlign w:val="bottom"/>
          </w:tcPr>
          <w:p>
            <w:pPr>
              <w:jc w:val="center"/>
              <w:ind w:left="2166"/>
              <w:spacing w:after="0" w:line="160" w:lineRule="exact"/>
              <w:rPr>
                <w:sz w:val="20"/>
                <w:szCs w:val="20"/>
                <w:color w:val="auto"/>
              </w:rPr>
            </w:pPr>
            <w:r>
              <w:rPr>
                <w:rFonts w:ascii="Arial" w:cs="Arial" w:eastAsia="Arial" w:hAnsi="Arial"/>
                <w:sz w:val="15"/>
                <w:szCs w:val="15"/>
                <w:color w:val="auto"/>
                <w:w w:val="87"/>
              </w:rPr>
              <w:t>4,588.0</w:t>
            </w:r>
          </w:p>
        </w:tc>
        <w:tc>
          <w:tcPr>
            <w:tcW w:w="1740" w:type="dxa"/>
            <w:vAlign w:val="bottom"/>
          </w:tcPr>
          <w:p>
            <w:pPr>
              <w:jc w:val="center"/>
              <w:spacing w:after="0" w:line="160" w:lineRule="exact"/>
              <w:rPr>
                <w:sz w:val="20"/>
                <w:szCs w:val="20"/>
                <w:color w:val="auto"/>
              </w:rPr>
            </w:pPr>
            <w:r>
              <w:rPr>
                <w:rFonts w:ascii="Arial" w:cs="Arial" w:eastAsia="Arial" w:hAnsi="Arial"/>
                <w:sz w:val="15"/>
                <w:szCs w:val="15"/>
                <w:color w:val="auto"/>
                <w:w w:val="87"/>
              </w:rPr>
              <w:t>5,014.3</w:t>
            </w:r>
          </w:p>
        </w:tc>
        <w:tc>
          <w:tcPr>
            <w:tcW w:w="1580" w:type="dxa"/>
            <w:vAlign w:val="bottom"/>
          </w:tcPr>
          <w:p>
            <w:pPr>
              <w:jc w:val="center"/>
              <w:ind w:left="6"/>
              <w:spacing w:after="0" w:line="160" w:lineRule="exact"/>
              <w:rPr>
                <w:sz w:val="20"/>
                <w:szCs w:val="20"/>
                <w:color w:val="auto"/>
              </w:rPr>
            </w:pPr>
            <w:r>
              <w:rPr>
                <w:rFonts w:ascii="Arial" w:cs="Arial" w:eastAsia="Arial" w:hAnsi="Arial"/>
                <w:sz w:val="15"/>
                <w:szCs w:val="15"/>
                <w:color w:val="auto"/>
                <w:w w:val="87"/>
              </w:rPr>
              <w:t>9.3%</w:t>
            </w:r>
          </w:p>
        </w:tc>
      </w:tr>
      <w:tr>
        <w:trPr>
          <w:trHeight w:val="162"/>
        </w:trPr>
        <w:tc>
          <w:tcPr>
            <w:tcW w:w="4140" w:type="dxa"/>
            <w:vAlign w:val="bottom"/>
          </w:tcPr>
          <w:p>
            <w:pPr>
              <w:spacing w:after="0" w:line="162" w:lineRule="exact"/>
              <w:rPr>
                <w:sz w:val="20"/>
                <w:szCs w:val="20"/>
                <w:color w:val="auto"/>
              </w:rPr>
            </w:pPr>
            <w:r>
              <w:rPr>
                <w:rFonts w:ascii="Arial" w:cs="Arial" w:eastAsia="Arial" w:hAnsi="Arial"/>
                <w:sz w:val="15"/>
                <w:szCs w:val="15"/>
                <w:color w:val="auto"/>
              </w:rPr>
              <w:t>Past due loans</w:t>
            </w:r>
          </w:p>
        </w:tc>
        <w:tc>
          <w:tcPr>
            <w:tcW w:w="3960" w:type="dxa"/>
            <w:vAlign w:val="bottom"/>
          </w:tcPr>
          <w:p>
            <w:pPr>
              <w:jc w:val="center"/>
              <w:ind w:left="2166"/>
              <w:spacing w:after="0" w:line="162" w:lineRule="exact"/>
              <w:rPr>
                <w:sz w:val="20"/>
                <w:szCs w:val="20"/>
                <w:color w:val="auto"/>
              </w:rPr>
            </w:pPr>
            <w:r>
              <w:rPr>
                <w:rFonts w:ascii="Arial" w:cs="Arial" w:eastAsia="Arial" w:hAnsi="Arial"/>
                <w:sz w:val="15"/>
                <w:szCs w:val="15"/>
                <w:color w:val="auto"/>
                <w:w w:val="85"/>
              </w:rPr>
              <w:t>160.4</w:t>
            </w:r>
          </w:p>
        </w:tc>
        <w:tc>
          <w:tcPr>
            <w:tcW w:w="1740" w:type="dxa"/>
            <w:vAlign w:val="bottom"/>
          </w:tcPr>
          <w:p>
            <w:pPr>
              <w:jc w:val="center"/>
              <w:spacing w:after="0" w:line="162" w:lineRule="exact"/>
              <w:rPr>
                <w:sz w:val="20"/>
                <w:szCs w:val="20"/>
                <w:color w:val="auto"/>
              </w:rPr>
            </w:pPr>
            <w:r>
              <w:rPr>
                <w:rFonts w:ascii="Arial" w:cs="Arial" w:eastAsia="Arial" w:hAnsi="Arial"/>
                <w:sz w:val="15"/>
                <w:szCs w:val="15"/>
                <w:color w:val="auto"/>
                <w:w w:val="88"/>
              </w:rPr>
              <w:t>97.4</w:t>
            </w:r>
          </w:p>
        </w:tc>
        <w:tc>
          <w:tcPr>
            <w:tcW w:w="1580" w:type="dxa"/>
            <w:vAlign w:val="bottom"/>
          </w:tcPr>
          <w:p>
            <w:pPr>
              <w:jc w:val="center"/>
              <w:spacing w:after="0" w:line="162" w:lineRule="exact"/>
              <w:rPr>
                <w:sz w:val="20"/>
                <w:szCs w:val="20"/>
                <w:color w:val="auto"/>
              </w:rPr>
            </w:pPr>
            <w:r>
              <w:rPr>
                <w:rFonts w:ascii="Arial" w:cs="Arial" w:eastAsia="Arial" w:hAnsi="Arial"/>
                <w:sz w:val="15"/>
                <w:szCs w:val="15"/>
                <w:color w:val="auto"/>
                <w:w w:val="92"/>
              </w:rPr>
              <w:t>-39.3%</w:t>
            </w:r>
          </w:p>
        </w:tc>
      </w:tr>
      <w:tr>
        <w:trPr>
          <w:trHeight w:val="188"/>
        </w:trPr>
        <w:tc>
          <w:tcPr>
            <w:tcW w:w="4140" w:type="dxa"/>
            <w:vAlign w:val="bottom"/>
          </w:tcPr>
          <w:p>
            <w:pPr>
              <w:spacing w:after="0"/>
              <w:rPr>
                <w:sz w:val="20"/>
                <w:szCs w:val="20"/>
                <w:color w:val="auto"/>
              </w:rPr>
            </w:pPr>
            <w:r>
              <w:rPr>
                <w:rFonts w:ascii="Arial" w:cs="Arial" w:eastAsia="Arial" w:hAnsi="Arial"/>
                <w:sz w:val="15"/>
                <w:szCs w:val="15"/>
                <w:color w:val="auto"/>
              </w:rPr>
              <w:t>Loan loss reserves(1)</w:t>
            </w:r>
          </w:p>
        </w:tc>
        <w:tc>
          <w:tcPr>
            <w:tcW w:w="3960" w:type="dxa"/>
            <w:vAlign w:val="bottom"/>
          </w:tcPr>
          <w:p>
            <w:pPr>
              <w:jc w:val="center"/>
              <w:ind w:left="2166"/>
              <w:spacing w:after="0"/>
              <w:rPr>
                <w:sz w:val="20"/>
                <w:szCs w:val="20"/>
                <w:color w:val="auto"/>
              </w:rPr>
            </w:pPr>
            <w:r>
              <w:rPr>
                <w:rFonts w:ascii="Arial" w:cs="Arial" w:eastAsia="Arial" w:hAnsi="Arial"/>
                <w:sz w:val="15"/>
                <w:szCs w:val="15"/>
                <w:color w:val="auto"/>
                <w:w w:val="85"/>
              </w:rPr>
              <w:t>253.4</w:t>
            </w:r>
          </w:p>
        </w:tc>
        <w:tc>
          <w:tcPr>
            <w:tcW w:w="1740" w:type="dxa"/>
            <w:vAlign w:val="bottom"/>
          </w:tcPr>
          <w:p>
            <w:pPr>
              <w:jc w:val="center"/>
              <w:spacing w:after="0"/>
              <w:rPr>
                <w:sz w:val="20"/>
                <w:szCs w:val="20"/>
                <w:color w:val="auto"/>
              </w:rPr>
            </w:pPr>
            <w:r>
              <w:rPr>
                <w:rFonts w:ascii="Arial" w:cs="Arial" w:eastAsia="Arial" w:hAnsi="Arial"/>
                <w:sz w:val="15"/>
                <w:szCs w:val="15"/>
                <w:color w:val="auto"/>
                <w:w w:val="90"/>
              </w:rPr>
              <w:t>197.5</w:t>
            </w:r>
          </w:p>
        </w:tc>
        <w:tc>
          <w:tcPr>
            <w:tcW w:w="1580" w:type="dxa"/>
            <w:vAlign w:val="bottom"/>
          </w:tcPr>
          <w:p>
            <w:pPr>
              <w:jc w:val="center"/>
              <w:spacing w:after="0"/>
              <w:rPr>
                <w:sz w:val="20"/>
                <w:szCs w:val="20"/>
                <w:color w:val="auto"/>
              </w:rPr>
            </w:pPr>
            <w:r>
              <w:rPr>
                <w:rFonts w:ascii="Arial" w:cs="Arial" w:eastAsia="Arial" w:hAnsi="Arial"/>
                <w:sz w:val="15"/>
                <w:szCs w:val="15"/>
                <w:color w:val="auto"/>
                <w:w w:val="92"/>
              </w:rPr>
              <w:t>-22.1%</w:t>
            </w:r>
          </w:p>
        </w:tc>
      </w:tr>
      <w:tr>
        <w:trPr>
          <w:trHeight w:val="298"/>
        </w:trPr>
        <w:tc>
          <w:tcPr>
            <w:tcW w:w="4140" w:type="dxa"/>
            <w:vAlign w:val="bottom"/>
          </w:tcPr>
          <w:p>
            <w:pPr>
              <w:spacing w:after="0"/>
              <w:rPr>
                <w:sz w:val="20"/>
                <w:szCs w:val="20"/>
                <w:color w:val="auto"/>
              </w:rPr>
            </w:pPr>
            <w:r>
              <w:rPr>
                <w:rFonts w:ascii="Arial" w:cs="Arial" w:eastAsia="Arial" w:hAnsi="Arial"/>
                <w:sz w:val="15"/>
                <w:szCs w:val="15"/>
                <w:color w:val="auto"/>
              </w:rPr>
              <w:t>Past due / Total loans</w:t>
            </w:r>
          </w:p>
        </w:tc>
        <w:tc>
          <w:tcPr>
            <w:tcW w:w="3960" w:type="dxa"/>
            <w:vAlign w:val="bottom"/>
          </w:tcPr>
          <w:p>
            <w:pPr>
              <w:jc w:val="center"/>
              <w:ind w:left="2166"/>
              <w:spacing w:after="0"/>
              <w:rPr>
                <w:sz w:val="20"/>
                <w:szCs w:val="20"/>
                <w:color w:val="auto"/>
              </w:rPr>
            </w:pPr>
            <w:r>
              <w:rPr>
                <w:rFonts w:ascii="Arial" w:cs="Arial" w:eastAsia="Arial" w:hAnsi="Arial"/>
                <w:sz w:val="15"/>
                <w:szCs w:val="15"/>
                <w:color w:val="auto"/>
                <w:w w:val="93"/>
              </w:rPr>
              <w:t>3.5%</w:t>
            </w:r>
          </w:p>
        </w:tc>
        <w:tc>
          <w:tcPr>
            <w:tcW w:w="1740" w:type="dxa"/>
            <w:vAlign w:val="bottom"/>
          </w:tcPr>
          <w:p>
            <w:pPr>
              <w:jc w:val="center"/>
              <w:spacing w:after="0"/>
              <w:rPr>
                <w:sz w:val="20"/>
                <w:szCs w:val="20"/>
                <w:color w:val="auto"/>
              </w:rPr>
            </w:pPr>
            <w:r>
              <w:rPr>
                <w:rFonts w:ascii="Arial" w:cs="Arial" w:eastAsia="Arial" w:hAnsi="Arial"/>
                <w:sz w:val="15"/>
                <w:szCs w:val="15"/>
                <w:color w:val="auto"/>
                <w:w w:val="93"/>
              </w:rPr>
              <w:t>1.9%</w:t>
            </w:r>
          </w:p>
        </w:tc>
        <w:tc>
          <w:tcPr>
            <w:tcW w:w="1580" w:type="dxa"/>
            <w:vAlign w:val="bottom"/>
          </w:tcPr>
          <w:p>
            <w:pPr>
              <w:jc w:val="center"/>
              <w:spacing w:after="0"/>
              <w:rPr>
                <w:sz w:val="20"/>
                <w:szCs w:val="20"/>
                <w:color w:val="auto"/>
              </w:rPr>
            </w:pPr>
            <w:r>
              <w:rPr>
                <w:rFonts w:ascii="Arial" w:cs="Arial" w:eastAsia="Arial" w:hAnsi="Arial"/>
                <w:sz w:val="15"/>
                <w:szCs w:val="15"/>
                <w:color w:val="auto"/>
                <w:w w:val="92"/>
              </w:rPr>
              <w:t>-45.7%</w:t>
            </w:r>
          </w:p>
        </w:tc>
      </w:tr>
      <w:tr>
        <w:trPr>
          <w:trHeight w:val="171"/>
        </w:trPr>
        <w:tc>
          <w:tcPr>
            <w:tcW w:w="414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Reserves / Past due</w:t>
            </w:r>
          </w:p>
        </w:tc>
        <w:tc>
          <w:tcPr>
            <w:tcW w:w="3960" w:type="dxa"/>
            <w:vAlign w:val="bottom"/>
            <w:tcBorders>
              <w:bottom w:val="single" w:sz="8" w:color="auto"/>
            </w:tcBorders>
          </w:tcPr>
          <w:p>
            <w:pPr>
              <w:jc w:val="center"/>
              <w:ind w:left="2186"/>
              <w:spacing w:after="0" w:line="172" w:lineRule="exact"/>
              <w:rPr>
                <w:sz w:val="20"/>
                <w:szCs w:val="20"/>
                <w:color w:val="auto"/>
              </w:rPr>
            </w:pPr>
            <w:r>
              <w:rPr>
                <w:rFonts w:ascii="Arial" w:cs="Arial" w:eastAsia="Arial" w:hAnsi="Arial"/>
                <w:sz w:val="15"/>
                <w:szCs w:val="15"/>
                <w:color w:val="auto"/>
                <w:w w:val="90"/>
              </w:rPr>
              <w:t>158.0%</w:t>
            </w:r>
          </w:p>
        </w:tc>
        <w:tc>
          <w:tcPr>
            <w:tcW w:w="174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5"/>
                <w:szCs w:val="15"/>
                <w:color w:val="auto"/>
                <w:w w:val="90"/>
              </w:rPr>
              <w:t>202.8%</w:t>
            </w:r>
          </w:p>
        </w:tc>
        <w:tc>
          <w:tcPr>
            <w:tcW w:w="1580" w:type="dxa"/>
            <w:vAlign w:val="bottom"/>
            <w:tcBorders>
              <w:bottom w:val="single" w:sz="8" w:color="auto"/>
            </w:tcBorders>
          </w:tcPr>
          <w:p>
            <w:pPr>
              <w:jc w:val="center"/>
              <w:ind w:left="6"/>
              <w:spacing w:after="0" w:line="172" w:lineRule="exact"/>
              <w:rPr>
                <w:sz w:val="20"/>
                <w:szCs w:val="20"/>
                <w:color w:val="auto"/>
              </w:rPr>
            </w:pPr>
            <w:r>
              <w:rPr>
                <w:rFonts w:ascii="Arial" w:cs="Arial" w:eastAsia="Arial" w:hAnsi="Arial"/>
                <w:sz w:val="15"/>
                <w:szCs w:val="15"/>
                <w:color w:val="auto"/>
                <w:w w:val="89"/>
              </w:rPr>
              <w:t>28.4%</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Past due loans </w:t>
      </w:r>
      <w:r>
        <w:rPr>
          <w:rFonts w:ascii="Arial" w:cs="Arial" w:eastAsia="Arial" w:hAnsi="Arial"/>
          <w:sz w:val="21"/>
          <w:szCs w:val="21"/>
          <w:color w:val="auto"/>
        </w:rPr>
        <w:t>were reduced by 39.2% and provisions by 22% during the present year, reaching very satisfactory levels.</w:t>
      </w:r>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 xml:space="preserve">This growth in the Credicorp asset portfolio is accompanied by an also sound growth in liabilities, since the least expensive liabilities, </w:t>
      </w:r>
      <w:r>
        <w:rPr>
          <w:rFonts w:ascii="Arial" w:cs="Arial" w:eastAsia="Arial" w:hAnsi="Arial"/>
          <w:sz w:val="19"/>
          <w:szCs w:val="19"/>
          <w:b w:val="1"/>
          <w:bCs w:val="1"/>
          <w:color w:val="auto"/>
        </w:rPr>
        <w:t>deposits</w:t>
      </w:r>
      <w:r>
        <w:rPr>
          <w:rFonts w:ascii="Arial" w:cs="Arial" w:eastAsia="Arial" w:hAnsi="Arial"/>
          <w:sz w:val="19"/>
          <w:szCs w:val="19"/>
          <w:color w:val="auto"/>
        </w:rPr>
        <w:t>, support the expansion in loans, growing on par with loans at a rate of 11.9% . Customer deposits as of December 2005, therefore show a balance of US$ 7.093 billion. The amounts owed to banks and correspondent banks show a jump that almost triples the balance as of December 2004, since they include US$ 510 million in “repos” (repurchase contracts) with the Central Bank arranged to finance the coverage of US Dollar forward-sale operations, which is also reflected in Credicorp’s assets.</w:t>
      </w:r>
    </w:p>
    <w:p>
      <w:pPr>
        <w:spacing w:after="0" w:line="148"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Credicorp’s net equity amounted to US$ 1.190 billion at the close of December 2005, increasing 11.8% compared to equity at December 2004. This equity level indicates a high capitalization, reaching a regulatory capital / risk-weighted asset ratio of 13.2%, well above the minimums recommended by the Superintendent of Banking and Insurance (9.1%) and those recommended internationally by the Basel I Standards (8%).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CREDICORP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jc w:val="center"/>
        <w:spacing w:after="0"/>
        <w:rPr>
          <w:sz w:val="20"/>
          <w:szCs w:val="20"/>
          <w:color w:val="auto"/>
        </w:rPr>
      </w:pPr>
      <w:r>
        <w:rPr>
          <w:rFonts w:ascii="Arial" w:cs="Arial" w:eastAsia="Arial" w:hAnsi="Arial"/>
          <w:sz w:val="22"/>
          <w:szCs w:val="22"/>
          <w:i w:val="1"/>
          <w:iCs w:val="1"/>
          <w:color w:val="auto"/>
        </w:rPr>
        <w:t>(In thousands of U.S. Dollars)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gridSpan w:val="3"/>
            <w:vMerge w:val="restart"/>
          </w:tcPr>
          <w:p>
            <w:pPr>
              <w:jc w:val="center"/>
              <w:ind w:right="2380"/>
              <w:spacing w:after="0"/>
              <w:rPr>
                <w:sz w:val="20"/>
                <w:szCs w:val="20"/>
                <w:color w:val="auto"/>
              </w:rPr>
            </w:pPr>
            <w:r>
              <w:rPr>
                <w:rFonts w:ascii="Arial" w:cs="Arial" w:eastAsia="Arial" w:hAnsi="Arial"/>
                <w:sz w:val="15"/>
                <w:szCs w:val="15"/>
                <w:b w:val="1"/>
                <w:bCs w:val="1"/>
                <w:color w:val="auto"/>
                <w:w w:val="89"/>
              </w:rPr>
              <w:t>ASSETS</w:t>
            </w:r>
          </w:p>
        </w:tc>
        <w:tc>
          <w:tcPr>
            <w:tcW w:w="18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As of</w:t>
            </w:r>
          </w:p>
        </w:tc>
        <w:tc>
          <w:tcPr>
            <w:tcW w:w="1320" w:type="dxa"/>
            <w:vAlign w:val="bottom"/>
            <w:tcBorders>
              <w:bottom w:val="single" w:sz="8" w:color="auto"/>
            </w:tcBorders>
          </w:tcPr>
          <w:p>
            <w:pPr>
              <w:spacing w:after="0"/>
              <w:rPr>
                <w:sz w:val="15"/>
                <w:szCs w:val="15"/>
                <w:color w:val="auto"/>
              </w:rPr>
            </w:pPr>
          </w:p>
        </w:tc>
        <w:tc>
          <w:tcPr>
            <w:tcW w:w="1700" w:type="dxa"/>
            <w:vAlign w:val="bottom"/>
            <w:vMerge w:val="restart"/>
          </w:tcPr>
          <w:p>
            <w:pPr>
              <w:jc w:val="right"/>
              <w:ind w:right="546"/>
              <w:spacing w:after="0"/>
              <w:rPr>
                <w:sz w:val="20"/>
                <w:szCs w:val="20"/>
                <w:color w:val="auto"/>
              </w:rPr>
            </w:pPr>
            <w:r>
              <w:rPr>
                <w:rFonts w:ascii="Arial" w:cs="Arial" w:eastAsia="Arial" w:hAnsi="Arial"/>
                <w:sz w:val="15"/>
                <w:szCs w:val="15"/>
                <w:b w:val="1"/>
                <w:bCs w:val="1"/>
                <w:color w:val="auto"/>
              </w:rPr>
              <w:t>Var.</w:t>
            </w: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3"/>
            <w:vMerge w:val="continue"/>
          </w:tcPr>
          <w:p>
            <w:pPr>
              <w:spacing w:after="0"/>
              <w:rPr>
                <w:sz w:val="14"/>
                <w:szCs w:val="14"/>
                <w:color w:val="auto"/>
              </w:rPr>
            </w:pPr>
          </w:p>
        </w:tc>
        <w:tc>
          <w:tcPr>
            <w:tcW w:w="1880" w:type="dxa"/>
            <w:vAlign w:val="bottom"/>
            <w:tcBorders>
              <w:bottom w:val="single" w:sz="8" w:color="auto"/>
            </w:tcBorders>
          </w:tcPr>
          <w:p>
            <w:pPr>
              <w:jc w:val="right"/>
              <w:ind w:right="666"/>
              <w:spacing w:after="0" w:line="169" w:lineRule="exact"/>
              <w:rPr>
                <w:sz w:val="20"/>
                <w:szCs w:val="20"/>
                <w:color w:val="auto"/>
              </w:rPr>
            </w:pPr>
            <w:r>
              <w:rPr>
                <w:rFonts w:ascii="Arial" w:cs="Arial" w:eastAsia="Arial" w:hAnsi="Arial"/>
                <w:sz w:val="15"/>
                <w:szCs w:val="15"/>
                <w:b w:val="1"/>
                <w:bCs w:val="1"/>
                <w:color w:val="auto"/>
              </w:rPr>
              <w:t>Dec. 31, 2004</w:t>
            </w:r>
          </w:p>
        </w:tc>
        <w:tc>
          <w:tcPr>
            <w:tcW w:w="1320" w:type="dxa"/>
            <w:vAlign w:val="bottom"/>
            <w:tcBorders>
              <w:bottom w:val="single" w:sz="8" w:color="auto"/>
            </w:tcBorders>
          </w:tcPr>
          <w:p>
            <w:pPr>
              <w:jc w:val="right"/>
              <w:ind w:right="286"/>
              <w:spacing w:after="0" w:line="169" w:lineRule="exact"/>
              <w:rPr>
                <w:sz w:val="20"/>
                <w:szCs w:val="20"/>
                <w:color w:val="auto"/>
              </w:rPr>
            </w:pPr>
            <w:r>
              <w:rPr>
                <w:rFonts w:ascii="Arial" w:cs="Arial" w:eastAsia="Arial" w:hAnsi="Arial"/>
                <w:sz w:val="15"/>
                <w:szCs w:val="15"/>
                <w:b w:val="1"/>
                <w:bCs w:val="1"/>
                <w:color w:val="auto"/>
              </w:rPr>
              <w:t>Dic. 31, 2005</w:t>
            </w:r>
          </w:p>
        </w:tc>
        <w:tc>
          <w:tcPr>
            <w:tcW w:w="1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gridSpan w:val="7"/>
          </w:tcPr>
          <w:p>
            <w:pPr>
              <w:spacing w:after="0" w:line="156" w:lineRule="exact"/>
              <w:rPr>
                <w:sz w:val="20"/>
                <w:szCs w:val="20"/>
                <w:color w:val="auto"/>
              </w:rPr>
            </w:pPr>
            <w:r>
              <w:rPr>
                <w:rFonts w:ascii="Arial" w:cs="Arial" w:eastAsia="Arial" w:hAnsi="Arial"/>
                <w:sz w:val="15"/>
                <w:szCs w:val="15"/>
                <w:color w:val="auto"/>
              </w:rPr>
              <w:t>CASH AND DUE FROM BANKS</w:t>
            </w:r>
          </w:p>
        </w:tc>
        <w:tc>
          <w:tcPr>
            <w:tcW w:w="1880" w:type="dxa"/>
            <w:vAlign w:val="bottom"/>
            <w:vMerge w:val="restart"/>
          </w:tcPr>
          <w:p>
            <w:pPr>
              <w:jc w:val="right"/>
              <w:ind w:right="366"/>
              <w:spacing w:after="0"/>
              <w:rPr>
                <w:sz w:val="20"/>
                <w:szCs w:val="20"/>
                <w:color w:val="auto"/>
              </w:rPr>
            </w:pPr>
            <w:r>
              <w:rPr>
                <w:rFonts w:ascii="Arial" w:cs="Arial" w:eastAsia="Arial" w:hAnsi="Arial"/>
                <w:sz w:val="15"/>
                <w:szCs w:val="15"/>
                <w:color w:val="auto"/>
              </w:rPr>
              <w:t>264,218</w:t>
            </w:r>
          </w:p>
        </w:tc>
        <w:tc>
          <w:tcPr>
            <w:tcW w:w="1320" w:type="dxa"/>
            <w:vAlign w:val="bottom"/>
            <w:vMerge w:val="restart"/>
          </w:tcPr>
          <w:p>
            <w:pPr>
              <w:jc w:val="right"/>
              <w:spacing w:after="0"/>
              <w:rPr>
                <w:sz w:val="20"/>
                <w:szCs w:val="20"/>
                <w:color w:val="auto"/>
              </w:rPr>
            </w:pPr>
            <w:r>
              <w:rPr>
                <w:rFonts w:ascii="Arial" w:cs="Arial" w:eastAsia="Arial" w:hAnsi="Arial"/>
                <w:sz w:val="15"/>
                <w:szCs w:val="15"/>
                <w:color w:val="auto"/>
              </w:rPr>
              <w:t>363,213</w:t>
            </w:r>
          </w:p>
        </w:tc>
        <w:tc>
          <w:tcPr>
            <w:tcW w:w="1700" w:type="dxa"/>
            <w:vAlign w:val="bottom"/>
            <w:vMerge w:val="restart"/>
          </w:tcPr>
          <w:p>
            <w:pPr>
              <w:jc w:val="right"/>
              <w:spacing w:after="0"/>
              <w:rPr>
                <w:sz w:val="20"/>
                <w:szCs w:val="20"/>
                <w:color w:val="auto"/>
              </w:rPr>
            </w:pPr>
            <w:r>
              <w:rPr>
                <w:rFonts w:ascii="Arial" w:cs="Arial" w:eastAsia="Arial" w:hAnsi="Arial"/>
                <w:sz w:val="15"/>
                <w:szCs w:val="15"/>
                <w:color w:val="auto"/>
              </w:rPr>
              <w:t>37.47%</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520" w:type="dxa"/>
            <w:vAlign w:val="bottom"/>
            <w:gridSpan w:val="7"/>
          </w:tcPr>
          <w:p>
            <w:pPr>
              <w:ind w:left="120"/>
              <w:spacing w:after="0" w:line="146" w:lineRule="exact"/>
              <w:rPr>
                <w:sz w:val="20"/>
                <w:szCs w:val="20"/>
                <w:color w:val="auto"/>
              </w:rPr>
            </w:pPr>
            <w:r>
              <w:rPr>
                <w:rFonts w:ascii="Arial" w:cs="Arial" w:eastAsia="Arial" w:hAnsi="Arial"/>
                <w:sz w:val="15"/>
                <w:szCs w:val="15"/>
                <w:color w:val="auto"/>
              </w:rPr>
              <w:t>Cash and non interest bearing deposits in banks</w:t>
            </w:r>
          </w:p>
        </w:tc>
        <w:tc>
          <w:tcPr>
            <w:tcW w:w="188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20" w:type="dxa"/>
            <w:vAlign w:val="bottom"/>
            <w:gridSpan w:val="7"/>
          </w:tcPr>
          <w:p>
            <w:pPr>
              <w:ind w:left="120"/>
              <w:spacing w:after="0" w:line="162" w:lineRule="exact"/>
              <w:rPr>
                <w:sz w:val="20"/>
                <w:szCs w:val="20"/>
                <w:color w:val="auto"/>
              </w:rPr>
            </w:pPr>
            <w:r>
              <w:rPr>
                <w:rFonts w:ascii="Arial" w:cs="Arial" w:eastAsia="Arial" w:hAnsi="Arial"/>
                <w:sz w:val="15"/>
                <w:szCs w:val="15"/>
                <w:color w:val="auto"/>
              </w:rPr>
              <w:t>Interest bearing deposits in banks</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1,575,241</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2,297,602</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45.86%</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jc w:val="right"/>
              <w:ind w:right="366"/>
              <w:spacing w:after="0"/>
              <w:rPr>
                <w:sz w:val="20"/>
                <w:szCs w:val="20"/>
                <w:color w:val="auto"/>
              </w:rPr>
            </w:pPr>
            <w:r>
              <w:rPr>
                <w:rFonts w:ascii="Arial" w:cs="Arial" w:eastAsia="Arial" w:hAnsi="Arial"/>
                <w:sz w:val="15"/>
                <w:szCs w:val="15"/>
                <w:color w:val="auto"/>
              </w:rPr>
              <w:t>1,839,459</w:t>
            </w:r>
          </w:p>
        </w:tc>
        <w:tc>
          <w:tcPr>
            <w:tcW w:w="1320" w:type="dxa"/>
            <w:vAlign w:val="bottom"/>
          </w:tcPr>
          <w:p>
            <w:pPr>
              <w:jc w:val="right"/>
              <w:spacing w:after="0"/>
              <w:rPr>
                <w:sz w:val="20"/>
                <w:szCs w:val="20"/>
                <w:color w:val="auto"/>
              </w:rPr>
            </w:pPr>
            <w:r>
              <w:rPr>
                <w:rFonts w:ascii="Arial" w:cs="Arial" w:eastAsia="Arial" w:hAnsi="Arial"/>
                <w:sz w:val="15"/>
                <w:szCs w:val="15"/>
                <w:color w:val="auto"/>
              </w:rPr>
              <w:t>2,660,815</w:t>
            </w:r>
          </w:p>
        </w:tc>
        <w:tc>
          <w:tcPr>
            <w:tcW w:w="1700" w:type="dxa"/>
            <w:vAlign w:val="bottom"/>
          </w:tcPr>
          <w:p>
            <w:pPr>
              <w:jc w:val="right"/>
              <w:spacing w:after="0"/>
              <w:rPr>
                <w:sz w:val="20"/>
                <w:szCs w:val="20"/>
                <w:color w:val="auto"/>
              </w:rPr>
            </w:pPr>
            <w:r>
              <w:rPr>
                <w:rFonts w:ascii="Arial" w:cs="Arial" w:eastAsia="Arial" w:hAnsi="Arial"/>
                <w:sz w:val="15"/>
                <w:szCs w:val="15"/>
                <w:color w:val="auto"/>
              </w:rPr>
              <w:t>44.65%</w:t>
            </w:r>
          </w:p>
        </w:tc>
        <w:tc>
          <w:tcPr>
            <w:tcW w:w="0" w:type="dxa"/>
            <w:vAlign w:val="bottom"/>
          </w:tcPr>
          <w:p>
            <w:pPr>
              <w:spacing w:after="0"/>
              <w:rPr>
                <w:sz w:val="1"/>
                <w:szCs w:val="1"/>
                <w:color w:val="auto"/>
              </w:rPr>
            </w:pPr>
          </w:p>
        </w:tc>
      </w:tr>
      <w:tr>
        <w:trPr>
          <w:trHeight w:val="324"/>
        </w:trPr>
        <w:tc>
          <w:tcPr>
            <w:tcW w:w="6520" w:type="dxa"/>
            <w:vAlign w:val="bottom"/>
            <w:gridSpan w:val="7"/>
          </w:tcPr>
          <w:p>
            <w:pPr>
              <w:spacing w:after="0"/>
              <w:rPr>
                <w:sz w:val="20"/>
                <w:szCs w:val="20"/>
                <w:color w:val="auto"/>
              </w:rPr>
            </w:pPr>
            <w:r>
              <w:rPr>
                <w:rFonts w:ascii="Arial" w:cs="Arial" w:eastAsia="Arial" w:hAnsi="Arial"/>
                <w:sz w:val="15"/>
                <w:szCs w:val="15"/>
                <w:color w:val="auto"/>
              </w:rPr>
              <w:t>MARKETABLE SECURITIES, net</w:t>
            </w:r>
          </w:p>
        </w:tc>
        <w:tc>
          <w:tcPr>
            <w:tcW w:w="1880" w:type="dxa"/>
            <w:vAlign w:val="bottom"/>
          </w:tcPr>
          <w:p>
            <w:pPr>
              <w:jc w:val="right"/>
              <w:ind w:right="366"/>
              <w:spacing w:after="0"/>
              <w:rPr>
                <w:sz w:val="20"/>
                <w:szCs w:val="20"/>
                <w:color w:val="auto"/>
              </w:rPr>
            </w:pPr>
            <w:r>
              <w:rPr>
                <w:rFonts w:ascii="Arial" w:cs="Arial" w:eastAsia="Arial" w:hAnsi="Arial"/>
                <w:sz w:val="15"/>
                <w:szCs w:val="15"/>
                <w:color w:val="auto"/>
              </w:rPr>
              <w:t>82,513</w:t>
            </w:r>
          </w:p>
        </w:tc>
        <w:tc>
          <w:tcPr>
            <w:tcW w:w="1320" w:type="dxa"/>
            <w:vAlign w:val="bottom"/>
          </w:tcPr>
          <w:p>
            <w:pPr>
              <w:jc w:val="right"/>
              <w:spacing w:after="0"/>
              <w:rPr>
                <w:sz w:val="20"/>
                <w:szCs w:val="20"/>
                <w:color w:val="auto"/>
              </w:rPr>
            </w:pPr>
            <w:r>
              <w:rPr>
                <w:rFonts w:ascii="Arial" w:cs="Arial" w:eastAsia="Arial" w:hAnsi="Arial"/>
                <w:sz w:val="15"/>
                <w:szCs w:val="15"/>
                <w:color w:val="auto"/>
              </w:rPr>
              <w:t>60,927</w:t>
            </w:r>
          </w:p>
        </w:tc>
        <w:tc>
          <w:tcPr>
            <w:tcW w:w="1700" w:type="dxa"/>
            <w:vAlign w:val="bottom"/>
          </w:tcPr>
          <w:p>
            <w:pPr>
              <w:jc w:val="right"/>
              <w:spacing w:after="0"/>
              <w:rPr>
                <w:sz w:val="20"/>
                <w:szCs w:val="20"/>
                <w:color w:val="auto"/>
              </w:rPr>
            </w:pPr>
            <w:r>
              <w:rPr>
                <w:rFonts w:ascii="Arial" w:cs="Arial" w:eastAsia="Arial" w:hAnsi="Arial"/>
                <w:sz w:val="15"/>
                <w:szCs w:val="15"/>
                <w:color w:val="auto"/>
              </w:rPr>
              <w:t>-26.16%</w:t>
            </w:r>
          </w:p>
        </w:tc>
        <w:tc>
          <w:tcPr>
            <w:tcW w:w="0" w:type="dxa"/>
            <w:vAlign w:val="bottom"/>
          </w:tcPr>
          <w:p>
            <w:pPr>
              <w:spacing w:after="0"/>
              <w:rPr>
                <w:sz w:val="1"/>
                <w:szCs w:val="1"/>
                <w:color w:val="auto"/>
              </w:rPr>
            </w:pPr>
          </w:p>
        </w:tc>
      </w:tr>
      <w:tr>
        <w:trPr>
          <w:trHeight w:val="294"/>
        </w:trPr>
        <w:tc>
          <w:tcPr>
            <w:tcW w:w="6520" w:type="dxa"/>
            <w:vAlign w:val="bottom"/>
            <w:gridSpan w:val="7"/>
          </w:tcPr>
          <w:p>
            <w:pPr>
              <w:spacing w:after="0"/>
              <w:rPr>
                <w:sz w:val="20"/>
                <w:szCs w:val="20"/>
                <w:color w:val="auto"/>
              </w:rPr>
            </w:pPr>
            <w:r>
              <w:rPr>
                <w:rFonts w:ascii="Arial" w:cs="Arial" w:eastAsia="Arial" w:hAnsi="Arial"/>
                <w:sz w:val="15"/>
                <w:szCs w:val="15"/>
                <w:color w:val="auto"/>
              </w:rPr>
              <w:t>LOANS</w:t>
            </w:r>
          </w:p>
        </w:tc>
        <w:tc>
          <w:tcPr>
            <w:tcW w:w="1880" w:type="dxa"/>
            <w:vAlign w:val="bottom"/>
          </w:tcPr>
          <w:p>
            <w:pPr>
              <w:jc w:val="right"/>
              <w:ind w:right="366"/>
              <w:spacing w:after="0"/>
              <w:rPr>
                <w:sz w:val="20"/>
                <w:szCs w:val="20"/>
                <w:color w:val="auto"/>
              </w:rPr>
            </w:pPr>
            <w:r>
              <w:rPr>
                <w:rFonts w:ascii="Arial" w:cs="Arial" w:eastAsia="Arial" w:hAnsi="Arial"/>
                <w:sz w:val="15"/>
                <w:szCs w:val="15"/>
                <w:color w:val="auto"/>
              </w:rPr>
              <w:t>4,587,997</w:t>
            </w:r>
          </w:p>
        </w:tc>
        <w:tc>
          <w:tcPr>
            <w:tcW w:w="1320" w:type="dxa"/>
            <w:vAlign w:val="bottom"/>
          </w:tcPr>
          <w:p>
            <w:pPr>
              <w:jc w:val="right"/>
              <w:spacing w:after="0"/>
              <w:rPr>
                <w:sz w:val="20"/>
                <w:szCs w:val="20"/>
                <w:color w:val="auto"/>
              </w:rPr>
            </w:pPr>
            <w:r>
              <w:rPr>
                <w:rFonts w:ascii="Arial" w:cs="Arial" w:eastAsia="Arial" w:hAnsi="Arial"/>
                <w:sz w:val="15"/>
                <w:szCs w:val="15"/>
                <w:color w:val="auto"/>
              </w:rPr>
              <w:t>5,014,254</w:t>
            </w:r>
          </w:p>
        </w:tc>
        <w:tc>
          <w:tcPr>
            <w:tcW w:w="1700" w:type="dxa"/>
            <w:vAlign w:val="bottom"/>
          </w:tcPr>
          <w:p>
            <w:pPr>
              <w:jc w:val="right"/>
              <w:spacing w:after="0"/>
              <w:rPr>
                <w:sz w:val="20"/>
                <w:szCs w:val="20"/>
                <w:color w:val="auto"/>
              </w:rPr>
            </w:pPr>
            <w:r>
              <w:rPr>
                <w:rFonts w:ascii="Arial" w:cs="Arial" w:eastAsia="Arial" w:hAnsi="Arial"/>
                <w:sz w:val="15"/>
                <w:szCs w:val="15"/>
                <w:color w:val="auto"/>
              </w:rPr>
              <w:t>9.29%</w:t>
            </w:r>
          </w:p>
        </w:tc>
        <w:tc>
          <w:tcPr>
            <w:tcW w:w="0" w:type="dxa"/>
            <w:vAlign w:val="bottom"/>
          </w:tcPr>
          <w:p>
            <w:pPr>
              <w:spacing w:after="0"/>
              <w:rPr>
                <w:sz w:val="1"/>
                <w:szCs w:val="1"/>
                <w:color w:val="auto"/>
              </w:rPr>
            </w:pPr>
          </w:p>
        </w:tc>
      </w:tr>
      <w:tr>
        <w:trPr>
          <w:trHeight w:val="146"/>
        </w:trPr>
        <w:tc>
          <w:tcPr>
            <w:tcW w:w="500" w:type="dxa"/>
            <w:vAlign w:val="bottom"/>
            <w:tcBorders>
              <w:top w:val="single" w:sz="8" w:color="auto"/>
            </w:tcBorders>
          </w:tcPr>
          <w:p>
            <w:pPr>
              <w:ind w:left="120"/>
              <w:spacing w:after="0" w:line="146" w:lineRule="exact"/>
              <w:rPr>
                <w:sz w:val="20"/>
                <w:szCs w:val="20"/>
                <w:color w:val="auto"/>
              </w:rPr>
            </w:pPr>
            <w:r>
              <w:rPr>
                <w:rFonts w:ascii="Arial" w:cs="Arial" w:eastAsia="Arial" w:hAnsi="Arial"/>
                <w:sz w:val="15"/>
                <w:szCs w:val="15"/>
                <w:color w:val="auto"/>
                <w:w w:val="71"/>
              </w:rPr>
              <w:t>Current</w:t>
            </w: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40" w:type="dxa"/>
            <w:vAlign w:val="bottom"/>
            <w:gridSpan w:val="2"/>
          </w:tcPr>
          <w:p>
            <w:pPr>
              <w:spacing w:after="0"/>
              <w:rPr>
                <w:sz w:val="12"/>
                <w:szCs w:val="12"/>
                <w:color w:val="auto"/>
              </w:rPr>
            </w:pPr>
          </w:p>
        </w:tc>
        <w:tc>
          <w:tcPr>
            <w:tcW w:w="1880" w:type="dxa"/>
            <w:vAlign w:val="bottom"/>
          </w:tcPr>
          <w:p>
            <w:pPr>
              <w:jc w:val="right"/>
              <w:ind w:right="366"/>
              <w:spacing w:after="0" w:line="146" w:lineRule="exact"/>
              <w:rPr>
                <w:sz w:val="20"/>
                <w:szCs w:val="20"/>
                <w:color w:val="auto"/>
              </w:rPr>
            </w:pPr>
            <w:r>
              <w:rPr>
                <w:rFonts w:ascii="Arial" w:cs="Arial" w:eastAsia="Arial" w:hAnsi="Arial"/>
                <w:sz w:val="15"/>
                <w:szCs w:val="15"/>
                <w:color w:val="auto"/>
              </w:rPr>
              <w:t>4,427,626</w:t>
            </w:r>
          </w:p>
        </w:tc>
        <w:tc>
          <w:tcPr>
            <w:tcW w:w="1320" w:type="dxa"/>
            <w:vAlign w:val="bottom"/>
          </w:tcPr>
          <w:p>
            <w:pPr>
              <w:jc w:val="right"/>
              <w:spacing w:after="0" w:line="146" w:lineRule="exact"/>
              <w:rPr>
                <w:sz w:val="20"/>
                <w:szCs w:val="20"/>
                <w:color w:val="auto"/>
              </w:rPr>
            </w:pPr>
            <w:r>
              <w:rPr>
                <w:rFonts w:ascii="Arial" w:cs="Arial" w:eastAsia="Arial" w:hAnsi="Arial"/>
                <w:sz w:val="15"/>
                <w:szCs w:val="15"/>
                <w:color w:val="auto"/>
              </w:rPr>
              <w:t>4,916,863</w:t>
            </w:r>
          </w:p>
        </w:tc>
        <w:tc>
          <w:tcPr>
            <w:tcW w:w="1700" w:type="dxa"/>
            <w:vAlign w:val="bottom"/>
          </w:tcPr>
          <w:p>
            <w:pPr>
              <w:jc w:val="right"/>
              <w:spacing w:after="0" w:line="146" w:lineRule="exact"/>
              <w:rPr>
                <w:sz w:val="20"/>
                <w:szCs w:val="20"/>
                <w:color w:val="auto"/>
              </w:rPr>
            </w:pPr>
            <w:r>
              <w:rPr>
                <w:rFonts w:ascii="Arial" w:cs="Arial" w:eastAsia="Arial" w:hAnsi="Arial"/>
                <w:sz w:val="15"/>
                <w:szCs w:val="15"/>
                <w:color w:val="auto"/>
              </w:rPr>
              <w:t>11.05%</w:t>
            </w:r>
          </w:p>
        </w:tc>
        <w:tc>
          <w:tcPr>
            <w:tcW w:w="0" w:type="dxa"/>
            <w:vAlign w:val="bottom"/>
          </w:tcPr>
          <w:p>
            <w:pPr>
              <w:spacing w:after="0"/>
              <w:rPr>
                <w:sz w:val="1"/>
                <w:szCs w:val="1"/>
                <w:color w:val="auto"/>
              </w:rPr>
            </w:pPr>
          </w:p>
        </w:tc>
      </w:tr>
      <w:tr>
        <w:trPr>
          <w:trHeight w:val="162"/>
        </w:trPr>
        <w:tc>
          <w:tcPr>
            <w:tcW w:w="6520" w:type="dxa"/>
            <w:vAlign w:val="bottom"/>
            <w:gridSpan w:val="7"/>
          </w:tcPr>
          <w:p>
            <w:pPr>
              <w:ind w:left="120"/>
              <w:spacing w:after="0" w:line="162" w:lineRule="exact"/>
              <w:rPr>
                <w:sz w:val="20"/>
                <w:szCs w:val="20"/>
                <w:color w:val="auto"/>
              </w:rPr>
            </w:pPr>
            <w:r>
              <w:rPr>
                <w:rFonts w:ascii="Arial" w:cs="Arial" w:eastAsia="Arial" w:hAnsi="Arial"/>
                <w:sz w:val="15"/>
                <w:szCs w:val="15"/>
                <w:color w:val="auto"/>
              </w:rPr>
              <w:t>Past Due</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160,371</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97,392</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-39.27%</w:t>
            </w:r>
          </w:p>
        </w:tc>
        <w:tc>
          <w:tcPr>
            <w:tcW w:w="0" w:type="dxa"/>
            <w:vAlign w:val="bottom"/>
          </w:tcPr>
          <w:p>
            <w:pPr>
              <w:spacing w:after="0"/>
              <w:rPr>
                <w:sz w:val="1"/>
                <w:szCs w:val="1"/>
                <w:color w:val="auto"/>
              </w:rPr>
            </w:pPr>
          </w:p>
        </w:tc>
      </w:tr>
      <w:tr>
        <w:trPr>
          <w:trHeight w:val="162"/>
        </w:trPr>
        <w:tc>
          <w:tcPr>
            <w:tcW w:w="6520" w:type="dxa"/>
            <w:vAlign w:val="bottom"/>
            <w:gridSpan w:val="7"/>
          </w:tcPr>
          <w:p>
            <w:pPr>
              <w:ind w:left="120"/>
              <w:spacing w:after="0" w:line="162" w:lineRule="exact"/>
              <w:rPr>
                <w:sz w:val="20"/>
                <w:szCs w:val="20"/>
                <w:color w:val="auto"/>
              </w:rPr>
            </w:pPr>
            <w:r>
              <w:rPr>
                <w:rFonts w:ascii="Arial" w:cs="Arial" w:eastAsia="Arial" w:hAnsi="Arial"/>
                <w:sz w:val="15"/>
                <w:szCs w:val="15"/>
                <w:color w:val="auto"/>
              </w:rPr>
              <w:t>Less - Reserve for possible loan losses</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-253,408</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-197,494</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-22.06%</w:t>
            </w:r>
          </w:p>
        </w:tc>
        <w:tc>
          <w:tcPr>
            <w:tcW w:w="0" w:type="dxa"/>
            <w:vAlign w:val="bottom"/>
          </w:tcPr>
          <w:p>
            <w:pPr>
              <w:spacing w:after="0"/>
              <w:rPr>
                <w:sz w:val="1"/>
                <w:szCs w:val="1"/>
                <w:color w:val="auto"/>
              </w:rPr>
            </w:pPr>
          </w:p>
        </w:tc>
      </w:tr>
      <w:tr>
        <w:trPr>
          <w:trHeight w:val="158"/>
        </w:trPr>
        <w:tc>
          <w:tcPr>
            <w:tcW w:w="6520" w:type="dxa"/>
            <w:vAlign w:val="bottom"/>
            <w:gridSpan w:val="7"/>
          </w:tcPr>
          <w:p>
            <w:pPr>
              <w:spacing w:after="0" w:line="158" w:lineRule="exact"/>
              <w:rPr>
                <w:sz w:val="20"/>
                <w:szCs w:val="20"/>
                <w:color w:val="auto"/>
              </w:rPr>
            </w:pPr>
            <w:r>
              <w:rPr>
                <w:rFonts w:ascii="Arial" w:cs="Arial" w:eastAsia="Arial" w:hAnsi="Arial"/>
                <w:sz w:val="15"/>
                <w:szCs w:val="15"/>
                <w:color w:val="auto"/>
              </w:rPr>
              <w:t>LOANS NET</w:t>
            </w:r>
          </w:p>
        </w:tc>
        <w:tc>
          <w:tcPr>
            <w:tcW w:w="1880" w:type="dxa"/>
            <w:vAlign w:val="bottom"/>
          </w:tcPr>
          <w:p>
            <w:pPr>
              <w:jc w:val="right"/>
              <w:ind w:right="366"/>
              <w:spacing w:after="0" w:line="158" w:lineRule="exact"/>
              <w:rPr>
                <w:sz w:val="20"/>
                <w:szCs w:val="20"/>
                <w:color w:val="auto"/>
              </w:rPr>
            </w:pPr>
            <w:r>
              <w:rPr>
                <w:rFonts w:ascii="Arial" w:cs="Arial" w:eastAsia="Arial" w:hAnsi="Arial"/>
                <w:sz w:val="15"/>
                <w:szCs w:val="15"/>
                <w:color w:val="auto"/>
              </w:rPr>
              <w:t>4,334,589</w:t>
            </w:r>
          </w:p>
        </w:tc>
        <w:tc>
          <w:tcPr>
            <w:tcW w:w="1320" w:type="dxa"/>
            <w:vAlign w:val="bottom"/>
          </w:tcPr>
          <w:p>
            <w:pPr>
              <w:jc w:val="right"/>
              <w:spacing w:after="0" w:line="158" w:lineRule="exact"/>
              <w:rPr>
                <w:sz w:val="20"/>
                <w:szCs w:val="20"/>
                <w:color w:val="auto"/>
              </w:rPr>
            </w:pPr>
            <w:r>
              <w:rPr>
                <w:rFonts w:ascii="Arial" w:cs="Arial" w:eastAsia="Arial" w:hAnsi="Arial"/>
                <w:sz w:val="15"/>
                <w:szCs w:val="15"/>
                <w:color w:val="auto"/>
              </w:rPr>
              <w:t>4,816,761</w:t>
            </w:r>
          </w:p>
        </w:tc>
        <w:tc>
          <w:tcPr>
            <w:tcW w:w="1700" w:type="dxa"/>
            <w:vAlign w:val="bottom"/>
          </w:tcPr>
          <w:p>
            <w:pPr>
              <w:jc w:val="right"/>
              <w:spacing w:after="0" w:line="158" w:lineRule="exact"/>
              <w:rPr>
                <w:sz w:val="20"/>
                <w:szCs w:val="20"/>
                <w:color w:val="auto"/>
              </w:rPr>
            </w:pPr>
            <w:r>
              <w:rPr>
                <w:rFonts w:ascii="Arial" w:cs="Arial" w:eastAsia="Arial" w:hAnsi="Arial"/>
                <w:sz w:val="15"/>
                <w:szCs w:val="15"/>
                <w:color w:val="auto"/>
              </w:rPr>
              <w:t>11.12%</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520" w:type="dxa"/>
            <w:vAlign w:val="bottom"/>
            <w:gridSpan w:val="7"/>
          </w:tcPr>
          <w:p>
            <w:pPr>
              <w:spacing w:after="0"/>
              <w:rPr>
                <w:sz w:val="20"/>
                <w:szCs w:val="20"/>
                <w:color w:val="auto"/>
              </w:rPr>
            </w:pPr>
            <w:r>
              <w:rPr>
                <w:rFonts w:ascii="Arial" w:cs="Arial" w:eastAsia="Arial" w:hAnsi="Arial"/>
                <w:sz w:val="15"/>
                <w:szCs w:val="15"/>
                <w:color w:val="auto"/>
              </w:rPr>
              <w:t>INVESTMENT SECURITIES AVAILABLE FOR SALE</w:t>
            </w:r>
          </w:p>
        </w:tc>
        <w:tc>
          <w:tcPr>
            <w:tcW w:w="1880" w:type="dxa"/>
            <w:vAlign w:val="bottom"/>
          </w:tcPr>
          <w:p>
            <w:pPr>
              <w:jc w:val="right"/>
              <w:ind w:right="366"/>
              <w:spacing w:after="0"/>
              <w:rPr>
                <w:sz w:val="20"/>
                <w:szCs w:val="20"/>
                <w:color w:val="auto"/>
              </w:rPr>
            </w:pPr>
            <w:r>
              <w:rPr>
                <w:rFonts w:ascii="Arial" w:cs="Arial" w:eastAsia="Arial" w:hAnsi="Arial"/>
                <w:sz w:val="15"/>
                <w:szCs w:val="15"/>
                <w:color w:val="auto"/>
              </w:rPr>
              <w:t>2,118,690</w:t>
            </w:r>
          </w:p>
        </w:tc>
        <w:tc>
          <w:tcPr>
            <w:tcW w:w="1320" w:type="dxa"/>
            <w:vAlign w:val="bottom"/>
          </w:tcPr>
          <w:p>
            <w:pPr>
              <w:jc w:val="right"/>
              <w:spacing w:after="0"/>
              <w:rPr>
                <w:sz w:val="20"/>
                <w:szCs w:val="20"/>
                <w:color w:val="auto"/>
              </w:rPr>
            </w:pPr>
            <w:r>
              <w:rPr>
                <w:rFonts w:ascii="Arial" w:cs="Arial" w:eastAsia="Arial" w:hAnsi="Arial"/>
                <w:sz w:val="15"/>
                <w:szCs w:val="15"/>
                <w:color w:val="auto"/>
              </w:rPr>
              <w:t>2,807,577</w:t>
            </w:r>
          </w:p>
        </w:tc>
        <w:tc>
          <w:tcPr>
            <w:tcW w:w="1700" w:type="dxa"/>
            <w:vAlign w:val="bottom"/>
          </w:tcPr>
          <w:p>
            <w:pPr>
              <w:jc w:val="right"/>
              <w:spacing w:after="0"/>
              <w:rPr>
                <w:sz w:val="20"/>
                <w:szCs w:val="20"/>
                <w:color w:val="auto"/>
              </w:rPr>
            </w:pPr>
            <w:r>
              <w:rPr>
                <w:rFonts w:ascii="Arial" w:cs="Arial" w:eastAsia="Arial" w:hAnsi="Arial"/>
                <w:sz w:val="15"/>
                <w:szCs w:val="15"/>
                <w:color w:val="auto"/>
              </w:rPr>
              <w:t>32.51%</w:t>
            </w:r>
          </w:p>
        </w:tc>
        <w:tc>
          <w:tcPr>
            <w:tcW w:w="0" w:type="dxa"/>
            <w:vAlign w:val="bottom"/>
          </w:tcPr>
          <w:p>
            <w:pPr>
              <w:spacing w:after="0"/>
              <w:rPr>
                <w:sz w:val="1"/>
                <w:szCs w:val="1"/>
                <w:color w:val="auto"/>
              </w:rPr>
            </w:pPr>
          </w:p>
        </w:tc>
      </w:tr>
      <w:tr>
        <w:trPr>
          <w:trHeight w:val="162"/>
        </w:trPr>
        <w:tc>
          <w:tcPr>
            <w:tcW w:w="6520" w:type="dxa"/>
            <w:vAlign w:val="bottom"/>
            <w:gridSpan w:val="7"/>
          </w:tcPr>
          <w:p>
            <w:pPr>
              <w:spacing w:after="0" w:line="162" w:lineRule="exact"/>
              <w:rPr>
                <w:sz w:val="20"/>
                <w:szCs w:val="20"/>
                <w:color w:val="auto"/>
              </w:rPr>
            </w:pPr>
            <w:r>
              <w:rPr>
                <w:rFonts w:ascii="Arial" w:cs="Arial" w:eastAsia="Arial" w:hAnsi="Arial"/>
                <w:sz w:val="15"/>
                <w:szCs w:val="15"/>
                <w:color w:val="auto"/>
              </w:rPr>
              <w:t>REINSURANCE ASSETS</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35,453</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35,288</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-0.47%</w:t>
            </w:r>
          </w:p>
        </w:tc>
        <w:tc>
          <w:tcPr>
            <w:tcW w:w="0" w:type="dxa"/>
            <w:vAlign w:val="bottom"/>
          </w:tcPr>
          <w:p>
            <w:pPr>
              <w:spacing w:after="0"/>
              <w:rPr>
                <w:sz w:val="1"/>
                <w:szCs w:val="1"/>
                <w:color w:val="auto"/>
              </w:rPr>
            </w:pPr>
          </w:p>
        </w:tc>
      </w:tr>
      <w:tr>
        <w:trPr>
          <w:trHeight w:val="162"/>
        </w:trPr>
        <w:tc>
          <w:tcPr>
            <w:tcW w:w="6520" w:type="dxa"/>
            <w:vAlign w:val="bottom"/>
            <w:gridSpan w:val="7"/>
          </w:tcPr>
          <w:p>
            <w:pPr>
              <w:spacing w:after="0" w:line="162" w:lineRule="exact"/>
              <w:rPr>
                <w:sz w:val="20"/>
                <w:szCs w:val="20"/>
                <w:color w:val="auto"/>
              </w:rPr>
            </w:pPr>
            <w:r>
              <w:rPr>
                <w:rFonts w:ascii="Arial" w:cs="Arial" w:eastAsia="Arial" w:hAnsi="Arial"/>
                <w:sz w:val="15"/>
                <w:szCs w:val="15"/>
                <w:color w:val="auto"/>
              </w:rPr>
              <w:t>PREMIUMS AND OTHER POLICYHOLDER RECEIVABLES</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60,665</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57,301</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-5.54%</w:t>
            </w:r>
          </w:p>
        </w:tc>
        <w:tc>
          <w:tcPr>
            <w:tcW w:w="0" w:type="dxa"/>
            <w:vAlign w:val="bottom"/>
          </w:tcPr>
          <w:p>
            <w:pPr>
              <w:spacing w:after="0"/>
              <w:rPr>
                <w:sz w:val="1"/>
                <w:szCs w:val="1"/>
                <w:color w:val="auto"/>
              </w:rPr>
            </w:pPr>
          </w:p>
        </w:tc>
      </w:tr>
      <w:tr>
        <w:trPr>
          <w:trHeight w:val="162"/>
        </w:trPr>
        <w:tc>
          <w:tcPr>
            <w:tcW w:w="6520" w:type="dxa"/>
            <w:vAlign w:val="bottom"/>
            <w:gridSpan w:val="7"/>
          </w:tcPr>
          <w:p>
            <w:pPr>
              <w:spacing w:after="0" w:line="162" w:lineRule="exact"/>
              <w:rPr>
                <w:sz w:val="20"/>
                <w:szCs w:val="20"/>
                <w:color w:val="auto"/>
              </w:rPr>
            </w:pPr>
            <w:r>
              <w:rPr>
                <w:rFonts w:ascii="Arial" w:cs="Arial" w:eastAsia="Arial" w:hAnsi="Arial"/>
                <w:sz w:val="15"/>
                <w:szCs w:val="15"/>
                <w:color w:val="auto"/>
              </w:rPr>
              <w:t>PROPERTY, PLANT and EQUIPMENT, net</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249,083</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248,718</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-0.15%</w:t>
            </w:r>
          </w:p>
        </w:tc>
        <w:tc>
          <w:tcPr>
            <w:tcW w:w="0" w:type="dxa"/>
            <w:vAlign w:val="bottom"/>
          </w:tcPr>
          <w:p>
            <w:pPr>
              <w:spacing w:after="0"/>
              <w:rPr>
                <w:sz w:val="1"/>
                <w:szCs w:val="1"/>
                <w:color w:val="auto"/>
              </w:rPr>
            </w:pPr>
          </w:p>
        </w:tc>
      </w:tr>
      <w:tr>
        <w:trPr>
          <w:trHeight w:val="162"/>
        </w:trPr>
        <w:tc>
          <w:tcPr>
            <w:tcW w:w="6520" w:type="dxa"/>
            <w:vAlign w:val="bottom"/>
            <w:gridSpan w:val="7"/>
          </w:tcPr>
          <w:p>
            <w:pPr>
              <w:spacing w:after="0" w:line="162" w:lineRule="exact"/>
              <w:rPr>
                <w:sz w:val="20"/>
                <w:szCs w:val="20"/>
                <w:color w:val="auto"/>
              </w:rPr>
            </w:pPr>
            <w:r>
              <w:rPr>
                <w:rFonts w:ascii="Arial" w:cs="Arial" w:eastAsia="Arial" w:hAnsi="Arial"/>
                <w:sz w:val="15"/>
                <w:szCs w:val="15"/>
                <w:color w:val="auto"/>
              </w:rPr>
              <w:t>DUE FROM CUSTOMERS ON ACCEPTANCES</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47,635</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45,423</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-4.64%</w:t>
            </w:r>
          </w:p>
        </w:tc>
        <w:tc>
          <w:tcPr>
            <w:tcW w:w="0" w:type="dxa"/>
            <w:vAlign w:val="bottom"/>
          </w:tcPr>
          <w:p>
            <w:pPr>
              <w:spacing w:after="0"/>
              <w:rPr>
                <w:sz w:val="1"/>
                <w:szCs w:val="1"/>
                <w:color w:val="auto"/>
              </w:rPr>
            </w:pPr>
          </w:p>
        </w:tc>
      </w:tr>
      <w:tr>
        <w:trPr>
          <w:trHeight w:val="188"/>
        </w:trPr>
        <w:tc>
          <w:tcPr>
            <w:tcW w:w="6520" w:type="dxa"/>
            <w:vAlign w:val="bottom"/>
            <w:gridSpan w:val="7"/>
          </w:tcPr>
          <w:p>
            <w:pPr>
              <w:spacing w:after="0"/>
              <w:rPr>
                <w:sz w:val="20"/>
                <w:szCs w:val="20"/>
                <w:color w:val="auto"/>
              </w:rPr>
            </w:pPr>
            <w:r>
              <w:rPr>
                <w:rFonts w:ascii="Arial" w:cs="Arial" w:eastAsia="Arial" w:hAnsi="Arial"/>
                <w:sz w:val="15"/>
                <w:szCs w:val="15"/>
                <w:color w:val="auto"/>
              </w:rPr>
              <w:t>OTHER ASSETS</w:t>
            </w:r>
          </w:p>
        </w:tc>
        <w:tc>
          <w:tcPr>
            <w:tcW w:w="1880" w:type="dxa"/>
            <w:vAlign w:val="bottom"/>
          </w:tcPr>
          <w:p>
            <w:pPr>
              <w:jc w:val="right"/>
              <w:ind w:right="366"/>
              <w:spacing w:after="0"/>
              <w:rPr>
                <w:sz w:val="20"/>
                <w:szCs w:val="20"/>
                <w:color w:val="auto"/>
              </w:rPr>
            </w:pPr>
            <w:r>
              <w:rPr>
                <w:rFonts w:ascii="Arial" w:cs="Arial" w:eastAsia="Arial" w:hAnsi="Arial"/>
                <w:sz w:val="15"/>
                <w:szCs w:val="15"/>
                <w:color w:val="auto"/>
              </w:rPr>
              <w:t>352,501</w:t>
            </w:r>
          </w:p>
        </w:tc>
        <w:tc>
          <w:tcPr>
            <w:tcW w:w="1320" w:type="dxa"/>
            <w:vAlign w:val="bottom"/>
          </w:tcPr>
          <w:p>
            <w:pPr>
              <w:jc w:val="right"/>
              <w:spacing w:after="0"/>
              <w:rPr>
                <w:sz w:val="20"/>
                <w:szCs w:val="20"/>
                <w:color w:val="auto"/>
              </w:rPr>
            </w:pPr>
            <w:r>
              <w:rPr>
                <w:rFonts w:ascii="Arial" w:cs="Arial" w:eastAsia="Arial" w:hAnsi="Arial"/>
                <w:sz w:val="15"/>
                <w:szCs w:val="15"/>
                <w:color w:val="auto"/>
              </w:rPr>
              <w:t>317,041</w:t>
            </w:r>
          </w:p>
        </w:tc>
        <w:tc>
          <w:tcPr>
            <w:tcW w:w="1700" w:type="dxa"/>
            <w:vAlign w:val="bottom"/>
          </w:tcPr>
          <w:p>
            <w:pPr>
              <w:jc w:val="right"/>
              <w:spacing w:after="0"/>
              <w:rPr>
                <w:sz w:val="20"/>
                <w:szCs w:val="20"/>
                <w:color w:val="auto"/>
              </w:rPr>
            </w:pPr>
            <w:r>
              <w:rPr>
                <w:rFonts w:ascii="Arial" w:cs="Arial" w:eastAsia="Arial" w:hAnsi="Arial"/>
                <w:sz w:val="15"/>
                <w:szCs w:val="15"/>
                <w:color w:val="auto"/>
              </w:rPr>
              <w:t>-10.06%</w:t>
            </w:r>
          </w:p>
        </w:tc>
        <w:tc>
          <w:tcPr>
            <w:tcW w:w="0" w:type="dxa"/>
            <w:vAlign w:val="bottom"/>
          </w:tcPr>
          <w:p>
            <w:pPr>
              <w:spacing w:after="0"/>
              <w:rPr>
                <w:sz w:val="1"/>
                <w:szCs w:val="1"/>
                <w:color w:val="auto"/>
              </w:rPr>
            </w:pPr>
          </w:p>
        </w:tc>
      </w:tr>
      <w:tr>
        <w:trPr>
          <w:trHeight w:val="307"/>
        </w:trPr>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jc w:val="center"/>
              <w:ind w:right="2140"/>
              <w:spacing w:after="0"/>
              <w:rPr>
                <w:sz w:val="20"/>
                <w:szCs w:val="20"/>
                <w:color w:val="auto"/>
              </w:rPr>
            </w:pPr>
            <w:r>
              <w:rPr>
                <w:rFonts w:ascii="Arial" w:cs="Arial" w:eastAsia="Arial" w:hAnsi="Arial"/>
                <w:sz w:val="15"/>
                <w:szCs w:val="15"/>
                <w:b w:val="1"/>
                <w:bCs w:val="1"/>
                <w:color w:val="auto"/>
                <w:w w:val="96"/>
              </w:rPr>
              <w:t>TOTAL ASSETS</w:t>
            </w:r>
          </w:p>
        </w:tc>
        <w:tc>
          <w:tcPr>
            <w:tcW w:w="240" w:type="dxa"/>
            <w:vAlign w:val="bottom"/>
          </w:tcPr>
          <w:p>
            <w:pPr>
              <w:spacing w:after="0"/>
              <w:rPr>
                <w:sz w:val="24"/>
                <w:szCs w:val="24"/>
                <w:color w:val="auto"/>
              </w:rPr>
            </w:pPr>
          </w:p>
        </w:tc>
        <w:tc>
          <w:tcPr>
            <w:tcW w:w="1880" w:type="dxa"/>
            <w:vAlign w:val="bottom"/>
          </w:tcPr>
          <w:p>
            <w:pPr>
              <w:jc w:val="right"/>
              <w:ind w:right="366"/>
              <w:spacing w:after="0"/>
              <w:rPr>
                <w:sz w:val="20"/>
                <w:szCs w:val="20"/>
                <w:color w:val="auto"/>
              </w:rPr>
            </w:pPr>
            <w:r>
              <w:rPr>
                <w:rFonts w:ascii="Arial" w:cs="Arial" w:eastAsia="Arial" w:hAnsi="Arial"/>
                <w:sz w:val="15"/>
                <w:szCs w:val="15"/>
                <w:b w:val="1"/>
                <w:bCs w:val="1"/>
                <w:color w:val="auto"/>
              </w:rPr>
              <w:t>9,120,588</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11,049,850</w:t>
            </w:r>
          </w:p>
        </w:tc>
        <w:tc>
          <w:tcPr>
            <w:tcW w:w="1700" w:type="dxa"/>
            <w:vAlign w:val="bottom"/>
          </w:tcPr>
          <w:p>
            <w:pPr>
              <w:jc w:val="right"/>
              <w:spacing w:after="0"/>
              <w:rPr>
                <w:sz w:val="20"/>
                <w:szCs w:val="20"/>
                <w:color w:val="auto"/>
              </w:rPr>
            </w:pPr>
            <w:r>
              <w:rPr>
                <w:rFonts w:ascii="Arial" w:cs="Arial" w:eastAsia="Arial" w:hAnsi="Arial"/>
                <w:sz w:val="15"/>
                <w:szCs w:val="15"/>
                <w:b w:val="1"/>
                <w:bCs w:val="1"/>
                <w:color w:val="auto"/>
              </w:rPr>
              <w:t>21.15%</w:t>
            </w:r>
          </w:p>
        </w:tc>
        <w:tc>
          <w:tcPr>
            <w:tcW w:w="0" w:type="dxa"/>
            <w:vAlign w:val="bottom"/>
          </w:tcPr>
          <w:p>
            <w:pPr>
              <w:spacing w:after="0"/>
              <w:rPr>
                <w:sz w:val="1"/>
                <w:szCs w:val="1"/>
                <w:color w:val="auto"/>
              </w:rPr>
            </w:pPr>
          </w:p>
        </w:tc>
      </w:tr>
      <w:tr>
        <w:trPr>
          <w:trHeight w:val="348"/>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00" w:type="dxa"/>
            <w:vAlign w:val="bottom"/>
            <w:gridSpan w:val="5"/>
          </w:tcPr>
          <w:p>
            <w:pPr>
              <w:jc w:val="center"/>
              <w:ind w:right="1080"/>
              <w:spacing w:after="0"/>
              <w:rPr>
                <w:sz w:val="20"/>
                <w:szCs w:val="20"/>
                <w:color w:val="auto"/>
              </w:rPr>
            </w:pPr>
            <w:r>
              <w:rPr>
                <w:rFonts w:ascii="Arial" w:cs="Arial" w:eastAsia="Arial" w:hAnsi="Arial"/>
                <w:sz w:val="15"/>
                <w:szCs w:val="15"/>
                <w:b w:val="1"/>
                <w:bCs w:val="1"/>
                <w:color w:val="auto"/>
              </w:rPr>
              <w:t>LIABILITIES AND SHAREHOLDERS' EQUITY</w:t>
            </w:r>
          </w:p>
        </w:tc>
        <w:tc>
          <w:tcPr>
            <w:tcW w:w="1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520" w:type="dxa"/>
            <w:vAlign w:val="bottom"/>
            <w:gridSpan w:val="7"/>
          </w:tcPr>
          <w:p>
            <w:pPr>
              <w:spacing w:after="0"/>
              <w:rPr>
                <w:sz w:val="20"/>
                <w:szCs w:val="20"/>
                <w:color w:val="auto"/>
              </w:rPr>
            </w:pPr>
            <w:r>
              <w:rPr>
                <w:rFonts w:ascii="Arial" w:cs="Arial" w:eastAsia="Arial" w:hAnsi="Arial"/>
                <w:sz w:val="15"/>
                <w:szCs w:val="15"/>
                <w:color w:val="auto"/>
              </w:rPr>
              <w:t>DEPOSITS AND OBLIGATIONS:</w:t>
            </w:r>
          </w:p>
        </w:tc>
        <w:tc>
          <w:tcPr>
            <w:tcW w:w="1880" w:type="dxa"/>
            <w:vAlign w:val="bottom"/>
            <w:vMerge w:val="restart"/>
          </w:tcPr>
          <w:p>
            <w:pPr>
              <w:jc w:val="right"/>
              <w:ind w:right="366"/>
              <w:spacing w:after="0"/>
              <w:rPr>
                <w:sz w:val="20"/>
                <w:szCs w:val="20"/>
                <w:color w:val="auto"/>
              </w:rPr>
            </w:pPr>
            <w:r>
              <w:rPr>
                <w:rFonts w:ascii="Arial" w:cs="Arial" w:eastAsia="Arial" w:hAnsi="Arial"/>
                <w:sz w:val="15"/>
                <w:szCs w:val="15"/>
                <w:color w:val="auto"/>
              </w:rPr>
              <w:t>1,356,619</w:t>
            </w:r>
          </w:p>
        </w:tc>
        <w:tc>
          <w:tcPr>
            <w:tcW w:w="1320" w:type="dxa"/>
            <w:vAlign w:val="bottom"/>
            <w:vMerge w:val="restart"/>
          </w:tcPr>
          <w:p>
            <w:pPr>
              <w:jc w:val="right"/>
              <w:spacing w:after="0"/>
              <w:rPr>
                <w:sz w:val="20"/>
                <w:szCs w:val="20"/>
                <w:color w:val="auto"/>
              </w:rPr>
            </w:pPr>
            <w:r>
              <w:rPr>
                <w:rFonts w:ascii="Arial" w:cs="Arial" w:eastAsia="Arial" w:hAnsi="Arial"/>
                <w:sz w:val="15"/>
                <w:szCs w:val="15"/>
                <w:color w:val="auto"/>
              </w:rPr>
              <w:t>1,671,621</w:t>
            </w:r>
          </w:p>
        </w:tc>
        <w:tc>
          <w:tcPr>
            <w:tcW w:w="1700" w:type="dxa"/>
            <w:vAlign w:val="bottom"/>
            <w:vMerge w:val="restart"/>
          </w:tcPr>
          <w:p>
            <w:pPr>
              <w:jc w:val="right"/>
              <w:spacing w:after="0"/>
              <w:rPr>
                <w:sz w:val="20"/>
                <w:szCs w:val="20"/>
                <w:color w:val="auto"/>
              </w:rPr>
            </w:pPr>
            <w:r>
              <w:rPr>
                <w:rFonts w:ascii="Arial" w:cs="Arial" w:eastAsia="Arial" w:hAnsi="Arial"/>
                <w:sz w:val="15"/>
                <w:szCs w:val="15"/>
                <w:color w:val="auto"/>
              </w:rPr>
              <w:t>23.22%</w:t>
            </w:r>
          </w:p>
        </w:tc>
        <w:tc>
          <w:tcPr>
            <w:tcW w:w="0" w:type="dxa"/>
            <w:vAlign w:val="bottom"/>
          </w:tcPr>
          <w:p>
            <w:pPr>
              <w:spacing w:after="0"/>
              <w:rPr>
                <w:sz w:val="1"/>
                <w:szCs w:val="1"/>
                <w:color w:val="auto"/>
              </w:rPr>
            </w:pPr>
          </w:p>
        </w:tc>
      </w:tr>
      <w:tr>
        <w:trPr>
          <w:trHeight w:val="146"/>
        </w:trPr>
        <w:tc>
          <w:tcPr>
            <w:tcW w:w="2120" w:type="dxa"/>
            <w:vAlign w:val="bottom"/>
            <w:tcBorders>
              <w:top w:val="single" w:sz="8" w:color="auto"/>
            </w:tcBorders>
            <w:gridSpan w:val="4"/>
          </w:tcPr>
          <w:p>
            <w:pPr>
              <w:ind w:left="120"/>
              <w:spacing w:after="0" w:line="146" w:lineRule="exact"/>
              <w:rPr>
                <w:sz w:val="20"/>
                <w:szCs w:val="20"/>
                <w:color w:val="auto"/>
              </w:rPr>
            </w:pPr>
            <w:r>
              <w:rPr>
                <w:rFonts w:ascii="Arial" w:cs="Arial" w:eastAsia="Arial" w:hAnsi="Arial"/>
                <w:sz w:val="15"/>
                <w:szCs w:val="15"/>
                <w:color w:val="auto"/>
              </w:rPr>
              <w:t>Non-interest bearing</w:t>
            </w:r>
          </w:p>
        </w:tc>
        <w:tc>
          <w:tcPr>
            <w:tcW w:w="2060" w:type="dxa"/>
            <w:vAlign w:val="bottom"/>
          </w:tcPr>
          <w:p>
            <w:pPr>
              <w:spacing w:after="0"/>
              <w:rPr>
                <w:sz w:val="12"/>
                <w:szCs w:val="12"/>
                <w:color w:val="auto"/>
              </w:rPr>
            </w:pPr>
          </w:p>
        </w:tc>
        <w:tc>
          <w:tcPr>
            <w:tcW w:w="2340" w:type="dxa"/>
            <w:vAlign w:val="bottom"/>
            <w:gridSpan w:val="2"/>
          </w:tcPr>
          <w:p>
            <w:pPr>
              <w:spacing w:after="0"/>
              <w:rPr>
                <w:sz w:val="12"/>
                <w:szCs w:val="12"/>
                <w:color w:val="auto"/>
              </w:rPr>
            </w:pPr>
          </w:p>
        </w:tc>
        <w:tc>
          <w:tcPr>
            <w:tcW w:w="188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20" w:type="dxa"/>
            <w:vAlign w:val="bottom"/>
            <w:gridSpan w:val="7"/>
          </w:tcPr>
          <w:p>
            <w:pPr>
              <w:ind w:left="120"/>
              <w:spacing w:after="0" w:line="162" w:lineRule="exact"/>
              <w:rPr>
                <w:sz w:val="20"/>
                <w:szCs w:val="20"/>
                <w:color w:val="auto"/>
              </w:rPr>
            </w:pPr>
            <w:r>
              <w:rPr>
                <w:rFonts w:ascii="Arial" w:cs="Arial" w:eastAsia="Arial" w:hAnsi="Arial"/>
                <w:sz w:val="15"/>
                <w:szCs w:val="15"/>
                <w:color w:val="auto"/>
              </w:rPr>
              <w:t>Interest bearing</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4,983,883</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5,421,807</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8.79%</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jc w:val="right"/>
              <w:ind w:right="366"/>
              <w:spacing w:after="0"/>
              <w:rPr>
                <w:sz w:val="20"/>
                <w:szCs w:val="20"/>
                <w:color w:val="auto"/>
              </w:rPr>
            </w:pPr>
            <w:r>
              <w:rPr>
                <w:rFonts w:ascii="Arial" w:cs="Arial" w:eastAsia="Arial" w:hAnsi="Arial"/>
                <w:sz w:val="15"/>
                <w:szCs w:val="15"/>
                <w:color w:val="auto"/>
              </w:rPr>
              <w:t>6,340,502</w:t>
            </w:r>
          </w:p>
        </w:tc>
        <w:tc>
          <w:tcPr>
            <w:tcW w:w="1320" w:type="dxa"/>
            <w:vAlign w:val="bottom"/>
          </w:tcPr>
          <w:p>
            <w:pPr>
              <w:jc w:val="right"/>
              <w:spacing w:after="0"/>
              <w:rPr>
                <w:sz w:val="20"/>
                <w:szCs w:val="20"/>
                <w:color w:val="auto"/>
              </w:rPr>
            </w:pPr>
            <w:r>
              <w:rPr>
                <w:rFonts w:ascii="Arial" w:cs="Arial" w:eastAsia="Arial" w:hAnsi="Arial"/>
                <w:sz w:val="15"/>
                <w:szCs w:val="15"/>
                <w:color w:val="auto"/>
              </w:rPr>
              <w:t>7,093,428</w:t>
            </w:r>
          </w:p>
        </w:tc>
        <w:tc>
          <w:tcPr>
            <w:tcW w:w="1700" w:type="dxa"/>
            <w:vAlign w:val="bottom"/>
          </w:tcPr>
          <w:p>
            <w:pPr>
              <w:jc w:val="right"/>
              <w:spacing w:after="0"/>
              <w:rPr>
                <w:sz w:val="20"/>
                <w:szCs w:val="20"/>
                <w:color w:val="auto"/>
              </w:rPr>
            </w:pPr>
            <w:r>
              <w:rPr>
                <w:rFonts w:ascii="Arial" w:cs="Arial" w:eastAsia="Arial" w:hAnsi="Arial"/>
                <w:sz w:val="15"/>
                <w:szCs w:val="15"/>
                <w:color w:val="auto"/>
              </w:rPr>
              <w:t>11.87%</w:t>
            </w:r>
          </w:p>
        </w:tc>
        <w:tc>
          <w:tcPr>
            <w:tcW w:w="0" w:type="dxa"/>
            <w:vAlign w:val="bottom"/>
          </w:tcPr>
          <w:p>
            <w:pPr>
              <w:spacing w:after="0"/>
              <w:rPr>
                <w:sz w:val="1"/>
                <w:szCs w:val="1"/>
                <w:color w:val="auto"/>
              </w:rPr>
            </w:pPr>
          </w:p>
        </w:tc>
      </w:tr>
      <w:tr>
        <w:trPr>
          <w:trHeight w:val="298"/>
        </w:trPr>
        <w:tc>
          <w:tcPr>
            <w:tcW w:w="6520" w:type="dxa"/>
            <w:vAlign w:val="bottom"/>
            <w:gridSpan w:val="7"/>
          </w:tcPr>
          <w:p>
            <w:pPr>
              <w:spacing w:after="0"/>
              <w:rPr>
                <w:sz w:val="20"/>
                <w:szCs w:val="20"/>
                <w:color w:val="auto"/>
              </w:rPr>
            </w:pPr>
            <w:r>
              <w:rPr>
                <w:rFonts w:ascii="Arial" w:cs="Arial" w:eastAsia="Arial" w:hAnsi="Arial"/>
                <w:sz w:val="15"/>
                <w:szCs w:val="15"/>
                <w:color w:val="auto"/>
              </w:rPr>
              <w:t>DUE TO BANKS AND CORRESPONDENTS</w:t>
            </w:r>
          </w:p>
        </w:tc>
        <w:tc>
          <w:tcPr>
            <w:tcW w:w="1880" w:type="dxa"/>
            <w:vAlign w:val="bottom"/>
          </w:tcPr>
          <w:p>
            <w:pPr>
              <w:jc w:val="right"/>
              <w:ind w:right="366"/>
              <w:spacing w:after="0"/>
              <w:rPr>
                <w:sz w:val="20"/>
                <w:szCs w:val="20"/>
                <w:color w:val="auto"/>
              </w:rPr>
            </w:pPr>
            <w:r>
              <w:rPr>
                <w:rFonts w:ascii="Arial" w:cs="Arial" w:eastAsia="Arial" w:hAnsi="Arial"/>
                <w:sz w:val="15"/>
                <w:szCs w:val="15"/>
                <w:color w:val="auto"/>
              </w:rPr>
              <w:t>392,511</w:t>
            </w:r>
          </w:p>
        </w:tc>
        <w:tc>
          <w:tcPr>
            <w:tcW w:w="1320" w:type="dxa"/>
            <w:vAlign w:val="bottom"/>
          </w:tcPr>
          <w:p>
            <w:pPr>
              <w:jc w:val="right"/>
              <w:spacing w:after="0"/>
              <w:rPr>
                <w:sz w:val="20"/>
                <w:szCs w:val="20"/>
                <w:color w:val="auto"/>
              </w:rPr>
            </w:pPr>
            <w:r>
              <w:rPr>
                <w:rFonts w:ascii="Arial" w:cs="Arial" w:eastAsia="Arial" w:hAnsi="Arial"/>
                <w:sz w:val="15"/>
                <w:szCs w:val="15"/>
                <w:color w:val="auto"/>
              </w:rPr>
              <w:t>1,303,371</w:t>
            </w:r>
          </w:p>
        </w:tc>
        <w:tc>
          <w:tcPr>
            <w:tcW w:w="1700" w:type="dxa"/>
            <w:vAlign w:val="bottom"/>
          </w:tcPr>
          <w:p>
            <w:pPr>
              <w:jc w:val="right"/>
              <w:spacing w:after="0"/>
              <w:rPr>
                <w:sz w:val="20"/>
                <w:szCs w:val="20"/>
                <w:color w:val="auto"/>
              </w:rPr>
            </w:pPr>
            <w:r>
              <w:rPr>
                <w:rFonts w:ascii="Arial" w:cs="Arial" w:eastAsia="Arial" w:hAnsi="Arial"/>
                <w:sz w:val="15"/>
                <w:szCs w:val="15"/>
                <w:color w:val="auto"/>
              </w:rPr>
              <w:t>232.06%</w:t>
            </w:r>
          </w:p>
        </w:tc>
        <w:tc>
          <w:tcPr>
            <w:tcW w:w="0" w:type="dxa"/>
            <w:vAlign w:val="bottom"/>
          </w:tcPr>
          <w:p>
            <w:pPr>
              <w:spacing w:after="0"/>
              <w:rPr>
                <w:sz w:val="1"/>
                <w:szCs w:val="1"/>
                <w:color w:val="auto"/>
              </w:rPr>
            </w:pPr>
          </w:p>
        </w:tc>
      </w:tr>
      <w:tr>
        <w:trPr>
          <w:trHeight w:val="162"/>
        </w:trPr>
        <w:tc>
          <w:tcPr>
            <w:tcW w:w="6520" w:type="dxa"/>
            <w:vAlign w:val="bottom"/>
            <w:gridSpan w:val="7"/>
          </w:tcPr>
          <w:p>
            <w:pPr>
              <w:spacing w:after="0" w:line="162" w:lineRule="exact"/>
              <w:rPr>
                <w:sz w:val="20"/>
                <w:szCs w:val="20"/>
                <w:color w:val="auto"/>
              </w:rPr>
            </w:pPr>
            <w:r>
              <w:rPr>
                <w:rFonts w:ascii="Arial" w:cs="Arial" w:eastAsia="Arial" w:hAnsi="Arial"/>
                <w:sz w:val="15"/>
                <w:szCs w:val="15"/>
                <w:color w:val="auto"/>
              </w:rPr>
              <w:t>ACCEPTANCES OUTSTANDING</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47,783</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45,423</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r>
        <w:trPr>
          <w:trHeight w:val="162"/>
        </w:trPr>
        <w:tc>
          <w:tcPr>
            <w:tcW w:w="6520" w:type="dxa"/>
            <w:vAlign w:val="bottom"/>
            <w:gridSpan w:val="7"/>
          </w:tcPr>
          <w:p>
            <w:pPr>
              <w:spacing w:after="0" w:line="162" w:lineRule="exact"/>
              <w:rPr>
                <w:sz w:val="20"/>
                <w:szCs w:val="20"/>
                <w:color w:val="auto"/>
              </w:rPr>
            </w:pPr>
            <w:r>
              <w:rPr>
                <w:rFonts w:ascii="Arial" w:cs="Arial" w:eastAsia="Arial" w:hAnsi="Arial"/>
                <w:sz w:val="15"/>
                <w:szCs w:val="15"/>
                <w:color w:val="auto"/>
              </w:rPr>
              <w:t>RESERVE FOR PROPERTY AND CASUALTY CLAIMS</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398,439</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464,578</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16.60%</w:t>
            </w:r>
          </w:p>
        </w:tc>
        <w:tc>
          <w:tcPr>
            <w:tcW w:w="0" w:type="dxa"/>
            <w:vAlign w:val="bottom"/>
          </w:tcPr>
          <w:p>
            <w:pPr>
              <w:spacing w:after="0"/>
              <w:rPr>
                <w:sz w:val="1"/>
                <w:szCs w:val="1"/>
                <w:color w:val="auto"/>
              </w:rPr>
            </w:pPr>
          </w:p>
        </w:tc>
      </w:tr>
      <w:tr>
        <w:trPr>
          <w:trHeight w:val="162"/>
        </w:trPr>
        <w:tc>
          <w:tcPr>
            <w:tcW w:w="6520" w:type="dxa"/>
            <w:vAlign w:val="bottom"/>
            <w:gridSpan w:val="7"/>
          </w:tcPr>
          <w:p>
            <w:pPr>
              <w:spacing w:after="0" w:line="162" w:lineRule="exact"/>
              <w:rPr>
                <w:sz w:val="20"/>
                <w:szCs w:val="20"/>
                <w:color w:val="auto"/>
              </w:rPr>
            </w:pPr>
            <w:r>
              <w:rPr>
                <w:rFonts w:ascii="Arial" w:cs="Arial" w:eastAsia="Arial" w:hAnsi="Arial"/>
                <w:sz w:val="15"/>
                <w:szCs w:val="15"/>
                <w:color w:val="auto"/>
              </w:rPr>
              <w:t>RESERVE FOR UNEARNED PREMIUMS</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66,678</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81,516</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22.25%</w:t>
            </w:r>
          </w:p>
        </w:tc>
        <w:tc>
          <w:tcPr>
            <w:tcW w:w="0" w:type="dxa"/>
            <w:vAlign w:val="bottom"/>
          </w:tcPr>
          <w:p>
            <w:pPr>
              <w:spacing w:after="0"/>
              <w:rPr>
                <w:sz w:val="1"/>
                <w:szCs w:val="1"/>
                <w:color w:val="auto"/>
              </w:rPr>
            </w:pPr>
          </w:p>
        </w:tc>
      </w:tr>
      <w:tr>
        <w:trPr>
          <w:trHeight w:val="162"/>
        </w:trPr>
        <w:tc>
          <w:tcPr>
            <w:tcW w:w="6520" w:type="dxa"/>
            <w:vAlign w:val="bottom"/>
            <w:gridSpan w:val="7"/>
          </w:tcPr>
          <w:p>
            <w:pPr>
              <w:spacing w:after="0" w:line="162" w:lineRule="exact"/>
              <w:rPr>
                <w:sz w:val="20"/>
                <w:szCs w:val="20"/>
                <w:color w:val="auto"/>
              </w:rPr>
            </w:pPr>
            <w:r>
              <w:rPr>
                <w:rFonts w:ascii="Arial" w:cs="Arial" w:eastAsia="Arial" w:hAnsi="Arial"/>
                <w:sz w:val="15"/>
                <w:szCs w:val="15"/>
                <w:color w:val="auto"/>
              </w:rPr>
              <w:t>REINSURANCE PAYABLE</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23,612</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36,580</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54.92%</w:t>
            </w:r>
          </w:p>
        </w:tc>
        <w:tc>
          <w:tcPr>
            <w:tcW w:w="0" w:type="dxa"/>
            <w:vAlign w:val="bottom"/>
          </w:tcPr>
          <w:p>
            <w:pPr>
              <w:spacing w:after="0"/>
              <w:rPr>
                <w:sz w:val="1"/>
                <w:szCs w:val="1"/>
                <w:color w:val="auto"/>
              </w:rPr>
            </w:pPr>
          </w:p>
        </w:tc>
      </w:tr>
      <w:tr>
        <w:trPr>
          <w:trHeight w:val="162"/>
        </w:trPr>
        <w:tc>
          <w:tcPr>
            <w:tcW w:w="6520" w:type="dxa"/>
            <w:vAlign w:val="bottom"/>
            <w:gridSpan w:val="7"/>
          </w:tcPr>
          <w:p>
            <w:pPr>
              <w:spacing w:after="0" w:line="162" w:lineRule="exact"/>
              <w:rPr>
                <w:sz w:val="20"/>
                <w:szCs w:val="20"/>
                <w:color w:val="auto"/>
              </w:rPr>
            </w:pPr>
            <w:r>
              <w:rPr>
                <w:rFonts w:ascii="Arial" w:cs="Arial" w:eastAsia="Arial" w:hAnsi="Arial"/>
                <w:sz w:val="15"/>
                <w:szCs w:val="15"/>
                <w:color w:val="auto"/>
              </w:rPr>
              <w:t>BONDS AND SUBORDINATED DEBT</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424,227</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429,365</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62"/>
        </w:trPr>
        <w:tc>
          <w:tcPr>
            <w:tcW w:w="6520" w:type="dxa"/>
            <w:vAlign w:val="bottom"/>
            <w:gridSpan w:val="7"/>
          </w:tcPr>
          <w:p>
            <w:pPr>
              <w:spacing w:after="0" w:line="162" w:lineRule="exact"/>
              <w:rPr>
                <w:sz w:val="20"/>
                <w:szCs w:val="20"/>
                <w:color w:val="auto"/>
              </w:rPr>
            </w:pPr>
            <w:r>
              <w:rPr>
                <w:rFonts w:ascii="Arial" w:cs="Arial" w:eastAsia="Arial" w:hAnsi="Arial"/>
                <w:sz w:val="15"/>
                <w:szCs w:val="15"/>
                <w:color w:val="auto"/>
              </w:rPr>
              <w:t>OTHER LIABILITIES</w:t>
            </w:r>
          </w:p>
        </w:tc>
        <w:tc>
          <w:tcPr>
            <w:tcW w:w="18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276,387</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303,637</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9.86%</w:t>
            </w:r>
          </w:p>
        </w:tc>
        <w:tc>
          <w:tcPr>
            <w:tcW w:w="0" w:type="dxa"/>
            <w:vAlign w:val="bottom"/>
          </w:tcPr>
          <w:p>
            <w:pPr>
              <w:spacing w:after="0"/>
              <w:rPr>
                <w:sz w:val="1"/>
                <w:szCs w:val="1"/>
                <w:color w:val="auto"/>
              </w:rPr>
            </w:pPr>
          </w:p>
        </w:tc>
      </w:tr>
      <w:tr>
        <w:trPr>
          <w:trHeight w:val="188"/>
        </w:trPr>
        <w:tc>
          <w:tcPr>
            <w:tcW w:w="6520" w:type="dxa"/>
            <w:vAlign w:val="bottom"/>
            <w:gridSpan w:val="7"/>
          </w:tcPr>
          <w:p>
            <w:pPr>
              <w:spacing w:after="0"/>
              <w:rPr>
                <w:sz w:val="20"/>
                <w:szCs w:val="20"/>
                <w:color w:val="auto"/>
              </w:rPr>
            </w:pPr>
            <w:r>
              <w:rPr>
                <w:rFonts w:ascii="Arial" w:cs="Arial" w:eastAsia="Arial" w:hAnsi="Arial"/>
                <w:sz w:val="15"/>
                <w:szCs w:val="15"/>
                <w:color w:val="auto"/>
              </w:rPr>
              <w:t>MINORITY INTEREST</w:t>
            </w:r>
          </w:p>
        </w:tc>
        <w:tc>
          <w:tcPr>
            <w:tcW w:w="1880" w:type="dxa"/>
            <w:vAlign w:val="bottom"/>
          </w:tcPr>
          <w:p>
            <w:pPr>
              <w:jc w:val="right"/>
              <w:ind w:right="366"/>
              <w:spacing w:after="0"/>
              <w:rPr>
                <w:sz w:val="20"/>
                <w:szCs w:val="20"/>
                <w:color w:val="auto"/>
              </w:rPr>
            </w:pPr>
            <w:r>
              <w:rPr>
                <w:rFonts w:ascii="Arial" w:cs="Arial" w:eastAsia="Arial" w:hAnsi="Arial"/>
                <w:sz w:val="15"/>
                <w:szCs w:val="15"/>
                <w:color w:val="auto"/>
              </w:rPr>
              <w:t>85,253</w:t>
            </w:r>
          </w:p>
        </w:tc>
        <w:tc>
          <w:tcPr>
            <w:tcW w:w="1320" w:type="dxa"/>
            <w:vAlign w:val="bottom"/>
          </w:tcPr>
          <w:p>
            <w:pPr>
              <w:jc w:val="right"/>
              <w:spacing w:after="0"/>
              <w:rPr>
                <w:sz w:val="20"/>
                <w:szCs w:val="20"/>
                <w:color w:val="auto"/>
              </w:rPr>
            </w:pPr>
            <w:r>
              <w:rPr>
                <w:rFonts w:ascii="Arial" w:cs="Arial" w:eastAsia="Arial" w:hAnsi="Arial"/>
                <w:sz w:val="15"/>
                <w:szCs w:val="15"/>
                <w:color w:val="auto"/>
              </w:rPr>
              <w:t>101,512</w:t>
            </w:r>
          </w:p>
        </w:tc>
        <w:tc>
          <w:tcPr>
            <w:tcW w:w="1700" w:type="dxa"/>
            <w:vAlign w:val="bottom"/>
          </w:tcPr>
          <w:p>
            <w:pPr>
              <w:jc w:val="right"/>
              <w:spacing w:after="0"/>
              <w:rPr>
                <w:sz w:val="20"/>
                <w:szCs w:val="20"/>
                <w:color w:val="auto"/>
              </w:rPr>
            </w:pPr>
            <w:r>
              <w:rPr>
                <w:rFonts w:ascii="Arial" w:cs="Arial" w:eastAsia="Arial" w:hAnsi="Arial"/>
                <w:sz w:val="15"/>
                <w:szCs w:val="15"/>
                <w:color w:val="auto"/>
              </w:rPr>
              <w:t>19.07%</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3"/>
          </w:tcPr>
          <w:p>
            <w:pPr>
              <w:jc w:val="center"/>
              <w:ind w:right="2380"/>
              <w:spacing w:after="0"/>
              <w:rPr>
                <w:sz w:val="20"/>
                <w:szCs w:val="20"/>
                <w:color w:val="auto"/>
              </w:rPr>
            </w:pPr>
            <w:r>
              <w:rPr>
                <w:rFonts w:ascii="Arial" w:cs="Arial" w:eastAsia="Arial" w:hAnsi="Arial"/>
                <w:sz w:val="15"/>
                <w:szCs w:val="15"/>
                <w:b w:val="1"/>
                <w:bCs w:val="1"/>
                <w:color w:val="auto"/>
              </w:rPr>
              <w:t>TOTAL LIABILITIES</w:t>
            </w:r>
          </w:p>
        </w:tc>
        <w:tc>
          <w:tcPr>
            <w:tcW w:w="1880" w:type="dxa"/>
            <w:vAlign w:val="bottom"/>
          </w:tcPr>
          <w:p>
            <w:pPr>
              <w:jc w:val="right"/>
              <w:ind w:right="366"/>
              <w:spacing w:after="0"/>
              <w:rPr>
                <w:sz w:val="20"/>
                <w:szCs w:val="20"/>
                <w:color w:val="auto"/>
              </w:rPr>
            </w:pPr>
            <w:r>
              <w:rPr>
                <w:rFonts w:ascii="Arial" w:cs="Arial" w:eastAsia="Arial" w:hAnsi="Arial"/>
                <w:sz w:val="15"/>
                <w:szCs w:val="15"/>
                <w:b w:val="1"/>
                <w:bCs w:val="1"/>
                <w:color w:val="auto"/>
              </w:rPr>
              <w:t>8,055,391</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9,859,410</w:t>
            </w:r>
          </w:p>
        </w:tc>
        <w:tc>
          <w:tcPr>
            <w:tcW w:w="1700" w:type="dxa"/>
            <w:vAlign w:val="bottom"/>
          </w:tcPr>
          <w:p>
            <w:pPr>
              <w:jc w:val="right"/>
              <w:spacing w:after="0"/>
              <w:rPr>
                <w:sz w:val="20"/>
                <w:szCs w:val="20"/>
                <w:color w:val="auto"/>
              </w:rPr>
            </w:pPr>
            <w:r>
              <w:rPr>
                <w:rFonts w:ascii="Arial" w:cs="Arial" w:eastAsia="Arial" w:hAnsi="Arial"/>
                <w:sz w:val="15"/>
                <w:szCs w:val="15"/>
                <w:b w:val="1"/>
                <w:bCs w:val="1"/>
                <w:color w:val="auto"/>
              </w:rPr>
              <w:t>22.40%</w:t>
            </w:r>
          </w:p>
        </w:tc>
        <w:tc>
          <w:tcPr>
            <w:tcW w:w="0" w:type="dxa"/>
            <w:vAlign w:val="bottom"/>
          </w:tcPr>
          <w:p>
            <w:pPr>
              <w:spacing w:after="0"/>
              <w:rPr>
                <w:sz w:val="1"/>
                <w:szCs w:val="1"/>
                <w:color w:val="auto"/>
              </w:rPr>
            </w:pPr>
          </w:p>
        </w:tc>
      </w:tr>
      <w:tr>
        <w:trPr>
          <w:trHeight w:val="294"/>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20" w:type="dxa"/>
            <w:vAlign w:val="bottom"/>
            <w:gridSpan w:val="4"/>
          </w:tcPr>
          <w:p>
            <w:pPr>
              <w:jc w:val="center"/>
              <w:ind w:right="2340"/>
              <w:spacing w:after="0"/>
              <w:rPr>
                <w:sz w:val="20"/>
                <w:szCs w:val="20"/>
                <w:color w:val="auto"/>
              </w:rPr>
            </w:pPr>
            <w:r>
              <w:rPr>
                <w:rFonts w:ascii="Arial" w:cs="Arial" w:eastAsia="Arial" w:hAnsi="Arial"/>
                <w:sz w:val="15"/>
                <w:szCs w:val="15"/>
                <w:color w:val="auto"/>
                <w:w w:val="93"/>
              </w:rPr>
              <w:t>NET SHAREHOLDERS' EQUITY</w:t>
            </w:r>
          </w:p>
        </w:tc>
        <w:tc>
          <w:tcPr>
            <w:tcW w:w="1880" w:type="dxa"/>
            <w:vAlign w:val="bottom"/>
          </w:tcPr>
          <w:p>
            <w:pPr>
              <w:jc w:val="right"/>
              <w:ind w:right="366"/>
              <w:spacing w:after="0"/>
              <w:rPr>
                <w:sz w:val="20"/>
                <w:szCs w:val="20"/>
                <w:color w:val="auto"/>
              </w:rPr>
            </w:pPr>
            <w:r>
              <w:rPr>
                <w:rFonts w:ascii="Arial" w:cs="Arial" w:eastAsia="Arial" w:hAnsi="Arial"/>
                <w:sz w:val="15"/>
                <w:szCs w:val="15"/>
                <w:color w:val="auto"/>
              </w:rPr>
              <w:t>1,065,197</w:t>
            </w:r>
          </w:p>
        </w:tc>
        <w:tc>
          <w:tcPr>
            <w:tcW w:w="1320" w:type="dxa"/>
            <w:vAlign w:val="bottom"/>
          </w:tcPr>
          <w:p>
            <w:pPr>
              <w:jc w:val="right"/>
              <w:spacing w:after="0"/>
              <w:rPr>
                <w:sz w:val="20"/>
                <w:szCs w:val="20"/>
                <w:color w:val="auto"/>
              </w:rPr>
            </w:pPr>
            <w:r>
              <w:rPr>
                <w:rFonts w:ascii="Arial" w:cs="Arial" w:eastAsia="Arial" w:hAnsi="Arial"/>
                <w:sz w:val="15"/>
                <w:szCs w:val="15"/>
                <w:color w:val="auto"/>
              </w:rPr>
              <w:t>1,190,440</w:t>
            </w:r>
          </w:p>
        </w:tc>
        <w:tc>
          <w:tcPr>
            <w:tcW w:w="1700" w:type="dxa"/>
            <w:vAlign w:val="bottom"/>
          </w:tcPr>
          <w:p>
            <w:pPr>
              <w:jc w:val="right"/>
              <w:spacing w:after="0"/>
              <w:rPr>
                <w:sz w:val="20"/>
                <w:szCs w:val="20"/>
                <w:color w:val="auto"/>
              </w:rPr>
            </w:pPr>
            <w:r>
              <w:rPr>
                <w:rFonts w:ascii="Arial" w:cs="Arial" w:eastAsia="Arial" w:hAnsi="Arial"/>
                <w:sz w:val="15"/>
                <w:szCs w:val="15"/>
                <w:color w:val="auto"/>
              </w:rPr>
              <w:t>11.76%</w:t>
            </w:r>
          </w:p>
        </w:tc>
        <w:tc>
          <w:tcPr>
            <w:tcW w:w="0" w:type="dxa"/>
            <w:vAlign w:val="bottom"/>
          </w:tcPr>
          <w:p>
            <w:pPr>
              <w:spacing w:after="0"/>
              <w:rPr>
                <w:sz w:val="1"/>
                <w:szCs w:val="1"/>
                <w:color w:val="auto"/>
              </w:rPr>
            </w:pPr>
          </w:p>
        </w:tc>
      </w:tr>
      <w:tr>
        <w:trPr>
          <w:trHeight w:val="20"/>
        </w:trPr>
        <w:tc>
          <w:tcPr>
            <w:tcW w:w="2100" w:type="dxa"/>
            <w:vAlign w:val="bottom"/>
            <w:tcBorders>
              <w:right w:val="single" w:sz="8" w:color="auto"/>
            </w:tcBorders>
            <w:gridSpan w:val="3"/>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6520" w:type="dxa"/>
            <w:vAlign w:val="bottom"/>
            <w:gridSpan w:val="7"/>
          </w:tcPr>
          <w:p>
            <w:pPr>
              <w:spacing w:after="0"/>
              <w:rPr>
                <w:sz w:val="20"/>
                <w:szCs w:val="20"/>
                <w:color w:val="auto"/>
              </w:rPr>
            </w:pPr>
            <w:r>
              <w:rPr>
                <w:rFonts w:ascii="Arial" w:cs="Arial" w:eastAsia="Arial" w:hAnsi="Arial"/>
                <w:sz w:val="15"/>
                <w:szCs w:val="15"/>
                <w:b w:val="1"/>
                <w:bCs w:val="1"/>
                <w:color w:val="auto"/>
              </w:rPr>
              <w:t>TOTAL LIABILITIES and NET SHAREHOLDERS' EQUITY</w:t>
            </w:r>
          </w:p>
        </w:tc>
        <w:tc>
          <w:tcPr>
            <w:tcW w:w="1880" w:type="dxa"/>
            <w:vAlign w:val="bottom"/>
          </w:tcPr>
          <w:p>
            <w:pPr>
              <w:jc w:val="right"/>
              <w:ind w:right="366"/>
              <w:spacing w:after="0"/>
              <w:rPr>
                <w:sz w:val="20"/>
                <w:szCs w:val="20"/>
                <w:color w:val="auto"/>
              </w:rPr>
            </w:pPr>
            <w:r>
              <w:rPr>
                <w:rFonts w:ascii="Arial" w:cs="Arial" w:eastAsia="Arial" w:hAnsi="Arial"/>
                <w:sz w:val="15"/>
                <w:szCs w:val="15"/>
                <w:b w:val="1"/>
                <w:bCs w:val="1"/>
                <w:color w:val="auto"/>
              </w:rPr>
              <w:t>9,120,588</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11,049,850</w:t>
            </w:r>
          </w:p>
        </w:tc>
        <w:tc>
          <w:tcPr>
            <w:tcW w:w="1700" w:type="dxa"/>
            <w:vAlign w:val="bottom"/>
          </w:tcPr>
          <w:p>
            <w:pPr>
              <w:jc w:val="right"/>
              <w:spacing w:after="0"/>
              <w:rPr>
                <w:sz w:val="20"/>
                <w:szCs w:val="20"/>
                <w:color w:val="auto"/>
              </w:rPr>
            </w:pPr>
            <w:r>
              <w:rPr>
                <w:rFonts w:ascii="Arial" w:cs="Arial" w:eastAsia="Arial" w:hAnsi="Arial"/>
                <w:sz w:val="15"/>
                <w:szCs w:val="15"/>
                <w:b w:val="1"/>
                <w:bCs w:val="1"/>
                <w:color w:val="auto"/>
              </w:rPr>
              <w:t>21.15%</w:t>
            </w:r>
          </w:p>
        </w:tc>
        <w:tc>
          <w:tcPr>
            <w:tcW w:w="0" w:type="dxa"/>
            <w:vAlign w:val="bottom"/>
          </w:tcPr>
          <w:p>
            <w:pPr>
              <w:spacing w:after="0"/>
              <w:rPr>
                <w:sz w:val="1"/>
                <w:szCs w:val="1"/>
                <w:color w:val="auto"/>
              </w:rPr>
            </w:pPr>
          </w:p>
        </w:tc>
      </w:tr>
      <w:tr>
        <w:trPr>
          <w:trHeight w:val="307"/>
        </w:trPr>
        <w:tc>
          <w:tcPr>
            <w:tcW w:w="65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rPr>
              <w:t>CONTINGENT CREDITS</w:t>
            </w:r>
          </w:p>
        </w:tc>
        <w:tc>
          <w:tcPr>
            <w:tcW w:w="188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2,017,731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2,962,498</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46.82%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ATLANTIC SECURITY HOLDING CORPORATION AND SUBSIDIARIES (“ASHC”)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w:t>
      </w:r>
    </w:p>
    <w:p>
      <w:pPr>
        <w:spacing w:after="0" w:line="212"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Atlantic Security Holding has again proven to be a consistent contributor to Credicorp’s results, with a positive return with low risk. Atlantic has closed the year 2005 with a contribution of US$13.5 million to Credicorp’s consolidated net attributable income, showing a very stable performance compared to its contribution the previous year of US$13.3 million.</w:t>
      </w:r>
    </w:p>
    <w:p>
      <w:pPr>
        <w:spacing w:after="0" w:line="167"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Including the dividend income resulting from its Credicorp stock, Atlantic reports a net income of US$25.2 million, 31.5% higher than in 2004 with US$19.1 million net income. This rise is clearly a result of Credicorp’s significantly higher dividend payout in 2005 based on its already improved results in 2004.</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and Non-financial Income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On a year-over-year comparison, Atlantic’s net interest income was lower in 8.1%, while fee income show improvements of 13.1%</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Atlantic’s net interest income reflects its conservative investment policies in what can be described as a low-risk margin business, with a return on interest earning assets for 2005 of 1.5% (excluding both dividend income and shareholdings from this calculation), that can still be considered satisfactory given a 0% bad loan to total loans ratio, and a 1.8% provision for bad loans.</w:t>
      </w:r>
    </w:p>
    <w:p>
      <w:pPr>
        <w:spacing w:after="0" w:line="134"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Likewise, during 2005 a decrease in the net margin generated by profitable assets is produced. This is a consequence of its low risk investment portfolio and the higher rates paid on deposits due to increasing interest rates.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Provision for market risk as to December 2005 was only US$1.9 millions of an investment portfolio of US$582 millions.</w:t>
      </w:r>
    </w:p>
    <w:p>
      <w:pPr>
        <w:spacing w:after="0" w:line="21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Non-interest income, which includes fee income and realized gains on securities transactions before risk provisions reached US$9 million during 2004 and US$10 million for the year 2005. Nevertheless, in the two last quarters of the year, a fall of 8.5% is observed. The volatility stemms from the securities transactions, since Atlantic’s fee income generation experienced steady growth, from US$1.14 million quarterly a year ago to US$1.3 quarterly today, reaching a total of US$4.3 million in 2004, versus US$4.9 million for 2005, a healthy 14% increase.</w:t>
      </w:r>
    </w:p>
    <w:p>
      <w:pPr>
        <w:spacing w:after="0" w:line="188"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Efficiency ratios at Atlantic reflect the low cost operations for this business. Therefore, increased returns on investments have an immediate positive effect. These ratios improve on all counts: on a QoQ and YoY basis, reaching 21.6% operating expenses/income, 0.7% operating expenses/assets and even 0.4% when including assets under management in the latter ratio.</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Assets and Liabilities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The good performance of Atlantic is reflected by growth of its portfolio of Managed Funds and Deposits.</w:t>
      </w:r>
    </w:p>
    <w:p>
      <w:pPr>
        <w:spacing w:after="0" w:line="201" w:lineRule="exact"/>
        <w:rPr>
          <w:sz w:val="20"/>
          <w:szCs w:val="20"/>
          <w:color w:val="auto"/>
        </w:rPr>
      </w:pPr>
    </w:p>
    <w:p>
      <w:pPr>
        <w:ind w:right="580"/>
        <w:spacing w:after="0" w:line="243" w:lineRule="auto"/>
        <w:rPr>
          <w:sz w:val="20"/>
          <w:szCs w:val="20"/>
          <w:color w:val="auto"/>
        </w:rPr>
      </w:pPr>
      <w:r>
        <w:rPr>
          <w:rFonts w:ascii="Arial" w:cs="Arial" w:eastAsia="Arial" w:hAnsi="Arial"/>
          <w:sz w:val="22"/>
          <w:szCs w:val="22"/>
          <w:color w:val="auto"/>
        </w:rPr>
        <w:t xml:space="preserve">Its volume of </w:t>
      </w:r>
      <w:r>
        <w:rPr>
          <w:rFonts w:ascii="Arial" w:cs="Arial" w:eastAsia="Arial" w:hAnsi="Arial"/>
          <w:sz w:val="22"/>
          <w:szCs w:val="22"/>
          <w:b w:val="1"/>
          <w:bCs w:val="1"/>
          <w:color w:val="auto"/>
        </w:rPr>
        <w:t>Funds under Management</w:t>
      </w:r>
      <w:r>
        <w:rPr>
          <w:rFonts w:ascii="Arial" w:cs="Arial" w:eastAsia="Arial" w:hAnsi="Arial"/>
          <w:sz w:val="22"/>
          <w:szCs w:val="22"/>
          <w:color w:val="auto"/>
        </w:rPr>
        <w:t xml:space="preserve"> grew 34.5% YoY, exceeding US$1 billion at the end of 2005. This excellent result reflects Atlantic’s ability to attract such funds based on the services it provides. This growth is the main contributor to fee generation.</w:t>
      </w:r>
    </w:p>
    <w:p>
      <w:pPr>
        <w:spacing w:after="0" w:line="177"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b w:val="1"/>
          <w:bCs w:val="1"/>
          <w:color w:val="auto"/>
        </w:rPr>
        <w:t xml:space="preserve">Deposits </w:t>
      </w:r>
      <w:r>
        <w:rPr>
          <w:rFonts w:ascii="Arial" w:cs="Arial" w:eastAsia="Arial" w:hAnsi="Arial"/>
          <w:sz w:val="22"/>
          <w:szCs w:val="22"/>
          <w:color w:val="auto"/>
        </w:rPr>
        <w:t>also reflect the preference of its client base with growth rates in this segment of 35.8% YoY, reaching US$ 932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deposits at the end of 2005.</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Atlantic’s </w:t>
      </w:r>
      <w:r>
        <w:rPr>
          <w:rFonts w:ascii="Arial" w:cs="Arial" w:eastAsia="Arial" w:hAnsi="Arial"/>
          <w:sz w:val="22"/>
          <w:szCs w:val="22"/>
          <w:b w:val="1"/>
          <w:bCs w:val="1"/>
          <w:color w:val="auto"/>
        </w:rPr>
        <w:t>loan portfolio</w:t>
      </w:r>
      <w:r>
        <w:rPr>
          <w:rFonts w:ascii="Arial" w:cs="Arial" w:eastAsia="Arial" w:hAnsi="Arial"/>
          <w:sz w:val="22"/>
          <w:szCs w:val="22"/>
          <w:color w:val="auto"/>
        </w:rPr>
        <w:t>, net of provisions, grew 5.6% on a YoY basis, reaching US$158 millions.</w:t>
      </w:r>
    </w:p>
    <w:p>
      <w:pPr>
        <w:spacing w:after="0" w:line="206" w:lineRule="exact"/>
        <w:rPr>
          <w:sz w:val="20"/>
          <w:szCs w:val="20"/>
          <w:color w:val="auto"/>
        </w:rPr>
      </w:pPr>
    </w:p>
    <w:p>
      <w:pPr>
        <w:ind w:right="360"/>
        <w:spacing w:after="0" w:line="256" w:lineRule="auto"/>
        <w:rPr>
          <w:sz w:val="20"/>
          <w:szCs w:val="20"/>
          <w:color w:val="auto"/>
        </w:rPr>
      </w:pPr>
      <w:r>
        <w:rPr>
          <w:rFonts w:ascii="Arial" w:cs="Arial" w:eastAsia="Arial" w:hAnsi="Arial"/>
          <w:sz w:val="22"/>
          <w:szCs w:val="22"/>
          <w:color w:val="auto"/>
        </w:rPr>
        <w:t xml:space="preserve">Additionally, its </w:t>
      </w:r>
      <w:r>
        <w:rPr>
          <w:rFonts w:ascii="Arial" w:cs="Arial" w:eastAsia="Arial" w:hAnsi="Arial"/>
          <w:sz w:val="22"/>
          <w:szCs w:val="22"/>
          <w:b w:val="1"/>
          <w:bCs w:val="1"/>
          <w:color w:val="auto"/>
        </w:rPr>
        <w:t>securities portfolio</w:t>
      </w:r>
      <w:r>
        <w:rPr>
          <w:rFonts w:ascii="Arial" w:cs="Arial" w:eastAsia="Arial" w:hAnsi="Arial"/>
          <w:sz w:val="22"/>
          <w:szCs w:val="22"/>
          <w:color w:val="auto"/>
        </w:rPr>
        <w:t xml:space="preserve"> experienced a relatively stable performance, growing 12.3% on a YoY basis, and reaching US$ 582 million by December 2005 versus US$519 millions of the previous year.</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 PACIFICO-PERUANO SUIZA AND SUBSIDIARIES (PPS)</w:t>
      </w:r>
    </w:p>
    <w:p>
      <w:pPr>
        <w:spacing w:after="0" w:line="212"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results obtained by PPS for the full year are significantly lower than expected. The insurance business largely shows a significant drop in competitiveness and profitability due to higher claims, particularly in two of its three operating areas: general and medical insurance. The life insurance business maintained a higher profitability.</w:t>
      </w:r>
    </w:p>
    <w:p>
      <w:pPr>
        <w:spacing w:after="0" w:line="18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u w:val="single" w:color="auto"/>
          <w:color w:val="auto"/>
        </w:rPr>
        <w:t>Notes</w:t>
      </w:r>
      <w:r>
        <w:rPr>
          <w:rFonts w:ascii="Arial" w:cs="Arial" w:eastAsia="Arial" w:hAnsi="Arial"/>
          <w:sz w:val="22"/>
          <w:szCs w:val="22"/>
          <w:color w:val="auto"/>
        </w:rPr>
        <w:t xml:space="preserve"> : Year-end figures for total premiums and health fees as well as claims and healthcare costs increased year-over-year due to the incorporation of Novasalud EPS upon its merger in August 2004.</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It is important to highlight that since this merger, the property to casualty portfolio and healthcare fees account for 30.5% of total premiums. Considering that the technical margins and cost structure of the health insurance business differ highly from those of life insurance business, the financial ratios vary from previous periods.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w:t>
      </w:r>
    </w:p>
    <w:p>
      <w:pPr>
        <w:spacing w:after="0" w:line="212"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PPS had consolidated a net income of US$ 7.1 million during 2005, 47% lower than that for the previous year. The contribution of PPS to Credicorp was of US$5.6 millions, 42% smaller to the US$9.6 millions of the year 2004. To reach the contribution of PPS to Credicorp, the eliminations and minority interest of US$1.4 millions are deduced from the utility of Credicorp.</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and Operating Expenses</w:t>
      </w:r>
    </w:p>
    <w:p>
      <w:pPr>
        <w:spacing w:after="0" w:line="20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Total premiums and Pacífico Salud health fees during the 2005 were US$359 million, 4.2% higher than the US$344.5 million for the previous year.</w:t>
      </w:r>
    </w:p>
    <w:p>
      <w:pPr>
        <w:spacing w:after="0" w:line="173"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Additions to underwriting reserves for premiums grew by US$ 75.3 million during 2005. The increase of reserves with respect to the previous year was 16%. These were established mainly by Pacific Vida for its life annuities line.</w:t>
      </w:r>
    </w:p>
    <w:p>
      <w:pPr>
        <w:spacing w:after="0" w:line="173"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The higher claims posted affected consolidated underwriting results for 2005, which was US$ 19.6 million, 37.1% lower with respect to the US$ 31.1 million earned in the same period of 2004.</w:t>
      </w:r>
    </w:p>
    <w:p>
      <w:pPr>
        <w:spacing w:after="0" w:line="173"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This is reflected in the ratio of net underwriting results (net premiums and health fees less reserves and claims as a percentage of total premiums), which was only 5.4% in the present year, lower than the previous year’s 9%.</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2" w:name="page23"/>
    <w:bookmarkEnd w:id="22"/>
    <w:p>
      <w:pPr>
        <w:ind w:right="320"/>
        <w:spacing w:after="0" w:line="274" w:lineRule="auto"/>
        <w:rPr>
          <w:sz w:val="20"/>
          <w:szCs w:val="20"/>
          <w:color w:val="auto"/>
        </w:rPr>
      </w:pPr>
      <w:r>
        <w:rPr>
          <w:rFonts w:ascii="Arial" w:cs="Arial" w:eastAsia="Arial" w:hAnsi="Arial"/>
          <w:sz w:val="21"/>
          <w:szCs w:val="21"/>
          <w:color w:val="auto"/>
        </w:rPr>
        <w:t>The business’s had a healthy financial yield, which reached US$ 41.8 million for 2005, a figure 19.8% higher than the US$ 34.9 million of 2004. However, this was not able to offset the deterioration of the insurance underwriting results.</w:t>
      </w:r>
    </w:p>
    <w:p>
      <w:pPr>
        <w:spacing w:after="0" w:line="151"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During 2005, general expenses were lower than the that of the previous year. The consolidated ratio of operating expenses over net earned premiums was 19.7%, while the ratio of operating expenses over average assets declined from 7.0% to 5.7% .</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Lines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Accumulated total premiums and fees as of December 2005 consisted of:</w:t>
      </w:r>
    </w:p>
    <w:p>
      <w:pPr>
        <w:spacing w:after="0" w:line="206"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2"/>
          <w:szCs w:val="22"/>
          <w:color w:val="auto"/>
        </w:rPr>
      </w:pPr>
      <w:r>
        <w:rPr>
          <w:rFonts w:ascii="Arial" w:cs="Arial" w:eastAsia="Arial" w:hAnsi="Arial"/>
          <w:sz w:val="22"/>
          <w:szCs w:val="22"/>
          <w:color w:val="auto"/>
        </w:rPr>
        <w:t>General insurance lines, which amount to 48.1% of total premiums, and rose 7.8% with respect to 2004.</w:t>
      </w:r>
    </w:p>
    <w:p>
      <w:pPr>
        <w:spacing w:after="0" w:line="8" w:lineRule="exact"/>
        <w:rPr>
          <w:rFonts w:ascii="Arial" w:cs="Arial" w:eastAsia="Arial" w:hAnsi="Arial"/>
          <w:sz w:val="22"/>
          <w:szCs w:val="22"/>
          <w:color w:val="auto"/>
        </w:rPr>
      </w:pPr>
    </w:p>
    <w:p>
      <w:pPr>
        <w:ind w:left="260" w:hanging="252"/>
        <w:spacing w:after="0" w:line="230" w:lineRule="auto"/>
        <w:tabs>
          <w:tab w:leader="none" w:pos="260" w:val="left"/>
        </w:tabs>
        <w:numPr>
          <w:ilvl w:val="0"/>
          <w:numId w:val="8"/>
        </w:numPr>
        <w:rPr>
          <w:rFonts w:ascii="Arial" w:cs="Arial" w:eastAsia="Arial" w:hAnsi="Arial"/>
          <w:sz w:val="22"/>
          <w:szCs w:val="22"/>
          <w:color w:val="auto"/>
        </w:rPr>
      </w:pPr>
      <w:r>
        <w:rPr>
          <w:rFonts w:ascii="Arial" w:cs="Arial" w:eastAsia="Arial" w:hAnsi="Arial"/>
          <w:sz w:val="22"/>
          <w:szCs w:val="22"/>
          <w:color w:val="auto"/>
        </w:rPr>
        <w:t>Fees at Pacífico Salud were 21.1% of total premiums, and rose 0.2% with respect to 2004.</w:t>
      </w:r>
    </w:p>
    <w:p>
      <w:pPr>
        <w:ind w:left="320" w:hanging="312"/>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22"/>
          <w:szCs w:val="22"/>
          <w:color w:val="auto"/>
        </w:rPr>
        <w:t>Life and Pensions, representing 30.8% of total premiums, and rose 1.7% with respect to 2004.</w:t>
      </w:r>
    </w:p>
    <w:p>
      <w:pPr>
        <w:spacing w:after="0" w:line="188"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In 2005, growth in Pacífico Salud and the health and medical assistance insurance line (30.5% of the portfolio) was 4.2%; fire insurance (15.6% of the total portfolio) grew by 1.8%; while automobile insurance (4.9% of the total portfolio) grew 6.2% with respect to last year.</w:t>
      </w:r>
    </w:p>
    <w:p>
      <w:pPr>
        <w:spacing w:after="0" w:line="186" w:lineRule="exact"/>
        <w:rPr>
          <w:sz w:val="20"/>
          <w:szCs w:val="20"/>
          <w:color w:val="auto"/>
        </w:rPr>
      </w:pPr>
    </w:p>
    <w:p>
      <w:pPr>
        <w:jc w:val="both"/>
        <w:ind w:right="40"/>
        <w:spacing w:after="0" w:line="328" w:lineRule="auto"/>
        <w:rPr>
          <w:sz w:val="20"/>
          <w:szCs w:val="20"/>
          <w:color w:val="auto"/>
        </w:rPr>
      </w:pPr>
      <w:r>
        <w:rPr>
          <w:rFonts w:ascii="Arial" w:cs="Arial" w:eastAsia="Arial" w:hAnsi="Arial"/>
          <w:sz w:val="19"/>
          <w:szCs w:val="19"/>
          <w:color w:val="auto"/>
        </w:rPr>
        <w:t>The growth in the health business was mainly from the medical assistance line, which has grown by 14.1% . This growth is slightly above that for the market as a whole, with the corporate and personal segments that have grown more, supported by price changes.</w:t>
      </w:r>
    </w:p>
    <w:p>
      <w:pPr>
        <w:spacing w:after="0" w:line="105"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Group life insurance and individual life insurance policies (11.4% of the total portfolio) rose 18.6%; life annuities (11.7% of the total portfolio) decreased 20.3%; while pension fund benefits insurance (6.5% of the total portfolio) grew by 30.2% ..</w:t>
      </w:r>
    </w:p>
    <w:p>
      <w:pPr>
        <w:spacing w:after="0" w:line="105"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Individual Life business line growth was due to the greater productivity obtained from each of the Company’s advisers, as well as the strengthened sales force in recent months.</w:t>
      </w:r>
    </w:p>
    <w:p>
      <w:pPr>
        <w:spacing w:after="0" w:line="173" w:lineRule="exact"/>
        <w:rPr>
          <w:sz w:val="20"/>
          <w:szCs w:val="20"/>
          <w:color w:val="auto"/>
        </w:rPr>
      </w:pPr>
    </w:p>
    <w:p>
      <w:pPr>
        <w:ind w:right="880"/>
        <w:spacing w:after="0" w:line="251" w:lineRule="auto"/>
        <w:rPr>
          <w:sz w:val="20"/>
          <w:szCs w:val="20"/>
          <w:color w:val="auto"/>
        </w:rPr>
      </w:pPr>
      <w:r>
        <w:rPr>
          <w:rFonts w:ascii="Arial" w:cs="Arial" w:eastAsia="Arial" w:hAnsi="Arial"/>
          <w:sz w:val="22"/>
          <w:szCs w:val="22"/>
          <w:color w:val="auto"/>
        </w:rPr>
        <w:t>The decrease in life annuities was due to a reduction in market volume and an increase in the price differential against the competition, weakening the competitive position of the product.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Claims</w:t>
      </w:r>
    </w:p>
    <w:p>
      <w:pPr>
        <w:spacing w:after="0" w:line="206"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Net earned claims (net claims and health fees to net premiums and fees) for 2005 were 78.9%, compared to the 72.4% of the previous year. During 2005, PPS has increased its reserves on claims in US$5.4 millions due to the application of IFRS, with which the adjustment due to the application of international accounting practices has been completed.</w:t>
      </w:r>
    </w:p>
    <w:p>
      <w:pPr>
        <w:spacing w:after="0" w:line="167"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Medical assistance claims were partially affected by the establishment of reserves for coverage of claims incurred but not reported, which is done following the actuarial practice demanded by the IFRS. This adjustment accounts for 2.5 of the 6.5 percentage points increase in the net loss ratio.</w:t>
      </w:r>
    </w:p>
    <w:p>
      <w:pPr>
        <w:spacing w:after="0" w:line="186"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The claims in hulls are explained by the various coverage events that took place during the quarter, which had a US$ 2.3 million affect on our retained claims in the period.</w:t>
      </w:r>
    </w:p>
    <w:p>
      <w:pPr>
        <w:spacing w:after="0" w:line="167" w:lineRule="exact"/>
        <w:rPr>
          <w:sz w:val="20"/>
          <w:szCs w:val="20"/>
          <w:color w:val="auto"/>
        </w:rPr>
      </w:pPr>
    </w:p>
    <w:p>
      <w:pPr>
        <w:jc w:val="both"/>
        <w:ind w:right="200"/>
        <w:spacing w:after="0" w:line="243"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combined ratio</w:t>
      </w:r>
      <w:r>
        <w:rPr>
          <w:rFonts w:ascii="Arial" w:cs="Arial" w:eastAsia="Arial" w:hAnsi="Arial"/>
          <w:sz w:val="22"/>
          <w:szCs w:val="22"/>
          <w:color w:val="auto"/>
        </w:rPr>
        <w:t xml:space="preserve"> (the sum of net claims and health services, general expenses and commissions, as a percentage of net earned premiums and health fees, without including Pacifico Vida) increased during 2005 to 103.0%, compared to 97.1% in the previous year.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i w:val="1"/>
          <w:iCs w:val="1"/>
          <w:color w:val="auto"/>
        </w:rPr>
        <w:t>Investments and Assets</w:t>
      </w:r>
    </w:p>
    <w:p>
      <w:pPr>
        <w:spacing w:after="0" w:line="207"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Investments in real estate and financial assets were US$ 638.9 million at the close of the 4Q05, 21.8% higher than the balance for the same quarter of the previous year that reach US$524.4 millions.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At the close of the fourth quarter, total assets amounted to US$ 833.6 million, 24.2% higher than the balance for the same quarter of 2004. At the close of the present period, net equity amounted to US$ 182.8 million, 27.6% above the previous year that reached US$175.8 millions.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Share</w:t>
      </w:r>
    </w:p>
    <w:p>
      <w:pPr>
        <w:spacing w:after="0" w:line="206"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Peruvian insurance market, accumulated through November 30, 2005, had total premiums of US$ 913.8 million, 13.0% higher than premiums for the same period of 2004. PPS's market share in total premiums was 28.0%, compared with the 30.4% in the same period of the 2004, with its share in the general risk and health lines 31.5% lower than the 33.0% through November of 2004, and in the life insurance and pension fund benefits lines 23.9%, lower than the 27.3% at November 2004.</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BANCO DE CREDITO DE BOLIVIA (BCB)</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Below is a brief discussion of the Bolivian subsidiary, which is consolidated within BCP: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System in Bolivia</w:t>
      </w:r>
    </w:p>
    <w:p>
      <w:pPr>
        <w:spacing w:after="0" w:line="206"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Banking deposits rose to US$ 2.88 billion in December 2005, from US$ 2.84 billion in September and US$ 2.56 billion at the beginning of 2005.</w:t>
      </w:r>
    </w:p>
    <w:p>
      <w:pPr>
        <w:spacing w:after="0" w:line="173"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Loan volume in the banking system also rose during 2005, reaching US$ 2.617 billion, 8.1% greater than the balance of US$ 2.42 billion at the beginning of the year. The system-wide past due loan ratio was 11.4% at the end of December 2005 compared with the 14.0% of December 2004. The coverage of past-due loans with provisions decreased to 81.0% in December 2005, from 84.3% in December 2004.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Banco de Credito de Bolivia (BCB)</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BCB’s 2005 results end the year with figures that broadly exceed the projected recovery expectations. BCB has been able to double earnings compared to the previous year, grow its portfolio by 8%, while at the same time improving its portfolio quality, obtaining better past due loan and coverage ratios than those for the Bolivian financial system. These results well-positioned BCB within the Bolivian market to maintain growth as the most solid bank in the system, in an environment that is still somewhat uncertain with respect to economic development expectations.</w:t>
      </w:r>
    </w:p>
    <w:p>
      <w:pPr>
        <w:spacing w:after="0" w:line="188"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BCB’s market share in deposits was 14.9%, versus 13.0% in December 2004. In terms of loans, BCB had a 13.4% market share in the fourth quarter, higher than 13.1% at the close of December 2004. Thus it remained fourth in terms of loan and deposit volume, among the system’s twelve major banks.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ind w:right="80"/>
        <w:spacing w:after="0" w:line="279" w:lineRule="auto"/>
        <w:rPr>
          <w:sz w:val="20"/>
          <w:szCs w:val="20"/>
          <w:color w:val="auto"/>
        </w:rPr>
      </w:pPr>
      <w:r>
        <w:rPr>
          <w:rFonts w:ascii="Arial" w:cs="Arial" w:eastAsia="Arial" w:hAnsi="Arial"/>
          <w:sz w:val="19"/>
          <w:szCs w:val="19"/>
          <w:color w:val="auto"/>
        </w:rPr>
        <w:t>As of December 31, 2005, BCB had total loans of US$ 346.6 million, an increase over December’s 2004 balance of US$ 320.8 million. This denotes an 8% annual rate of loan growth. This growth rate improves to 14.4% when considering growth of the performing loans. Portfolio quality continued to improve, at December 2005 total past due loans decreased to 5.8%, with US$ 20.1 million in past due loans, compared to 11.0% in December 2004. Coverage of past due loans with loan loss provisions was 129.9% in December, increasing from 100.6% at the beginning of the period. As of December 31, 2005, net equity at the Bolivian subsidiary amounted to US$ 65.7 million, up from US$ 59.8 million at the beginning of the year.</w:t>
      </w:r>
    </w:p>
    <w:p>
      <w:pPr>
        <w:spacing w:after="0" w:line="151"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Net loan loss provisions for the twelve-month period ended December 2005 were US$ 0.2 million, compared with US$ 0.9 million provisioned as expense in 2004.</w:t>
      </w:r>
    </w:p>
    <w:p>
      <w:pPr>
        <w:spacing w:after="0" w:line="173"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BCB’s profit in the 4Q05 was US$ 3.8 million, and US$ 3.5 million in the 3Q05. At December 2005, it had accumulated earnings of US$ 10.2 million, which more that doubles the US$ 4.8 million accumulated earnings of the previous year.</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BCB’s main financial figures are shown in the following chart.</w:t>
      </w:r>
    </w:p>
    <w:p>
      <w:pPr>
        <w:spacing w:after="0" w:line="200"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Banco de Crédito de Bolivia (“BCB”)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Financial Figures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i w:val="1"/>
                <w:iCs w:val="1"/>
                <w:color w:val="auto"/>
              </w:rPr>
              <w:t>(In US$ millions)</w:t>
            </w:r>
          </w:p>
        </w:tc>
        <w:tc>
          <w:tcPr>
            <w:tcW w:w="480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5"/>
                <w:szCs w:val="15"/>
                <w:b w:val="1"/>
                <w:bCs w:val="1"/>
                <w:color w:val="auto"/>
              </w:rPr>
              <w:t>31.12.04</w:t>
            </w:r>
          </w:p>
        </w:tc>
        <w:tc>
          <w:tcPr>
            <w:tcW w:w="138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31.12.05</w:t>
            </w:r>
          </w:p>
        </w:tc>
      </w:tr>
      <w:tr>
        <w:trPr>
          <w:trHeight w:val="160"/>
        </w:trPr>
        <w:tc>
          <w:tcPr>
            <w:tcW w:w="5240" w:type="dxa"/>
            <w:vAlign w:val="bottom"/>
          </w:tcPr>
          <w:p>
            <w:pPr>
              <w:spacing w:after="0" w:line="160" w:lineRule="exact"/>
              <w:rPr>
                <w:sz w:val="20"/>
                <w:szCs w:val="20"/>
                <w:color w:val="auto"/>
              </w:rPr>
            </w:pPr>
            <w:r>
              <w:rPr>
                <w:rFonts w:ascii="Arial" w:cs="Arial" w:eastAsia="Arial" w:hAnsi="Arial"/>
                <w:sz w:val="15"/>
                <w:szCs w:val="15"/>
                <w:color w:val="auto"/>
              </w:rPr>
              <w:t>Total Loans</w:t>
            </w:r>
          </w:p>
        </w:tc>
        <w:tc>
          <w:tcPr>
            <w:tcW w:w="4800" w:type="dxa"/>
            <w:vAlign w:val="bottom"/>
          </w:tcPr>
          <w:p>
            <w:pPr>
              <w:jc w:val="right"/>
              <w:ind w:right="286"/>
              <w:spacing w:after="0" w:line="160" w:lineRule="exact"/>
              <w:rPr>
                <w:sz w:val="20"/>
                <w:szCs w:val="20"/>
                <w:color w:val="auto"/>
              </w:rPr>
            </w:pPr>
            <w:r>
              <w:rPr>
                <w:rFonts w:ascii="Arial" w:cs="Arial" w:eastAsia="Arial" w:hAnsi="Arial"/>
                <w:sz w:val="15"/>
                <w:szCs w:val="15"/>
                <w:color w:val="auto"/>
              </w:rPr>
              <w:t>320.8</w:t>
            </w:r>
          </w:p>
        </w:tc>
        <w:tc>
          <w:tcPr>
            <w:tcW w:w="1380" w:type="dxa"/>
            <w:vAlign w:val="bottom"/>
          </w:tcPr>
          <w:p>
            <w:pPr>
              <w:jc w:val="right"/>
              <w:spacing w:after="0" w:line="160" w:lineRule="exact"/>
              <w:rPr>
                <w:sz w:val="20"/>
                <w:szCs w:val="20"/>
                <w:color w:val="auto"/>
              </w:rPr>
            </w:pPr>
            <w:r>
              <w:rPr>
                <w:rFonts w:ascii="Arial" w:cs="Arial" w:eastAsia="Arial" w:hAnsi="Arial"/>
                <w:sz w:val="15"/>
                <w:szCs w:val="15"/>
                <w:color w:val="auto"/>
              </w:rPr>
              <w:t>346.6</w:t>
            </w:r>
          </w:p>
        </w:tc>
      </w:tr>
      <w:tr>
        <w:trPr>
          <w:trHeight w:val="162"/>
        </w:trPr>
        <w:tc>
          <w:tcPr>
            <w:tcW w:w="5240" w:type="dxa"/>
            <w:vAlign w:val="bottom"/>
          </w:tcPr>
          <w:p>
            <w:pPr>
              <w:spacing w:after="0" w:line="162" w:lineRule="exact"/>
              <w:rPr>
                <w:sz w:val="20"/>
                <w:szCs w:val="20"/>
                <w:color w:val="auto"/>
              </w:rPr>
            </w:pPr>
            <w:r>
              <w:rPr>
                <w:rFonts w:ascii="Arial" w:cs="Arial" w:eastAsia="Arial" w:hAnsi="Arial"/>
                <w:sz w:val="15"/>
                <w:szCs w:val="15"/>
                <w:color w:val="auto"/>
              </w:rPr>
              <w:t>Past-due loans</w:t>
            </w:r>
          </w:p>
        </w:tc>
        <w:tc>
          <w:tcPr>
            <w:tcW w:w="4800" w:type="dxa"/>
            <w:vAlign w:val="bottom"/>
          </w:tcPr>
          <w:p>
            <w:pPr>
              <w:jc w:val="right"/>
              <w:ind w:right="286"/>
              <w:spacing w:after="0" w:line="162" w:lineRule="exact"/>
              <w:rPr>
                <w:sz w:val="20"/>
                <w:szCs w:val="20"/>
                <w:color w:val="auto"/>
              </w:rPr>
            </w:pPr>
            <w:r>
              <w:rPr>
                <w:rFonts w:ascii="Arial" w:cs="Arial" w:eastAsia="Arial" w:hAnsi="Arial"/>
                <w:sz w:val="15"/>
                <w:szCs w:val="15"/>
                <w:color w:val="auto"/>
              </w:rPr>
              <w:t>35.4</w:t>
            </w:r>
          </w:p>
        </w:tc>
        <w:tc>
          <w:tcPr>
            <w:tcW w:w="1380" w:type="dxa"/>
            <w:vAlign w:val="bottom"/>
          </w:tcPr>
          <w:p>
            <w:pPr>
              <w:jc w:val="right"/>
              <w:spacing w:after="0" w:line="162" w:lineRule="exact"/>
              <w:rPr>
                <w:sz w:val="20"/>
                <w:szCs w:val="20"/>
                <w:color w:val="auto"/>
              </w:rPr>
            </w:pPr>
            <w:r>
              <w:rPr>
                <w:rFonts w:ascii="Arial" w:cs="Arial" w:eastAsia="Arial" w:hAnsi="Arial"/>
                <w:sz w:val="15"/>
                <w:szCs w:val="15"/>
                <w:color w:val="auto"/>
              </w:rPr>
              <w:t>20.1</w:t>
            </w:r>
          </w:p>
        </w:tc>
      </w:tr>
      <w:tr>
        <w:trPr>
          <w:trHeight w:val="162"/>
        </w:trPr>
        <w:tc>
          <w:tcPr>
            <w:tcW w:w="5240" w:type="dxa"/>
            <w:vAlign w:val="bottom"/>
          </w:tcPr>
          <w:p>
            <w:pPr>
              <w:spacing w:after="0" w:line="162" w:lineRule="exact"/>
              <w:rPr>
                <w:sz w:val="20"/>
                <w:szCs w:val="20"/>
                <w:color w:val="auto"/>
              </w:rPr>
            </w:pPr>
            <w:r>
              <w:rPr>
                <w:rFonts w:ascii="Arial" w:cs="Arial" w:eastAsia="Arial" w:hAnsi="Arial"/>
                <w:sz w:val="15"/>
                <w:szCs w:val="15"/>
                <w:color w:val="auto"/>
              </w:rPr>
              <w:t>Loan loss reserves</w:t>
            </w:r>
          </w:p>
        </w:tc>
        <w:tc>
          <w:tcPr>
            <w:tcW w:w="4800" w:type="dxa"/>
            <w:vAlign w:val="bottom"/>
          </w:tcPr>
          <w:p>
            <w:pPr>
              <w:jc w:val="right"/>
              <w:ind w:right="286"/>
              <w:spacing w:after="0" w:line="162" w:lineRule="exact"/>
              <w:rPr>
                <w:sz w:val="20"/>
                <w:szCs w:val="20"/>
                <w:color w:val="auto"/>
              </w:rPr>
            </w:pPr>
            <w:r>
              <w:rPr>
                <w:rFonts w:ascii="Arial" w:cs="Arial" w:eastAsia="Arial" w:hAnsi="Arial"/>
                <w:sz w:val="15"/>
                <w:szCs w:val="15"/>
                <w:color w:val="auto"/>
              </w:rPr>
              <w:t>35.6</w:t>
            </w:r>
          </w:p>
        </w:tc>
        <w:tc>
          <w:tcPr>
            <w:tcW w:w="1380" w:type="dxa"/>
            <w:vAlign w:val="bottom"/>
          </w:tcPr>
          <w:p>
            <w:pPr>
              <w:jc w:val="right"/>
              <w:spacing w:after="0" w:line="162" w:lineRule="exact"/>
              <w:rPr>
                <w:sz w:val="20"/>
                <w:szCs w:val="20"/>
                <w:color w:val="auto"/>
              </w:rPr>
            </w:pPr>
            <w:r>
              <w:rPr>
                <w:rFonts w:ascii="Arial" w:cs="Arial" w:eastAsia="Arial" w:hAnsi="Arial"/>
                <w:sz w:val="15"/>
                <w:szCs w:val="15"/>
                <w:color w:val="auto"/>
              </w:rPr>
              <w:t>26.1</w:t>
            </w:r>
          </w:p>
        </w:tc>
      </w:tr>
      <w:tr>
        <w:trPr>
          <w:trHeight w:val="162"/>
        </w:trPr>
        <w:tc>
          <w:tcPr>
            <w:tcW w:w="5240" w:type="dxa"/>
            <w:vAlign w:val="bottom"/>
          </w:tcPr>
          <w:p>
            <w:pPr>
              <w:spacing w:after="0" w:line="162" w:lineRule="exact"/>
              <w:rPr>
                <w:sz w:val="20"/>
                <w:szCs w:val="20"/>
                <w:color w:val="auto"/>
              </w:rPr>
            </w:pPr>
            <w:r>
              <w:rPr>
                <w:rFonts w:ascii="Arial" w:cs="Arial" w:eastAsia="Arial" w:hAnsi="Arial"/>
                <w:sz w:val="15"/>
                <w:szCs w:val="15"/>
                <w:color w:val="auto"/>
              </w:rPr>
              <w:t>Total assets</w:t>
            </w:r>
          </w:p>
        </w:tc>
        <w:tc>
          <w:tcPr>
            <w:tcW w:w="4800" w:type="dxa"/>
            <w:vAlign w:val="bottom"/>
          </w:tcPr>
          <w:p>
            <w:pPr>
              <w:jc w:val="right"/>
              <w:ind w:right="286"/>
              <w:spacing w:after="0" w:line="162" w:lineRule="exact"/>
              <w:rPr>
                <w:sz w:val="20"/>
                <w:szCs w:val="20"/>
                <w:color w:val="auto"/>
              </w:rPr>
            </w:pPr>
            <w:r>
              <w:rPr>
                <w:rFonts w:ascii="Arial" w:cs="Arial" w:eastAsia="Arial" w:hAnsi="Arial"/>
                <w:sz w:val="15"/>
                <w:szCs w:val="15"/>
                <w:color w:val="auto"/>
              </w:rPr>
              <w:t>457.4</w:t>
            </w:r>
          </w:p>
        </w:tc>
        <w:tc>
          <w:tcPr>
            <w:tcW w:w="1380" w:type="dxa"/>
            <w:vAlign w:val="bottom"/>
          </w:tcPr>
          <w:p>
            <w:pPr>
              <w:jc w:val="right"/>
              <w:spacing w:after="0" w:line="162" w:lineRule="exact"/>
              <w:rPr>
                <w:sz w:val="20"/>
                <w:szCs w:val="20"/>
                <w:color w:val="auto"/>
              </w:rPr>
            </w:pPr>
            <w:r>
              <w:rPr>
                <w:rFonts w:ascii="Arial" w:cs="Arial" w:eastAsia="Arial" w:hAnsi="Arial"/>
                <w:sz w:val="15"/>
                <w:szCs w:val="15"/>
                <w:color w:val="auto"/>
              </w:rPr>
              <w:t>570.7</w:t>
            </w:r>
          </w:p>
        </w:tc>
      </w:tr>
      <w:tr>
        <w:trPr>
          <w:trHeight w:val="162"/>
        </w:trPr>
        <w:tc>
          <w:tcPr>
            <w:tcW w:w="5240" w:type="dxa"/>
            <w:vAlign w:val="bottom"/>
          </w:tcPr>
          <w:p>
            <w:pPr>
              <w:spacing w:after="0" w:line="162" w:lineRule="exact"/>
              <w:rPr>
                <w:sz w:val="20"/>
                <w:szCs w:val="20"/>
                <w:color w:val="auto"/>
              </w:rPr>
            </w:pPr>
            <w:r>
              <w:rPr>
                <w:rFonts w:ascii="Arial" w:cs="Arial" w:eastAsia="Arial" w:hAnsi="Arial"/>
                <w:sz w:val="15"/>
                <w:szCs w:val="15"/>
                <w:color w:val="auto"/>
              </w:rPr>
              <w:t>Deposits</w:t>
            </w:r>
          </w:p>
        </w:tc>
        <w:tc>
          <w:tcPr>
            <w:tcW w:w="4800" w:type="dxa"/>
            <w:vAlign w:val="bottom"/>
          </w:tcPr>
          <w:p>
            <w:pPr>
              <w:jc w:val="right"/>
              <w:ind w:right="286"/>
              <w:spacing w:after="0" w:line="162" w:lineRule="exact"/>
              <w:rPr>
                <w:sz w:val="20"/>
                <w:szCs w:val="20"/>
                <w:color w:val="auto"/>
              </w:rPr>
            </w:pPr>
            <w:r>
              <w:rPr>
                <w:rFonts w:ascii="Arial" w:cs="Arial" w:eastAsia="Arial" w:hAnsi="Arial"/>
                <w:sz w:val="15"/>
                <w:szCs w:val="15"/>
                <w:color w:val="auto"/>
              </w:rPr>
              <w:t>333.1</w:t>
            </w:r>
          </w:p>
        </w:tc>
        <w:tc>
          <w:tcPr>
            <w:tcW w:w="1380" w:type="dxa"/>
            <w:vAlign w:val="bottom"/>
          </w:tcPr>
          <w:p>
            <w:pPr>
              <w:jc w:val="right"/>
              <w:spacing w:after="0" w:line="162" w:lineRule="exact"/>
              <w:rPr>
                <w:sz w:val="20"/>
                <w:szCs w:val="20"/>
                <w:color w:val="auto"/>
              </w:rPr>
            </w:pPr>
            <w:r>
              <w:rPr>
                <w:rFonts w:ascii="Arial" w:cs="Arial" w:eastAsia="Arial" w:hAnsi="Arial"/>
                <w:sz w:val="15"/>
                <w:szCs w:val="15"/>
                <w:color w:val="auto"/>
              </w:rPr>
              <w:t>430.9</w:t>
            </w:r>
          </w:p>
        </w:tc>
      </w:tr>
      <w:tr>
        <w:trPr>
          <w:trHeight w:val="188"/>
        </w:trPr>
        <w:tc>
          <w:tcPr>
            <w:tcW w:w="5240" w:type="dxa"/>
            <w:vAlign w:val="bottom"/>
          </w:tcPr>
          <w:p>
            <w:pPr>
              <w:spacing w:after="0"/>
              <w:rPr>
                <w:sz w:val="20"/>
                <w:szCs w:val="20"/>
                <w:color w:val="auto"/>
              </w:rPr>
            </w:pPr>
            <w:r>
              <w:rPr>
                <w:rFonts w:ascii="Arial" w:cs="Arial" w:eastAsia="Arial" w:hAnsi="Arial"/>
                <w:sz w:val="15"/>
                <w:szCs w:val="15"/>
                <w:color w:val="auto"/>
              </w:rPr>
              <w:t>Net equity</w:t>
            </w:r>
          </w:p>
        </w:tc>
        <w:tc>
          <w:tcPr>
            <w:tcW w:w="4800" w:type="dxa"/>
            <w:vAlign w:val="bottom"/>
          </w:tcPr>
          <w:p>
            <w:pPr>
              <w:jc w:val="right"/>
              <w:ind w:right="286"/>
              <w:spacing w:after="0"/>
              <w:rPr>
                <w:sz w:val="20"/>
                <w:szCs w:val="20"/>
                <w:color w:val="auto"/>
              </w:rPr>
            </w:pPr>
            <w:r>
              <w:rPr>
                <w:rFonts w:ascii="Arial" w:cs="Arial" w:eastAsia="Arial" w:hAnsi="Arial"/>
                <w:sz w:val="15"/>
                <w:szCs w:val="15"/>
                <w:color w:val="auto"/>
              </w:rPr>
              <w:t>59.8</w:t>
            </w:r>
          </w:p>
        </w:tc>
        <w:tc>
          <w:tcPr>
            <w:tcW w:w="1380" w:type="dxa"/>
            <w:vAlign w:val="bottom"/>
          </w:tcPr>
          <w:p>
            <w:pPr>
              <w:jc w:val="right"/>
              <w:spacing w:after="0"/>
              <w:rPr>
                <w:sz w:val="20"/>
                <w:szCs w:val="20"/>
                <w:color w:val="auto"/>
              </w:rPr>
            </w:pPr>
            <w:r>
              <w:rPr>
                <w:rFonts w:ascii="Arial" w:cs="Arial" w:eastAsia="Arial" w:hAnsi="Arial"/>
                <w:sz w:val="15"/>
                <w:szCs w:val="15"/>
                <w:color w:val="auto"/>
              </w:rPr>
              <w:t>65.7</w:t>
            </w:r>
          </w:p>
        </w:tc>
      </w:tr>
      <w:tr>
        <w:trPr>
          <w:trHeight w:val="324"/>
        </w:trPr>
        <w:tc>
          <w:tcPr>
            <w:tcW w:w="5240" w:type="dxa"/>
            <w:vAlign w:val="bottom"/>
          </w:tcPr>
          <w:p>
            <w:pPr>
              <w:spacing w:after="0"/>
              <w:rPr>
                <w:sz w:val="20"/>
                <w:szCs w:val="20"/>
                <w:color w:val="auto"/>
              </w:rPr>
            </w:pPr>
            <w:r>
              <w:rPr>
                <w:rFonts w:ascii="Arial" w:cs="Arial" w:eastAsia="Arial" w:hAnsi="Arial"/>
                <w:sz w:val="15"/>
                <w:szCs w:val="15"/>
                <w:color w:val="auto"/>
              </w:rPr>
              <w:t>Net income, cumulative</w:t>
            </w:r>
          </w:p>
        </w:tc>
        <w:tc>
          <w:tcPr>
            <w:tcW w:w="4800" w:type="dxa"/>
            <w:vAlign w:val="bottom"/>
          </w:tcPr>
          <w:p>
            <w:pPr>
              <w:jc w:val="right"/>
              <w:ind w:right="286"/>
              <w:spacing w:after="0"/>
              <w:rPr>
                <w:sz w:val="20"/>
                <w:szCs w:val="20"/>
                <w:color w:val="auto"/>
              </w:rPr>
            </w:pPr>
            <w:r>
              <w:rPr>
                <w:rFonts w:ascii="Arial" w:cs="Arial" w:eastAsia="Arial" w:hAnsi="Arial"/>
                <w:sz w:val="15"/>
                <w:szCs w:val="15"/>
                <w:color w:val="auto"/>
              </w:rPr>
              <w:t>4.8</w:t>
            </w:r>
          </w:p>
        </w:tc>
        <w:tc>
          <w:tcPr>
            <w:tcW w:w="138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298"/>
        </w:trPr>
        <w:tc>
          <w:tcPr>
            <w:tcW w:w="5240" w:type="dxa"/>
            <w:vAlign w:val="bottom"/>
          </w:tcPr>
          <w:p>
            <w:pPr>
              <w:spacing w:after="0"/>
              <w:rPr>
                <w:sz w:val="20"/>
                <w:szCs w:val="20"/>
                <w:color w:val="auto"/>
              </w:rPr>
            </w:pPr>
            <w:r>
              <w:rPr>
                <w:rFonts w:ascii="Arial" w:cs="Arial" w:eastAsia="Arial" w:hAnsi="Arial"/>
                <w:sz w:val="15"/>
                <w:szCs w:val="15"/>
                <w:color w:val="auto"/>
              </w:rPr>
              <w:t>Past-due loans / Total loans</w:t>
            </w:r>
          </w:p>
        </w:tc>
        <w:tc>
          <w:tcPr>
            <w:tcW w:w="4800" w:type="dxa"/>
            <w:vAlign w:val="bottom"/>
          </w:tcPr>
          <w:p>
            <w:pPr>
              <w:jc w:val="right"/>
              <w:ind w:right="286"/>
              <w:spacing w:after="0"/>
              <w:rPr>
                <w:sz w:val="20"/>
                <w:szCs w:val="20"/>
                <w:color w:val="auto"/>
              </w:rPr>
            </w:pPr>
            <w:r>
              <w:rPr>
                <w:rFonts w:ascii="Arial" w:cs="Arial" w:eastAsia="Arial" w:hAnsi="Arial"/>
                <w:sz w:val="15"/>
                <w:szCs w:val="15"/>
                <w:color w:val="auto"/>
              </w:rPr>
              <w:t>11.0%</w:t>
            </w:r>
          </w:p>
        </w:tc>
        <w:tc>
          <w:tcPr>
            <w:tcW w:w="138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171"/>
        </w:trPr>
        <w:tc>
          <w:tcPr>
            <w:tcW w:w="524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Loss reserves / Past-due loans</w:t>
            </w:r>
          </w:p>
        </w:tc>
        <w:tc>
          <w:tcPr>
            <w:tcW w:w="4800" w:type="dxa"/>
            <w:vAlign w:val="bottom"/>
            <w:tcBorders>
              <w:bottom w:val="single" w:sz="8" w:color="auto"/>
            </w:tcBorders>
          </w:tcPr>
          <w:p>
            <w:pPr>
              <w:jc w:val="right"/>
              <w:ind w:right="286"/>
              <w:spacing w:after="0" w:line="172" w:lineRule="exact"/>
              <w:rPr>
                <w:sz w:val="20"/>
                <w:szCs w:val="20"/>
                <w:color w:val="auto"/>
              </w:rPr>
            </w:pPr>
            <w:r>
              <w:rPr>
                <w:rFonts w:ascii="Arial" w:cs="Arial" w:eastAsia="Arial" w:hAnsi="Arial"/>
                <w:sz w:val="15"/>
                <w:szCs w:val="15"/>
                <w:color w:val="auto"/>
              </w:rPr>
              <w:t>100.6%</w:t>
            </w:r>
          </w:p>
        </w:tc>
        <w:tc>
          <w:tcPr>
            <w:tcW w:w="13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129.9%</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BANCO DE CREDITO DEL PERÚ Y SUBSIDIARIAS (BCP)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From the financial statements prepared according to IFRS rules and in U.S. Dollars, consolidated net income for 2005 reflects a significant recovery in BCP’s capacity to generate income. Net income for the year was US$ 184.2 million, 58.7% greater than the US$ 116.1 million obtained in the 2004 period.</w:t>
      </w:r>
    </w:p>
    <w:p>
      <w:pPr>
        <w:spacing w:after="0" w:line="186" w:lineRule="exact"/>
        <w:rPr>
          <w:sz w:val="20"/>
          <w:szCs w:val="20"/>
          <w:color w:val="auto"/>
        </w:rPr>
      </w:pPr>
    </w:p>
    <w:p>
      <w:pPr>
        <w:jc w:val="both"/>
        <w:ind w:right="140"/>
        <w:spacing w:after="0" w:line="297" w:lineRule="auto"/>
        <w:rPr>
          <w:sz w:val="20"/>
          <w:szCs w:val="20"/>
          <w:color w:val="auto"/>
        </w:rPr>
      </w:pPr>
      <w:r>
        <w:rPr>
          <w:rFonts w:ascii="Arial" w:cs="Arial" w:eastAsia="Arial" w:hAnsi="Arial"/>
          <w:sz w:val="19"/>
          <w:szCs w:val="19"/>
          <w:color w:val="auto"/>
        </w:rPr>
        <w:t>This unprecedented growth in accumulated earnings with respect to earnings for the respective 2004 period, is the result of a well-focused business strategy that led to significant improvement both in generating interest income (22% annual growth) and in non-interest income (18% annual growth) including exchange operations as well as gains obtained from the sale of securities.</w:t>
      </w:r>
    </w:p>
    <w:p>
      <w:pPr>
        <w:spacing w:after="0" w:line="134"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Although 4Q05 saw absolute growth in loans driven by the corporate and middle market segments, those that have the greatest weight in the portfolio’s composition and which showed 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jc w:val="both"/>
        <w:spacing w:after="0" w:line="252" w:lineRule="auto"/>
        <w:rPr>
          <w:sz w:val="20"/>
          <w:szCs w:val="20"/>
          <w:color w:val="auto"/>
        </w:rPr>
      </w:pPr>
      <w:r>
        <w:rPr>
          <w:rFonts w:ascii="Arial" w:cs="Arial" w:eastAsia="Arial" w:hAnsi="Arial"/>
          <w:sz w:val="21"/>
          <w:szCs w:val="21"/>
          <w:color w:val="auto"/>
        </w:rPr>
        <w:t>significant reactivation during the latest quarter, in general terms, the engine powering this growth in financial income throughout the year, was the rise in loan volume, led by the most profitable segments, such as retail banking and SME, which grew at a rate of 27% for the year, and the income growth generated by fees for BCP’s transactional services. Overall, throughout the year there was a total growth of 17.8% in loans and approximately 11% in fee income.</w:t>
      </w:r>
    </w:p>
    <w:p>
      <w:pPr>
        <w:spacing w:after="0" w:line="175"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2005 was affected by higher exchange rates, leading to a conversion loss of US$ 9.8 million, compared with the gain of US$ 0.7 million in 2004.</w:t>
      </w:r>
    </w:p>
    <w:p>
      <w:pPr>
        <w:spacing w:after="0" w:line="173"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This major increase in income generation throughout BCP’s business lines was achieved without increasing operating expenses, as a result of strict internal cost controls, which remained stable in the accumulated figures for 2005.</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The strong loans growth achieved during the year was accompanied by an improvement in portfolio quality, with the past due ratio declining to 1.9% in December 2005, and past due coverage increasing to 208%, reflecting a health growth. This significant improvement in portfolio quality allows not only the reduction of the expense of loan loss provisions, which decreased by 21% for the year (from US$ 36.1 million in 2004 to US$ 28.6 million in 2005), but along with good loan recovery it also led to a reversal of prior provisions and recoveries in the charge-off portfolio, generating significant extraordinary income of approximately US$ 28.5 million.</w:t>
      </w:r>
    </w:p>
    <w:p>
      <w:pPr>
        <w:spacing w:after="0" w:line="188"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The above contributed to BCP’s excellent results for the full year 2005. This is clearly reflected in the profitability ratios reached - an outstanding return on equity of 22.9%, much higher than the 17.1% obtained in 2004.</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BANCO DE CREDITO DEL PERU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INCOME STATEMENTS</w:t>
      </w:r>
    </w:p>
    <w:p>
      <w:pPr>
        <w:jc w:val="center"/>
        <w:spacing w:after="0"/>
        <w:rPr>
          <w:sz w:val="20"/>
          <w:szCs w:val="20"/>
          <w:color w:val="auto"/>
        </w:rPr>
      </w:pPr>
      <w:r>
        <w:rPr>
          <w:rFonts w:ascii="Arial" w:cs="Arial" w:eastAsia="Arial" w:hAnsi="Arial"/>
          <w:sz w:val="22"/>
          <w:szCs w:val="22"/>
          <w:i w:val="1"/>
          <w:iCs w:val="1"/>
          <w:color w:val="auto"/>
        </w:rPr>
        <w:t>(In U.S. Dollars in thousands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tcPr>
          <w:p>
            <w:pPr>
              <w:spacing w:after="0"/>
              <w:rPr>
                <w:sz w:val="16"/>
                <w:szCs w:val="16"/>
                <w:color w:val="auto"/>
              </w:rPr>
            </w:pPr>
          </w:p>
        </w:tc>
        <w:tc>
          <w:tcPr>
            <w:tcW w:w="3200" w:type="dxa"/>
            <w:vAlign w:val="bottom"/>
            <w:tcBorders>
              <w:top w:val="single" w:sz="8" w:color="auto"/>
              <w:bottom w:val="single" w:sz="8" w:color="auto"/>
            </w:tcBorders>
            <w:gridSpan w:val="2"/>
          </w:tcPr>
          <w:p>
            <w:pPr>
              <w:jc w:val="right"/>
              <w:ind w:right="866"/>
              <w:spacing w:after="0"/>
              <w:rPr>
                <w:sz w:val="20"/>
                <w:szCs w:val="20"/>
                <w:color w:val="auto"/>
              </w:rPr>
            </w:pPr>
            <w:r>
              <w:rPr>
                <w:rFonts w:ascii="Arial" w:cs="Arial" w:eastAsia="Arial" w:hAnsi="Arial"/>
                <w:sz w:val="15"/>
                <w:szCs w:val="15"/>
                <w:b w:val="1"/>
                <w:bCs w:val="1"/>
                <w:color w:val="auto"/>
              </w:rPr>
              <w:t>Twelve months ended</w:t>
            </w:r>
          </w:p>
        </w:tc>
        <w:tc>
          <w:tcPr>
            <w:tcW w:w="1700" w:type="dxa"/>
            <w:vAlign w:val="bottom"/>
            <w:tcBorders>
              <w:top w:val="single" w:sz="8" w:color="auto"/>
              <w:bottom w:val="single" w:sz="8" w:color="auto"/>
            </w:tcBorders>
            <w:vMerge w:val="restart"/>
          </w:tcPr>
          <w:p>
            <w:pPr>
              <w:jc w:val="right"/>
              <w:ind w:right="546"/>
              <w:spacing w:after="0"/>
              <w:rPr>
                <w:sz w:val="20"/>
                <w:szCs w:val="20"/>
                <w:color w:val="auto"/>
              </w:rPr>
            </w:pPr>
            <w:r>
              <w:rPr>
                <w:rFonts w:ascii="Arial" w:cs="Arial" w:eastAsia="Arial" w:hAnsi="Arial"/>
                <w:sz w:val="15"/>
                <w:szCs w:val="15"/>
                <w:b w:val="1"/>
                <w:bCs w:val="1"/>
                <w:color w:val="auto"/>
              </w:rPr>
              <w:t>Var.</w:t>
            </w:r>
          </w:p>
        </w:tc>
        <w:tc>
          <w:tcPr>
            <w:tcW w:w="0" w:type="dxa"/>
            <w:vAlign w:val="bottom"/>
          </w:tcPr>
          <w:p>
            <w:pPr>
              <w:spacing w:after="0"/>
              <w:rPr>
                <w:sz w:val="1"/>
                <w:szCs w:val="1"/>
                <w:color w:val="auto"/>
              </w:rPr>
            </w:pPr>
          </w:p>
        </w:tc>
      </w:tr>
      <w:tr>
        <w:trPr>
          <w:trHeight w:val="169"/>
        </w:trPr>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646"/>
              <w:spacing w:after="0" w:line="169" w:lineRule="exact"/>
              <w:rPr>
                <w:sz w:val="20"/>
                <w:szCs w:val="20"/>
                <w:color w:val="auto"/>
              </w:rPr>
            </w:pPr>
            <w:r>
              <w:rPr>
                <w:rFonts w:ascii="Arial" w:cs="Arial" w:eastAsia="Arial" w:hAnsi="Arial"/>
                <w:sz w:val="15"/>
                <w:szCs w:val="15"/>
                <w:b w:val="1"/>
                <w:bCs w:val="1"/>
                <w:color w:val="auto"/>
              </w:rPr>
              <w:t>31.12.2004</w:t>
            </w:r>
          </w:p>
        </w:tc>
        <w:tc>
          <w:tcPr>
            <w:tcW w:w="1420" w:type="dxa"/>
            <w:vAlign w:val="bottom"/>
            <w:tcBorders>
              <w:bottom w:val="single" w:sz="8" w:color="auto"/>
            </w:tcBorders>
          </w:tcPr>
          <w:p>
            <w:pPr>
              <w:jc w:val="right"/>
              <w:ind w:right="346"/>
              <w:spacing w:after="0" w:line="169" w:lineRule="exact"/>
              <w:rPr>
                <w:sz w:val="20"/>
                <w:szCs w:val="20"/>
                <w:color w:val="auto"/>
              </w:rPr>
            </w:pPr>
            <w:r>
              <w:rPr>
                <w:rFonts w:ascii="Arial" w:cs="Arial" w:eastAsia="Arial" w:hAnsi="Arial"/>
                <w:sz w:val="15"/>
                <w:szCs w:val="15"/>
                <w:b w:val="1"/>
                <w:bCs w:val="1"/>
                <w:color w:val="auto"/>
              </w:rPr>
              <w:t>31.12.2005</w:t>
            </w:r>
          </w:p>
        </w:tc>
        <w:tc>
          <w:tcPr>
            <w:tcW w:w="1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520" w:type="dxa"/>
            <w:vAlign w:val="bottom"/>
            <w:gridSpan w:val="4"/>
          </w:tcPr>
          <w:p>
            <w:pPr>
              <w:spacing w:after="0" w:line="160" w:lineRule="exact"/>
              <w:rPr>
                <w:sz w:val="20"/>
                <w:szCs w:val="20"/>
                <w:color w:val="auto"/>
              </w:rPr>
            </w:pPr>
            <w:r>
              <w:rPr>
                <w:rFonts w:ascii="Arial" w:cs="Arial" w:eastAsia="Arial" w:hAnsi="Arial"/>
                <w:sz w:val="15"/>
                <w:szCs w:val="15"/>
                <w:b w:val="1"/>
                <w:bCs w:val="1"/>
                <w:color w:val="auto"/>
              </w:rPr>
              <w:t>Interest income and expense</w:t>
            </w:r>
          </w:p>
        </w:tc>
        <w:tc>
          <w:tcPr>
            <w:tcW w:w="1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Interest income</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440.989</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544.063</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162"/>
        </w:trPr>
        <w:tc>
          <w:tcPr>
            <w:tcW w:w="65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Less - Interest expense</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125.859</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158.578</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6220" w:type="dxa"/>
            <w:vAlign w:val="bottom"/>
            <w:gridSpan w:val="3"/>
          </w:tcPr>
          <w:p>
            <w:pPr>
              <w:spacing w:after="0" w:line="158" w:lineRule="exact"/>
              <w:rPr>
                <w:sz w:val="20"/>
                <w:szCs w:val="20"/>
                <w:color w:val="auto"/>
              </w:rPr>
            </w:pPr>
            <w:r>
              <w:rPr>
                <w:rFonts w:ascii="Arial" w:cs="Arial" w:eastAsia="Arial" w:hAnsi="Arial"/>
                <w:sz w:val="15"/>
                <w:szCs w:val="15"/>
                <w:color w:val="auto"/>
              </w:rPr>
              <w:t>Net interest income</w:t>
            </w:r>
          </w:p>
        </w:tc>
        <w:tc>
          <w:tcPr>
            <w:tcW w:w="1780" w:type="dxa"/>
            <w:vAlign w:val="bottom"/>
          </w:tcPr>
          <w:p>
            <w:pPr>
              <w:jc w:val="right"/>
              <w:ind w:right="266"/>
              <w:spacing w:after="0" w:line="158" w:lineRule="exact"/>
              <w:rPr>
                <w:sz w:val="20"/>
                <w:szCs w:val="20"/>
                <w:color w:val="auto"/>
              </w:rPr>
            </w:pPr>
            <w:r>
              <w:rPr>
                <w:rFonts w:ascii="Arial" w:cs="Arial" w:eastAsia="Arial" w:hAnsi="Arial"/>
                <w:sz w:val="15"/>
                <w:szCs w:val="15"/>
                <w:color w:val="auto"/>
              </w:rPr>
              <w:t>315.130</w:t>
            </w:r>
          </w:p>
        </w:tc>
        <w:tc>
          <w:tcPr>
            <w:tcW w:w="1420" w:type="dxa"/>
            <w:vAlign w:val="bottom"/>
          </w:tcPr>
          <w:p>
            <w:pPr>
              <w:jc w:val="right"/>
              <w:spacing w:after="0" w:line="158" w:lineRule="exact"/>
              <w:rPr>
                <w:sz w:val="20"/>
                <w:szCs w:val="20"/>
                <w:color w:val="auto"/>
              </w:rPr>
            </w:pPr>
            <w:r>
              <w:rPr>
                <w:rFonts w:ascii="Arial" w:cs="Arial" w:eastAsia="Arial" w:hAnsi="Arial"/>
                <w:sz w:val="15"/>
                <w:szCs w:val="15"/>
                <w:color w:val="auto"/>
              </w:rPr>
              <w:t>385.485</w:t>
            </w:r>
          </w:p>
        </w:tc>
        <w:tc>
          <w:tcPr>
            <w:tcW w:w="1700" w:type="dxa"/>
            <w:vAlign w:val="bottom"/>
          </w:tcPr>
          <w:p>
            <w:pPr>
              <w:jc w:val="right"/>
              <w:spacing w:after="0" w:line="158" w:lineRule="exact"/>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6520" w:type="dxa"/>
            <w:vAlign w:val="bottom"/>
            <w:gridSpan w:val="4"/>
          </w:tcPr>
          <w:p>
            <w:pPr>
              <w:spacing w:after="0"/>
              <w:rPr>
                <w:sz w:val="20"/>
                <w:szCs w:val="20"/>
                <w:color w:val="auto"/>
              </w:rPr>
            </w:pPr>
            <w:r>
              <w:rPr>
                <w:rFonts w:ascii="Arial" w:cs="Arial" w:eastAsia="Arial" w:hAnsi="Arial"/>
                <w:sz w:val="15"/>
                <w:szCs w:val="15"/>
                <w:color w:val="auto"/>
              </w:rPr>
              <w:t>Provisions for possible loan losses, net(1</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8.144</w:t>
            </w:r>
          </w:p>
        </w:tc>
        <w:tc>
          <w:tcPr>
            <w:tcW w:w="1420" w:type="dxa"/>
            <w:vAlign w:val="bottom"/>
          </w:tcPr>
          <w:p>
            <w:pPr>
              <w:jc w:val="right"/>
              <w:spacing w:after="0"/>
              <w:rPr>
                <w:sz w:val="20"/>
                <w:szCs w:val="20"/>
                <w:color w:val="auto"/>
              </w:rPr>
            </w:pPr>
            <w:r>
              <w:rPr>
                <w:rFonts w:ascii="Arial" w:cs="Arial" w:eastAsia="Arial" w:hAnsi="Arial"/>
                <w:sz w:val="15"/>
                <w:szCs w:val="15"/>
                <w:color w:val="auto"/>
              </w:rPr>
              <w:t>0.127</w:t>
            </w:r>
          </w:p>
        </w:tc>
        <w:tc>
          <w:tcPr>
            <w:tcW w:w="1700" w:type="dxa"/>
            <w:vAlign w:val="bottom"/>
          </w:tcPr>
          <w:p>
            <w:pPr>
              <w:jc w:val="right"/>
              <w:spacing w:after="0"/>
              <w:rPr>
                <w:sz w:val="20"/>
                <w:szCs w:val="20"/>
                <w:color w:val="auto"/>
              </w:rPr>
            </w:pPr>
            <w:r>
              <w:rPr>
                <w:rFonts w:ascii="Arial" w:cs="Arial" w:eastAsia="Arial" w:hAnsi="Arial"/>
                <w:sz w:val="15"/>
                <w:szCs w:val="15"/>
                <w:color w:val="auto"/>
              </w:rPr>
              <w:t>-98.4%</w:t>
            </w:r>
          </w:p>
        </w:tc>
        <w:tc>
          <w:tcPr>
            <w:tcW w:w="0" w:type="dxa"/>
            <w:vAlign w:val="bottom"/>
          </w:tcPr>
          <w:p>
            <w:pPr>
              <w:spacing w:after="0"/>
              <w:rPr>
                <w:sz w:val="1"/>
                <w:szCs w:val="1"/>
                <w:color w:val="auto"/>
              </w:rPr>
            </w:pPr>
          </w:p>
        </w:tc>
      </w:tr>
      <w:tr>
        <w:trPr>
          <w:trHeight w:val="294"/>
        </w:trPr>
        <w:tc>
          <w:tcPr>
            <w:tcW w:w="300" w:type="dxa"/>
            <w:vAlign w:val="bottom"/>
          </w:tcPr>
          <w:p>
            <w:pPr>
              <w:spacing w:after="0"/>
              <w:rPr>
                <w:sz w:val="24"/>
                <w:szCs w:val="24"/>
                <w:color w:val="auto"/>
              </w:rPr>
            </w:pP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0"/>
              </w:rPr>
              <w:t>Net interest income after provisions</w:t>
            </w:r>
          </w:p>
        </w:tc>
        <w:tc>
          <w:tcPr>
            <w:tcW w:w="4080" w:type="dxa"/>
            <w:vAlign w:val="bottom"/>
          </w:tcPr>
          <w:p>
            <w:pPr>
              <w:spacing w:after="0"/>
              <w:rPr>
                <w:sz w:val="24"/>
                <w:szCs w:val="24"/>
                <w:color w:val="auto"/>
              </w:rPr>
            </w:pP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306.986</w:t>
            </w:r>
          </w:p>
        </w:tc>
        <w:tc>
          <w:tcPr>
            <w:tcW w:w="1420" w:type="dxa"/>
            <w:vAlign w:val="bottom"/>
          </w:tcPr>
          <w:p>
            <w:pPr>
              <w:jc w:val="right"/>
              <w:spacing w:after="0"/>
              <w:rPr>
                <w:sz w:val="20"/>
                <w:szCs w:val="20"/>
                <w:color w:val="auto"/>
              </w:rPr>
            </w:pPr>
            <w:r>
              <w:rPr>
                <w:rFonts w:ascii="Arial" w:cs="Arial" w:eastAsia="Arial" w:hAnsi="Arial"/>
                <w:sz w:val="15"/>
                <w:szCs w:val="15"/>
                <w:color w:val="auto"/>
              </w:rPr>
              <w:t>385.357</w:t>
            </w:r>
          </w:p>
        </w:tc>
        <w:tc>
          <w:tcPr>
            <w:tcW w:w="1700" w:type="dxa"/>
            <w:vAlign w:val="bottom"/>
          </w:tcPr>
          <w:p>
            <w:pPr>
              <w:jc w:val="right"/>
              <w:spacing w:after="0"/>
              <w:rPr>
                <w:sz w:val="20"/>
                <w:szCs w:val="20"/>
                <w:color w:val="auto"/>
              </w:rPr>
            </w:pPr>
            <w:r>
              <w:rPr>
                <w:rFonts w:ascii="Arial" w:cs="Arial" w:eastAsia="Arial" w:hAnsi="Arial"/>
                <w:sz w:val="15"/>
                <w:szCs w:val="15"/>
                <w:color w:val="auto"/>
              </w:rPr>
              <w:t>25.5%</w:t>
            </w:r>
          </w:p>
        </w:tc>
        <w:tc>
          <w:tcPr>
            <w:tcW w:w="0" w:type="dxa"/>
            <w:vAlign w:val="bottom"/>
          </w:tcPr>
          <w:p>
            <w:pPr>
              <w:spacing w:after="0"/>
              <w:rPr>
                <w:sz w:val="1"/>
                <w:szCs w:val="1"/>
                <w:color w:val="auto"/>
              </w:rPr>
            </w:pPr>
          </w:p>
        </w:tc>
      </w:tr>
      <w:tr>
        <w:trPr>
          <w:trHeight w:val="308"/>
        </w:trPr>
        <w:tc>
          <w:tcPr>
            <w:tcW w:w="6520" w:type="dxa"/>
            <w:vAlign w:val="bottom"/>
            <w:gridSpan w:val="4"/>
          </w:tcPr>
          <w:p>
            <w:pPr>
              <w:spacing w:after="0"/>
              <w:rPr>
                <w:sz w:val="20"/>
                <w:szCs w:val="20"/>
                <w:color w:val="auto"/>
              </w:rPr>
            </w:pPr>
            <w:r>
              <w:rPr>
                <w:rFonts w:ascii="Arial" w:cs="Arial" w:eastAsia="Arial" w:hAnsi="Arial"/>
                <w:sz w:val="15"/>
                <w:szCs w:val="15"/>
                <w:b w:val="1"/>
                <w:bCs w:val="1"/>
                <w:color w:val="auto"/>
              </w:rPr>
              <w:t>Other Income</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5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Fees and commissions from services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189.495</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210.770</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62"/>
        </w:trPr>
        <w:tc>
          <w:tcPr>
            <w:tcW w:w="65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Net gains from sales of securities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2.394</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6.164</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157.5%</w:t>
            </w:r>
          </w:p>
        </w:tc>
        <w:tc>
          <w:tcPr>
            <w:tcW w:w="0" w:type="dxa"/>
            <w:vAlign w:val="bottom"/>
          </w:tcPr>
          <w:p>
            <w:pPr>
              <w:spacing w:after="0"/>
              <w:rPr>
                <w:sz w:val="1"/>
                <w:szCs w:val="1"/>
                <w:color w:val="auto"/>
              </w:rPr>
            </w:pPr>
          </w:p>
        </w:tc>
      </w:tr>
      <w:tr>
        <w:trPr>
          <w:trHeight w:val="162"/>
        </w:trPr>
        <w:tc>
          <w:tcPr>
            <w:tcW w:w="65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Net gains on foreing exchg. transacts.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23.730</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30.144</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162"/>
        </w:trPr>
        <w:tc>
          <w:tcPr>
            <w:tcW w:w="65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Other income(1)</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3.709</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12.553</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238.4%</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219.328</w:t>
            </w:r>
          </w:p>
        </w:tc>
        <w:tc>
          <w:tcPr>
            <w:tcW w:w="1420" w:type="dxa"/>
            <w:vAlign w:val="bottom"/>
          </w:tcPr>
          <w:p>
            <w:pPr>
              <w:jc w:val="right"/>
              <w:spacing w:after="0"/>
              <w:rPr>
                <w:sz w:val="20"/>
                <w:szCs w:val="20"/>
                <w:color w:val="auto"/>
              </w:rPr>
            </w:pPr>
            <w:r>
              <w:rPr>
                <w:rFonts w:ascii="Arial" w:cs="Arial" w:eastAsia="Arial" w:hAnsi="Arial"/>
                <w:sz w:val="15"/>
                <w:szCs w:val="15"/>
                <w:color w:val="auto"/>
              </w:rPr>
              <w:t>259.631</w:t>
            </w:r>
          </w:p>
        </w:tc>
        <w:tc>
          <w:tcPr>
            <w:tcW w:w="1700" w:type="dxa"/>
            <w:vAlign w:val="bottom"/>
          </w:tcPr>
          <w:p>
            <w:pPr>
              <w:jc w:val="right"/>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298"/>
        </w:trPr>
        <w:tc>
          <w:tcPr>
            <w:tcW w:w="6520" w:type="dxa"/>
            <w:vAlign w:val="bottom"/>
            <w:gridSpan w:val="4"/>
          </w:tcPr>
          <w:p>
            <w:pPr>
              <w:spacing w:after="0"/>
              <w:rPr>
                <w:sz w:val="20"/>
                <w:szCs w:val="20"/>
                <w:color w:val="auto"/>
              </w:rPr>
            </w:pPr>
            <w:r>
              <w:rPr>
                <w:rFonts w:ascii="Arial" w:cs="Arial" w:eastAsia="Arial" w:hAnsi="Arial"/>
                <w:sz w:val="15"/>
                <w:szCs w:val="15"/>
                <w:b w:val="1"/>
                <w:bCs w:val="1"/>
                <w:color w:val="auto"/>
              </w:rPr>
              <w:t>Other Expenses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5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Salaries and employee benefits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146.560</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161.265</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62"/>
        </w:trPr>
        <w:tc>
          <w:tcPr>
            <w:tcW w:w="65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General and administrative</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118.792</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115.863</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62"/>
        </w:trPr>
        <w:tc>
          <w:tcPr>
            <w:tcW w:w="65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Depreciation and amortization</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38.096</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35.080</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62"/>
        </w:trPr>
        <w:tc>
          <w:tcPr>
            <w:tcW w:w="65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Taxes other than income tax</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12.965</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12.669</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62"/>
        </w:trPr>
        <w:tc>
          <w:tcPr>
            <w:tcW w:w="65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Other</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45.237</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44.797</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2"/>
        </w:trPr>
        <w:tc>
          <w:tcPr>
            <w:tcW w:w="652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Merger costs</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3.742</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0.000</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365.392</w:t>
            </w:r>
          </w:p>
        </w:tc>
        <w:tc>
          <w:tcPr>
            <w:tcW w:w="1420" w:type="dxa"/>
            <w:vAlign w:val="bottom"/>
          </w:tcPr>
          <w:p>
            <w:pPr>
              <w:jc w:val="right"/>
              <w:spacing w:after="0"/>
              <w:rPr>
                <w:sz w:val="20"/>
                <w:szCs w:val="20"/>
                <w:color w:val="auto"/>
              </w:rPr>
            </w:pPr>
            <w:r>
              <w:rPr>
                <w:rFonts w:ascii="Arial" w:cs="Arial" w:eastAsia="Arial" w:hAnsi="Arial"/>
                <w:sz w:val="15"/>
                <w:szCs w:val="15"/>
                <w:color w:val="auto"/>
              </w:rPr>
              <w:t>369.674</w:t>
            </w:r>
          </w:p>
        </w:tc>
        <w:tc>
          <w:tcPr>
            <w:tcW w:w="170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60" w:type="dxa"/>
            <w:vAlign w:val="bottom"/>
            <w:gridSpan w:val="2"/>
          </w:tcPr>
          <w:p>
            <w:pPr>
              <w:jc w:val="center"/>
              <w:ind w:right="1646"/>
              <w:spacing w:after="0"/>
              <w:rPr>
                <w:sz w:val="20"/>
                <w:szCs w:val="20"/>
                <w:color w:val="auto"/>
              </w:rPr>
            </w:pPr>
            <w:r>
              <w:rPr>
                <w:rFonts w:ascii="Arial" w:cs="Arial" w:eastAsia="Arial" w:hAnsi="Arial"/>
                <w:sz w:val="15"/>
                <w:szCs w:val="15"/>
                <w:b w:val="1"/>
                <w:bCs w:val="1"/>
                <w:color w:val="auto"/>
                <w:w w:val="89"/>
              </w:rPr>
              <w:t>Result from exposure to inflation</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0.739</w:t>
            </w:r>
          </w:p>
        </w:tc>
        <w:tc>
          <w:tcPr>
            <w:tcW w:w="1420" w:type="dxa"/>
            <w:vAlign w:val="bottom"/>
          </w:tcPr>
          <w:p>
            <w:pPr>
              <w:jc w:val="right"/>
              <w:spacing w:after="0"/>
              <w:rPr>
                <w:sz w:val="20"/>
                <w:szCs w:val="20"/>
                <w:color w:val="auto"/>
              </w:rPr>
            </w:pPr>
            <w:r>
              <w:rPr>
                <w:rFonts w:ascii="Arial" w:cs="Arial" w:eastAsia="Arial" w:hAnsi="Arial"/>
                <w:sz w:val="15"/>
                <w:szCs w:val="15"/>
                <w:color w:val="auto"/>
              </w:rPr>
              <w:t>-9.762</w:t>
            </w:r>
          </w:p>
        </w:tc>
        <w:tc>
          <w:tcPr>
            <w:tcW w:w="1700" w:type="dxa"/>
            <w:vAlign w:val="bottom"/>
          </w:tcPr>
          <w:p>
            <w:pPr>
              <w:jc w:val="right"/>
              <w:spacing w:after="0"/>
              <w:rPr>
                <w:sz w:val="20"/>
                <w:szCs w:val="20"/>
                <w:color w:val="auto"/>
              </w:rPr>
            </w:pPr>
            <w:r>
              <w:rPr>
                <w:rFonts w:ascii="Arial" w:cs="Arial" w:eastAsia="Arial" w:hAnsi="Arial"/>
                <w:sz w:val="15"/>
                <w:szCs w:val="15"/>
                <w:color w:val="auto"/>
              </w:rPr>
              <w:t>-1421.0%</w:t>
            </w:r>
          </w:p>
        </w:tc>
        <w:tc>
          <w:tcPr>
            <w:tcW w:w="0" w:type="dxa"/>
            <w:vAlign w:val="bottom"/>
          </w:tcPr>
          <w:p>
            <w:pPr>
              <w:spacing w:after="0"/>
              <w:rPr>
                <w:sz w:val="1"/>
                <w:szCs w:val="1"/>
                <w:color w:val="auto"/>
              </w:rPr>
            </w:pPr>
          </w:p>
        </w:tc>
      </w:tr>
      <w:tr>
        <w:trPr>
          <w:trHeight w:val="298"/>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60" w:type="dxa"/>
            <w:vAlign w:val="bottom"/>
            <w:gridSpan w:val="2"/>
          </w:tcPr>
          <w:p>
            <w:pPr>
              <w:jc w:val="center"/>
              <w:ind w:right="1646"/>
              <w:spacing w:after="0"/>
              <w:rPr>
                <w:sz w:val="20"/>
                <w:szCs w:val="20"/>
                <w:color w:val="auto"/>
              </w:rPr>
            </w:pPr>
            <w:r>
              <w:rPr>
                <w:rFonts w:ascii="Arial" w:cs="Arial" w:eastAsia="Arial" w:hAnsi="Arial"/>
                <w:sz w:val="15"/>
                <w:szCs w:val="15"/>
                <w:b w:val="1"/>
                <w:bCs w:val="1"/>
                <w:color w:val="auto"/>
                <w:w w:val="87"/>
              </w:rPr>
              <w:t>Income before income tax</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161.661</w:t>
            </w:r>
          </w:p>
        </w:tc>
        <w:tc>
          <w:tcPr>
            <w:tcW w:w="1420" w:type="dxa"/>
            <w:vAlign w:val="bottom"/>
          </w:tcPr>
          <w:p>
            <w:pPr>
              <w:jc w:val="right"/>
              <w:spacing w:after="0"/>
              <w:rPr>
                <w:sz w:val="20"/>
                <w:szCs w:val="20"/>
                <w:color w:val="auto"/>
              </w:rPr>
            </w:pPr>
            <w:r>
              <w:rPr>
                <w:rFonts w:ascii="Arial" w:cs="Arial" w:eastAsia="Arial" w:hAnsi="Arial"/>
                <w:sz w:val="15"/>
                <w:szCs w:val="15"/>
                <w:color w:val="auto"/>
              </w:rPr>
              <w:t>265.553</w:t>
            </w:r>
          </w:p>
        </w:tc>
        <w:tc>
          <w:tcPr>
            <w:tcW w:w="1700" w:type="dxa"/>
            <w:vAlign w:val="bottom"/>
          </w:tcPr>
          <w:p>
            <w:pPr>
              <w:jc w:val="right"/>
              <w:spacing w:after="0"/>
              <w:rPr>
                <w:sz w:val="20"/>
                <w:szCs w:val="20"/>
                <w:color w:val="auto"/>
              </w:rPr>
            </w:pPr>
            <w:r>
              <w:rPr>
                <w:rFonts w:ascii="Arial" w:cs="Arial" w:eastAsia="Arial" w:hAnsi="Arial"/>
                <w:sz w:val="15"/>
                <w:szCs w:val="15"/>
                <w:color w:val="auto"/>
              </w:rPr>
              <w:t>64.3%</w:t>
            </w:r>
          </w:p>
        </w:tc>
        <w:tc>
          <w:tcPr>
            <w:tcW w:w="0" w:type="dxa"/>
            <w:vAlign w:val="bottom"/>
          </w:tcPr>
          <w:p>
            <w:pPr>
              <w:spacing w:after="0"/>
              <w:rPr>
                <w:sz w:val="1"/>
                <w:szCs w:val="1"/>
                <w:color w:val="auto"/>
              </w:rPr>
            </w:pPr>
          </w:p>
        </w:tc>
      </w:tr>
      <w:tr>
        <w:trPr>
          <w:trHeight w:val="162"/>
        </w:trPr>
        <w:tc>
          <w:tcPr>
            <w:tcW w:w="6520" w:type="dxa"/>
            <w:vAlign w:val="bottom"/>
            <w:gridSpan w:val="4"/>
          </w:tcPr>
          <w:p>
            <w:pPr>
              <w:ind w:left="120"/>
              <w:spacing w:after="0" w:line="162" w:lineRule="exact"/>
              <w:rPr>
                <w:sz w:val="20"/>
                <w:szCs w:val="20"/>
                <w:color w:val="auto"/>
              </w:rPr>
            </w:pPr>
            <w:r>
              <w:rPr>
                <w:rFonts w:ascii="Arial" w:cs="Arial" w:eastAsia="Arial" w:hAnsi="Arial"/>
                <w:sz w:val="15"/>
                <w:szCs w:val="15"/>
                <w:color w:val="auto"/>
              </w:rPr>
              <w:t>Employee profit sharing(2)</w:t>
            </w:r>
          </w:p>
        </w:tc>
        <w:tc>
          <w:tcPr>
            <w:tcW w:w="17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6.647</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11.250</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69.3%</w:t>
            </w:r>
          </w:p>
        </w:tc>
        <w:tc>
          <w:tcPr>
            <w:tcW w:w="0" w:type="dxa"/>
            <w:vAlign w:val="bottom"/>
          </w:tcPr>
          <w:p>
            <w:pPr>
              <w:spacing w:after="0"/>
              <w:rPr>
                <w:sz w:val="1"/>
                <w:szCs w:val="1"/>
                <w:color w:val="auto"/>
              </w:rPr>
            </w:pPr>
          </w:p>
        </w:tc>
      </w:tr>
      <w:tr>
        <w:trPr>
          <w:trHeight w:val="188"/>
        </w:trPr>
        <w:tc>
          <w:tcPr>
            <w:tcW w:w="6520" w:type="dxa"/>
            <w:vAlign w:val="bottom"/>
            <w:gridSpan w:val="4"/>
          </w:tcPr>
          <w:p>
            <w:pPr>
              <w:ind w:left="120"/>
              <w:spacing w:after="0"/>
              <w:rPr>
                <w:sz w:val="20"/>
                <w:szCs w:val="20"/>
                <w:color w:val="auto"/>
              </w:rPr>
            </w:pPr>
            <w:r>
              <w:rPr>
                <w:rFonts w:ascii="Arial" w:cs="Arial" w:eastAsia="Arial" w:hAnsi="Arial"/>
                <w:sz w:val="15"/>
                <w:szCs w:val="15"/>
                <w:color w:val="auto"/>
              </w:rPr>
              <w:t>Income Tax</w:t>
            </w:r>
          </w:p>
        </w:tc>
        <w:tc>
          <w:tcPr>
            <w:tcW w:w="1780" w:type="dxa"/>
            <w:vAlign w:val="bottom"/>
          </w:tcPr>
          <w:p>
            <w:pPr>
              <w:jc w:val="right"/>
              <w:ind w:right="266"/>
              <w:spacing w:after="0"/>
              <w:rPr>
                <w:sz w:val="20"/>
                <w:szCs w:val="20"/>
                <w:color w:val="auto"/>
              </w:rPr>
            </w:pPr>
            <w:r>
              <w:rPr>
                <w:rFonts w:ascii="Arial" w:cs="Arial" w:eastAsia="Arial" w:hAnsi="Arial"/>
                <w:sz w:val="15"/>
                <w:szCs w:val="15"/>
                <w:color w:val="auto"/>
              </w:rPr>
              <w:t>38.939</w:t>
            </w:r>
          </w:p>
        </w:tc>
        <w:tc>
          <w:tcPr>
            <w:tcW w:w="1420" w:type="dxa"/>
            <w:vAlign w:val="bottom"/>
          </w:tcPr>
          <w:p>
            <w:pPr>
              <w:jc w:val="right"/>
              <w:spacing w:after="0"/>
              <w:rPr>
                <w:sz w:val="20"/>
                <w:szCs w:val="20"/>
                <w:color w:val="auto"/>
              </w:rPr>
            </w:pPr>
            <w:r>
              <w:rPr>
                <w:rFonts w:ascii="Arial" w:cs="Arial" w:eastAsia="Arial" w:hAnsi="Arial"/>
                <w:sz w:val="15"/>
                <w:szCs w:val="15"/>
                <w:color w:val="auto"/>
              </w:rPr>
              <w:t>70.148</w:t>
            </w:r>
          </w:p>
        </w:tc>
        <w:tc>
          <w:tcPr>
            <w:tcW w:w="1700" w:type="dxa"/>
            <w:vAlign w:val="bottom"/>
          </w:tcPr>
          <w:p>
            <w:pPr>
              <w:jc w:val="right"/>
              <w:spacing w:after="0"/>
              <w:rPr>
                <w:sz w:val="20"/>
                <w:szCs w:val="20"/>
                <w:color w:val="auto"/>
              </w:rPr>
            </w:pPr>
            <w:r>
              <w:rPr>
                <w:rFonts w:ascii="Arial" w:cs="Arial" w:eastAsia="Arial" w:hAnsi="Arial"/>
                <w:sz w:val="15"/>
                <w:szCs w:val="15"/>
                <w:color w:val="auto"/>
              </w:rPr>
              <w:t>80.1%</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80" w:type="dxa"/>
            <w:vAlign w:val="bottom"/>
          </w:tcPr>
          <w:p>
            <w:pPr>
              <w:jc w:val="center"/>
              <w:ind w:right="2626"/>
              <w:spacing w:after="0"/>
              <w:rPr>
                <w:sz w:val="20"/>
                <w:szCs w:val="20"/>
                <w:color w:val="auto"/>
              </w:rPr>
            </w:pPr>
            <w:r>
              <w:rPr>
                <w:rFonts w:ascii="Arial" w:cs="Arial" w:eastAsia="Arial" w:hAnsi="Arial"/>
                <w:sz w:val="15"/>
                <w:szCs w:val="15"/>
                <w:b w:val="1"/>
                <w:bCs w:val="1"/>
                <w:color w:val="auto"/>
              </w:rPr>
              <w:t>NET INCOME</w:t>
            </w:r>
          </w:p>
        </w:tc>
        <w:tc>
          <w:tcPr>
            <w:tcW w:w="1780" w:type="dxa"/>
            <w:vAlign w:val="bottom"/>
          </w:tcPr>
          <w:p>
            <w:pPr>
              <w:jc w:val="right"/>
              <w:ind w:right="266"/>
              <w:spacing w:after="0"/>
              <w:rPr>
                <w:sz w:val="20"/>
                <w:szCs w:val="20"/>
                <w:color w:val="auto"/>
              </w:rPr>
            </w:pPr>
            <w:r>
              <w:rPr>
                <w:rFonts w:ascii="Arial" w:cs="Arial" w:eastAsia="Arial" w:hAnsi="Arial"/>
                <w:sz w:val="15"/>
                <w:szCs w:val="15"/>
                <w:b w:val="1"/>
                <w:bCs w:val="1"/>
                <w:color w:val="auto"/>
              </w:rPr>
              <w:t>116.075</w:t>
            </w: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184.155</w:t>
            </w:r>
          </w:p>
        </w:tc>
        <w:tc>
          <w:tcPr>
            <w:tcW w:w="1700" w:type="dxa"/>
            <w:vAlign w:val="bottom"/>
          </w:tcPr>
          <w:p>
            <w:pPr>
              <w:jc w:val="right"/>
              <w:spacing w:after="0"/>
              <w:rPr>
                <w:sz w:val="20"/>
                <w:szCs w:val="20"/>
                <w:color w:val="auto"/>
              </w:rPr>
            </w:pPr>
            <w:r>
              <w:rPr>
                <w:rFonts w:ascii="Arial" w:cs="Arial" w:eastAsia="Arial" w:hAnsi="Arial"/>
                <w:sz w:val="15"/>
                <w:szCs w:val="15"/>
                <w:b w:val="1"/>
                <w:bCs w:val="1"/>
                <w:color w:val="auto"/>
              </w:rPr>
              <w:t>58.7%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i w:val="1"/>
          <w:iCs w:val="1"/>
          <w:color w:val="auto"/>
        </w:rPr>
        <w:t>(1)Income from recoveries of charged-off loans has been reclassified within Provisions for loan losses.</w:t>
      </w:r>
    </w:p>
    <w:p>
      <w:pPr>
        <w:spacing w:after="0" w:line="19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ind w:right="680"/>
        <w:spacing w:after="0" w:line="257" w:lineRule="auto"/>
        <w:rPr>
          <w:sz w:val="20"/>
          <w:szCs w:val="20"/>
          <w:color w:val="auto"/>
        </w:rPr>
      </w:pPr>
      <w:r>
        <w:rPr>
          <w:rFonts w:ascii="Arial" w:cs="Arial" w:eastAsia="Arial" w:hAnsi="Arial"/>
          <w:sz w:val="22"/>
          <w:szCs w:val="22"/>
          <w:b w:val="1"/>
          <w:bCs w:val="1"/>
          <w:u w:val="single" w:color="auto"/>
          <w:color w:val="auto"/>
        </w:rPr>
        <w:t xml:space="preserve">NOTE </w:t>
      </w:r>
      <w:r>
        <w:rPr>
          <w:rFonts w:ascii="Arial" w:cs="Arial" w:eastAsia="Arial" w:hAnsi="Arial"/>
          <w:sz w:val="22"/>
          <w:szCs w:val="22"/>
          <w:u w:val="single" w:color="auto"/>
          <w:color w:val="auto"/>
        </w:rPr>
        <w:t>to explain the differences in reported results for BCP according to local accounting in Soles and to IFRS accounting</w:t>
      </w:r>
      <w:r>
        <w:rPr>
          <w:rFonts w:ascii="Arial" w:cs="Arial" w:eastAsia="Arial" w:hAnsi="Arial"/>
          <w:sz w:val="22"/>
          <w:szCs w:val="22"/>
          <w:b w:val="1"/>
          <w:bCs w:val="1"/>
          <w:u w:val="single" w:color="auto"/>
          <w:color w:val="auto"/>
        </w:rPr>
        <w:t xml:space="preserve"> </w:t>
      </w:r>
      <w:r>
        <w:rPr>
          <w:rFonts w:ascii="Arial" w:cs="Arial" w:eastAsia="Arial" w:hAnsi="Arial"/>
          <w:sz w:val="22"/>
          <w:szCs w:val="22"/>
          <w:u w:val="single" w:color="auto"/>
          <w:color w:val="auto"/>
        </w:rPr>
        <w:t>standards in US Dollars: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BCP’s local reporting under Peruvian GAAP is done in Peruvian Soles, whereas reporting under IFRS is done in US Dollars. When converting local Soles results to US Dollars at the exchange rate of the closing date, important differences can be determined. These can be explained by:</w:t>
      </w:r>
    </w:p>
    <w:p>
      <w:pPr>
        <w:spacing w:after="0" w:line="186" w:lineRule="exact"/>
        <w:rPr>
          <w:sz w:val="20"/>
          <w:szCs w:val="20"/>
          <w:color w:val="auto"/>
        </w:rPr>
      </w:pPr>
    </w:p>
    <w:p>
      <w:pPr>
        <w:ind w:left="440" w:hanging="216"/>
        <w:spacing w:after="0"/>
        <w:tabs>
          <w:tab w:leader="none" w:pos="4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differences in reporting of some items between the two accounting standards.</w:t>
      </w:r>
    </w:p>
    <w:p>
      <w:pPr>
        <w:spacing w:after="0" w:line="8" w:lineRule="exact"/>
        <w:rPr>
          <w:rFonts w:ascii="Arial" w:cs="Arial" w:eastAsia="Arial" w:hAnsi="Arial"/>
          <w:sz w:val="22"/>
          <w:szCs w:val="22"/>
          <w:color w:val="auto"/>
        </w:rPr>
      </w:pPr>
    </w:p>
    <w:p>
      <w:pPr>
        <w:ind w:right="420" w:firstLine="224"/>
        <w:spacing w:after="0" w:line="237" w:lineRule="auto"/>
        <w:tabs>
          <w:tab w:leader="none" w:pos="432"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fact that BCP holds uncovered positions on the assets side in both US Dollars and Soles, generating gains/losses with exchange rate movements in both accounting books held in Dollars and in Soles.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means, that besides the variations generated by the different accounting norms, changes in exchange rates have a notorious effect on BCP’s accounting given the exposed positions in both currencies. Furthermore, the differential generated by such exchange rate movements is exacerbated by the contrary effect such exchange rate variation has in US Dollar vs. its Soles accounting, thus, “doubling” its effect. Given a Soles devaluation, for example, BCP would register a gain in its local Soles books due to its exposed US Dollar position, whereas in BCP’s international US Dollar books, a loss is generated due to its exposed Soles position. Thus, a double effect of the same foreign exchange movement is registered.</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For this reason, we would like to caution investors when analyzing BCP’s local accounting results, which are then converted to US Dollars at the exchange rate of the closing date, since these can vary significantly from BCP’s IFRS reported results within the Credicorp earnings reports.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INTEREST INCOME</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Interest income, net of interest expense, reached US$ 385.5 million during 2005, an increase of 22.3% with respect to the US$ 315 million reached in the previous year.</w:t>
      </w:r>
    </w:p>
    <w:p>
      <w:pPr>
        <w:spacing w:after="0" w:line="173"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Increased net interest income for 2005, compared to 2004, is mostly due to an increase of 14.4% on average interest earning assets, which rose from US$ 6.2 billion in 2004 to US$ 7.7 billion on average in 2005). This growth in assets occurs mainly under the investments line item, which grew 49.5% with respect to the previous year, since the disintermediation of the banking system by the growing capital market continues, and does not allow a more aggressive increase in the loan growth rate in the corporate/ middle markets segments. Even so, the refocusing of our portfolio, increasing the percentage of loans in the retail banking and SME segments, contributes to achieving a growth rate of 17.8% compared with the balance at December 2004, which is quite satisfactory given the current financial environment.</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The accumulated net interest margin to December 2005 rose 7.1%, reaching 5.45%, compared to the 5.1% posted in the same period of the previous year. The margin rose mainly due to rises in the loan rates of foreign currency following international trends, while deposit rates rose to a lesser extent. The active and passive rates in local currency decreased during the present quarter, maintaining the margin in this currency unchanged, which is also a reflection of lower inflation rates.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NON-INTEREST INCOME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28" w:name="page29"/>
    <w:bookmarkEnd w:id="28"/>
    <w:p>
      <w:pPr>
        <w:ind w:right="200"/>
        <w:spacing w:after="0" w:line="241" w:lineRule="auto"/>
        <w:rPr>
          <w:sz w:val="20"/>
          <w:szCs w:val="20"/>
          <w:color w:val="auto"/>
        </w:rPr>
      </w:pPr>
      <w:r>
        <w:rPr>
          <w:rFonts w:ascii="Arial" w:cs="Arial" w:eastAsia="Arial" w:hAnsi="Arial"/>
          <w:sz w:val="22"/>
          <w:szCs w:val="22"/>
          <w:u w:val="single" w:color="auto"/>
          <w:color w:val="auto"/>
        </w:rPr>
        <w:t>Note:</w:t>
      </w:r>
      <w:r>
        <w:rPr>
          <w:rFonts w:ascii="Arial" w:cs="Arial" w:eastAsia="Arial" w:hAnsi="Arial"/>
          <w:sz w:val="22"/>
          <w:szCs w:val="22"/>
          <w:color w:val="auto"/>
        </w:rPr>
        <w:t xml:space="preserve"> For comparison purposes, in periods prior to 2005, income from recoveries of previously charged-off loans, which were reported in the </w:t>
      </w:r>
      <w:r>
        <w:rPr>
          <w:rFonts w:ascii="Arial" w:cs="Arial" w:eastAsia="Arial" w:hAnsi="Arial"/>
          <w:sz w:val="22"/>
          <w:szCs w:val="22"/>
          <w:i w:val="1"/>
          <w:iCs w:val="1"/>
          <w:u w:val="single" w:color="auto"/>
          <w:color w:val="auto"/>
        </w:rPr>
        <w:t>Other non-interest income</w:t>
      </w:r>
      <w:r>
        <w:rPr>
          <w:rFonts w:ascii="Arial" w:cs="Arial" w:eastAsia="Arial" w:hAnsi="Arial"/>
          <w:sz w:val="22"/>
          <w:szCs w:val="22"/>
          <w:color w:val="auto"/>
        </w:rPr>
        <w:t xml:space="preserve"> concept, have been reclassified into the </w:t>
      </w:r>
      <w:r>
        <w:rPr>
          <w:rFonts w:ascii="Arial" w:cs="Arial" w:eastAsia="Arial" w:hAnsi="Arial"/>
          <w:sz w:val="22"/>
          <w:szCs w:val="22"/>
          <w:i w:val="1"/>
          <w:iCs w:val="1"/>
          <w:u w:val="single" w:color="auto"/>
          <w:color w:val="auto"/>
        </w:rPr>
        <w:t>Provision for possible loan losses</w:t>
      </w:r>
      <w:r>
        <w:rPr>
          <w:rFonts w:ascii="Arial" w:cs="Arial" w:eastAsia="Arial" w:hAnsi="Arial"/>
          <w:sz w:val="22"/>
          <w:szCs w:val="22"/>
          <w:color w:val="auto"/>
        </w:rPr>
        <w:t xml:space="preserve"> concept, with no effect on net income.</w:t>
      </w:r>
    </w:p>
    <w:p>
      <w:pPr>
        <w:spacing w:after="0" w:line="184"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The accumulated 2005 period, reflected very low levels of net provisions. This has been not only from a lower need for provisions due to the significant recovery in portfolio quality, but also given the strong income generated from the recovery of previously written-off loans. These recoveries almost completely offset the provisions for 2005, which are already significantly lower than in 2004, showing net provisions for loans of only US$ 0.1 million for 2005.</w:t>
      </w:r>
    </w:p>
    <w:p>
      <w:pPr>
        <w:spacing w:after="0" w:line="185" w:lineRule="exact"/>
        <w:rPr>
          <w:sz w:val="20"/>
          <w:szCs w:val="20"/>
          <w:color w:val="auto"/>
        </w:rPr>
      </w:pPr>
    </w:p>
    <w:p>
      <w:pPr>
        <w:ind w:right="320"/>
        <w:spacing w:after="0" w:line="287" w:lineRule="auto"/>
        <w:rPr>
          <w:sz w:val="20"/>
          <w:szCs w:val="20"/>
          <w:color w:val="auto"/>
        </w:rPr>
      </w:pPr>
      <w:r>
        <w:rPr>
          <w:rFonts w:ascii="Arial" w:cs="Arial" w:eastAsia="Arial" w:hAnsi="Arial"/>
          <w:sz w:val="19"/>
          <w:szCs w:val="19"/>
          <w:color w:val="auto"/>
        </w:rPr>
        <w:t>The equally-important growth in non-financial income corresponds to the development of BCP’s transactional services. Non-interest income, which includes fee revenue and other non-interest items, was US$ 259.6 million in 2005, 18.4% higher than the US$ 219.3 million obtained during the previous year, due mainly to increased income from foreign exchange operations, which grew 27%, increased fees for banking services, which grew 11%, and the 158% increase in profit from sale of securities.</w:t>
      </w:r>
    </w:p>
    <w:p>
      <w:pPr>
        <w:spacing w:after="0" w:line="143" w:lineRule="exact"/>
        <w:rPr>
          <w:sz w:val="20"/>
          <w:szCs w:val="20"/>
          <w:color w:val="auto"/>
        </w:rPr>
      </w:pPr>
    </w:p>
    <w:p>
      <w:pPr>
        <w:jc w:val="both"/>
        <w:ind w:right="600"/>
        <w:spacing w:after="0" w:line="297" w:lineRule="auto"/>
        <w:rPr>
          <w:sz w:val="20"/>
          <w:szCs w:val="20"/>
          <w:color w:val="auto"/>
        </w:rPr>
      </w:pPr>
      <w:r>
        <w:rPr>
          <w:rFonts w:ascii="Arial" w:cs="Arial" w:eastAsia="Arial" w:hAnsi="Arial"/>
          <w:sz w:val="19"/>
          <w:szCs w:val="19"/>
          <w:color w:val="auto"/>
        </w:rPr>
        <w:t>Banking service fees for 2005 rose 11% compared to 2004, reaching US$ 210.8 million, mainly due to growth in debit cards, administration and securities brokerage, mortgage loans, consulting in corporate finance and fees for loan disbursements and commitments. During the year, the most important banking services experienced the following changes: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(In US$ millions)</w:t>
            </w:r>
          </w:p>
        </w:tc>
        <w:tc>
          <w:tcPr>
            <w:tcW w:w="3700" w:type="dxa"/>
            <w:vAlign w:val="bottom"/>
            <w:tcBorders>
              <w:top w:val="single" w:sz="8" w:color="auto"/>
              <w:bottom w:val="single" w:sz="8" w:color="auto"/>
            </w:tcBorders>
          </w:tcPr>
          <w:p>
            <w:pPr>
              <w:jc w:val="center"/>
              <w:ind w:left="1926"/>
              <w:spacing w:after="0"/>
              <w:rPr>
                <w:sz w:val="20"/>
                <w:szCs w:val="20"/>
                <w:color w:val="auto"/>
              </w:rPr>
            </w:pPr>
            <w:r>
              <w:rPr>
                <w:rFonts w:ascii="Arial" w:cs="Arial" w:eastAsia="Arial" w:hAnsi="Arial"/>
                <w:sz w:val="15"/>
                <w:szCs w:val="15"/>
                <w:b w:val="1"/>
                <w:bCs w:val="1"/>
                <w:color w:val="auto"/>
                <w:w w:val="89"/>
              </w:rPr>
              <w:t>2004</w:t>
            </w: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2005</w:t>
            </w:r>
          </w:p>
        </w:tc>
        <w:tc>
          <w:tcPr>
            <w:tcW w:w="16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5"/>
                <w:szCs w:val="15"/>
                <w:b w:val="1"/>
                <w:bCs w:val="1"/>
                <w:color w:val="auto"/>
              </w:rPr>
              <w:t>Var.</w:t>
            </w:r>
          </w:p>
        </w:tc>
      </w:tr>
      <w:tr>
        <w:trPr>
          <w:trHeight w:val="160"/>
        </w:trPr>
        <w:tc>
          <w:tcPr>
            <w:tcW w:w="4400" w:type="dxa"/>
            <w:vAlign w:val="bottom"/>
          </w:tcPr>
          <w:p>
            <w:pPr>
              <w:spacing w:after="0" w:line="160" w:lineRule="exact"/>
              <w:rPr>
                <w:sz w:val="20"/>
                <w:szCs w:val="20"/>
                <w:color w:val="auto"/>
              </w:rPr>
            </w:pPr>
            <w:r>
              <w:rPr>
                <w:rFonts w:ascii="Arial" w:cs="Arial" w:eastAsia="Arial" w:hAnsi="Arial"/>
                <w:sz w:val="15"/>
                <w:szCs w:val="15"/>
                <w:color w:val="auto"/>
              </w:rPr>
              <w:t>Savings accounts</w:t>
            </w:r>
          </w:p>
        </w:tc>
        <w:tc>
          <w:tcPr>
            <w:tcW w:w="3700" w:type="dxa"/>
            <w:vAlign w:val="bottom"/>
          </w:tcPr>
          <w:p>
            <w:pPr>
              <w:jc w:val="center"/>
              <w:ind w:left="1926"/>
              <w:spacing w:after="0" w:line="160" w:lineRule="exact"/>
              <w:rPr>
                <w:sz w:val="20"/>
                <w:szCs w:val="20"/>
                <w:color w:val="auto"/>
              </w:rPr>
            </w:pPr>
            <w:r>
              <w:rPr>
                <w:rFonts w:ascii="Arial" w:cs="Arial" w:eastAsia="Arial" w:hAnsi="Arial"/>
                <w:sz w:val="15"/>
                <w:szCs w:val="15"/>
                <w:color w:val="auto"/>
                <w:w w:val="88"/>
              </w:rPr>
              <w:t>24.1</w:t>
            </w:r>
          </w:p>
        </w:tc>
        <w:tc>
          <w:tcPr>
            <w:tcW w:w="1680" w:type="dxa"/>
            <w:vAlign w:val="bottom"/>
          </w:tcPr>
          <w:p>
            <w:pPr>
              <w:jc w:val="center"/>
              <w:spacing w:after="0" w:line="160" w:lineRule="exact"/>
              <w:rPr>
                <w:sz w:val="20"/>
                <w:szCs w:val="20"/>
                <w:color w:val="auto"/>
              </w:rPr>
            </w:pPr>
            <w:r>
              <w:rPr>
                <w:rFonts w:ascii="Arial" w:cs="Arial" w:eastAsia="Arial" w:hAnsi="Arial"/>
                <w:sz w:val="15"/>
                <w:szCs w:val="15"/>
                <w:color w:val="auto"/>
                <w:w w:val="88"/>
              </w:rPr>
              <w:t>24.5</w:t>
            </w:r>
          </w:p>
        </w:tc>
        <w:tc>
          <w:tcPr>
            <w:tcW w:w="1640" w:type="dxa"/>
            <w:vAlign w:val="bottom"/>
          </w:tcPr>
          <w:p>
            <w:pPr>
              <w:jc w:val="center"/>
              <w:ind w:left="66"/>
              <w:spacing w:after="0" w:line="160" w:lineRule="exact"/>
              <w:rPr>
                <w:sz w:val="20"/>
                <w:szCs w:val="20"/>
                <w:color w:val="auto"/>
              </w:rPr>
            </w:pPr>
            <w:r>
              <w:rPr>
                <w:rFonts w:ascii="Arial" w:cs="Arial" w:eastAsia="Arial" w:hAnsi="Arial"/>
                <w:sz w:val="15"/>
                <w:szCs w:val="15"/>
                <w:color w:val="auto"/>
                <w:w w:val="87"/>
              </w:rPr>
              <w:t>1.7%</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Demand deposits</w:t>
            </w:r>
          </w:p>
        </w:tc>
        <w:tc>
          <w:tcPr>
            <w:tcW w:w="3700" w:type="dxa"/>
            <w:vAlign w:val="bottom"/>
          </w:tcPr>
          <w:p>
            <w:pPr>
              <w:jc w:val="center"/>
              <w:ind w:left="1926"/>
              <w:spacing w:after="0" w:line="162" w:lineRule="exact"/>
              <w:rPr>
                <w:sz w:val="20"/>
                <w:szCs w:val="20"/>
                <w:color w:val="auto"/>
              </w:rPr>
            </w:pPr>
            <w:r>
              <w:rPr>
                <w:rFonts w:ascii="Arial" w:cs="Arial" w:eastAsia="Arial" w:hAnsi="Arial"/>
                <w:sz w:val="15"/>
                <w:szCs w:val="15"/>
                <w:color w:val="auto"/>
                <w:w w:val="88"/>
              </w:rPr>
              <w:t>25.0</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8"/>
              </w:rPr>
              <w:t>26.3</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7"/>
              </w:rPr>
              <w:t>5.3%</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Credit cards</w:t>
            </w:r>
          </w:p>
        </w:tc>
        <w:tc>
          <w:tcPr>
            <w:tcW w:w="3700" w:type="dxa"/>
            <w:vAlign w:val="bottom"/>
          </w:tcPr>
          <w:p>
            <w:pPr>
              <w:jc w:val="center"/>
              <w:ind w:left="1926"/>
              <w:spacing w:after="0" w:line="162" w:lineRule="exact"/>
              <w:rPr>
                <w:sz w:val="20"/>
                <w:szCs w:val="20"/>
                <w:color w:val="auto"/>
              </w:rPr>
            </w:pPr>
            <w:r>
              <w:rPr>
                <w:rFonts w:ascii="Arial" w:cs="Arial" w:eastAsia="Arial" w:hAnsi="Arial"/>
                <w:sz w:val="15"/>
                <w:szCs w:val="15"/>
                <w:color w:val="auto"/>
                <w:w w:val="88"/>
              </w:rPr>
              <w:t>23.5</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8"/>
              </w:rPr>
              <w:t>25.5</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7"/>
              </w:rPr>
              <w:t>8.6%</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Fund transfer services</w:t>
            </w:r>
          </w:p>
        </w:tc>
        <w:tc>
          <w:tcPr>
            <w:tcW w:w="3700" w:type="dxa"/>
            <w:vAlign w:val="bottom"/>
          </w:tcPr>
          <w:p>
            <w:pPr>
              <w:jc w:val="center"/>
              <w:ind w:left="1926"/>
              <w:spacing w:after="0" w:line="162" w:lineRule="exact"/>
              <w:rPr>
                <w:sz w:val="20"/>
                <w:szCs w:val="20"/>
                <w:color w:val="auto"/>
              </w:rPr>
            </w:pPr>
            <w:r>
              <w:rPr>
                <w:rFonts w:ascii="Arial" w:cs="Arial" w:eastAsia="Arial" w:hAnsi="Arial"/>
                <w:sz w:val="15"/>
                <w:szCs w:val="15"/>
                <w:color w:val="auto"/>
                <w:w w:val="88"/>
              </w:rPr>
              <w:t>17.7</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8"/>
              </w:rPr>
              <w:t>20.1</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9"/>
              </w:rPr>
              <w:t>13.5%</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Collections fees</w:t>
            </w:r>
          </w:p>
        </w:tc>
        <w:tc>
          <w:tcPr>
            <w:tcW w:w="3700" w:type="dxa"/>
            <w:vAlign w:val="bottom"/>
          </w:tcPr>
          <w:p>
            <w:pPr>
              <w:jc w:val="center"/>
              <w:ind w:left="1926"/>
              <w:spacing w:after="0" w:line="162" w:lineRule="exact"/>
              <w:rPr>
                <w:sz w:val="20"/>
                <w:szCs w:val="20"/>
                <w:color w:val="auto"/>
              </w:rPr>
            </w:pPr>
            <w:r>
              <w:rPr>
                <w:rFonts w:ascii="Arial" w:cs="Arial" w:eastAsia="Arial" w:hAnsi="Arial"/>
                <w:sz w:val="15"/>
                <w:szCs w:val="15"/>
                <w:color w:val="auto"/>
                <w:w w:val="88"/>
              </w:rPr>
              <w:t>14.6</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8"/>
              </w:rPr>
              <w:t>15.5</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7"/>
              </w:rPr>
              <w:t>5.9%</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Billings and payments</w:t>
            </w:r>
          </w:p>
        </w:tc>
        <w:tc>
          <w:tcPr>
            <w:tcW w:w="3700" w:type="dxa"/>
            <w:vAlign w:val="bottom"/>
          </w:tcPr>
          <w:p>
            <w:pPr>
              <w:jc w:val="center"/>
              <w:ind w:left="1926"/>
              <w:spacing w:after="0" w:line="162" w:lineRule="exact"/>
              <w:rPr>
                <w:sz w:val="20"/>
                <w:szCs w:val="20"/>
                <w:color w:val="auto"/>
              </w:rPr>
            </w:pPr>
            <w:r>
              <w:rPr>
                <w:rFonts w:ascii="Arial" w:cs="Arial" w:eastAsia="Arial" w:hAnsi="Arial"/>
                <w:sz w:val="15"/>
                <w:szCs w:val="15"/>
                <w:color w:val="auto"/>
                <w:w w:val="88"/>
              </w:rPr>
              <w:t>15.3</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8"/>
              </w:rPr>
              <w:t>16.5</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7"/>
              </w:rPr>
              <w:t>7.8%</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Contingent and foreign trade</w:t>
            </w:r>
          </w:p>
        </w:tc>
        <w:tc>
          <w:tcPr>
            <w:tcW w:w="3700" w:type="dxa"/>
            <w:vAlign w:val="bottom"/>
          </w:tcPr>
          <w:p>
            <w:pPr>
              <w:jc w:val="center"/>
              <w:ind w:left="1906"/>
              <w:spacing w:after="0" w:line="162" w:lineRule="exact"/>
              <w:rPr>
                <w:sz w:val="20"/>
                <w:szCs w:val="20"/>
                <w:color w:val="auto"/>
              </w:rPr>
            </w:pPr>
            <w:r>
              <w:rPr>
                <w:rFonts w:ascii="Arial" w:cs="Arial" w:eastAsia="Arial" w:hAnsi="Arial"/>
                <w:sz w:val="15"/>
                <w:szCs w:val="15"/>
                <w:color w:val="auto"/>
                <w:w w:val="95"/>
              </w:rPr>
              <w:t>9.6</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6"/>
              </w:rPr>
              <w:t>9.8</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7"/>
              </w:rPr>
              <w:t>2.2%</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Contingent credits</w:t>
            </w:r>
          </w:p>
        </w:tc>
        <w:tc>
          <w:tcPr>
            <w:tcW w:w="3700" w:type="dxa"/>
            <w:vAlign w:val="bottom"/>
          </w:tcPr>
          <w:p>
            <w:pPr>
              <w:jc w:val="center"/>
              <w:ind w:left="1906"/>
              <w:spacing w:after="0" w:line="162" w:lineRule="exact"/>
              <w:rPr>
                <w:sz w:val="20"/>
                <w:szCs w:val="20"/>
                <w:color w:val="auto"/>
              </w:rPr>
            </w:pPr>
            <w:r>
              <w:rPr>
                <w:rFonts w:ascii="Arial" w:cs="Arial" w:eastAsia="Arial" w:hAnsi="Arial"/>
                <w:sz w:val="15"/>
                <w:szCs w:val="15"/>
                <w:color w:val="auto"/>
                <w:w w:val="95"/>
              </w:rPr>
              <w:t>8.4</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6"/>
              </w:rPr>
              <w:t>9.4</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9"/>
              </w:rPr>
              <w:t>11.9%</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Debit cards</w:t>
            </w:r>
          </w:p>
        </w:tc>
        <w:tc>
          <w:tcPr>
            <w:tcW w:w="3700" w:type="dxa"/>
            <w:vAlign w:val="bottom"/>
          </w:tcPr>
          <w:p>
            <w:pPr>
              <w:jc w:val="center"/>
              <w:ind w:left="1906"/>
              <w:spacing w:after="0" w:line="162" w:lineRule="exact"/>
              <w:rPr>
                <w:sz w:val="20"/>
                <w:szCs w:val="20"/>
                <w:color w:val="auto"/>
              </w:rPr>
            </w:pPr>
            <w:r>
              <w:rPr>
                <w:rFonts w:ascii="Arial" w:cs="Arial" w:eastAsia="Arial" w:hAnsi="Arial"/>
                <w:sz w:val="15"/>
                <w:szCs w:val="15"/>
                <w:color w:val="auto"/>
                <w:w w:val="95"/>
              </w:rPr>
              <w:t>7.0</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6"/>
              </w:rPr>
              <w:t>9.8</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9"/>
              </w:rPr>
              <w:t>40.3%</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Corporate Finance</w:t>
            </w:r>
          </w:p>
        </w:tc>
        <w:tc>
          <w:tcPr>
            <w:tcW w:w="3700" w:type="dxa"/>
            <w:vAlign w:val="bottom"/>
          </w:tcPr>
          <w:p>
            <w:pPr>
              <w:jc w:val="center"/>
              <w:ind w:left="1906"/>
              <w:spacing w:after="0" w:line="162" w:lineRule="exact"/>
              <w:rPr>
                <w:sz w:val="20"/>
                <w:szCs w:val="20"/>
                <w:color w:val="auto"/>
              </w:rPr>
            </w:pPr>
            <w:r>
              <w:rPr>
                <w:rFonts w:ascii="Arial" w:cs="Arial" w:eastAsia="Arial" w:hAnsi="Arial"/>
                <w:sz w:val="15"/>
                <w:szCs w:val="15"/>
                <w:color w:val="auto"/>
                <w:w w:val="95"/>
              </w:rPr>
              <w:t>7.7</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6"/>
              </w:rPr>
              <w:t>8.0</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7"/>
              </w:rPr>
              <w:t>4.2%</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Brokerage</w:t>
            </w:r>
          </w:p>
        </w:tc>
        <w:tc>
          <w:tcPr>
            <w:tcW w:w="3700" w:type="dxa"/>
            <w:vAlign w:val="bottom"/>
          </w:tcPr>
          <w:p>
            <w:pPr>
              <w:jc w:val="center"/>
              <w:ind w:left="1906"/>
              <w:spacing w:after="0" w:line="162" w:lineRule="exact"/>
              <w:rPr>
                <w:sz w:val="20"/>
                <w:szCs w:val="20"/>
                <w:color w:val="auto"/>
              </w:rPr>
            </w:pPr>
            <w:r>
              <w:rPr>
                <w:rFonts w:ascii="Arial" w:cs="Arial" w:eastAsia="Arial" w:hAnsi="Arial"/>
                <w:sz w:val="15"/>
                <w:szCs w:val="15"/>
                <w:color w:val="auto"/>
                <w:w w:val="95"/>
              </w:rPr>
              <w:t>9.1</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8"/>
              </w:rPr>
              <w:t>12.6</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9"/>
              </w:rPr>
              <w:t>38.9%</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Commercial loans</w:t>
            </w:r>
          </w:p>
        </w:tc>
        <w:tc>
          <w:tcPr>
            <w:tcW w:w="3700" w:type="dxa"/>
            <w:vAlign w:val="bottom"/>
          </w:tcPr>
          <w:p>
            <w:pPr>
              <w:jc w:val="center"/>
              <w:ind w:left="1906"/>
              <w:spacing w:after="0" w:line="162" w:lineRule="exact"/>
              <w:rPr>
                <w:sz w:val="20"/>
                <w:szCs w:val="20"/>
                <w:color w:val="auto"/>
              </w:rPr>
            </w:pPr>
            <w:r>
              <w:rPr>
                <w:rFonts w:ascii="Arial" w:cs="Arial" w:eastAsia="Arial" w:hAnsi="Arial"/>
                <w:sz w:val="15"/>
                <w:szCs w:val="15"/>
                <w:color w:val="auto"/>
                <w:w w:val="95"/>
              </w:rPr>
              <w:t>5.1</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6"/>
              </w:rPr>
              <w:t>7.4</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9"/>
              </w:rPr>
              <w:t>45.9%</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Insurance</w:t>
            </w:r>
          </w:p>
        </w:tc>
        <w:tc>
          <w:tcPr>
            <w:tcW w:w="3700" w:type="dxa"/>
            <w:vAlign w:val="bottom"/>
          </w:tcPr>
          <w:p>
            <w:pPr>
              <w:jc w:val="center"/>
              <w:ind w:left="1906"/>
              <w:spacing w:after="0" w:line="162" w:lineRule="exact"/>
              <w:rPr>
                <w:sz w:val="20"/>
                <w:szCs w:val="20"/>
                <w:color w:val="auto"/>
              </w:rPr>
            </w:pPr>
            <w:r>
              <w:rPr>
                <w:rFonts w:ascii="Arial" w:cs="Arial" w:eastAsia="Arial" w:hAnsi="Arial"/>
                <w:sz w:val="15"/>
                <w:szCs w:val="15"/>
                <w:color w:val="auto"/>
                <w:w w:val="95"/>
              </w:rPr>
              <w:t>5.1</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6"/>
              </w:rPr>
              <w:t>5.6</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7"/>
              </w:rPr>
              <w:t>9.0%</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Mortgage loans</w:t>
            </w:r>
          </w:p>
        </w:tc>
        <w:tc>
          <w:tcPr>
            <w:tcW w:w="3700" w:type="dxa"/>
            <w:vAlign w:val="bottom"/>
          </w:tcPr>
          <w:p>
            <w:pPr>
              <w:jc w:val="center"/>
              <w:ind w:left="1906"/>
              <w:spacing w:after="0" w:line="162" w:lineRule="exact"/>
              <w:rPr>
                <w:sz w:val="20"/>
                <w:szCs w:val="20"/>
                <w:color w:val="auto"/>
              </w:rPr>
            </w:pPr>
            <w:r>
              <w:rPr>
                <w:rFonts w:ascii="Arial" w:cs="Arial" w:eastAsia="Arial" w:hAnsi="Arial"/>
                <w:sz w:val="15"/>
                <w:szCs w:val="15"/>
                <w:color w:val="auto"/>
                <w:w w:val="95"/>
              </w:rPr>
              <w:t>2.3</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6"/>
              </w:rPr>
              <w:t>3.4</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9"/>
              </w:rPr>
              <w:t>49.3%</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Channels and services</w:t>
            </w:r>
          </w:p>
        </w:tc>
        <w:tc>
          <w:tcPr>
            <w:tcW w:w="3700" w:type="dxa"/>
            <w:vAlign w:val="bottom"/>
          </w:tcPr>
          <w:p>
            <w:pPr>
              <w:jc w:val="center"/>
              <w:ind w:left="1906"/>
              <w:spacing w:after="0" w:line="162" w:lineRule="exact"/>
              <w:rPr>
                <w:sz w:val="20"/>
                <w:szCs w:val="20"/>
                <w:color w:val="auto"/>
              </w:rPr>
            </w:pPr>
            <w:r>
              <w:rPr>
                <w:rFonts w:ascii="Arial" w:cs="Arial" w:eastAsia="Arial" w:hAnsi="Arial"/>
                <w:sz w:val="15"/>
                <w:szCs w:val="15"/>
                <w:color w:val="auto"/>
                <w:w w:val="95"/>
              </w:rPr>
              <w:t>1.9</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6"/>
              </w:rPr>
              <w:t>2.1</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7"/>
              </w:rPr>
              <w:t>9.0%</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Master account</w:t>
            </w:r>
          </w:p>
        </w:tc>
        <w:tc>
          <w:tcPr>
            <w:tcW w:w="3700" w:type="dxa"/>
            <w:vAlign w:val="bottom"/>
          </w:tcPr>
          <w:p>
            <w:pPr>
              <w:jc w:val="center"/>
              <w:ind w:left="1906"/>
              <w:spacing w:after="0" w:line="162" w:lineRule="exact"/>
              <w:rPr>
                <w:sz w:val="20"/>
                <w:szCs w:val="20"/>
                <w:color w:val="auto"/>
              </w:rPr>
            </w:pPr>
            <w:r>
              <w:rPr>
                <w:rFonts w:ascii="Arial" w:cs="Arial" w:eastAsia="Arial" w:hAnsi="Arial"/>
                <w:sz w:val="15"/>
                <w:szCs w:val="15"/>
                <w:color w:val="auto"/>
                <w:w w:val="95"/>
              </w:rPr>
              <w:t>1.7</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6"/>
              </w:rPr>
              <w:t>1.6</w:t>
            </w:r>
          </w:p>
        </w:tc>
        <w:tc>
          <w:tcPr>
            <w:tcW w:w="1640" w:type="dxa"/>
            <w:vAlign w:val="bottom"/>
          </w:tcPr>
          <w:p>
            <w:pPr>
              <w:jc w:val="center"/>
              <w:ind w:left="46"/>
              <w:spacing w:after="0" w:line="162" w:lineRule="exact"/>
              <w:rPr>
                <w:sz w:val="20"/>
                <w:szCs w:val="20"/>
                <w:color w:val="auto"/>
              </w:rPr>
            </w:pPr>
            <w:r>
              <w:rPr>
                <w:rFonts w:ascii="Arial" w:cs="Arial" w:eastAsia="Arial" w:hAnsi="Arial"/>
                <w:sz w:val="15"/>
                <w:szCs w:val="15"/>
                <w:color w:val="auto"/>
                <w:w w:val="91"/>
              </w:rPr>
              <w:t>-8.2%</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Personal loans</w:t>
            </w:r>
          </w:p>
        </w:tc>
        <w:tc>
          <w:tcPr>
            <w:tcW w:w="3700" w:type="dxa"/>
            <w:vAlign w:val="bottom"/>
          </w:tcPr>
          <w:p>
            <w:pPr>
              <w:jc w:val="center"/>
              <w:ind w:left="1906"/>
              <w:spacing w:after="0" w:line="162" w:lineRule="exact"/>
              <w:rPr>
                <w:sz w:val="20"/>
                <w:szCs w:val="20"/>
                <w:color w:val="auto"/>
              </w:rPr>
            </w:pPr>
            <w:r>
              <w:rPr>
                <w:rFonts w:ascii="Arial" w:cs="Arial" w:eastAsia="Arial" w:hAnsi="Arial"/>
                <w:sz w:val="15"/>
                <w:szCs w:val="15"/>
                <w:color w:val="auto"/>
                <w:w w:val="95"/>
              </w:rPr>
              <w:t>2.2</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6"/>
              </w:rPr>
              <w:t>1.3</w:t>
            </w:r>
          </w:p>
        </w:tc>
        <w:tc>
          <w:tcPr>
            <w:tcW w:w="1640" w:type="dxa"/>
            <w:vAlign w:val="bottom"/>
          </w:tcPr>
          <w:p>
            <w:pPr>
              <w:jc w:val="center"/>
              <w:ind w:left="46"/>
              <w:spacing w:after="0" w:line="162" w:lineRule="exact"/>
              <w:rPr>
                <w:sz w:val="20"/>
                <w:szCs w:val="20"/>
                <w:color w:val="auto"/>
              </w:rPr>
            </w:pPr>
            <w:r>
              <w:rPr>
                <w:rFonts w:ascii="Arial" w:cs="Arial" w:eastAsia="Arial" w:hAnsi="Arial"/>
                <w:sz w:val="15"/>
                <w:szCs w:val="15"/>
                <w:color w:val="auto"/>
                <w:w w:val="92"/>
              </w:rPr>
              <w:t>-42.6%</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Micro-business credit</w:t>
            </w:r>
          </w:p>
        </w:tc>
        <w:tc>
          <w:tcPr>
            <w:tcW w:w="3700" w:type="dxa"/>
            <w:vAlign w:val="bottom"/>
          </w:tcPr>
          <w:p>
            <w:pPr>
              <w:jc w:val="center"/>
              <w:ind w:left="1906"/>
              <w:spacing w:after="0" w:line="162" w:lineRule="exact"/>
              <w:rPr>
                <w:sz w:val="20"/>
                <w:szCs w:val="20"/>
                <w:color w:val="auto"/>
              </w:rPr>
            </w:pPr>
            <w:r>
              <w:rPr>
                <w:rFonts w:ascii="Arial" w:cs="Arial" w:eastAsia="Arial" w:hAnsi="Arial"/>
                <w:sz w:val="15"/>
                <w:szCs w:val="15"/>
                <w:color w:val="auto"/>
                <w:w w:val="95"/>
              </w:rPr>
              <w:t>2.1</w:t>
            </w:r>
          </w:p>
        </w:tc>
        <w:tc>
          <w:tcPr>
            <w:tcW w:w="1680" w:type="dxa"/>
            <w:vAlign w:val="bottom"/>
          </w:tcPr>
          <w:p>
            <w:pPr>
              <w:jc w:val="center"/>
              <w:spacing w:after="0" w:line="162" w:lineRule="exact"/>
              <w:rPr>
                <w:sz w:val="20"/>
                <w:szCs w:val="20"/>
                <w:color w:val="auto"/>
              </w:rPr>
            </w:pPr>
            <w:r>
              <w:rPr>
                <w:rFonts w:ascii="Arial" w:cs="Arial" w:eastAsia="Arial" w:hAnsi="Arial"/>
                <w:sz w:val="15"/>
                <w:szCs w:val="15"/>
                <w:color w:val="auto"/>
                <w:w w:val="86"/>
              </w:rPr>
              <w:t>2.5</w:t>
            </w:r>
          </w:p>
        </w:tc>
        <w:tc>
          <w:tcPr>
            <w:tcW w:w="1640" w:type="dxa"/>
            <w:vAlign w:val="bottom"/>
          </w:tcPr>
          <w:p>
            <w:pPr>
              <w:jc w:val="center"/>
              <w:ind w:left="66"/>
              <w:spacing w:after="0" w:line="162" w:lineRule="exact"/>
              <w:rPr>
                <w:sz w:val="20"/>
                <w:szCs w:val="20"/>
                <w:color w:val="auto"/>
              </w:rPr>
            </w:pPr>
            <w:r>
              <w:rPr>
                <w:rFonts w:ascii="Arial" w:cs="Arial" w:eastAsia="Arial" w:hAnsi="Arial"/>
                <w:sz w:val="15"/>
                <w:szCs w:val="15"/>
                <w:color w:val="auto"/>
                <w:w w:val="89"/>
              </w:rPr>
              <w:t>17.9%</w:t>
            </w:r>
          </w:p>
        </w:tc>
      </w:tr>
      <w:tr>
        <w:trPr>
          <w:trHeight w:val="158"/>
        </w:trPr>
        <w:tc>
          <w:tcPr>
            <w:tcW w:w="4400" w:type="dxa"/>
            <w:vAlign w:val="bottom"/>
          </w:tcPr>
          <w:p>
            <w:pPr>
              <w:spacing w:after="0" w:line="158" w:lineRule="exact"/>
              <w:rPr>
                <w:sz w:val="20"/>
                <w:szCs w:val="20"/>
                <w:color w:val="auto"/>
              </w:rPr>
            </w:pPr>
            <w:r>
              <w:rPr>
                <w:rFonts w:ascii="Arial" w:cs="Arial" w:eastAsia="Arial" w:hAnsi="Arial"/>
                <w:sz w:val="15"/>
                <w:szCs w:val="15"/>
                <w:color w:val="auto"/>
              </w:rPr>
              <w:t>Other</w:t>
            </w:r>
          </w:p>
        </w:tc>
        <w:tc>
          <w:tcPr>
            <w:tcW w:w="3700" w:type="dxa"/>
            <w:vAlign w:val="bottom"/>
          </w:tcPr>
          <w:p>
            <w:pPr>
              <w:jc w:val="center"/>
              <w:ind w:left="1906"/>
              <w:spacing w:after="0" w:line="158" w:lineRule="exact"/>
              <w:rPr>
                <w:sz w:val="20"/>
                <w:szCs w:val="20"/>
                <w:color w:val="auto"/>
              </w:rPr>
            </w:pPr>
            <w:r>
              <w:rPr>
                <w:rFonts w:ascii="Arial" w:cs="Arial" w:eastAsia="Arial" w:hAnsi="Arial"/>
                <w:sz w:val="15"/>
                <w:szCs w:val="15"/>
                <w:color w:val="auto"/>
                <w:w w:val="95"/>
              </w:rPr>
              <w:t>7.1</w:t>
            </w:r>
          </w:p>
        </w:tc>
        <w:tc>
          <w:tcPr>
            <w:tcW w:w="1680" w:type="dxa"/>
            <w:vAlign w:val="bottom"/>
          </w:tcPr>
          <w:p>
            <w:pPr>
              <w:jc w:val="center"/>
              <w:spacing w:after="0" w:line="158" w:lineRule="exact"/>
              <w:rPr>
                <w:sz w:val="20"/>
                <w:szCs w:val="20"/>
                <w:color w:val="auto"/>
              </w:rPr>
            </w:pPr>
            <w:r>
              <w:rPr>
                <w:rFonts w:ascii="Arial" w:cs="Arial" w:eastAsia="Arial" w:hAnsi="Arial"/>
                <w:sz w:val="15"/>
                <w:szCs w:val="15"/>
                <w:color w:val="auto"/>
                <w:w w:val="86"/>
              </w:rPr>
              <w:t>8.8</w:t>
            </w:r>
          </w:p>
        </w:tc>
        <w:tc>
          <w:tcPr>
            <w:tcW w:w="1640" w:type="dxa"/>
            <w:vAlign w:val="bottom"/>
          </w:tcPr>
          <w:p>
            <w:pPr>
              <w:jc w:val="center"/>
              <w:ind w:left="66"/>
              <w:spacing w:after="0" w:line="158" w:lineRule="exact"/>
              <w:rPr>
                <w:sz w:val="20"/>
                <w:szCs w:val="20"/>
                <w:color w:val="auto"/>
              </w:rPr>
            </w:pPr>
            <w:r>
              <w:rPr>
                <w:rFonts w:ascii="Arial" w:cs="Arial" w:eastAsia="Arial" w:hAnsi="Arial"/>
                <w:sz w:val="15"/>
                <w:szCs w:val="15"/>
                <w:color w:val="auto"/>
                <w:w w:val="89"/>
              </w:rPr>
              <w:t>24.1%</w:t>
            </w:r>
          </w:p>
        </w:tc>
      </w:tr>
      <w:tr>
        <w:trPr>
          <w:trHeight w:val="175"/>
        </w:trPr>
        <w:tc>
          <w:tcPr>
            <w:tcW w:w="440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Total</w:t>
            </w:r>
          </w:p>
        </w:tc>
        <w:tc>
          <w:tcPr>
            <w:tcW w:w="3700" w:type="dxa"/>
            <w:vAlign w:val="bottom"/>
            <w:tcBorders>
              <w:bottom w:val="single" w:sz="8" w:color="auto"/>
            </w:tcBorders>
          </w:tcPr>
          <w:p>
            <w:pPr>
              <w:jc w:val="center"/>
              <w:ind w:left="1906"/>
              <w:spacing w:after="0"/>
              <w:rPr>
                <w:sz w:val="20"/>
                <w:szCs w:val="20"/>
                <w:color w:val="auto"/>
              </w:rPr>
            </w:pPr>
            <w:r>
              <w:rPr>
                <w:rFonts w:ascii="Arial" w:cs="Arial" w:eastAsia="Arial" w:hAnsi="Arial"/>
                <w:sz w:val="15"/>
                <w:szCs w:val="15"/>
                <w:b w:val="1"/>
                <w:bCs w:val="1"/>
                <w:color w:val="auto"/>
                <w:w w:val="85"/>
              </w:rPr>
              <w:t>189.5</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210.7</w:t>
            </w:r>
          </w:p>
        </w:tc>
        <w:tc>
          <w:tcPr>
            <w:tcW w:w="1640" w:type="dxa"/>
            <w:vAlign w:val="bottom"/>
            <w:tcBorders>
              <w:bottom w:val="single" w:sz="8" w:color="auto"/>
            </w:tcBorders>
          </w:tcPr>
          <w:p>
            <w:pPr>
              <w:jc w:val="center"/>
              <w:ind w:left="46"/>
              <w:spacing w:after="0"/>
              <w:rPr>
                <w:sz w:val="20"/>
                <w:szCs w:val="20"/>
                <w:color w:val="auto"/>
              </w:rPr>
            </w:pPr>
            <w:r>
              <w:rPr>
                <w:rFonts w:ascii="Arial" w:cs="Arial" w:eastAsia="Arial" w:hAnsi="Arial"/>
                <w:sz w:val="15"/>
                <w:szCs w:val="15"/>
                <w:b w:val="1"/>
                <w:bCs w:val="1"/>
                <w:color w:val="auto"/>
                <w:w w:val="93"/>
              </w:rPr>
              <w:t>11.2%</w:t>
            </w:r>
          </w:p>
        </w:tc>
      </w:tr>
    </w:tbl>
    <w:p>
      <w:pPr>
        <w:spacing w:after="0" w:line="200" w:lineRule="exact"/>
        <w:rPr>
          <w:sz w:val="20"/>
          <w:szCs w:val="20"/>
          <w:color w:val="auto"/>
        </w:rPr>
      </w:pPr>
    </w:p>
    <w:p>
      <w:pPr>
        <w:spacing w:after="0" w:line="251" w:lineRule="exact"/>
        <w:rPr>
          <w:sz w:val="20"/>
          <w:szCs w:val="20"/>
          <w:color w:val="auto"/>
        </w:rPr>
      </w:pPr>
    </w:p>
    <w:p>
      <w:pPr>
        <w:ind w:right="40"/>
        <w:spacing w:after="0"/>
        <w:rPr>
          <w:sz w:val="20"/>
          <w:szCs w:val="20"/>
          <w:color w:val="auto"/>
        </w:rPr>
      </w:pPr>
      <w:r>
        <w:rPr>
          <w:rFonts w:ascii="Arial" w:cs="Arial" w:eastAsia="Arial" w:hAnsi="Arial"/>
          <w:sz w:val="22"/>
          <w:szCs w:val="22"/>
          <w:color w:val="auto"/>
        </w:rPr>
        <w:t>During 2005, securities transactions resulted in a gain of US$ 6.1 million, compared with the gain of US$ 2.4 million for 2004. The benefits due to the better quotations continue during the present exercise. The Lima Stock Exchange General Index grew 29.4% during 2005, compared with the increase of 52.4% during 2004.</w:t>
      </w:r>
    </w:p>
    <w:p>
      <w:pPr>
        <w:spacing w:after="0" w:line="180" w:lineRule="exact"/>
        <w:rPr>
          <w:sz w:val="20"/>
          <w:szCs w:val="20"/>
          <w:color w:val="auto"/>
        </w:rPr>
      </w:pPr>
    </w:p>
    <w:p>
      <w:pPr>
        <w:ind w:right="160"/>
        <w:spacing w:after="0" w:line="243" w:lineRule="auto"/>
        <w:rPr>
          <w:sz w:val="20"/>
          <w:szCs w:val="20"/>
          <w:color w:val="auto"/>
        </w:rPr>
      </w:pPr>
      <w:r>
        <w:rPr>
          <w:rFonts w:ascii="Arial" w:cs="Arial" w:eastAsia="Arial" w:hAnsi="Arial"/>
          <w:sz w:val="22"/>
          <w:szCs w:val="22"/>
          <w:b w:val="1"/>
          <w:bCs w:val="1"/>
          <w:color w:val="auto"/>
        </w:rPr>
        <w:t>The net gain in exchange operations</w:t>
      </w:r>
      <w:r>
        <w:rPr>
          <w:rFonts w:ascii="Arial" w:cs="Arial" w:eastAsia="Arial" w:hAnsi="Arial"/>
          <w:sz w:val="22"/>
          <w:szCs w:val="22"/>
          <w:color w:val="auto"/>
        </w:rPr>
        <w:t>, which are the result of the foreign exchange buy-sell margin, were US$ 30.1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present year, 27% higher than revenue in the previous year, mainly due to increased transactions volume in the quarter, given the exchange volatility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ind w:right="40"/>
        <w:spacing w:after="0" w:line="251" w:lineRule="auto"/>
        <w:rPr>
          <w:sz w:val="20"/>
          <w:szCs w:val="20"/>
          <w:color w:val="auto"/>
        </w:rPr>
      </w:pPr>
      <w:r>
        <w:rPr>
          <w:rFonts w:ascii="Arial" w:cs="Arial" w:eastAsia="Arial" w:hAnsi="Arial"/>
          <w:sz w:val="22"/>
          <w:szCs w:val="22"/>
          <w:color w:val="auto"/>
        </w:rPr>
        <w:t>generated by the political environment, as well as a preference for the banking system versus the parallel market, and an increase in buy-sell margins.</w:t>
      </w:r>
    </w:p>
    <w:p>
      <w:pPr>
        <w:spacing w:after="0" w:line="168" w:lineRule="exact"/>
        <w:rPr>
          <w:sz w:val="20"/>
          <w:szCs w:val="20"/>
          <w:color w:val="auto"/>
        </w:rPr>
      </w:pPr>
    </w:p>
    <w:p>
      <w:pPr>
        <w:ind w:right="60"/>
        <w:spacing w:after="0" w:line="243" w:lineRule="auto"/>
        <w:rPr>
          <w:sz w:val="20"/>
          <w:szCs w:val="20"/>
          <w:color w:val="auto"/>
        </w:rPr>
      </w:pPr>
      <w:r>
        <w:rPr>
          <w:rFonts w:ascii="Arial" w:cs="Arial" w:eastAsia="Arial" w:hAnsi="Arial"/>
          <w:sz w:val="22"/>
          <w:szCs w:val="22"/>
          <w:color w:val="auto"/>
        </w:rPr>
        <w:t xml:space="preserve">In the </w:t>
      </w:r>
      <w:r>
        <w:rPr>
          <w:rFonts w:ascii="Arial" w:cs="Arial" w:eastAsia="Arial" w:hAnsi="Arial"/>
          <w:sz w:val="22"/>
          <w:szCs w:val="22"/>
          <w:b w:val="1"/>
          <w:bCs w:val="1"/>
          <w:color w:val="auto"/>
        </w:rPr>
        <w:t>Other Income</w:t>
      </w:r>
      <w:r>
        <w:rPr>
          <w:rFonts w:ascii="Arial" w:cs="Arial" w:eastAsia="Arial" w:hAnsi="Arial"/>
          <w:sz w:val="22"/>
          <w:szCs w:val="22"/>
          <w:color w:val="auto"/>
        </w:rPr>
        <w:t xml:space="preserve"> line, which mainly register income from the sale of foreclosed assets, rental income and reversals of previous period provisions, rose from a US$ 3.7 million as a result of reversals in the fourth quarter of 2004, to US$ 12.6 million in the fourth quarter of 2005.</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II.4 OTHER NON-INTEREST EXPENSE</w:t>
      </w:r>
    </w:p>
    <w:p>
      <w:pPr>
        <w:spacing w:after="0" w:line="212"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u w:val="single" w:color="auto"/>
          <w:color w:val="auto"/>
        </w:rPr>
        <w:t>Note:</w:t>
      </w:r>
      <w:r>
        <w:rPr>
          <w:rFonts w:ascii="Arial" w:cs="Arial" w:eastAsia="Arial" w:hAnsi="Arial"/>
          <w:sz w:val="19"/>
          <w:szCs w:val="19"/>
          <w:color w:val="auto"/>
        </w:rPr>
        <w:t xml:space="preserve"> For comparison purposes, in prior periods, expense for </w:t>
      </w:r>
      <w:r>
        <w:rPr>
          <w:rFonts w:ascii="Arial" w:cs="Arial" w:eastAsia="Arial" w:hAnsi="Arial"/>
          <w:sz w:val="19"/>
          <w:szCs w:val="19"/>
          <w:i w:val="1"/>
          <w:iCs w:val="1"/>
          <w:u w:val="single" w:color="auto"/>
          <w:color w:val="auto"/>
        </w:rPr>
        <w:t>Legal employee profit sharing,</w:t>
      </w:r>
      <w:r>
        <w:rPr>
          <w:rFonts w:ascii="Arial" w:cs="Arial" w:eastAsia="Arial" w:hAnsi="Arial"/>
          <w:sz w:val="19"/>
          <w:szCs w:val="19"/>
          <w:color w:val="auto"/>
        </w:rPr>
        <w:t xml:space="preserve"> which was previously reported within the </w:t>
      </w:r>
      <w:r>
        <w:rPr>
          <w:rFonts w:ascii="Arial" w:cs="Arial" w:eastAsia="Arial" w:hAnsi="Arial"/>
          <w:sz w:val="19"/>
          <w:szCs w:val="19"/>
          <w:i w:val="1"/>
          <w:iCs w:val="1"/>
          <w:u w:val="single" w:color="auto"/>
          <w:color w:val="auto"/>
        </w:rPr>
        <w:t>Salaries and employee benefits</w:t>
      </w:r>
      <w:r>
        <w:rPr>
          <w:rFonts w:ascii="Arial" w:cs="Arial" w:eastAsia="Arial" w:hAnsi="Arial"/>
          <w:sz w:val="19"/>
          <w:szCs w:val="19"/>
          <w:color w:val="auto"/>
        </w:rPr>
        <w:t xml:space="preserve"> concept, has been reclassified into a separate line item, with no effect on net income.</w:t>
      </w:r>
    </w:p>
    <w:p>
      <w:pPr>
        <w:spacing w:after="0" w:line="105"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The trend in non-interest expense reflects the strict internal cost controls implemented this year, allowing growth obtained in the banking business without increases in total operating expenses. The non-interest expense for 2005 was US$ 369.7 millions, 1.2% greater than that of the previous year.</w:t>
      </w:r>
    </w:p>
    <w:p>
      <w:pPr>
        <w:spacing w:after="0" w:line="186"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During 2005, approximately 43.6% of non-interest expenses was attributable to employee salaries and other expenses related to personnel, which increased 10.0% compared with the previous year. As of December 31, 2005 the number of working position stood at 7,596, an increase from the 7,494 employees reached in September 2005, but decreased with respect to the 7,694 working position in December 2004.</w:t>
      </w:r>
    </w:p>
    <w:p>
      <w:pPr>
        <w:spacing w:after="0" w:line="185"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Although personnel expenses rose, General and Administrative expenses, which represented 31.3% of 2005 non-interest expenses, decrease 2.5% compared with expenses reported the previous year. In 2005, lower expenses occurred mainly in systems and maintenance, office supply and operating costs and communications, compensating, in part, the increase in third party fees. The following table shows the most significant general and administrative expense headings: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(In US$ millions)</w:t>
            </w:r>
          </w:p>
        </w:tc>
        <w:tc>
          <w:tcPr>
            <w:tcW w:w="3480" w:type="dxa"/>
            <w:vAlign w:val="bottom"/>
            <w:tcBorders>
              <w:top w:val="single" w:sz="8" w:color="auto"/>
              <w:bottom w:val="single" w:sz="8" w:color="auto"/>
            </w:tcBorders>
          </w:tcPr>
          <w:p>
            <w:pPr>
              <w:jc w:val="center"/>
              <w:ind w:left="1706"/>
              <w:spacing w:after="0"/>
              <w:rPr>
                <w:sz w:val="20"/>
                <w:szCs w:val="20"/>
                <w:color w:val="auto"/>
              </w:rPr>
            </w:pPr>
            <w:r>
              <w:rPr>
                <w:rFonts w:ascii="Arial" w:cs="Arial" w:eastAsia="Arial" w:hAnsi="Arial"/>
                <w:sz w:val="15"/>
                <w:szCs w:val="15"/>
                <w:b w:val="1"/>
                <w:bCs w:val="1"/>
                <w:color w:val="auto"/>
                <w:w w:val="89"/>
              </w:rPr>
              <w:t>2004</w:t>
            </w: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2005</w:t>
            </w:r>
          </w:p>
        </w:tc>
        <w:tc>
          <w:tcPr>
            <w:tcW w:w="16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5"/>
                <w:szCs w:val="15"/>
                <w:b w:val="1"/>
                <w:bCs w:val="1"/>
                <w:color w:val="auto"/>
              </w:rPr>
              <w:t>Var.</w:t>
            </w:r>
          </w:p>
        </w:tc>
      </w:tr>
      <w:tr>
        <w:trPr>
          <w:trHeight w:val="160"/>
        </w:trPr>
        <w:tc>
          <w:tcPr>
            <w:tcW w:w="4620" w:type="dxa"/>
            <w:vAlign w:val="bottom"/>
          </w:tcPr>
          <w:p>
            <w:pPr>
              <w:spacing w:after="0" w:line="160" w:lineRule="exact"/>
              <w:rPr>
                <w:sz w:val="20"/>
                <w:szCs w:val="20"/>
                <w:color w:val="auto"/>
              </w:rPr>
            </w:pPr>
            <w:r>
              <w:rPr>
                <w:rFonts w:ascii="Arial" w:cs="Arial" w:eastAsia="Arial" w:hAnsi="Arial"/>
                <w:sz w:val="15"/>
                <w:szCs w:val="15"/>
                <w:color w:val="auto"/>
              </w:rPr>
              <w:t>Office supplies and operating costs</w:t>
            </w:r>
          </w:p>
        </w:tc>
        <w:tc>
          <w:tcPr>
            <w:tcW w:w="3480" w:type="dxa"/>
            <w:vAlign w:val="bottom"/>
          </w:tcPr>
          <w:p>
            <w:pPr>
              <w:jc w:val="center"/>
              <w:ind w:left="1706"/>
              <w:spacing w:after="0" w:line="160" w:lineRule="exact"/>
              <w:rPr>
                <w:sz w:val="20"/>
                <w:szCs w:val="20"/>
                <w:color w:val="auto"/>
              </w:rPr>
            </w:pPr>
            <w:r>
              <w:rPr>
                <w:rFonts w:ascii="Arial" w:cs="Arial" w:eastAsia="Arial" w:hAnsi="Arial"/>
                <w:sz w:val="15"/>
                <w:szCs w:val="15"/>
                <w:color w:val="auto"/>
                <w:w w:val="88"/>
              </w:rPr>
              <w:t>15.8</w:t>
            </w:r>
          </w:p>
        </w:tc>
        <w:tc>
          <w:tcPr>
            <w:tcW w:w="1660" w:type="dxa"/>
            <w:vAlign w:val="bottom"/>
          </w:tcPr>
          <w:p>
            <w:pPr>
              <w:jc w:val="center"/>
              <w:spacing w:after="0" w:line="160" w:lineRule="exact"/>
              <w:rPr>
                <w:sz w:val="20"/>
                <w:szCs w:val="20"/>
                <w:color w:val="auto"/>
              </w:rPr>
            </w:pPr>
            <w:r>
              <w:rPr>
                <w:rFonts w:ascii="Arial" w:cs="Arial" w:eastAsia="Arial" w:hAnsi="Arial"/>
                <w:sz w:val="15"/>
                <w:szCs w:val="15"/>
                <w:color w:val="auto"/>
                <w:w w:val="88"/>
              </w:rPr>
              <w:t>15.1</w:t>
            </w:r>
          </w:p>
        </w:tc>
        <w:tc>
          <w:tcPr>
            <w:tcW w:w="1660" w:type="dxa"/>
            <w:vAlign w:val="bottom"/>
          </w:tcPr>
          <w:p>
            <w:pPr>
              <w:jc w:val="center"/>
              <w:ind w:left="66"/>
              <w:spacing w:after="0" w:line="160" w:lineRule="exact"/>
              <w:rPr>
                <w:sz w:val="20"/>
                <w:szCs w:val="20"/>
                <w:color w:val="auto"/>
              </w:rPr>
            </w:pPr>
            <w:r>
              <w:rPr>
                <w:rFonts w:ascii="Arial" w:cs="Arial" w:eastAsia="Arial" w:hAnsi="Arial"/>
                <w:sz w:val="15"/>
                <w:szCs w:val="15"/>
                <w:color w:val="auto"/>
                <w:w w:val="92"/>
              </w:rPr>
              <w:t>-4.70%</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Communications</w:t>
            </w:r>
          </w:p>
        </w:tc>
        <w:tc>
          <w:tcPr>
            <w:tcW w:w="3480" w:type="dxa"/>
            <w:vAlign w:val="bottom"/>
          </w:tcPr>
          <w:p>
            <w:pPr>
              <w:jc w:val="center"/>
              <w:ind w:left="1686"/>
              <w:spacing w:after="0" w:line="162" w:lineRule="exact"/>
              <w:rPr>
                <w:sz w:val="20"/>
                <w:szCs w:val="20"/>
                <w:color w:val="auto"/>
              </w:rPr>
            </w:pPr>
            <w:r>
              <w:rPr>
                <w:rFonts w:ascii="Arial" w:cs="Arial" w:eastAsia="Arial" w:hAnsi="Arial"/>
                <w:sz w:val="15"/>
                <w:szCs w:val="15"/>
                <w:color w:val="auto"/>
                <w:w w:val="95"/>
              </w:rPr>
              <w:t>9.5</w:t>
            </w:r>
          </w:p>
        </w:tc>
        <w:tc>
          <w:tcPr>
            <w:tcW w:w="1660" w:type="dxa"/>
            <w:vAlign w:val="bottom"/>
          </w:tcPr>
          <w:p>
            <w:pPr>
              <w:jc w:val="center"/>
              <w:spacing w:after="0" w:line="162" w:lineRule="exact"/>
              <w:rPr>
                <w:sz w:val="20"/>
                <w:szCs w:val="20"/>
                <w:color w:val="auto"/>
              </w:rPr>
            </w:pPr>
            <w:r>
              <w:rPr>
                <w:rFonts w:ascii="Arial" w:cs="Arial" w:eastAsia="Arial" w:hAnsi="Arial"/>
                <w:sz w:val="15"/>
                <w:szCs w:val="15"/>
                <w:color w:val="auto"/>
                <w:w w:val="86"/>
              </w:rPr>
              <w:t>8.7</w:t>
            </w:r>
          </w:p>
        </w:tc>
        <w:tc>
          <w:tcPr>
            <w:tcW w:w="1660" w:type="dxa"/>
            <w:vAlign w:val="bottom"/>
          </w:tcPr>
          <w:p>
            <w:pPr>
              <w:jc w:val="center"/>
              <w:ind w:left="66"/>
              <w:spacing w:after="0" w:line="162" w:lineRule="exact"/>
              <w:rPr>
                <w:sz w:val="20"/>
                <w:szCs w:val="20"/>
                <w:color w:val="auto"/>
              </w:rPr>
            </w:pPr>
            <w:r>
              <w:rPr>
                <w:rFonts w:ascii="Arial" w:cs="Arial" w:eastAsia="Arial" w:hAnsi="Arial"/>
                <w:sz w:val="15"/>
                <w:szCs w:val="15"/>
                <w:color w:val="auto"/>
                <w:w w:val="92"/>
              </w:rPr>
              <w:t>-8.50%</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Third party fees</w:t>
            </w:r>
          </w:p>
        </w:tc>
        <w:tc>
          <w:tcPr>
            <w:tcW w:w="3480" w:type="dxa"/>
            <w:vAlign w:val="bottom"/>
          </w:tcPr>
          <w:p>
            <w:pPr>
              <w:jc w:val="center"/>
              <w:ind w:left="1706"/>
              <w:spacing w:after="0" w:line="162" w:lineRule="exact"/>
              <w:rPr>
                <w:sz w:val="20"/>
                <w:szCs w:val="20"/>
                <w:color w:val="auto"/>
              </w:rPr>
            </w:pPr>
            <w:r>
              <w:rPr>
                <w:rFonts w:ascii="Arial" w:cs="Arial" w:eastAsia="Arial" w:hAnsi="Arial"/>
                <w:sz w:val="15"/>
                <w:szCs w:val="15"/>
                <w:color w:val="auto"/>
                <w:w w:val="88"/>
              </w:rPr>
              <w:t>16.5</w:t>
            </w:r>
          </w:p>
        </w:tc>
        <w:tc>
          <w:tcPr>
            <w:tcW w:w="1660" w:type="dxa"/>
            <w:vAlign w:val="bottom"/>
          </w:tcPr>
          <w:p>
            <w:pPr>
              <w:jc w:val="center"/>
              <w:spacing w:after="0" w:line="162" w:lineRule="exact"/>
              <w:rPr>
                <w:sz w:val="20"/>
                <w:szCs w:val="20"/>
                <w:color w:val="auto"/>
              </w:rPr>
            </w:pPr>
            <w:r>
              <w:rPr>
                <w:rFonts w:ascii="Arial" w:cs="Arial" w:eastAsia="Arial" w:hAnsi="Arial"/>
                <w:sz w:val="15"/>
                <w:szCs w:val="15"/>
                <w:color w:val="auto"/>
                <w:w w:val="88"/>
              </w:rPr>
              <w:t>18.9</w:t>
            </w:r>
          </w:p>
        </w:tc>
        <w:tc>
          <w:tcPr>
            <w:tcW w:w="1660" w:type="dxa"/>
            <w:vAlign w:val="bottom"/>
          </w:tcPr>
          <w:p>
            <w:pPr>
              <w:jc w:val="center"/>
              <w:ind w:left="86"/>
              <w:spacing w:after="0" w:line="162" w:lineRule="exact"/>
              <w:rPr>
                <w:sz w:val="20"/>
                <w:szCs w:val="20"/>
                <w:color w:val="auto"/>
              </w:rPr>
            </w:pPr>
            <w:r>
              <w:rPr>
                <w:rFonts w:ascii="Arial" w:cs="Arial" w:eastAsia="Arial" w:hAnsi="Arial"/>
                <w:sz w:val="15"/>
                <w:szCs w:val="15"/>
                <w:color w:val="auto"/>
                <w:w w:val="90"/>
              </w:rPr>
              <w:t>14.30%</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Insurance and security</w:t>
            </w:r>
          </w:p>
        </w:tc>
        <w:tc>
          <w:tcPr>
            <w:tcW w:w="3480" w:type="dxa"/>
            <w:vAlign w:val="bottom"/>
          </w:tcPr>
          <w:p>
            <w:pPr>
              <w:jc w:val="center"/>
              <w:ind w:left="1686"/>
              <w:spacing w:after="0" w:line="162" w:lineRule="exact"/>
              <w:rPr>
                <w:sz w:val="20"/>
                <w:szCs w:val="20"/>
                <w:color w:val="auto"/>
              </w:rPr>
            </w:pPr>
            <w:r>
              <w:rPr>
                <w:rFonts w:ascii="Arial" w:cs="Arial" w:eastAsia="Arial" w:hAnsi="Arial"/>
                <w:sz w:val="15"/>
                <w:szCs w:val="15"/>
                <w:color w:val="auto"/>
                <w:w w:val="95"/>
              </w:rPr>
              <w:t>8</w:t>
            </w:r>
          </w:p>
        </w:tc>
        <w:tc>
          <w:tcPr>
            <w:tcW w:w="1660" w:type="dxa"/>
            <w:vAlign w:val="bottom"/>
          </w:tcPr>
          <w:p>
            <w:pPr>
              <w:jc w:val="center"/>
              <w:spacing w:after="0" w:line="162" w:lineRule="exact"/>
              <w:rPr>
                <w:sz w:val="20"/>
                <w:szCs w:val="20"/>
                <w:color w:val="auto"/>
              </w:rPr>
            </w:pPr>
            <w:r>
              <w:rPr>
                <w:rFonts w:ascii="Arial" w:cs="Arial" w:eastAsia="Arial" w:hAnsi="Arial"/>
                <w:sz w:val="15"/>
                <w:szCs w:val="15"/>
                <w:color w:val="auto"/>
                <w:w w:val="95"/>
              </w:rPr>
              <w:t>8</w:t>
            </w:r>
          </w:p>
        </w:tc>
        <w:tc>
          <w:tcPr>
            <w:tcW w:w="1660" w:type="dxa"/>
            <w:vAlign w:val="bottom"/>
          </w:tcPr>
          <w:p>
            <w:pPr>
              <w:jc w:val="center"/>
              <w:ind w:left="86"/>
              <w:spacing w:after="0" w:line="162" w:lineRule="exact"/>
              <w:rPr>
                <w:sz w:val="20"/>
                <w:szCs w:val="20"/>
                <w:color w:val="auto"/>
              </w:rPr>
            </w:pPr>
            <w:r>
              <w:rPr>
                <w:rFonts w:ascii="Arial" w:cs="Arial" w:eastAsia="Arial" w:hAnsi="Arial"/>
                <w:sz w:val="15"/>
                <w:szCs w:val="15"/>
                <w:color w:val="auto"/>
                <w:w w:val="89"/>
              </w:rPr>
              <w:t>1.00%</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Transport of currency and securities</w:t>
            </w:r>
          </w:p>
        </w:tc>
        <w:tc>
          <w:tcPr>
            <w:tcW w:w="3480" w:type="dxa"/>
            <w:vAlign w:val="bottom"/>
          </w:tcPr>
          <w:p>
            <w:pPr>
              <w:jc w:val="center"/>
              <w:ind w:left="1706"/>
              <w:spacing w:after="0" w:line="162" w:lineRule="exact"/>
              <w:rPr>
                <w:sz w:val="20"/>
                <w:szCs w:val="20"/>
                <w:color w:val="auto"/>
              </w:rPr>
            </w:pPr>
            <w:r>
              <w:rPr>
                <w:rFonts w:ascii="Arial" w:cs="Arial" w:eastAsia="Arial" w:hAnsi="Arial"/>
                <w:sz w:val="15"/>
                <w:szCs w:val="15"/>
                <w:color w:val="auto"/>
                <w:w w:val="88"/>
              </w:rPr>
              <w:t>14.6</w:t>
            </w:r>
          </w:p>
        </w:tc>
        <w:tc>
          <w:tcPr>
            <w:tcW w:w="1660" w:type="dxa"/>
            <w:vAlign w:val="bottom"/>
          </w:tcPr>
          <w:p>
            <w:pPr>
              <w:jc w:val="center"/>
              <w:spacing w:after="0" w:line="162" w:lineRule="exact"/>
              <w:rPr>
                <w:sz w:val="20"/>
                <w:szCs w:val="20"/>
                <w:color w:val="auto"/>
              </w:rPr>
            </w:pPr>
            <w:r>
              <w:rPr>
                <w:rFonts w:ascii="Arial" w:cs="Arial" w:eastAsia="Arial" w:hAnsi="Arial"/>
                <w:sz w:val="15"/>
                <w:szCs w:val="15"/>
                <w:color w:val="auto"/>
                <w:w w:val="88"/>
              </w:rPr>
              <w:t>14.3</w:t>
            </w:r>
          </w:p>
        </w:tc>
        <w:tc>
          <w:tcPr>
            <w:tcW w:w="1660" w:type="dxa"/>
            <w:vAlign w:val="bottom"/>
          </w:tcPr>
          <w:p>
            <w:pPr>
              <w:jc w:val="center"/>
              <w:ind w:left="66"/>
              <w:spacing w:after="0" w:line="162" w:lineRule="exact"/>
              <w:rPr>
                <w:sz w:val="20"/>
                <w:szCs w:val="20"/>
                <w:color w:val="auto"/>
              </w:rPr>
            </w:pPr>
            <w:r>
              <w:rPr>
                <w:rFonts w:ascii="Arial" w:cs="Arial" w:eastAsia="Arial" w:hAnsi="Arial"/>
                <w:sz w:val="15"/>
                <w:szCs w:val="15"/>
                <w:color w:val="auto"/>
                <w:w w:val="92"/>
              </w:rPr>
              <w:t>-2.30%</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Systems and maintenance</w:t>
            </w:r>
          </w:p>
        </w:tc>
        <w:tc>
          <w:tcPr>
            <w:tcW w:w="3480" w:type="dxa"/>
            <w:vAlign w:val="bottom"/>
          </w:tcPr>
          <w:p>
            <w:pPr>
              <w:jc w:val="center"/>
              <w:ind w:left="1706"/>
              <w:spacing w:after="0" w:line="162" w:lineRule="exact"/>
              <w:rPr>
                <w:sz w:val="20"/>
                <w:szCs w:val="20"/>
                <w:color w:val="auto"/>
              </w:rPr>
            </w:pPr>
            <w:r>
              <w:rPr>
                <w:rFonts w:ascii="Arial" w:cs="Arial" w:eastAsia="Arial" w:hAnsi="Arial"/>
                <w:sz w:val="15"/>
                <w:szCs w:val="15"/>
                <w:color w:val="auto"/>
                <w:w w:val="88"/>
              </w:rPr>
              <w:t>25.7</w:t>
            </w:r>
          </w:p>
        </w:tc>
        <w:tc>
          <w:tcPr>
            <w:tcW w:w="1660" w:type="dxa"/>
            <w:vAlign w:val="bottom"/>
          </w:tcPr>
          <w:p>
            <w:pPr>
              <w:jc w:val="center"/>
              <w:spacing w:after="0" w:line="162" w:lineRule="exact"/>
              <w:rPr>
                <w:sz w:val="20"/>
                <w:szCs w:val="20"/>
                <w:color w:val="auto"/>
              </w:rPr>
            </w:pPr>
            <w:r>
              <w:rPr>
                <w:rFonts w:ascii="Arial" w:cs="Arial" w:eastAsia="Arial" w:hAnsi="Arial"/>
                <w:sz w:val="15"/>
                <w:szCs w:val="15"/>
                <w:color w:val="auto"/>
                <w:w w:val="88"/>
              </w:rPr>
              <w:t>22.2</w:t>
            </w:r>
          </w:p>
        </w:tc>
        <w:tc>
          <w:tcPr>
            <w:tcW w:w="1660" w:type="dxa"/>
            <w:vAlign w:val="bottom"/>
          </w:tcPr>
          <w:p>
            <w:pPr>
              <w:jc w:val="center"/>
              <w:ind w:left="86"/>
              <w:spacing w:after="0" w:line="162" w:lineRule="exact"/>
              <w:rPr>
                <w:sz w:val="20"/>
                <w:szCs w:val="20"/>
                <w:color w:val="auto"/>
              </w:rPr>
            </w:pPr>
            <w:r>
              <w:rPr>
                <w:rFonts w:ascii="Arial" w:cs="Arial" w:eastAsia="Arial" w:hAnsi="Arial"/>
                <w:sz w:val="15"/>
                <w:szCs w:val="15"/>
                <w:color w:val="auto"/>
                <w:w w:val="89"/>
              </w:rPr>
              <w:t>-13.70%</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Advertising and marketing</w:t>
            </w:r>
          </w:p>
        </w:tc>
        <w:tc>
          <w:tcPr>
            <w:tcW w:w="3480" w:type="dxa"/>
            <w:vAlign w:val="bottom"/>
          </w:tcPr>
          <w:p>
            <w:pPr>
              <w:jc w:val="center"/>
              <w:ind w:left="1706"/>
              <w:spacing w:after="0" w:line="162" w:lineRule="exact"/>
              <w:rPr>
                <w:sz w:val="20"/>
                <w:szCs w:val="20"/>
                <w:color w:val="auto"/>
              </w:rPr>
            </w:pPr>
            <w:r>
              <w:rPr>
                <w:rFonts w:ascii="Arial" w:cs="Arial" w:eastAsia="Arial" w:hAnsi="Arial"/>
                <w:sz w:val="15"/>
                <w:szCs w:val="15"/>
                <w:color w:val="auto"/>
                <w:w w:val="88"/>
              </w:rPr>
              <w:t>18.7</w:t>
            </w:r>
          </w:p>
        </w:tc>
        <w:tc>
          <w:tcPr>
            <w:tcW w:w="1660" w:type="dxa"/>
            <w:vAlign w:val="bottom"/>
          </w:tcPr>
          <w:p>
            <w:pPr>
              <w:jc w:val="center"/>
              <w:spacing w:after="0" w:line="162" w:lineRule="exact"/>
              <w:rPr>
                <w:sz w:val="20"/>
                <w:szCs w:val="20"/>
                <w:color w:val="auto"/>
              </w:rPr>
            </w:pPr>
            <w:r>
              <w:rPr>
                <w:rFonts w:ascii="Arial" w:cs="Arial" w:eastAsia="Arial" w:hAnsi="Arial"/>
                <w:sz w:val="15"/>
                <w:szCs w:val="15"/>
                <w:color w:val="auto"/>
                <w:w w:val="88"/>
              </w:rPr>
              <w:t>18.3</w:t>
            </w:r>
          </w:p>
        </w:tc>
        <w:tc>
          <w:tcPr>
            <w:tcW w:w="1660" w:type="dxa"/>
            <w:vAlign w:val="bottom"/>
          </w:tcPr>
          <w:p>
            <w:pPr>
              <w:jc w:val="center"/>
              <w:ind w:left="66"/>
              <w:spacing w:after="0" w:line="162" w:lineRule="exact"/>
              <w:rPr>
                <w:sz w:val="20"/>
                <w:szCs w:val="20"/>
                <w:color w:val="auto"/>
              </w:rPr>
            </w:pPr>
            <w:r>
              <w:rPr>
                <w:rFonts w:ascii="Arial" w:cs="Arial" w:eastAsia="Arial" w:hAnsi="Arial"/>
                <w:sz w:val="15"/>
                <w:szCs w:val="15"/>
                <w:color w:val="auto"/>
                <w:w w:val="92"/>
              </w:rPr>
              <w:t>-2.10%</w:t>
            </w:r>
          </w:p>
        </w:tc>
      </w:tr>
      <w:tr>
        <w:trPr>
          <w:trHeight w:val="158"/>
        </w:trPr>
        <w:tc>
          <w:tcPr>
            <w:tcW w:w="4620" w:type="dxa"/>
            <w:vAlign w:val="bottom"/>
          </w:tcPr>
          <w:p>
            <w:pPr>
              <w:spacing w:after="0" w:line="158" w:lineRule="exact"/>
              <w:rPr>
                <w:sz w:val="20"/>
                <w:szCs w:val="20"/>
                <w:color w:val="auto"/>
              </w:rPr>
            </w:pPr>
            <w:r>
              <w:rPr>
                <w:rFonts w:ascii="Arial" w:cs="Arial" w:eastAsia="Arial" w:hAnsi="Arial"/>
                <w:sz w:val="15"/>
                <w:szCs w:val="15"/>
                <w:color w:val="auto"/>
              </w:rPr>
              <w:t>Other G&amp;A</w:t>
            </w:r>
          </w:p>
        </w:tc>
        <w:tc>
          <w:tcPr>
            <w:tcW w:w="3480" w:type="dxa"/>
            <w:vAlign w:val="bottom"/>
          </w:tcPr>
          <w:p>
            <w:pPr>
              <w:jc w:val="center"/>
              <w:ind w:left="1686"/>
              <w:spacing w:after="0" w:line="158" w:lineRule="exact"/>
              <w:rPr>
                <w:sz w:val="20"/>
                <w:szCs w:val="20"/>
                <w:color w:val="auto"/>
              </w:rPr>
            </w:pPr>
            <w:r>
              <w:rPr>
                <w:rFonts w:ascii="Arial" w:cs="Arial" w:eastAsia="Arial" w:hAnsi="Arial"/>
                <w:sz w:val="15"/>
                <w:szCs w:val="15"/>
                <w:color w:val="auto"/>
                <w:w w:val="95"/>
              </w:rPr>
              <w:t>10</w:t>
            </w:r>
          </w:p>
        </w:tc>
        <w:tc>
          <w:tcPr>
            <w:tcW w:w="1660" w:type="dxa"/>
            <w:vAlign w:val="bottom"/>
          </w:tcPr>
          <w:p>
            <w:pPr>
              <w:jc w:val="center"/>
              <w:spacing w:after="0" w:line="158" w:lineRule="exact"/>
              <w:rPr>
                <w:sz w:val="20"/>
                <w:szCs w:val="20"/>
                <w:color w:val="auto"/>
              </w:rPr>
            </w:pPr>
            <w:r>
              <w:rPr>
                <w:rFonts w:ascii="Arial" w:cs="Arial" w:eastAsia="Arial" w:hAnsi="Arial"/>
                <w:sz w:val="15"/>
                <w:szCs w:val="15"/>
                <w:color w:val="auto"/>
                <w:w w:val="88"/>
              </w:rPr>
              <w:t>10.3</w:t>
            </w:r>
          </w:p>
        </w:tc>
        <w:tc>
          <w:tcPr>
            <w:tcW w:w="1660" w:type="dxa"/>
            <w:vAlign w:val="bottom"/>
          </w:tcPr>
          <w:p>
            <w:pPr>
              <w:jc w:val="center"/>
              <w:ind w:left="86"/>
              <w:spacing w:after="0" w:line="158" w:lineRule="exact"/>
              <w:rPr>
                <w:sz w:val="20"/>
                <w:szCs w:val="20"/>
                <w:color w:val="auto"/>
              </w:rPr>
            </w:pPr>
            <w:r>
              <w:rPr>
                <w:rFonts w:ascii="Arial" w:cs="Arial" w:eastAsia="Arial" w:hAnsi="Arial"/>
                <w:sz w:val="15"/>
                <w:szCs w:val="15"/>
                <w:color w:val="auto"/>
                <w:w w:val="89"/>
              </w:rPr>
              <w:t>3.40%</w:t>
            </w:r>
          </w:p>
        </w:tc>
      </w:tr>
      <w:tr>
        <w:trPr>
          <w:trHeight w:val="175"/>
        </w:trPr>
        <w:tc>
          <w:tcPr>
            <w:tcW w:w="462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Total G&amp;A</w:t>
            </w:r>
          </w:p>
        </w:tc>
        <w:tc>
          <w:tcPr>
            <w:tcW w:w="3480" w:type="dxa"/>
            <w:vAlign w:val="bottom"/>
            <w:tcBorders>
              <w:bottom w:val="single" w:sz="8" w:color="auto"/>
            </w:tcBorders>
          </w:tcPr>
          <w:p>
            <w:pPr>
              <w:jc w:val="center"/>
              <w:ind w:left="1686"/>
              <w:spacing w:after="0"/>
              <w:rPr>
                <w:sz w:val="20"/>
                <w:szCs w:val="20"/>
                <w:color w:val="auto"/>
              </w:rPr>
            </w:pPr>
            <w:r>
              <w:rPr>
                <w:rFonts w:ascii="Arial" w:cs="Arial" w:eastAsia="Arial" w:hAnsi="Arial"/>
                <w:sz w:val="15"/>
                <w:szCs w:val="15"/>
                <w:b w:val="1"/>
                <w:bCs w:val="1"/>
                <w:color w:val="auto"/>
                <w:w w:val="85"/>
              </w:rPr>
              <w:t>118.8</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115.8</w:t>
            </w:r>
          </w:p>
        </w:tc>
        <w:tc>
          <w:tcPr>
            <w:tcW w:w="1660" w:type="dxa"/>
            <w:vAlign w:val="bottom"/>
            <w:tcBorders>
              <w:bottom w:val="single" w:sz="8" w:color="auto"/>
            </w:tcBorders>
          </w:tcPr>
          <w:p>
            <w:pPr>
              <w:jc w:val="center"/>
              <w:ind w:left="86"/>
              <w:spacing w:after="0"/>
              <w:rPr>
                <w:sz w:val="20"/>
                <w:szCs w:val="20"/>
                <w:color w:val="auto"/>
              </w:rPr>
            </w:pPr>
            <w:r>
              <w:rPr>
                <w:rFonts w:ascii="Arial" w:cs="Arial" w:eastAsia="Arial" w:hAnsi="Arial"/>
                <w:sz w:val="15"/>
                <w:szCs w:val="15"/>
                <w:b w:val="1"/>
                <w:bCs w:val="1"/>
                <w:color w:val="auto"/>
                <w:w w:val="96"/>
              </w:rPr>
              <w:t>-2.50%</w:t>
            </w:r>
          </w:p>
        </w:tc>
      </w:tr>
    </w:tbl>
    <w:p>
      <w:pPr>
        <w:spacing w:after="0" w:line="200" w:lineRule="exact"/>
        <w:rPr>
          <w:sz w:val="20"/>
          <w:szCs w:val="20"/>
          <w:color w:val="auto"/>
        </w:rPr>
      </w:pPr>
    </w:p>
    <w:p>
      <w:pPr>
        <w:spacing w:after="0" w:line="251"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The Other Expense heading within Other Non-Interest Expenses, decreased 1% compared to 2004 results. During the 4Q05 this expense decreased mainly due to the reversal of provisions related to the price of Credicorp’s stock, based on which the stock appreciation rights awarded under the management incentive program are determined. Credicorp’s share price closed at US$ 22.79 in December 2005, having reached a high of US$ 28.57 in September of 2005.</w:t>
      </w:r>
    </w:p>
    <w:p>
      <w:pPr>
        <w:spacing w:after="0" w:line="174"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As a result of this trend, total expenses only rose 1.2% for the year 2005, from US$ 365 million to US$ 370 million. One positive result of these expense controls and the improved generation of income were the significant improvements in BCP’s efficiency ratios.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ind w:right="260"/>
        <w:spacing w:after="0" w:line="280" w:lineRule="auto"/>
        <w:rPr>
          <w:sz w:val="20"/>
          <w:szCs w:val="20"/>
          <w:color w:val="auto"/>
        </w:rPr>
      </w:pPr>
      <w:r>
        <w:rPr>
          <w:rFonts w:ascii="Arial" w:cs="Arial" w:eastAsia="Arial" w:hAnsi="Arial"/>
          <w:sz w:val="19"/>
          <w:szCs w:val="19"/>
          <w:u w:val="single" w:color="auto"/>
          <w:color w:val="auto"/>
        </w:rPr>
        <w:t>NOTE</w:t>
      </w:r>
      <w:r>
        <w:rPr>
          <w:rFonts w:ascii="Arial" w:cs="Arial" w:eastAsia="Arial" w:hAnsi="Arial"/>
          <w:sz w:val="19"/>
          <w:szCs w:val="19"/>
          <w:color w:val="auto"/>
        </w:rPr>
        <w:t xml:space="preserve"> :Starting with 2005 reports, the determination of the </w:t>
      </w:r>
      <w:r>
        <w:rPr>
          <w:rFonts w:ascii="Arial" w:cs="Arial" w:eastAsia="Arial" w:hAnsi="Arial"/>
          <w:sz w:val="19"/>
          <w:szCs w:val="19"/>
          <w:b w:val="1"/>
          <w:bCs w:val="1"/>
          <w:color w:val="auto"/>
        </w:rPr>
        <w:t>efficiency ratio</w:t>
      </w:r>
      <w:r>
        <w:rPr>
          <w:rFonts w:ascii="Arial" w:cs="Arial" w:eastAsia="Arial" w:hAnsi="Arial"/>
          <w:sz w:val="19"/>
          <w:szCs w:val="19"/>
          <w:color w:val="auto"/>
        </w:rPr>
        <w:t xml:space="preserve"> has been simplified by using only specific line items that are shown in the income statement (see Table No. 5). The efficiency ratio will be determined from the following concepts:</w:t>
      </w:r>
    </w:p>
    <w:p>
      <w:pPr>
        <w:spacing w:after="0" w:line="1" w:lineRule="exact"/>
        <w:rPr>
          <w:sz w:val="20"/>
          <w:szCs w:val="20"/>
          <w:color w:val="auto"/>
        </w:rPr>
      </w:pPr>
    </w:p>
    <w:p>
      <w:pPr>
        <w:ind w:right="880" w:firstLine="8"/>
        <w:spacing w:after="0" w:line="230" w:lineRule="auto"/>
        <w:tabs>
          <w:tab w:leader="none" w:pos="126" w:val="left"/>
        </w:tabs>
        <w:numPr>
          <w:ilvl w:val="0"/>
          <w:numId w:val="10"/>
        </w:numPr>
        <w:rPr>
          <w:rFonts w:ascii="Arial" w:cs="Arial" w:eastAsia="Arial" w:hAnsi="Arial"/>
          <w:sz w:val="22"/>
          <w:szCs w:val="22"/>
          <w:color w:val="auto"/>
        </w:rPr>
      </w:pPr>
      <w:r>
        <w:rPr>
          <w:rFonts w:ascii="Arial" w:cs="Arial" w:eastAsia="Arial" w:hAnsi="Arial"/>
          <w:sz w:val="22"/>
          <w:szCs w:val="22"/>
          <w:color w:val="auto"/>
        </w:rPr>
        <w:t>- In the numerator or “operating expenses”: i) salaries and personnel expenses, ii) general expenses, iii) depreciation and amortization, and iv) taxes other than income taxes.</w:t>
      </w:r>
    </w:p>
    <w:p>
      <w:pPr>
        <w:spacing w:after="0" w:line="1" w:lineRule="exact"/>
        <w:rPr>
          <w:rFonts w:ascii="Arial" w:cs="Arial" w:eastAsia="Arial" w:hAnsi="Arial"/>
          <w:sz w:val="22"/>
          <w:szCs w:val="22"/>
          <w:color w:val="auto"/>
        </w:rPr>
      </w:pPr>
    </w:p>
    <w:p>
      <w:pPr>
        <w:ind w:right="500" w:firstLine="8"/>
        <w:spacing w:after="0" w:line="237" w:lineRule="auto"/>
        <w:tabs>
          <w:tab w:leader="none" w:pos="126" w:val="left"/>
        </w:tabs>
        <w:numPr>
          <w:ilvl w:val="0"/>
          <w:numId w:val="10"/>
        </w:numPr>
        <w:rPr>
          <w:rFonts w:ascii="Arial" w:cs="Arial" w:eastAsia="Arial" w:hAnsi="Arial"/>
          <w:sz w:val="22"/>
          <w:szCs w:val="22"/>
          <w:color w:val="auto"/>
        </w:rPr>
      </w:pPr>
      <w:r>
        <w:rPr>
          <w:rFonts w:ascii="Arial" w:cs="Arial" w:eastAsia="Arial" w:hAnsi="Arial"/>
          <w:sz w:val="22"/>
          <w:szCs w:val="22"/>
          <w:color w:val="auto"/>
        </w:rPr>
        <w:t>- In the denominator: i) net interest income, ii) fees and commissions on banking services, and iii) gains on foreign exchange transactions.</w:t>
      </w:r>
    </w:p>
    <w:p>
      <w:pPr>
        <w:spacing w:after="0" w:line="179" w:lineRule="exact"/>
        <w:rPr>
          <w:sz w:val="20"/>
          <w:szCs w:val="20"/>
          <w:color w:val="auto"/>
        </w:rPr>
      </w:pPr>
    </w:p>
    <w:p>
      <w:pPr>
        <w:spacing w:after="0" w:line="280" w:lineRule="auto"/>
        <w:rPr>
          <w:sz w:val="20"/>
          <w:szCs w:val="20"/>
          <w:color w:val="auto"/>
        </w:rPr>
      </w:pPr>
      <w:r>
        <w:rPr>
          <w:rFonts w:ascii="Arial" w:cs="Arial" w:eastAsia="Arial" w:hAnsi="Arial"/>
          <w:sz w:val="21"/>
          <w:szCs w:val="21"/>
          <w:color w:val="auto"/>
        </w:rPr>
        <w:t xml:space="preserve">Thus </w:t>
      </w:r>
      <w:r>
        <w:rPr>
          <w:rFonts w:ascii="Arial" w:cs="Arial" w:eastAsia="Arial" w:hAnsi="Arial"/>
          <w:sz w:val="21"/>
          <w:szCs w:val="21"/>
          <w:b w:val="1"/>
          <w:bCs w:val="1"/>
          <w:color w:val="auto"/>
        </w:rPr>
        <w:t>the efficiency ratio</w:t>
      </w:r>
      <w:r>
        <w:rPr>
          <w:rFonts w:ascii="Arial" w:cs="Arial" w:eastAsia="Arial" w:hAnsi="Arial"/>
          <w:sz w:val="21"/>
          <w:szCs w:val="21"/>
          <w:color w:val="auto"/>
        </w:rPr>
        <w:t xml:space="preserve"> improved from 59.9% to 51.9%, comparing 2004 and 2005, respectively, as also did the ratio of operating expenses as a percentage of average total assets, which declined from 4.56% in 2004 to 3.99% in 2005.</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ASSETS AND LIABILITIES</w:t>
      </w:r>
    </w:p>
    <w:p>
      <w:pPr>
        <w:spacing w:after="0" w:line="206" w:lineRule="exact"/>
        <w:rPr>
          <w:sz w:val="20"/>
          <w:szCs w:val="20"/>
          <w:color w:val="auto"/>
        </w:rPr>
      </w:pPr>
    </w:p>
    <w:p>
      <w:pPr>
        <w:ind w:right="160"/>
        <w:spacing w:after="0" w:line="284" w:lineRule="auto"/>
        <w:rPr>
          <w:sz w:val="20"/>
          <w:szCs w:val="20"/>
          <w:color w:val="auto"/>
        </w:rPr>
      </w:pPr>
      <w:r>
        <w:rPr>
          <w:rFonts w:ascii="Arial" w:cs="Arial" w:eastAsia="Arial" w:hAnsi="Arial"/>
          <w:sz w:val="19"/>
          <w:szCs w:val="19"/>
          <w:color w:val="auto"/>
        </w:rPr>
        <w:t xml:space="preserve">BCP’s </w:t>
      </w:r>
      <w:r>
        <w:rPr>
          <w:rFonts w:ascii="Arial" w:cs="Arial" w:eastAsia="Arial" w:hAnsi="Arial"/>
          <w:sz w:val="19"/>
          <w:szCs w:val="19"/>
          <w:b w:val="1"/>
          <w:bCs w:val="1"/>
          <w:color w:val="auto"/>
        </w:rPr>
        <w:t>total assets</w:t>
      </w:r>
      <w:r>
        <w:rPr>
          <w:rFonts w:ascii="Arial" w:cs="Arial" w:eastAsia="Arial" w:hAnsi="Arial"/>
          <w:sz w:val="19"/>
          <w:szCs w:val="19"/>
          <w:color w:val="auto"/>
        </w:rPr>
        <w:t xml:space="preserve"> reached US$ 9.317 billion as of December 31, 2005, rising 27.4% with respect to the balance as of December 31, 2004, mainly due to growth in total loans, up 17.8%, and an increase in the investment portfolio, which grew 49.5% due to excess liquidity in the bank. There was also a 45.0% growth in deposits at the Central Bank, which contain a heavy position in US Dollars (greater than US$ 500 million) as coverage for US Dollar forward sales due to demand by corporate customers in the face of volatility in the exchange rate observed in December as a result of political events.</w:t>
      </w:r>
    </w:p>
    <w:p>
      <w:pPr>
        <w:spacing w:after="0" w:line="139"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b w:val="1"/>
          <w:bCs w:val="1"/>
          <w:color w:val="auto"/>
        </w:rPr>
        <w:t xml:space="preserve">Consolidated total loans </w:t>
      </w:r>
      <w:r>
        <w:rPr>
          <w:rFonts w:ascii="Arial" w:cs="Arial" w:eastAsia="Arial" w:hAnsi="Arial"/>
          <w:sz w:val="22"/>
          <w:szCs w:val="22"/>
          <w:color w:val="auto"/>
        </w:rPr>
        <w:t>reached US$ 4.830 billion at the close of December 2005, increasing 17.8% with respect to December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2004 balance. Nevertheless, a better indicator of loan growth trends is the evolution of </w:t>
      </w:r>
      <w:r>
        <w:rPr>
          <w:rFonts w:ascii="Arial" w:cs="Arial" w:eastAsia="Arial" w:hAnsi="Arial"/>
          <w:sz w:val="22"/>
          <w:szCs w:val="22"/>
          <w:b w:val="1"/>
          <w:bCs w:val="1"/>
          <w:color w:val="auto"/>
        </w:rPr>
        <w:t>net</w:t>
      </w:r>
      <w:r>
        <w:rPr>
          <w:rFonts w:ascii="Arial" w:cs="Arial" w:eastAsia="Arial" w:hAnsi="Arial"/>
          <w:sz w:val="22"/>
          <w:szCs w:val="22"/>
          <w:color w:val="auto"/>
        </w:rPr>
        <w:t xml:space="preserve"> loans</w:t>
      </w:r>
      <w:r>
        <w:rPr>
          <w:rFonts w:ascii="Arial" w:cs="Arial" w:eastAsia="Arial" w:hAnsi="Arial"/>
          <w:sz w:val="22"/>
          <w:szCs w:val="22"/>
          <w:b w:val="1"/>
          <w:bCs w:val="1"/>
          <w:color w:val="auto"/>
        </w:rPr>
        <w:t>,</w:t>
      </w:r>
      <w:r>
        <w:rPr>
          <w:rFonts w:ascii="Arial" w:cs="Arial" w:eastAsia="Arial" w:hAnsi="Arial"/>
          <w:sz w:val="22"/>
          <w:szCs w:val="22"/>
          <w:color w:val="auto"/>
        </w:rPr>
        <w:t xml:space="preserve"> which grew 20.2% with respect to December of 2004, due to less non-performing loans and the lower requirements for provisions, whose 19.3% decline reflects reduced portfolio risk.</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The greater growth of investments with respect to loans led to the loan portfolio, as of December 31, 2005, net of provisions, representing 49.7% of total assets, less than the 52.3% for the preceding year. At the end of 2005, the portions of total loans in local currency and Dollars were 23% and 77%, respectively, compared with a composition of 17% and 83%, respectively, in 2004.</w:t>
      </w:r>
    </w:p>
    <w:p>
      <w:pPr>
        <w:spacing w:after="0" w:line="128"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color w:val="auto"/>
        </w:rPr>
        <w:t xml:space="preserve">With respect to BCP’s </w:t>
      </w:r>
      <w:r>
        <w:rPr>
          <w:rFonts w:ascii="Arial" w:cs="Arial" w:eastAsia="Arial" w:hAnsi="Arial"/>
          <w:sz w:val="19"/>
          <w:szCs w:val="19"/>
          <w:b w:val="1"/>
          <w:bCs w:val="1"/>
          <w:color w:val="auto"/>
        </w:rPr>
        <w:t>deposits and obligations</w:t>
      </w:r>
      <w:r>
        <w:rPr>
          <w:rFonts w:ascii="Arial" w:cs="Arial" w:eastAsia="Arial" w:hAnsi="Arial"/>
          <w:sz w:val="19"/>
          <w:szCs w:val="19"/>
          <w:color w:val="auto"/>
        </w:rPr>
        <w:t>, these also grow in proportion to loan growth. As of December 2005, they reached the total of US$ 6,653 million. This is 19.8% higher than the balance as of December of last year. This growth guarantees certain stability in the cost of funds comparing the present year with respect to the preceding one, demand deposits rose by 32.4%, saving deposits by 10.2%, while time deposits rose 17.1% . Deposits in local currency were 27.7% of total deposits.</w:t>
      </w:r>
    </w:p>
    <w:p>
      <w:pPr>
        <w:spacing w:after="0" w:line="136" w:lineRule="exact"/>
        <w:rPr>
          <w:sz w:val="20"/>
          <w:szCs w:val="20"/>
          <w:color w:val="auto"/>
        </w:rPr>
      </w:pPr>
    </w:p>
    <w:p>
      <w:pPr>
        <w:ind w:right="200"/>
        <w:spacing w:after="0" w:line="301" w:lineRule="auto"/>
        <w:rPr>
          <w:sz w:val="20"/>
          <w:szCs w:val="20"/>
          <w:color w:val="auto"/>
        </w:rPr>
      </w:pPr>
      <w:r>
        <w:rPr>
          <w:rFonts w:ascii="Arial" w:cs="Arial" w:eastAsia="Arial" w:hAnsi="Arial"/>
          <w:sz w:val="19"/>
          <w:szCs w:val="19"/>
          <w:color w:val="auto"/>
        </w:rPr>
        <w:t xml:space="preserve">The balance of </w:t>
      </w:r>
      <w:r>
        <w:rPr>
          <w:rFonts w:ascii="Arial" w:cs="Arial" w:eastAsia="Arial" w:hAnsi="Arial"/>
          <w:sz w:val="19"/>
          <w:szCs w:val="19"/>
          <w:b w:val="1"/>
          <w:bCs w:val="1"/>
          <w:color w:val="auto"/>
        </w:rPr>
        <w:t>due to banks and correspondents</w:t>
      </w:r>
      <w:r>
        <w:rPr>
          <w:rFonts w:ascii="Arial" w:cs="Arial" w:eastAsia="Arial" w:hAnsi="Arial"/>
          <w:sz w:val="19"/>
          <w:szCs w:val="19"/>
          <w:color w:val="auto"/>
        </w:rPr>
        <w:t xml:space="preserve"> as of December 2005 reached US$ 995.1 million, 361% higher with respect to the previous year. This increase was due to mainly a funding operation through securities’ repurchase contracts with the Central Bank for more than US$ 500 million to cover the above-mentioned US Dollar forwards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1" w:name="page32"/>
    <w:bookmarkEnd w:id="31"/>
    <w:p>
      <w:pPr>
        <w:spacing w:after="0"/>
        <w:rPr>
          <w:sz w:val="20"/>
          <w:szCs w:val="20"/>
          <w:color w:val="auto"/>
        </w:rPr>
      </w:pPr>
      <w:r>
        <w:rPr>
          <w:rFonts w:ascii="Arial" w:cs="Arial" w:eastAsia="Arial" w:hAnsi="Arial"/>
          <w:sz w:val="22"/>
          <w:szCs w:val="22"/>
          <w:color w:val="auto"/>
        </w:rPr>
        <w:t>BCP's subsidiaries had the following loan, net of provisions, and deposit contributions: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Loans, net</w:t>
            </w:r>
          </w:p>
        </w:tc>
        <w:tc>
          <w:tcPr>
            <w:tcW w:w="66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w w:val="90"/>
              </w:rPr>
              <w:t>Total deposits</w:t>
            </w:r>
          </w:p>
        </w:tc>
        <w:tc>
          <w:tcPr>
            <w:tcW w:w="6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2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i w:val="1"/>
                <w:iCs w:val="1"/>
                <w:color w:val="auto"/>
              </w:rPr>
              <w:t>(In % and US$ millions)</w:t>
            </w: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31.12.04</w:t>
            </w: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31.12.05</w:t>
            </w: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31.12.04</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60"/>
              <w:spacing w:after="0" w:line="169" w:lineRule="exact"/>
              <w:rPr>
                <w:sz w:val="20"/>
                <w:szCs w:val="20"/>
                <w:color w:val="auto"/>
              </w:rPr>
            </w:pPr>
            <w:r>
              <w:rPr>
                <w:rFonts w:ascii="Arial" w:cs="Arial" w:eastAsia="Arial" w:hAnsi="Arial"/>
                <w:sz w:val="15"/>
                <w:szCs w:val="15"/>
                <w:b w:val="1"/>
                <w:bCs w:val="1"/>
                <w:color w:val="auto"/>
                <w:w w:val="99"/>
              </w:rPr>
              <w:t>31.12.05</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20" w:type="dxa"/>
            <w:vAlign w:val="bottom"/>
            <w:gridSpan w:val="2"/>
          </w:tcPr>
          <w:p>
            <w:pPr>
              <w:spacing w:after="0" w:line="160" w:lineRule="exact"/>
              <w:rPr>
                <w:sz w:val="20"/>
                <w:szCs w:val="20"/>
                <w:color w:val="auto"/>
              </w:rPr>
            </w:pPr>
            <w:r>
              <w:rPr>
                <w:rFonts w:ascii="Arial" w:cs="Arial" w:eastAsia="Arial" w:hAnsi="Arial"/>
                <w:sz w:val="15"/>
                <w:szCs w:val="15"/>
                <w:color w:val="auto"/>
              </w:rPr>
              <w:t>Banco de Crédito del Perú</w:t>
            </w:r>
          </w:p>
        </w:tc>
        <w:tc>
          <w:tcPr>
            <w:tcW w:w="2040" w:type="dxa"/>
            <w:vAlign w:val="bottom"/>
            <w:gridSpan w:val="3"/>
          </w:tcPr>
          <w:p>
            <w:pPr>
              <w:jc w:val="right"/>
              <w:ind w:right="600"/>
              <w:spacing w:after="0" w:line="160" w:lineRule="exact"/>
              <w:rPr>
                <w:sz w:val="20"/>
                <w:szCs w:val="20"/>
                <w:color w:val="auto"/>
              </w:rPr>
            </w:pPr>
            <w:r>
              <w:rPr>
                <w:rFonts w:ascii="Arial" w:cs="Arial" w:eastAsia="Arial" w:hAnsi="Arial"/>
                <w:sz w:val="15"/>
                <w:szCs w:val="15"/>
                <w:color w:val="auto"/>
              </w:rPr>
              <w:t>87.7%</w:t>
            </w:r>
          </w:p>
        </w:tc>
        <w:tc>
          <w:tcPr>
            <w:tcW w:w="1480" w:type="dxa"/>
            <w:vAlign w:val="bottom"/>
            <w:gridSpan w:val="3"/>
          </w:tcPr>
          <w:p>
            <w:pPr>
              <w:jc w:val="right"/>
              <w:ind w:right="360"/>
              <w:spacing w:after="0" w:line="160" w:lineRule="exact"/>
              <w:rPr>
                <w:sz w:val="20"/>
                <w:szCs w:val="20"/>
                <w:color w:val="auto"/>
              </w:rPr>
            </w:pPr>
            <w:r>
              <w:rPr>
                <w:rFonts w:ascii="Arial" w:cs="Arial" w:eastAsia="Arial" w:hAnsi="Arial"/>
                <w:sz w:val="15"/>
                <w:szCs w:val="15"/>
                <w:color w:val="auto"/>
              </w:rPr>
              <w:t>89.7%</w:t>
            </w:r>
          </w:p>
        </w:tc>
        <w:tc>
          <w:tcPr>
            <w:tcW w:w="1980" w:type="dxa"/>
            <w:vAlign w:val="bottom"/>
            <w:gridSpan w:val="3"/>
          </w:tcPr>
          <w:p>
            <w:pPr>
              <w:jc w:val="right"/>
              <w:ind w:right="620"/>
              <w:spacing w:after="0" w:line="160" w:lineRule="exact"/>
              <w:rPr>
                <w:sz w:val="20"/>
                <w:szCs w:val="20"/>
                <w:color w:val="auto"/>
              </w:rPr>
            </w:pPr>
            <w:r>
              <w:rPr>
                <w:rFonts w:ascii="Arial" w:cs="Arial" w:eastAsia="Arial" w:hAnsi="Arial"/>
                <w:sz w:val="15"/>
                <w:szCs w:val="15"/>
                <w:color w:val="auto"/>
              </w:rPr>
              <w:t>91.4%</w:t>
            </w:r>
          </w:p>
        </w:tc>
        <w:tc>
          <w:tcPr>
            <w:tcW w:w="110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91.9%</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Banco de Crédito de Bolivia</w:t>
            </w:r>
          </w:p>
        </w:tc>
        <w:tc>
          <w:tcPr>
            <w:tcW w:w="2040" w:type="dxa"/>
            <w:vAlign w:val="bottom"/>
            <w:gridSpan w:val="3"/>
          </w:tcPr>
          <w:p>
            <w:pPr>
              <w:jc w:val="right"/>
              <w:ind w:right="600"/>
              <w:spacing w:after="0" w:line="162" w:lineRule="exact"/>
              <w:rPr>
                <w:sz w:val="20"/>
                <w:szCs w:val="20"/>
                <w:color w:val="auto"/>
              </w:rPr>
            </w:pPr>
            <w:r>
              <w:rPr>
                <w:rFonts w:ascii="Arial" w:cs="Arial" w:eastAsia="Arial" w:hAnsi="Arial"/>
                <w:sz w:val="15"/>
                <w:szCs w:val="15"/>
                <w:color w:val="auto"/>
              </w:rPr>
              <w:t>7.4%</w:t>
            </w:r>
          </w:p>
        </w:tc>
        <w:tc>
          <w:tcPr>
            <w:tcW w:w="1480" w:type="dxa"/>
            <w:vAlign w:val="bottom"/>
            <w:gridSpan w:val="3"/>
          </w:tcPr>
          <w:p>
            <w:pPr>
              <w:jc w:val="right"/>
              <w:ind w:right="360"/>
              <w:spacing w:after="0" w:line="162" w:lineRule="exact"/>
              <w:rPr>
                <w:sz w:val="20"/>
                <w:szCs w:val="20"/>
                <w:color w:val="auto"/>
              </w:rPr>
            </w:pPr>
            <w:r>
              <w:rPr>
                <w:rFonts w:ascii="Arial" w:cs="Arial" w:eastAsia="Arial" w:hAnsi="Arial"/>
                <w:sz w:val="15"/>
                <w:szCs w:val="15"/>
                <w:color w:val="auto"/>
              </w:rPr>
              <w:t>6.4%</w:t>
            </w:r>
          </w:p>
        </w:tc>
        <w:tc>
          <w:tcPr>
            <w:tcW w:w="1980" w:type="dxa"/>
            <w:vAlign w:val="bottom"/>
            <w:gridSpan w:val="3"/>
          </w:tcPr>
          <w:p>
            <w:pPr>
              <w:jc w:val="right"/>
              <w:ind w:right="620"/>
              <w:spacing w:after="0" w:line="162" w:lineRule="exact"/>
              <w:rPr>
                <w:sz w:val="20"/>
                <w:szCs w:val="20"/>
                <w:color w:val="auto"/>
              </w:rPr>
            </w:pPr>
            <w:r>
              <w:rPr>
                <w:rFonts w:ascii="Arial" w:cs="Arial" w:eastAsia="Arial" w:hAnsi="Arial"/>
                <w:sz w:val="15"/>
                <w:szCs w:val="15"/>
                <w:color w:val="auto"/>
              </w:rPr>
              <w:t>6.0%</w:t>
            </w:r>
          </w:p>
        </w:tc>
        <w:tc>
          <w:tcPr>
            <w:tcW w:w="11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Crédito Leasing</w:t>
            </w:r>
          </w:p>
        </w:tc>
        <w:tc>
          <w:tcPr>
            <w:tcW w:w="2040" w:type="dxa"/>
            <w:vAlign w:val="bottom"/>
            <w:gridSpan w:val="3"/>
          </w:tcPr>
          <w:p>
            <w:pPr>
              <w:jc w:val="right"/>
              <w:ind w:right="600"/>
              <w:spacing w:after="0" w:line="162" w:lineRule="exact"/>
              <w:rPr>
                <w:sz w:val="20"/>
                <w:szCs w:val="20"/>
                <w:color w:val="auto"/>
              </w:rPr>
            </w:pPr>
            <w:r>
              <w:rPr>
                <w:rFonts w:ascii="Arial" w:cs="Arial" w:eastAsia="Arial" w:hAnsi="Arial"/>
                <w:sz w:val="15"/>
                <w:szCs w:val="15"/>
                <w:color w:val="auto"/>
              </w:rPr>
              <w:t>5.0%</w:t>
            </w:r>
          </w:p>
        </w:tc>
        <w:tc>
          <w:tcPr>
            <w:tcW w:w="1480" w:type="dxa"/>
            <w:vAlign w:val="bottom"/>
            <w:gridSpan w:val="3"/>
          </w:tcPr>
          <w:p>
            <w:pPr>
              <w:jc w:val="right"/>
              <w:ind w:right="360"/>
              <w:spacing w:after="0" w:line="162" w:lineRule="exact"/>
              <w:rPr>
                <w:sz w:val="20"/>
                <w:szCs w:val="20"/>
                <w:color w:val="auto"/>
              </w:rPr>
            </w:pPr>
            <w:r>
              <w:rPr>
                <w:rFonts w:ascii="Arial" w:cs="Arial" w:eastAsia="Arial" w:hAnsi="Arial"/>
                <w:sz w:val="15"/>
                <w:szCs w:val="15"/>
                <w:color w:val="auto"/>
              </w:rPr>
              <w:t>4.3%</w:t>
            </w:r>
          </w:p>
        </w:tc>
        <w:tc>
          <w:tcPr>
            <w:tcW w:w="1980" w:type="dxa"/>
            <w:vAlign w:val="bottom"/>
            <w:gridSpan w:val="3"/>
          </w:tcPr>
          <w:p>
            <w:pPr>
              <w:jc w:val="right"/>
              <w:ind w:right="620"/>
              <w:spacing w:after="0" w:line="162" w:lineRule="exact"/>
              <w:rPr>
                <w:sz w:val="20"/>
                <w:szCs w:val="20"/>
                <w:color w:val="auto"/>
              </w:rPr>
            </w:pPr>
            <w:r>
              <w:rPr>
                <w:rFonts w:ascii="Arial" w:cs="Arial" w:eastAsia="Arial" w:hAnsi="Arial"/>
                <w:sz w:val="15"/>
                <w:szCs w:val="15"/>
                <w:color w:val="auto"/>
              </w:rPr>
              <w:t>2.6%</w:t>
            </w:r>
          </w:p>
        </w:tc>
        <w:tc>
          <w:tcPr>
            <w:tcW w:w="11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58"/>
        </w:trPr>
        <w:tc>
          <w:tcPr>
            <w:tcW w:w="4820" w:type="dxa"/>
            <w:vAlign w:val="bottom"/>
            <w:gridSpan w:val="2"/>
          </w:tcPr>
          <w:p>
            <w:pPr>
              <w:spacing w:after="0" w:line="158" w:lineRule="exact"/>
              <w:rPr>
                <w:sz w:val="20"/>
                <w:szCs w:val="20"/>
                <w:color w:val="auto"/>
              </w:rPr>
            </w:pPr>
            <w:r>
              <w:rPr>
                <w:rFonts w:ascii="Arial" w:cs="Arial" w:eastAsia="Arial" w:hAnsi="Arial"/>
                <w:sz w:val="15"/>
                <w:szCs w:val="15"/>
                <w:color w:val="auto"/>
              </w:rPr>
              <w:t>TOTAL%</w:t>
            </w:r>
          </w:p>
        </w:tc>
        <w:tc>
          <w:tcPr>
            <w:tcW w:w="2040" w:type="dxa"/>
            <w:vAlign w:val="bottom"/>
            <w:gridSpan w:val="3"/>
          </w:tcPr>
          <w:p>
            <w:pPr>
              <w:jc w:val="right"/>
              <w:ind w:right="60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480" w:type="dxa"/>
            <w:vAlign w:val="bottom"/>
            <w:gridSpan w:val="3"/>
          </w:tcPr>
          <w:p>
            <w:pPr>
              <w:jc w:val="right"/>
              <w:ind w:right="36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980" w:type="dxa"/>
            <w:vAlign w:val="bottom"/>
            <w:gridSpan w:val="3"/>
          </w:tcPr>
          <w:p>
            <w:pPr>
              <w:jc w:val="right"/>
              <w:ind w:right="62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10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42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0" w:type="dxa"/>
            <w:vAlign w:val="bottom"/>
            <w:tcBorders>
              <w:bottom w:val="single" w:sz="8" w:color="auto"/>
            </w:tcBorders>
          </w:tcPr>
          <w:p>
            <w:pPr>
              <w:spacing w:after="0" w:line="142" w:lineRule="exact"/>
              <w:rPr>
                <w:sz w:val="20"/>
                <w:szCs w:val="20"/>
                <w:color w:val="auto"/>
              </w:rPr>
            </w:pPr>
            <w:r>
              <w:rPr>
                <w:rFonts w:ascii="Arial" w:cs="Arial" w:eastAsia="Arial" w:hAnsi="Arial"/>
                <w:sz w:val="15"/>
                <w:szCs w:val="15"/>
                <w:b w:val="1"/>
                <w:bCs w:val="1"/>
                <w:color w:val="auto"/>
                <w:w w:val="80"/>
              </w:rPr>
              <w:t>Total BCP</w:t>
            </w:r>
          </w:p>
        </w:tc>
        <w:tc>
          <w:tcPr>
            <w:tcW w:w="422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auto"/>
            </w:tcBorders>
            <w:gridSpan w:val="2"/>
          </w:tcPr>
          <w:p>
            <w:pPr>
              <w:ind w:left="840"/>
              <w:spacing w:after="0" w:line="142" w:lineRule="exact"/>
              <w:rPr>
                <w:sz w:val="20"/>
                <w:szCs w:val="20"/>
                <w:color w:val="auto"/>
              </w:rPr>
            </w:pPr>
            <w:r>
              <w:rPr>
                <w:rFonts w:ascii="Arial" w:cs="Arial" w:eastAsia="Arial" w:hAnsi="Arial"/>
                <w:sz w:val="15"/>
                <w:szCs w:val="15"/>
                <w:b w:val="1"/>
                <w:bCs w:val="1"/>
                <w:u w:val="single" w:color="auto"/>
                <w:color w:val="auto"/>
                <w:w w:val="86"/>
              </w:rPr>
              <w:t>US$</w:t>
            </w:r>
            <w:r>
              <w:rPr>
                <w:rFonts w:ascii="Arial" w:cs="Arial" w:eastAsia="Arial" w:hAnsi="Arial"/>
                <w:sz w:val="15"/>
                <w:szCs w:val="15"/>
                <w:b w:val="1"/>
                <w:bCs w:val="1"/>
                <w:color w:val="auto"/>
                <w:w w:val="86"/>
              </w:rPr>
              <w:t>3,857</w:t>
            </w:r>
          </w:p>
        </w:tc>
        <w:tc>
          <w:tcPr>
            <w:tcW w:w="6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520"/>
              <w:spacing w:after="0" w:line="142" w:lineRule="exact"/>
              <w:rPr>
                <w:sz w:val="20"/>
                <w:szCs w:val="20"/>
                <w:color w:val="auto"/>
              </w:rPr>
            </w:pPr>
            <w:r>
              <w:rPr>
                <w:rFonts w:ascii="Arial" w:cs="Arial" w:eastAsia="Arial" w:hAnsi="Arial"/>
                <w:sz w:val="15"/>
                <w:szCs w:val="15"/>
                <w:b w:val="1"/>
                <w:bCs w:val="1"/>
                <w:color w:val="auto"/>
              </w:rPr>
              <w:t>US$4,635</w:t>
            </w:r>
          </w:p>
        </w:tc>
        <w:tc>
          <w:tcPr>
            <w:tcW w:w="1980" w:type="dxa"/>
            <w:vAlign w:val="bottom"/>
            <w:tcBorders>
              <w:bottom w:val="single" w:sz="8" w:color="auto"/>
            </w:tcBorders>
            <w:gridSpan w:val="3"/>
          </w:tcPr>
          <w:p>
            <w:pPr>
              <w:ind w:left="760"/>
              <w:spacing w:after="0" w:line="142" w:lineRule="exact"/>
              <w:rPr>
                <w:sz w:val="20"/>
                <w:szCs w:val="20"/>
                <w:color w:val="auto"/>
              </w:rPr>
            </w:pPr>
            <w:r>
              <w:rPr>
                <w:rFonts w:ascii="Arial" w:cs="Arial" w:eastAsia="Arial" w:hAnsi="Arial"/>
                <w:sz w:val="15"/>
                <w:szCs w:val="15"/>
                <w:b w:val="1"/>
                <w:bCs w:val="1"/>
                <w:u w:val="single" w:color="auto"/>
                <w:color w:val="auto"/>
              </w:rPr>
              <w:t>US$</w:t>
            </w:r>
            <w:r>
              <w:rPr>
                <w:rFonts w:ascii="Arial" w:cs="Arial" w:eastAsia="Arial" w:hAnsi="Arial"/>
                <w:sz w:val="15"/>
                <w:szCs w:val="15"/>
                <w:b w:val="1"/>
                <w:bCs w:val="1"/>
                <w:color w:val="auto"/>
              </w:rPr>
              <w:t>5,553</w:t>
            </w:r>
          </w:p>
        </w:tc>
        <w:tc>
          <w:tcPr>
            <w:tcW w:w="110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5"/>
                <w:szCs w:val="15"/>
                <w:b w:val="1"/>
                <w:bCs w:val="1"/>
                <w:u w:val="single" w:color="auto"/>
                <w:color w:val="auto"/>
              </w:rPr>
              <w:t>US$</w:t>
            </w:r>
            <w:r>
              <w:rPr>
                <w:rFonts w:ascii="Arial" w:cs="Arial" w:eastAsia="Arial" w:hAnsi="Arial"/>
                <w:sz w:val="15"/>
                <w:szCs w:val="15"/>
                <w:b w:val="1"/>
                <w:bCs w:val="1"/>
                <w:color w:val="auto"/>
              </w:rPr>
              <w:t>6,653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Portfolio</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Loan portfolio composition by business segment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60" w:type="dxa"/>
            <w:vAlign w:val="bottom"/>
            <w:tcBorders>
              <w:top w:val="single" w:sz="8" w:color="auto"/>
            </w:tcBorders>
          </w:tcPr>
          <w:p>
            <w:pPr>
              <w:spacing w:after="0"/>
              <w:rPr>
                <w:sz w:val="20"/>
                <w:szCs w:val="20"/>
                <w:color w:val="auto"/>
              </w:rPr>
            </w:pPr>
            <w:r>
              <w:rPr>
                <w:rFonts w:ascii="Arial" w:cs="Arial" w:eastAsia="Arial" w:hAnsi="Arial"/>
                <w:sz w:val="15"/>
                <w:szCs w:val="15"/>
                <w:i w:val="1"/>
                <w:iCs w:val="1"/>
                <w:color w:val="auto"/>
              </w:rPr>
              <w:t>(In % of total and US$ millions)</w:t>
            </w:r>
          </w:p>
        </w:tc>
        <w:tc>
          <w:tcPr>
            <w:tcW w:w="17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 Growth</w:t>
            </w:r>
          </w:p>
        </w:tc>
      </w:tr>
      <w:tr>
        <w:trPr>
          <w:trHeight w:val="175"/>
        </w:trPr>
        <w:tc>
          <w:tcPr>
            <w:tcW w:w="7560" w:type="dxa"/>
            <w:vAlign w:val="bottom"/>
            <w:tcBorders>
              <w:bottom w:val="single" w:sz="8" w:color="auto"/>
            </w:tcBorders>
          </w:tcPr>
          <w:p>
            <w:pPr>
              <w:ind w:left="6980"/>
              <w:spacing w:after="0"/>
              <w:rPr>
                <w:sz w:val="20"/>
                <w:szCs w:val="20"/>
                <w:color w:val="auto"/>
              </w:rPr>
            </w:pPr>
            <w:r>
              <w:rPr>
                <w:rFonts w:ascii="Arial" w:cs="Arial" w:eastAsia="Arial" w:hAnsi="Arial"/>
                <w:sz w:val="15"/>
                <w:szCs w:val="15"/>
                <w:b w:val="1"/>
                <w:bCs w:val="1"/>
                <w:color w:val="auto"/>
                <w:w w:val="95"/>
              </w:rPr>
              <w:t>31.12.04</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31.12.05</w:t>
            </w:r>
          </w:p>
        </w:tc>
        <w:tc>
          <w:tcPr>
            <w:tcW w:w="7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Anual</w:t>
            </w:r>
          </w:p>
        </w:tc>
      </w:tr>
      <w:tr>
        <w:trPr>
          <w:trHeight w:val="160"/>
        </w:trPr>
        <w:tc>
          <w:tcPr>
            <w:tcW w:w="7560" w:type="dxa"/>
            <w:vAlign w:val="bottom"/>
          </w:tcPr>
          <w:p>
            <w:pPr>
              <w:spacing w:after="0" w:line="160" w:lineRule="exact"/>
              <w:rPr>
                <w:sz w:val="20"/>
                <w:szCs w:val="20"/>
                <w:color w:val="auto"/>
              </w:rPr>
            </w:pPr>
            <w:r>
              <w:rPr>
                <w:rFonts w:ascii="Arial" w:cs="Arial" w:eastAsia="Arial" w:hAnsi="Arial"/>
                <w:sz w:val="15"/>
                <w:szCs w:val="15"/>
                <w:color w:val="auto"/>
              </w:rPr>
              <w:t>Corporate</w:t>
            </w:r>
          </w:p>
        </w:tc>
        <w:tc>
          <w:tcPr>
            <w:tcW w:w="1720" w:type="dxa"/>
            <w:vAlign w:val="bottom"/>
          </w:tcPr>
          <w:p>
            <w:pPr>
              <w:jc w:val="right"/>
              <w:ind w:right="1246"/>
              <w:spacing w:after="0" w:line="160" w:lineRule="exact"/>
              <w:rPr>
                <w:sz w:val="20"/>
                <w:szCs w:val="20"/>
                <w:color w:val="auto"/>
              </w:rPr>
            </w:pPr>
            <w:r>
              <w:rPr>
                <w:rFonts w:ascii="Arial" w:cs="Arial" w:eastAsia="Arial" w:hAnsi="Arial"/>
                <w:sz w:val="15"/>
                <w:szCs w:val="15"/>
                <w:color w:val="auto"/>
              </w:rPr>
              <w:t>1,563</w:t>
            </w:r>
          </w:p>
        </w:tc>
        <w:tc>
          <w:tcPr>
            <w:tcW w:w="720" w:type="dxa"/>
            <w:vAlign w:val="bottom"/>
          </w:tcPr>
          <w:p>
            <w:pPr>
              <w:jc w:val="right"/>
              <w:ind w:right="246"/>
              <w:spacing w:after="0" w:line="160" w:lineRule="exact"/>
              <w:rPr>
                <w:sz w:val="20"/>
                <w:szCs w:val="20"/>
                <w:color w:val="auto"/>
              </w:rPr>
            </w:pPr>
            <w:r>
              <w:rPr>
                <w:rFonts w:ascii="Arial" w:cs="Arial" w:eastAsia="Arial" w:hAnsi="Arial"/>
                <w:sz w:val="15"/>
                <w:szCs w:val="15"/>
                <w:color w:val="auto"/>
              </w:rPr>
              <w:t>1,715</w:t>
            </w:r>
          </w:p>
        </w:tc>
        <w:tc>
          <w:tcPr>
            <w:tcW w:w="1420" w:type="dxa"/>
            <w:vAlign w:val="bottom"/>
          </w:tcPr>
          <w:p>
            <w:pPr>
              <w:jc w:val="right"/>
              <w:spacing w:after="0" w:line="160" w:lineRule="exact"/>
              <w:rPr>
                <w:sz w:val="20"/>
                <w:szCs w:val="20"/>
                <w:color w:val="auto"/>
              </w:rPr>
            </w:pPr>
            <w:r>
              <w:rPr>
                <w:rFonts w:ascii="Arial" w:cs="Arial" w:eastAsia="Arial" w:hAnsi="Arial"/>
                <w:sz w:val="15"/>
                <w:szCs w:val="15"/>
                <w:color w:val="auto"/>
              </w:rPr>
              <w:t>9.7%</w:t>
            </w:r>
          </w:p>
        </w:tc>
      </w:tr>
      <w:tr>
        <w:trPr>
          <w:trHeight w:val="162"/>
        </w:trPr>
        <w:tc>
          <w:tcPr>
            <w:tcW w:w="7560" w:type="dxa"/>
            <w:vAlign w:val="bottom"/>
          </w:tcPr>
          <w:p>
            <w:pPr>
              <w:spacing w:after="0" w:line="162" w:lineRule="exact"/>
              <w:rPr>
                <w:sz w:val="20"/>
                <w:szCs w:val="20"/>
                <w:color w:val="auto"/>
              </w:rPr>
            </w:pPr>
            <w:r>
              <w:rPr>
                <w:rFonts w:ascii="Arial" w:cs="Arial" w:eastAsia="Arial" w:hAnsi="Arial"/>
                <w:sz w:val="15"/>
                <w:szCs w:val="15"/>
                <w:color w:val="auto"/>
              </w:rPr>
              <w:t>Middle market</w:t>
            </w:r>
          </w:p>
        </w:tc>
        <w:tc>
          <w:tcPr>
            <w:tcW w:w="1720" w:type="dxa"/>
            <w:vAlign w:val="bottom"/>
          </w:tcPr>
          <w:p>
            <w:pPr>
              <w:jc w:val="right"/>
              <w:ind w:right="1246"/>
              <w:spacing w:after="0" w:line="162" w:lineRule="exact"/>
              <w:rPr>
                <w:sz w:val="20"/>
                <w:szCs w:val="20"/>
                <w:color w:val="auto"/>
              </w:rPr>
            </w:pPr>
            <w:r>
              <w:rPr>
                <w:rFonts w:ascii="Arial" w:cs="Arial" w:eastAsia="Arial" w:hAnsi="Arial"/>
                <w:sz w:val="15"/>
                <w:szCs w:val="15"/>
                <w:color w:val="auto"/>
              </w:rPr>
              <w:t>1,042</w:t>
            </w:r>
          </w:p>
        </w:tc>
        <w:tc>
          <w:tcPr>
            <w:tcW w:w="720" w:type="dxa"/>
            <w:vAlign w:val="bottom"/>
          </w:tcPr>
          <w:p>
            <w:pPr>
              <w:jc w:val="right"/>
              <w:ind w:right="246"/>
              <w:spacing w:after="0" w:line="162" w:lineRule="exact"/>
              <w:rPr>
                <w:sz w:val="20"/>
                <w:szCs w:val="20"/>
                <w:color w:val="auto"/>
              </w:rPr>
            </w:pPr>
            <w:r>
              <w:rPr>
                <w:rFonts w:ascii="Arial" w:cs="Arial" w:eastAsia="Arial" w:hAnsi="Arial"/>
                <w:sz w:val="15"/>
                <w:szCs w:val="15"/>
                <w:color w:val="auto"/>
              </w:rPr>
              <w:t>1,177</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13.0%</w:t>
            </w:r>
          </w:p>
        </w:tc>
      </w:tr>
      <w:tr>
        <w:trPr>
          <w:trHeight w:val="162"/>
        </w:trPr>
        <w:tc>
          <w:tcPr>
            <w:tcW w:w="7560" w:type="dxa"/>
            <w:vAlign w:val="bottom"/>
          </w:tcPr>
          <w:p>
            <w:pPr>
              <w:spacing w:after="0" w:line="162" w:lineRule="exact"/>
              <w:rPr>
                <w:sz w:val="20"/>
                <w:szCs w:val="20"/>
                <w:color w:val="auto"/>
              </w:rPr>
            </w:pPr>
            <w:r>
              <w:rPr>
                <w:rFonts w:ascii="Arial" w:cs="Arial" w:eastAsia="Arial" w:hAnsi="Arial"/>
                <w:sz w:val="15"/>
                <w:szCs w:val="15"/>
                <w:color w:val="auto"/>
              </w:rPr>
              <w:t>Retail:</w:t>
            </w:r>
          </w:p>
        </w:tc>
        <w:tc>
          <w:tcPr>
            <w:tcW w:w="1720" w:type="dxa"/>
            <w:vAlign w:val="bottom"/>
          </w:tcPr>
          <w:p>
            <w:pPr>
              <w:jc w:val="right"/>
              <w:ind w:right="1246"/>
              <w:spacing w:after="0" w:line="162" w:lineRule="exact"/>
              <w:rPr>
                <w:sz w:val="20"/>
                <w:szCs w:val="20"/>
                <w:color w:val="auto"/>
              </w:rPr>
            </w:pPr>
            <w:r>
              <w:rPr>
                <w:rFonts w:ascii="Arial" w:cs="Arial" w:eastAsia="Arial" w:hAnsi="Arial"/>
                <w:sz w:val="15"/>
                <w:szCs w:val="15"/>
                <w:color w:val="auto"/>
              </w:rPr>
              <w:t>1,256</w:t>
            </w:r>
          </w:p>
        </w:tc>
        <w:tc>
          <w:tcPr>
            <w:tcW w:w="720" w:type="dxa"/>
            <w:vAlign w:val="bottom"/>
          </w:tcPr>
          <w:p>
            <w:pPr>
              <w:jc w:val="right"/>
              <w:ind w:right="246"/>
              <w:spacing w:after="0" w:line="162" w:lineRule="exact"/>
              <w:rPr>
                <w:sz w:val="20"/>
                <w:szCs w:val="20"/>
                <w:color w:val="auto"/>
              </w:rPr>
            </w:pPr>
            <w:r>
              <w:rPr>
                <w:rFonts w:ascii="Arial" w:cs="Arial" w:eastAsia="Arial" w:hAnsi="Arial"/>
                <w:sz w:val="15"/>
                <w:szCs w:val="15"/>
                <w:color w:val="auto"/>
              </w:rPr>
              <w:t>1,596</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27.0%</w:t>
            </w:r>
          </w:p>
        </w:tc>
      </w:tr>
      <w:tr>
        <w:trPr>
          <w:trHeight w:val="162"/>
        </w:trPr>
        <w:tc>
          <w:tcPr>
            <w:tcW w:w="7560" w:type="dxa"/>
            <w:vAlign w:val="bottom"/>
          </w:tcPr>
          <w:p>
            <w:pPr>
              <w:spacing w:after="0" w:line="162" w:lineRule="exact"/>
              <w:rPr>
                <w:sz w:val="20"/>
                <w:szCs w:val="20"/>
                <w:color w:val="auto"/>
              </w:rPr>
            </w:pPr>
            <w:r>
              <w:rPr>
                <w:rFonts w:ascii="Arial" w:cs="Arial" w:eastAsia="Arial" w:hAnsi="Arial"/>
                <w:sz w:val="15"/>
                <w:szCs w:val="15"/>
                <w:color w:val="auto"/>
              </w:rPr>
              <w:t>- small business</w:t>
            </w:r>
          </w:p>
        </w:tc>
        <w:tc>
          <w:tcPr>
            <w:tcW w:w="1720" w:type="dxa"/>
            <w:vAlign w:val="bottom"/>
          </w:tcPr>
          <w:p>
            <w:pPr>
              <w:jc w:val="right"/>
              <w:ind w:right="1246"/>
              <w:spacing w:after="0" w:line="162" w:lineRule="exact"/>
              <w:rPr>
                <w:sz w:val="20"/>
                <w:szCs w:val="20"/>
                <w:color w:val="auto"/>
              </w:rPr>
            </w:pPr>
            <w:r>
              <w:rPr>
                <w:rFonts w:ascii="Arial" w:cs="Arial" w:eastAsia="Arial" w:hAnsi="Arial"/>
                <w:sz w:val="15"/>
                <w:szCs w:val="15"/>
                <w:color w:val="auto"/>
              </w:rPr>
              <w:t>383</w:t>
            </w:r>
          </w:p>
        </w:tc>
        <w:tc>
          <w:tcPr>
            <w:tcW w:w="720" w:type="dxa"/>
            <w:vAlign w:val="bottom"/>
          </w:tcPr>
          <w:p>
            <w:pPr>
              <w:jc w:val="right"/>
              <w:ind w:right="246"/>
              <w:spacing w:after="0" w:line="162" w:lineRule="exact"/>
              <w:rPr>
                <w:sz w:val="20"/>
                <w:szCs w:val="20"/>
                <w:color w:val="auto"/>
              </w:rPr>
            </w:pPr>
            <w:r>
              <w:rPr>
                <w:rFonts w:ascii="Arial" w:cs="Arial" w:eastAsia="Arial" w:hAnsi="Arial"/>
                <w:sz w:val="15"/>
                <w:szCs w:val="15"/>
                <w:color w:val="auto"/>
              </w:rPr>
              <w:t>485</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26.9%</w:t>
            </w:r>
          </w:p>
        </w:tc>
      </w:tr>
      <w:tr>
        <w:trPr>
          <w:trHeight w:val="162"/>
        </w:trPr>
        <w:tc>
          <w:tcPr>
            <w:tcW w:w="7560" w:type="dxa"/>
            <w:vAlign w:val="bottom"/>
          </w:tcPr>
          <w:p>
            <w:pPr>
              <w:spacing w:after="0" w:line="162" w:lineRule="exact"/>
              <w:rPr>
                <w:sz w:val="20"/>
                <w:szCs w:val="20"/>
                <w:color w:val="auto"/>
              </w:rPr>
            </w:pPr>
            <w:r>
              <w:rPr>
                <w:rFonts w:ascii="Arial" w:cs="Arial" w:eastAsia="Arial" w:hAnsi="Arial"/>
                <w:sz w:val="15"/>
                <w:szCs w:val="15"/>
                <w:color w:val="auto"/>
              </w:rPr>
              <w:t>- home mortgage</w:t>
            </w:r>
          </w:p>
        </w:tc>
        <w:tc>
          <w:tcPr>
            <w:tcW w:w="1720" w:type="dxa"/>
            <w:vAlign w:val="bottom"/>
          </w:tcPr>
          <w:p>
            <w:pPr>
              <w:jc w:val="right"/>
              <w:ind w:right="1246"/>
              <w:spacing w:after="0" w:line="162" w:lineRule="exact"/>
              <w:rPr>
                <w:sz w:val="20"/>
                <w:szCs w:val="20"/>
                <w:color w:val="auto"/>
              </w:rPr>
            </w:pPr>
            <w:r>
              <w:rPr>
                <w:rFonts w:ascii="Arial" w:cs="Arial" w:eastAsia="Arial" w:hAnsi="Arial"/>
                <w:sz w:val="15"/>
                <w:szCs w:val="15"/>
                <w:color w:val="auto"/>
              </w:rPr>
              <w:t>607</w:t>
            </w:r>
          </w:p>
        </w:tc>
        <w:tc>
          <w:tcPr>
            <w:tcW w:w="720" w:type="dxa"/>
            <w:vAlign w:val="bottom"/>
          </w:tcPr>
          <w:p>
            <w:pPr>
              <w:jc w:val="right"/>
              <w:ind w:right="246"/>
              <w:spacing w:after="0" w:line="162" w:lineRule="exact"/>
              <w:rPr>
                <w:sz w:val="20"/>
                <w:szCs w:val="20"/>
                <w:color w:val="auto"/>
              </w:rPr>
            </w:pPr>
            <w:r>
              <w:rPr>
                <w:rFonts w:ascii="Arial" w:cs="Arial" w:eastAsia="Arial" w:hAnsi="Arial"/>
                <w:sz w:val="15"/>
                <w:szCs w:val="15"/>
                <w:color w:val="auto"/>
              </w:rPr>
              <w:t>775</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27.8%</w:t>
            </w:r>
          </w:p>
        </w:tc>
      </w:tr>
      <w:tr>
        <w:trPr>
          <w:trHeight w:val="162"/>
        </w:trPr>
        <w:tc>
          <w:tcPr>
            <w:tcW w:w="7560" w:type="dxa"/>
            <w:vAlign w:val="bottom"/>
          </w:tcPr>
          <w:p>
            <w:pPr>
              <w:spacing w:after="0" w:line="162" w:lineRule="exact"/>
              <w:rPr>
                <w:sz w:val="20"/>
                <w:szCs w:val="20"/>
                <w:color w:val="auto"/>
              </w:rPr>
            </w:pPr>
            <w:r>
              <w:rPr>
                <w:rFonts w:ascii="Arial" w:cs="Arial" w:eastAsia="Arial" w:hAnsi="Arial"/>
                <w:sz w:val="15"/>
                <w:szCs w:val="15"/>
                <w:color w:val="auto"/>
              </w:rPr>
              <w:t>- consumer</w:t>
            </w:r>
          </w:p>
        </w:tc>
        <w:tc>
          <w:tcPr>
            <w:tcW w:w="1720" w:type="dxa"/>
            <w:vAlign w:val="bottom"/>
          </w:tcPr>
          <w:p>
            <w:pPr>
              <w:jc w:val="right"/>
              <w:ind w:right="1246"/>
              <w:spacing w:after="0" w:line="162" w:lineRule="exact"/>
              <w:rPr>
                <w:sz w:val="20"/>
                <w:szCs w:val="20"/>
                <w:color w:val="auto"/>
              </w:rPr>
            </w:pPr>
            <w:r>
              <w:rPr>
                <w:rFonts w:ascii="Arial" w:cs="Arial" w:eastAsia="Arial" w:hAnsi="Arial"/>
                <w:sz w:val="15"/>
                <w:szCs w:val="15"/>
                <w:color w:val="auto"/>
              </w:rPr>
              <w:t>134</w:t>
            </w:r>
          </w:p>
        </w:tc>
        <w:tc>
          <w:tcPr>
            <w:tcW w:w="720" w:type="dxa"/>
            <w:vAlign w:val="bottom"/>
          </w:tcPr>
          <w:p>
            <w:pPr>
              <w:jc w:val="right"/>
              <w:ind w:right="246"/>
              <w:spacing w:after="0" w:line="162" w:lineRule="exact"/>
              <w:rPr>
                <w:sz w:val="20"/>
                <w:szCs w:val="20"/>
                <w:color w:val="auto"/>
              </w:rPr>
            </w:pPr>
            <w:r>
              <w:rPr>
                <w:rFonts w:ascii="Arial" w:cs="Arial" w:eastAsia="Arial" w:hAnsi="Arial"/>
                <w:sz w:val="15"/>
                <w:szCs w:val="15"/>
                <w:color w:val="auto"/>
              </w:rPr>
              <w:t>173</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29.0%</w:t>
            </w:r>
          </w:p>
        </w:tc>
      </w:tr>
      <w:tr>
        <w:trPr>
          <w:trHeight w:val="158"/>
        </w:trPr>
        <w:tc>
          <w:tcPr>
            <w:tcW w:w="7560" w:type="dxa"/>
            <w:vAlign w:val="bottom"/>
          </w:tcPr>
          <w:p>
            <w:pPr>
              <w:spacing w:after="0" w:line="158" w:lineRule="exact"/>
              <w:rPr>
                <w:sz w:val="20"/>
                <w:szCs w:val="20"/>
                <w:color w:val="auto"/>
              </w:rPr>
            </w:pPr>
            <w:r>
              <w:rPr>
                <w:rFonts w:ascii="Arial" w:cs="Arial" w:eastAsia="Arial" w:hAnsi="Arial"/>
                <w:sz w:val="15"/>
                <w:szCs w:val="15"/>
                <w:color w:val="auto"/>
              </w:rPr>
              <w:t>- credit cards</w:t>
            </w:r>
          </w:p>
        </w:tc>
        <w:tc>
          <w:tcPr>
            <w:tcW w:w="1720" w:type="dxa"/>
            <w:vAlign w:val="bottom"/>
          </w:tcPr>
          <w:p>
            <w:pPr>
              <w:jc w:val="right"/>
              <w:ind w:right="1246"/>
              <w:spacing w:after="0" w:line="158" w:lineRule="exact"/>
              <w:rPr>
                <w:sz w:val="20"/>
                <w:szCs w:val="20"/>
                <w:color w:val="auto"/>
              </w:rPr>
            </w:pPr>
            <w:r>
              <w:rPr>
                <w:rFonts w:ascii="Arial" w:cs="Arial" w:eastAsia="Arial" w:hAnsi="Arial"/>
                <w:sz w:val="15"/>
                <w:szCs w:val="15"/>
                <w:color w:val="auto"/>
              </w:rPr>
              <w:t>133</w:t>
            </w:r>
          </w:p>
        </w:tc>
        <w:tc>
          <w:tcPr>
            <w:tcW w:w="720" w:type="dxa"/>
            <w:vAlign w:val="bottom"/>
          </w:tcPr>
          <w:p>
            <w:pPr>
              <w:jc w:val="right"/>
              <w:ind w:right="246"/>
              <w:spacing w:after="0" w:line="158" w:lineRule="exact"/>
              <w:rPr>
                <w:sz w:val="20"/>
                <w:szCs w:val="20"/>
                <w:color w:val="auto"/>
              </w:rPr>
            </w:pPr>
            <w:r>
              <w:rPr>
                <w:rFonts w:ascii="Arial" w:cs="Arial" w:eastAsia="Arial" w:hAnsi="Arial"/>
                <w:sz w:val="15"/>
                <w:szCs w:val="15"/>
                <w:color w:val="auto"/>
              </w:rPr>
              <w:t>163</w:t>
            </w:r>
          </w:p>
        </w:tc>
        <w:tc>
          <w:tcPr>
            <w:tcW w:w="1420" w:type="dxa"/>
            <w:vAlign w:val="bottom"/>
          </w:tcPr>
          <w:p>
            <w:pPr>
              <w:jc w:val="right"/>
              <w:spacing w:after="0" w:line="158" w:lineRule="exact"/>
              <w:rPr>
                <w:sz w:val="20"/>
                <w:szCs w:val="20"/>
                <w:color w:val="auto"/>
              </w:rPr>
            </w:pPr>
            <w:r>
              <w:rPr>
                <w:rFonts w:ascii="Arial" w:cs="Arial" w:eastAsia="Arial" w:hAnsi="Arial"/>
                <w:sz w:val="15"/>
                <w:szCs w:val="15"/>
                <w:color w:val="auto"/>
              </w:rPr>
              <w:t>22.1%</w:t>
            </w:r>
          </w:p>
        </w:tc>
      </w:tr>
      <w:tr>
        <w:trPr>
          <w:trHeight w:val="169"/>
        </w:trPr>
        <w:tc>
          <w:tcPr>
            <w:tcW w:w="756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Total</w:t>
            </w:r>
          </w:p>
        </w:tc>
        <w:tc>
          <w:tcPr>
            <w:tcW w:w="1720" w:type="dxa"/>
            <w:vAlign w:val="bottom"/>
            <w:tcBorders>
              <w:bottom w:val="single" w:sz="8" w:color="auto"/>
            </w:tcBorders>
          </w:tcPr>
          <w:p>
            <w:pPr>
              <w:jc w:val="right"/>
              <w:ind w:right="1246"/>
              <w:spacing w:after="0" w:line="162" w:lineRule="exact"/>
              <w:rPr>
                <w:sz w:val="20"/>
                <w:szCs w:val="20"/>
                <w:color w:val="auto"/>
              </w:rPr>
            </w:pPr>
            <w:r>
              <w:rPr>
                <w:rFonts w:ascii="Arial" w:cs="Arial" w:eastAsia="Arial" w:hAnsi="Arial"/>
                <w:sz w:val="15"/>
                <w:szCs w:val="15"/>
                <w:b w:val="1"/>
                <w:bCs w:val="1"/>
                <w:color w:val="auto"/>
              </w:rPr>
              <w:t>3,861</w:t>
            </w:r>
          </w:p>
        </w:tc>
        <w:tc>
          <w:tcPr>
            <w:tcW w:w="720" w:type="dxa"/>
            <w:vAlign w:val="bottom"/>
            <w:tcBorders>
              <w:bottom w:val="single" w:sz="8" w:color="auto"/>
            </w:tcBorders>
          </w:tcPr>
          <w:p>
            <w:pPr>
              <w:jc w:val="right"/>
              <w:ind w:right="246"/>
              <w:spacing w:after="0" w:line="162" w:lineRule="exact"/>
              <w:rPr>
                <w:sz w:val="20"/>
                <w:szCs w:val="20"/>
                <w:color w:val="auto"/>
              </w:rPr>
            </w:pPr>
            <w:r>
              <w:rPr>
                <w:rFonts w:ascii="Arial" w:cs="Arial" w:eastAsia="Arial" w:hAnsi="Arial"/>
                <w:sz w:val="15"/>
                <w:szCs w:val="15"/>
                <w:b w:val="1"/>
                <w:bCs w:val="1"/>
                <w:color w:val="auto"/>
              </w:rPr>
              <w:t>4,488</w:t>
            </w:r>
          </w:p>
        </w:tc>
        <w:tc>
          <w:tcPr>
            <w:tcW w:w="14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16.2%</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 BCP Consolidated without BCB, daily averages balance.</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The evolution of BCP’s loan portfolio denotes a clear focus on the growth and development of the retail banking business, which is bringing about a restructuring of the portfolio increasing the weight of segments that are more profitable, and also offer the greatest growth potential.</w:t>
      </w:r>
    </w:p>
    <w:p>
      <w:pPr>
        <w:spacing w:after="0" w:line="18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At December 2005, total loans (calculated on the basis of daily averages) grew by 16.2% with respect to the same period of the previous year. During the same period, retail banking loans grew 27%, observing sustained growth in loans to SMEs (by 26.9%), mortgages (by 27.8%), consumer loans (by 29%) and credit cards (by 22.1%) .</w:t>
      </w:r>
    </w:p>
    <w:p>
      <w:pPr>
        <w:spacing w:after="0" w:line="18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This growth was driven by an increase in corporate loans of 9.7%, loans to the middle market of 13.0% and 27% in retail banking loans.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Contingent Credits and Managed Funds</w:t>
      </w:r>
    </w:p>
    <w:p>
      <w:pPr>
        <w:spacing w:after="0" w:line="206"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color w:val="auto"/>
        </w:rPr>
        <w:t xml:space="preserve">As of December 31, 2005 </w:t>
      </w:r>
      <w:r>
        <w:rPr>
          <w:rFonts w:ascii="Arial" w:cs="Arial" w:eastAsia="Arial" w:hAnsi="Arial"/>
          <w:sz w:val="22"/>
          <w:szCs w:val="22"/>
          <w:b w:val="1"/>
          <w:bCs w:val="1"/>
          <w:color w:val="auto"/>
        </w:rPr>
        <w:t>contingent credits</w:t>
      </w:r>
      <w:r>
        <w:rPr>
          <w:rFonts w:ascii="Arial" w:cs="Arial" w:eastAsia="Arial" w:hAnsi="Arial"/>
          <w:sz w:val="22"/>
          <w:szCs w:val="22"/>
          <w:color w:val="auto"/>
        </w:rPr>
        <w:t xml:space="preserve"> were US$ 2.753 billion, an increase of 50.2% respect to December 31, 2004, mainly due to greater operations of forwards in foreign currency and guarantees and stand-by LCs.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6"/>
        </w:trPr>
        <w:tc>
          <w:tcPr>
            <w:tcW w:w="4420" w:type="dxa"/>
            <w:vAlign w:val="bottom"/>
            <w:tcBorders>
              <w:top w:val="single" w:sz="8" w:color="auto"/>
            </w:tcBorders>
          </w:tcPr>
          <w:p>
            <w:pPr>
              <w:spacing w:after="0"/>
              <w:rPr>
                <w:sz w:val="15"/>
                <w:szCs w:val="15"/>
                <w:color w:val="auto"/>
              </w:rPr>
            </w:pPr>
          </w:p>
        </w:tc>
        <w:tc>
          <w:tcPr>
            <w:tcW w:w="39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31.12.05 vs.</w:t>
            </w:r>
          </w:p>
        </w:tc>
      </w:tr>
      <w:tr>
        <w:trPr>
          <w:trHeight w:val="175"/>
        </w:trPr>
        <w:tc>
          <w:tcPr>
            <w:tcW w:w="442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 change and US$ millions)</w:t>
            </w:r>
          </w:p>
        </w:tc>
        <w:tc>
          <w:tcPr>
            <w:tcW w:w="392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b w:val="1"/>
                <w:bCs w:val="1"/>
                <w:color w:val="auto"/>
              </w:rPr>
              <w:t>31.12.04</w:t>
            </w:r>
          </w:p>
        </w:tc>
        <w:tc>
          <w:tcPr>
            <w:tcW w:w="1660" w:type="dxa"/>
            <w:vAlign w:val="bottom"/>
            <w:tcBorders>
              <w:bottom w:val="single" w:sz="8" w:color="auto"/>
            </w:tcBorders>
          </w:tcPr>
          <w:p>
            <w:pPr>
              <w:jc w:val="right"/>
              <w:ind w:right="706"/>
              <w:spacing w:after="0"/>
              <w:rPr>
                <w:sz w:val="20"/>
                <w:szCs w:val="20"/>
                <w:color w:val="auto"/>
              </w:rPr>
            </w:pPr>
            <w:r>
              <w:rPr>
                <w:rFonts w:ascii="Arial" w:cs="Arial" w:eastAsia="Arial" w:hAnsi="Arial"/>
                <w:sz w:val="15"/>
                <w:szCs w:val="15"/>
                <w:b w:val="1"/>
                <w:bCs w:val="1"/>
                <w:color w:val="auto"/>
              </w:rPr>
              <w:t>31.12.05</w:t>
            </w:r>
          </w:p>
        </w:tc>
        <w:tc>
          <w:tcPr>
            <w:tcW w:w="142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31.12.04</w:t>
            </w:r>
          </w:p>
        </w:tc>
      </w:tr>
      <w:tr>
        <w:trPr>
          <w:trHeight w:val="160"/>
        </w:trPr>
        <w:tc>
          <w:tcPr>
            <w:tcW w:w="4420" w:type="dxa"/>
            <w:vAlign w:val="bottom"/>
          </w:tcPr>
          <w:p>
            <w:pPr>
              <w:spacing w:after="0" w:line="160" w:lineRule="exact"/>
              <w:rPr>
                <w:sz w:val="20"/>
                <w:szCs w:val="20"/>
                <w:color w:val="auto"/>
              </w:rPr>
            </w:pPr>
            <w:r>
              <w:rPr>
                <w:rFonts w:ascii="Arial" w:cs="Arial" w:eastAsia="Arial" w:hAnsi="Arial"/>
                <w:sz w:val="15"/>
                <w:szCs w:val="15"/>
                <w:color w:val="auto"/>
              </w:rPr>
              <w:t>- Guarantees and Stand-by LCs</w:t>
            </w:r>
          </w:p>
        </w:tc>
        <w:tc>
          <w:tcPr>
            <w:tcW w:w="3920" w:type="dxa"/>
            <w:vAlign w:val="bottom"/>
          </w:tcPr>
          <w:p>
            <w:pPr>
              <w:jc w:val="right"/>
              <w:ind w:right="306"/>
              <w:spacing w:after="0" w:line="160" w:lineRule="exact"/>
              <w:rPr>
                <w:sz w:val="20"/>
                <w:szCs w:val="20"/>
                <w:color w:val="auto"/>
              </w:rPr>
            </w:pPr>
            <w:r>
              <w:rPr>
                <w:rFonts w:ascii="Arial" w:cs="Arial" w:eastAsia="Arial" w:hAnsi="Arial"/>
                <w:sz w:val="15"/>
                <w:szCs w:val="15"/>
                <w:color w:val="auto"/>
              </w:rPr>
              <w:t>598</w:t>
            </w:r>
          </w:p>
        </w:tc>
        <w:tc>
          <w:tcPr>
            <w:tcW w:w="1660" w:type="dxa"/>
            <w:vAlign w:val="bottom"/>
          </w:tcPr>
          <w:p>
            <w:pPr>
              <w:jc w:val="right"/>
              <w:ind w:right="246"/>
              <w:spacing w:after="0" w:line="160" w:lineRule="exact"/>
              <w:rPr>
                <w:sz w:val="20"/>
                <w:szCs w:val="20"/>
                <w:color w:val="auto"/>
              </w:rPr>
            </w:pPr>
            <w:r>
              <w:rPr>
                <w:rFonts w:ascii="Arial" w:cs="Arial" w:eastAsia="Arial" w:hAnsi="Arial"/>
                <w:sz w:val="15"/>
                <w:szCs w:val="15"/>
                <w:color w:val="auto"/>
              </w:rPr>
              <w:t>727</w:t>
            </w:r>
          </w:p>
        </w:tc>
        <w:tc>
          <w:tcPr>
            <w:tcW w:w="1420" w:type="dxa"/>
            <w:vAlign w:val="bottom"/>
          </w:tcPr>
          <w:p>
            <w:pPr>
              <w:jc w:val="right"/>
              <w:spacing w:after="0" w:line="160" w:lineRule="exact"/>
              <w:rPr>
                <w:sz w:val="20"/>
                <w:szCs w:val="20"/>
                <w:color w:val="auto"/>
              </w:rPr>
            </w:pPr>
            <w:r>
              <w:rPr>
                <w:rFonts w:ascii="Arial" w:cs="Arial" w:eastAsia="Arial" w:hAnsi="Arial"/>
                <w:sz w:val="15"/>
                <w:szCs w:val="15"/>
                <w:color w:val="auto"/>
              </w:rPr>
              <w:t>21.6%</w:t>
            </w:r>
          </w:p>
        </w:tc>
      </w:tr>
      <w:tr>
        <w:trPr>
          <w:trHeight w:val="162"/>
        </w:trPr>
        <w:tc>
          <w:tcPr>
            <w:tcW w:w="4420" w:type="dxa"/>
            <w:vAlign w:val="bottom"/>
          </w:tcPr>
          <w:p>
            <w:pPr>
              <w:spacing w:after="0" w:line="162" w:lineRule="exact"/>
              <w:rPr>
                <w:sz w:val="20"/>
                <w:szCs w:val="20"/>
                <w:color w:val="auto"/>
              </w:rPr>
            </w:pPr>
            <w:r>
              <w:rPr>
                <w:rFonts w:ascii="Arial" w:cs="Arial" w:eastAsia="Arial" w:hAnsi="Arial"/>
                <w:sz w:val="15"/>
                <w:szCs w:val="15"/>
                <w:color w:val="auto"/>
              </w:rPr>
              <w:t>- Letters of Credit</w:t>
            </w:r>
          </w:p>
        </w:tc>
        <w:tc>
          <w:tcPr>
            <w:tcW w:w="392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226</w:t>
            </w:r>
          </w:p>
        </w:tc>
        <w:tc>
          <w:tcPr>
            <w:tcW w:w="1660" w:type="dxa"/>
            <w:vAlign w:val="bottom"/>
          </w:tcPr>
          <w:p>
            <w:pPr>
              <w:jc w:val="right"/>
              <w:ind w:right="246"/>
              <w:spacing w:after="0" w:line="162" w:lineRule="exact"/>
              <w:rPr>
                <w:sz w:val="20"/>
                <w:szCs w:val="20"/>
                <w:color w:val="auto"/>
              </w:rPr>
            </w:pPr>
            <w:r>
              <w:rPr>
                <w:rFonts w:ascii="Arial" w:cs="Arial" w:eastAsia="Arial" w:hAnsi="Arial"/>
                <w:sz w:val="15"/>
                <w:szCs w:val="15"/>
                <w:color w:val="auto"/>
              </w:rPr>
              <w:t>239</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5.4%</w:t>
            </w:r>
          </w:p>
        </w:tc>
      </w:tr>
      <w:tr>
        <w:trPr>
          <w:trHeight w:val="162"/>
        </w:trPr>
        <w:tc>
          <w:tcPr>
            <w:tcW w:w="4420" w:type="dxa"/>
            <w:vAlign w:val="bottom"/>
          </w:tcPr>
          <w:p>
            <w:pPr>
              <w:spacing w:after="0" w:line="162" w:lineRule="exact"/>
              <w:rPr>
                <w:sz w:val="20"/>
                <w:szCs w:val="20"/>
                <w:color w:val="auto"/>
              </w:rPr>
            </w:pPr>
            <w:r>
              <w:rPr>
                <w:rFonts w:ascii="Arial" w:cs="Arial" w:eastAsia="Arial" w:hAnsi="Arial"/>
                <w:sz w:val="15"/>
                <w:szCs w:val="15"/>
                <w:color w:val="auto"/>
              </w:rPr>
              <w:t>- Acceptances</w:t>
            </w:r>
          </w:p>
        </w:tc>
        <w:tc>
          <w:tcPr>
            <w:tcW w:w="392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44</w:t>
            </w:r>
          </w:p>
        </w:tc>
        <w:tc>
          <w:tcPr>
            <w:tcW w:w="1660" w:type="dxa"/>
            <w:vAlign w:val="bottom"/>
          </w:tcPr>
          <w:p>
            <w:pPr>
              <w:jc w:val="right"/>
              <w:ind w:right="246"/>
              <w:spacing w:after="0" w:line="162" w:lineRule="exact"/>
              <w:rPr>
                <w:sz w:val="20"/>
                <w:szCs w:val="20"/>
                <w:color w:val="auto"/>
              </w:rPr>
            </w:pPr>
            <w:r>
              <w:rPr>
                <w:rFonts w:ascii="Arial" w:cs="Arial" w:eastAsia="Arial" w:hAnsi="Arial"/>
                <w:sz w:val="15"/>
                <w:szCs w:val="15"/>
                <w:color w:val="auto"/>
              </w:rPr>
              <w:t>45</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2.1%</w:t>
            </w:r>
          </w:p>
        </w:tc>
      </w:tr>
      <w:tr>
        <w:trPr>
          <w:trHeight w:val="162"/>
        </w:trPr>
        <w:tc>
          <w:tcPr>
            <w:tcW w:w="4420" w:type="dxa"/>
            <w:vAlign w:val="bottom"/>
          </w:tcPr>
          <w:p>
            <w:pPr>
              <w:spacing w:after="0" w:line="162" w:lineRule="exact"/>
              <w:rPr>
                <w:sz w:val="20"/>
                <w:szCs w:val="20"/>
                <w:color w:val="auto"/>
              </w:rPr>
            </w:pPr>
            <w:r>
              <w:rPr>
                <w:rFonts w:ascii="Arial" w:cs="Arial" w:eastAsia="Arial" w:hAnsi="Arial"/>
                <w:sz w:val="15"/>
                <w:szCs w:val="15"/>
                <w:color w:val="auto"/>
              </w:rPr>
              <w:t>- Foreign currency forwards</w:t>
            </w:r>
          </w:p>
        </w:tc>
        <w:tc>
          <w:tcPr>
            <w:tcW w:w="392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458</w:t>
            </w:r>
          </w:p>
        </w:tc>
        <w:tc>
          <w:tcPr>
            <w:tcW w:w="1660" w:type="dxa"/>
            <w:vAlign w:val="bottom"/>
          </w:tcPr>
          <w:p>
            <w:pPr>
              <w:jc w:val="right"/>
              <w:ind w:right="246"/>
              <w:spacing w:after="0" w:line="162" w:lineRule="exact"/>
              <w:rPr>
                <w:sz w:val="20"/>
                <w:szCs w:val="20"/>
                <w:color w:val="auto"/>
              </w:rPr>
            </w:pPr>
            <w:r>
              <w:rPr>
                <w:rFonts w:ascii="Arial" w:cs="Arial" w:eastAsia="Arial" w:hAnsi="Arial"/>
                <w:sz w:val="15"/>
                <w:szCs w:val="15"/>
                <w:color w:val="auto"/>
              </w:rPr>
              <w:t>1,167</w:t>
            </w:r>
          </w:p>
        </w:tc>
        <w:tc>
          <w:tcPr>
            <w:tcW w:w="1420" w:type="dxa"/>
            <w:vAlign w:val="bottom"/>
          </w:tcPr>
          <w:p>
            <w:pPr>
              <w:jc w:val="right"/>
              <w:spacing w:after="0" w:line="162" w:lineRule="exact"/>
              <w:rPr>
                <w:sz w:val="20"/>
                <w:szCs w:val="20"/>
                <w:color w:val="auto"/>
              </w:rPr>
            </w:pPr>
            <w:r>
              <w:rPr>
                <w:rFonts w:ascii="Arial" w:cs="Arial" w:eastAsia="Arial" w:hAnsi="Arial"/>
                <w:sz w:val="15"/>
                <w:szCs w:val="15"/>
                <w:color w:val="auto"/>
              </w:rPr>
              <w:t>154.7%</w:t>
            </w:r>
          </w:p>
        </w:tc>
      </w:tr>
      <w:tr>
        <w:trPr>
          <w:trHeight w:val="158"/>
        </w:trPr>
        <w:tc>
          <w:tcPr>
            <w:tcW w:w="4420" w:type="dxa"/>
            <w:vAlign w:val="bottom"/>
          </w:tcPr>
          <w:p>
            <w:pPr>
              <w:spacing w:after="0" w:line="158" w:lineRule="exact"/>
              <w:rPr>
                <w:sz w:val="20"/>
                <w:szCs w:val="20"/>
                <w:color w:val="auto"/>
              </w:rPr>
            </w:pPr>
            <w:r>
              <w:rPr>
                <w:rFonts w:ascii="Arial" w:cs="Arial" w:eastAsia="Arial" w:hAnsi="Arial"/>
                <w:sz w:val="15"/>
                <w:szCs w:val="15"/>
                <w:color w:val="auto"/>
              </w:rPr>
              <w:t>- Other contingent accounts</w:t>
            </w:r>
          </w:p>
        </w:tc>
        <w:tc>
          <w:tcPr>
            <w:tcW w:w="3920" w:type="dxa"/>
            <w:vAlign w:val="bottom"/>
          </w:tcPr>
          <w:p>
            <w:pPr>
              <w:jc w:val="right"/>
              <w:ind w:right="306"/>
              <w:spacing w:after="0" w:line="158" w:lineRule="exact"/>
              <w:rPr>
                <w:sz w:val="20"/>
                <w:szCs w:val="20"/>
                <w:color w:val="auto"/>
              </w:rPr>
            </w:pPr>
            <w:r>
              <w:rPr>
                <w:rFonts w:ascii="Arial" w:cs="Arial" w:eastAsia="Arial" w:hAnsi="Arial"/>
                <w:sz w:val="15"/>
                <w:szCs w:val="15"/>
                <w:color w:val="auto"/>
              </w:rPr>
              <w:t>506</w:t>
            </w:r>
          </w:p>
        </w:tc>
        <w:tc>
          <w:tcPr>
            <w:tcW w:w="1660" w:type="dxa"/>
            <w:vAlign w:val="bottom"/>
          </w:tcPr>
          <w:p>
            <w:pPr>
              <w:jc w:val="right"/>
              <w:ind w:right="246"/>
              <w:spacing w:after="0" w:line="158" w:lineRule="exact"/>
              <w:rPr>
                <w:sz w:val="20"/>
                <w:szCs w:val="20"/>
                <w:color w:val="auto"/>
              </w:rPr>
            </w:pPr>
            <w:r>
              <w:rPr>
                <w:rFonts w:ascii="Arial" w:cs="Arial" w:eastAsia="Arial" w:hAnsi="Arial"/>
                <w:sz w:val="15"/>
                <w:szCs w:val="15"/>
                <w:color w:val="auto"/>
              </w:rPr>
              <w:t>575</w:t>
            </w:r>
          </w:p>
        </w:tc>
        <w:tc>
          <w:tcPr>
            <w:tcW w:w="1420" w:type="dxa"/>
            <w:vAlign w:val="bottom"/>
          </w:tcPr>
          <w:p>
            <w:pPr>
              <w:jc w:val="right"/>
              <w:spacing w:after="0" w:line="158" w:lineRule="exact"/>
              <w:rPr>
                <w:sz w:val="20"/>
                <w:szCs w:val="20"/>
                <w:color w:val="auto"/>
              </w:rPr>
            </w:pPr>
            <w:r>
              <w:rPr>
                <w:rFonts w:ascii="Arial" w:cs="Arial" w:eastAsia="Arial" w:hAnsi="Arial"/>
                <w:sz w:val="15"/>
                <w:szCs w:val="15"/>
                <w:color w:val="auto"/>
              </w:rPr>
              <w:t>13.5%</w:t>
            </w:r>
          </w:p>
        </w:tc>
      </w:tr>
      <w:tr>
        <w:trPr>
          <w:trHeight w:val="175"/>
        </w:trPr>
        <w:tc>
          <w:tcPr>
            <w:tcW w:w="44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Contingent Credits</w:t>
            </w:r>
          </w:p>
        </w:tc>
        <w:tc>
          <w:tcPr>
            <w:tcW w:w="392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1,833</w:t>
            </w:r>
          </w:p>
        </w:tc>
        <w:tc>
          <w:tcPr>
            <w:tcW w:w="166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2,753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Share</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According to preliminary statistics from the Peruvian Banking Association (ASBANC) on the twelve operative commercial banks, including foreign operations, as of December 31, 2005 Banco de Credito’s market share continues showing solid leadership. This was 34.4% of total loans (33.6% at September 30, 2005 and 33.0% at December 31, 2004), and 37.1% of deposits (37.1% at September 30, 2005 and 35.7% at December 31, 2004).</w:t>
      </w:r>
    </w:p>
    <w:p>
      <w:pPr>
        <w:spacing w:after="0" w:line="185"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BCP’s market share in Peruvian mutual funds, through its Credifondo subsidiary, was 50.8% as of December 31, 2005 (50.3% at September 30, 2005 and 51.6% at December 31, 2004).</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QUALITY</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outstanding performance of all portfolio quality ratios has been the result of both the recovery of the economy and the Peruvian financial system, as well as the well-managed handling of credit risk and policies.</w:t>
      </w:r>
    </w:p>
    <w:p>
      <w:pPr>
        <w:spacing w:after="0" w:line="167" w:lineRule="exact"/>
        <w:rPr>
          <w:sz w:val="20"/>
          <w:szCs w:val="20"/>
          <w:color w:val="auto"/>
        </w:rPr>
      </w:pPr>
    </w:p>
    <w:p>
      <w:pPr>
        <w:jc w:val="both"/>
        <w:ind w:right="220"/>
        <w:spacing w:after="0" w:line="243"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ratio of past due loans</w:t>
      </w:r>
      <w:r>
        <w:rPr>
          <w:rFonts w:ascii="Arial" w:cs="Arial" w:eastAsia="Arial" w:hAnsi="Arial"/>
          <w:sz w:val="22"/>
          <w:szCs w:val="22"/>
          <w:color w:val="auto"/>
        </w:rPr>
        <w:t xml:space="preserve"> as a percentage of total loans improved to 1.9% in 2005 from 3.7% at December, 2004. The ratio of past due, refinanced and restructured loans as a percentage of total loans improved to 5.4% during 2005, decreasing from 9.4% in December 2004.</w:t>
      </w:r>
    </w:p>
    <w:p>
      <w:pPr>
        <w:spacing w:after="0" w:line="183"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 xml:space="preserve">The figures for both past due portfolio, and refinanced loans and balances of provisions show the significant recovery in portfolio quality. The total past due </w:t>
      </w:r>
      <w:r>
        <w:rPr>
          <w:rFonts w:ascii="Arial" w:cs="Arial" w:eastAsia="Arial" w:hAnsi="Arial"/>
          <w:sz w:val="22"/>
          <w:szCs w:val="22"/>
          <w:b w:val="1"/>
          <w:bCs w:val="1"/>
          <w:color w:val="auto"/>
        </w:rPr>
        <w:t>portfolio</w:t>
      </w:r>
      <w:r>
        <w:rPr>
          <w:rFonts w:ascii="Arial" w:cs="Arial" w:eastAsia="Arial" w:hAnsi="Arial"/>
          <w:sz w:val="22"/>
          <w:szCs w:val="22"/>
          <w:color w:val="auto"/>
        </w:rPr>
        <w:t xml:space="preserve"> as of December 31, 2005 fell 37.9% with respect to past due </w:t>
      </w:r>
      <w:r>
        <w:rPr>
          <w:rFonts w:ascii="Arial" w:cs="Arial" w:eastAsia="Arial" w:hAnsi="Arial"/>
          <w:sz w:val="22"/>
          <w:szCs w:val="22"/>
          <w:b w:val="1"/>
          <w:bCs w:val="1"/>
          <w:color w:val="auto"/>
        </w:rPr>
        <w:t>loans</w:t>
      </w:r>
      <w:r>
        <w:rPr>
          <w:rFonts w:ascii="Arial" w:cs="Arial" w:eastAsia="Arial" w:hAnsi="Arial"/>
          <w:sz w:val="22"/>
          <w:szCs w:val="22"/>
          <w:color w:val="auto"/>
        </w:rPr>
        <w:t xml:space="preserve"> at the close of the previous year.</w:t>
      </w:r>
    </w:p>
    <w:p>
      <w:pPr>
        <w:spacing w:after="0" w:line="180"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color w:val="auto"/>
        </w:rPr>
        <w:t xml:space="preserve">For the quarter, reported </w:t>
      </w:r>
      <w:r>
        <w:rPr>
          <w:rFonts w:ascii="Arial" w:cs="Arial" w:eastAsia="Arial" w:hAnsi="Arial"/>
          <w:sz w:val="22"/>
          <w:szCs w:val="22"/>
          <w:b w:val="1"/>
          <w:bCs w:val="1"/>
          <w:color w:val="auto"/>
        </w:rPr>
        <w:t>refinanced loans</w:t>
      </w:r>
      <w:r>
        <w:rPr>
          <w:rFonts w:ascii="Arial" w:cs="Arial" w:eastAsia="Arial" w:hAnsi="Arial"/>
          <w:sz w:val="22"/>
          <w:szCs w:val="22"/>
          <w:color w:val="auto"/>
        </w:rPr>
        <w:t xml:space="preserve"> had a balance of US$ 169.2 million, a decrease with respect to the US$ 233.2 million figure for 4Q04.</w:t>
      </w:r>
    </w:p>
    <w:p>
      <w:pPr>
        <w:spacing w:after="0" w:line="163" w:lineRule="exact"/>
        <w:rPr>
          <w:sz w:val="20"/>
          <w:szCs w:val="20"/>
          <w:color w:val="auto"/>
        </w:rPr>
      </w:pPr>
    </w:p>
    <w:p>
      <w:pPr>
        <w:ind w:right="280"/>
        <w:spacing w:after="0" w:line="256" w:lineRule="auto"/>
        <w:rPr>
          <w:sz w:val="20"/>
          <w:szCs w:val="20"/>
          <w:color w:val="auto"/>
        </w:rPr>
      </w:pPr>
      <w:r>
        <w:rPr>
          <w:rFonts w:ascii="Arial" w:cs="Arial" w:eastAsia="Arial" w:hAnsi="Arial"/>
          <w:sz w:val="22"/>
          <w:szCs w:val="22"/>
          <w:b w:val="1"/>
          <w:bCs w:val="1"/>
          <w:color w:val="auto"/>
        </w:rPr>
        <w:t xml:space="preserve">Provisions </w:t>
      </w:r>
      <w:r>
        <w:rPr>
          <w:rFonts w:ascii="Arial" w:cs="Arial" w:eastAsia="Arial" w:hAnsi="Arial"/>
          <w:sz w:val="22"/>
          <w:szCs w:val="22"/>
          <w:color w:val="auto"/>
        </w:rPr>
        <w:t>also fell 19.3% with respect to the December 2004 balance, mainly due to charge-offs and improvements of portfolio</w:t>
      </w:r>
      <w:r>
        <w:rPr>
          <w:rFonts w:ascii="Arial" w:cs="Arial" w:eastAsia="Arial" w:hAnsi="Arial"/>
          <w:sz w:val="22"/>
          <w:szCs w:val="22"/>
          <w:b w:val="1"/>
          <w:bCs w:val="1"/>
          <w:color w:val="auto"/>
        </w:rPr>
        <w:t xml:space="preserve"> </w:t>
      </w:r>
      <w:r>
        <w:rPr>
          <w:rFonts w:ascii="Arial" w:cs="Arial" w:eastAsia="Arial" w:hAnsi="Arial"/>
          <w:sz w:val="22"/>
          <w:szCs w:val="22"/>
          <w:color w:val="auto"/>
        </w:rPr>
        <w:t>quality.</w:t>
      </w:r>
    </w:p>
    <w:p>
      <w:pPr>
        <w:spacing w:after="0" w:line="163" w:lineRule="exact"/>
        <w:rPr>
          <w:sz w:val="20"/>
          <w:szCs w:val="20"/>
          <w:color w:val="auto"/>
        </w:rPr>
      </w:pPr>
    </w:p>
    <w:p>
      <w:pPr>
        <w:ind w:right="220"/>
        <w:spacing w:after="0" w:line="256"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coverage ratio</w:t>
      </w:r>
      <w:r>
        <w:rPr>
          <w:rFonts w:ascii="Arial" w:cs="Arial" w:eastAsia="Arial" w:hAnsi="Arial"/>
          <w:sz w:val="22"/>
          <w:szCs w:val="22"/>
          <w:color w:val="auto"/>
        </w:rPr>
        <w:t xml:space="preserve"> of loan provisions to past due loans was 207.7% at the close of the present quarter, higher than the 159.8% in 2004’s fourth quarter.</w:t>
      </w:r>
    </w:p>
    <w:p>
      <w:pPr>
        <w:spacing w:after="0" w:line="163"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color w:val="auto"/>
        </w:rPr>
        <w:t xml:space="preserve">Loans believed to be unrecoverable, fully provisioned in prior periods, were </w:t>
      </w:r>
      <w:r>
        <w:rPr>
          <w:rFonts w:ascii="Arial" w:cs="Arial" w:eastAsia="Arial" w:hAnsi="Arial"/>
          <w:sz w:val="22"/>
          <w:szCs w:val="22"/>
          <w:b w:val="1"/>
          <w:bCs w:val="1"/>
          <w:color w:val="auto"/>
        </w:rPr>
        <w:t>charged-off</w:t>
      </w:r>
      <w:r>
        <w:rPr>
          <w:rFonts w:ascii="Arial" w:cs="Arial" w:eastAsia="Arial" w:hAnsi="Arial"/>
          <w:sz w:val="22"/>
          <w:szCs w:val="22"/>
          <w:color w:val="auto"/>
        </w:rPr>
        <w:t xml:space="preserve"> during the 4Q05 in the amount of US$ 16.2 million.</w:t>
      </w:r>
    </w:p>
    <w:p>
      <w:pPr>
        <w:spacing w:after="0" w:line="163"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The portfolio classified as substandard </w:t>
      </w:r>
      <w:r>
        <w:rPr>
          <w:rFonts w:ascii="Arial" w:cs="Arial" w:eastAsia="Arial" w:hAnsi="Arial"/>
          <w:sz w:val="22"/>
          <w:szCs w:val="22"/>
          <w:color w:val="auto"/>
        </w:rPr>
        <w:t>(i.e. deficient, doubtful and loss) was 5.0% in December 2005, decreasing from the 11.5%</w:t>
      </w:r>
      <w:r>
        <w:rPr>
          <w:rFonts w:ascii="Arial" w:cs="Arial" w:eastAsia="Arial" w:hAnsi="Arial"/>
          <w:sz w:val="22"/>
          <w:szCs w:val="22"/>
          <w:b w:val="1"/>
          <w:bCs w:val="1"/>
          <w:color w:val="auto"/>
        </w:rPr>
        <w:t xml:space="preserve"> </w:t>
      </w:r>
      <w:r>
        <w:rPr>
          <w:rFonts w:ascii="Arial" w:cs="Arial" w:eastAsia="Arial" w:hAnsi="Arial"/>
          <w:sz w:val="22"/>
          <w:szCs w:val="22"/>
          <w:color w:val="auto"/>
        </w:rPr>
        <w:t>in December 2004. The loan classification according to risk category is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9"/>
        </w:trPr>
        <w:tc>
          <w:tcPr>
            <w:tcW w:w="54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color w:val="auto"/>
              </w:rPr>
              <w:t>(% of Total loans and US$ millions)</w:t>
            </w:r>
          </w:p>
        </w:tc>
        <w:tc>
          <w:tcPr>
            <w:tcW w:w="4260" w:type="dxa"/>
            <w:vAlign w:val="bottom"/>
            <w:tcBorders>
              <w:top w:val="single" w:sz="8" w:color="auto"/>
              <w:bottom w:val="single" w:sz="8" w:color="auto"/>
            </w:tcBorders>
            <w:gridSpan w:val="2"/>
          </w:tcPr>
          <w:p>
            <w:pPr>
              <w:jc w:val="right"/>
              <w:ind w:right="386"/>
              <w:spacing w:after="0"/>
              <w:rPr>
                <w:sz w:val="20"/>
                <w:szCs w:val="20"/>
                <w:color w:val="auto"/>
              </w:rPr>
            </w:pPr>
            <w:r>
              <w:rPr>
                <w:rFonts w:ascii="Arial" w:cs="Arial" w:eastAsia="Arial" w:hAnsi="Arial"/>
                <w:sz w:val="15"/>
                <w:szCs w:val="15"/>
                <w:b w:val="1"/>
                <w:bCs w:val="1"/>
                <w:color w:val="auto"/>
              </w:rPr>
              <w:t>31.12.04</w:t>
            </w:r>
          </w:p>
        </w:tc>
        <w:tc>
          <w:tcPr>
            <w:tcW w:w="3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5"/>
                <w:szCs w:val="15"/>
                <w:b w:val="1"/>
                <w:bCs w:val="1"/>
                <w:color w:val="auto"/>
              </w:rPr>
              <w:t>31.12.05</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420" w:type="dxa"/>
            <w:vAlign w:val="bottom"/>
            <w:gridSpan w:val="2"/>
          </w:tcPr>
          <w:p>
            <w:pPr>
              <w:spacing w:after="0" w:line="160" w:lineRule="exact"/>
              <w:rPr>
                <w:sz w:val="20"/>
                <w:szCs w:val="20"/>
                <w:color w:val="auto"/>
              </w:rPr>
            </w:pPr>
            <w:r>
              <w:rPr>
                <w:rFonts w:ascii="Arial" w:cs="Arial" w:eastAsia="Arial" w:hAnsi="Arial"/>
                <w:sz w:val="15"/>
                <w:szCs w:val="15"/>
                <w:color w:val="auto"/>
              </w:rPr>
              <w:t>A: Normal</w:t>
            </w:r>
          </w:p>
        </w:tc>
        <w:tc>
          <w:tcPr>
            <w:tcW w:w="4620" w:type="dxa"/>
            <w:vAlign w:val="bottom"/>
            <w:gridSpan w:val="3"/>
          </w:tcPr>
          <w:p>
            <w:pPr>
              <w:jc w:val="right"/>
              <w:ind w:right="360"/>
              <w:spacing w:after="0" w:line="160" w:lineRule="exact"/>
              <w:rPr>
                <w:sz w:val="20"/>
                <w:szCs w:val="20"/>
                <w:color w:val="auto"/>
              </w:rPr>
            </w:pPr>
            <w:r>
              <w:rPr>
                <w:rFonts w:ascii="Arial" w:cs="Arial" w:eastAsia="Arial" w:hAnsi="Arial"/>
                <w:sz w:val="15"/>
                <w:szCs w:val="15"/>
                <w:color w:val="auto"/>
              </w:rPr>
              <w:t>81.10%</w:t>
            </w:r>
          </w:p>
        </w:tc>
        <w:tc>
          <w:tcPr>
            <w:tcW w:w="138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87.50%</w:t>
            </w:r>
          </w:p>
        </w:tc>
        <w:tc>
          <w:tcPr>
            <w:tcW w:w="0" w:type="dxa"/>
            <w:vAlign w:val="bottom"/>
          </w:tcPr>
          <w:p>
            <w:pPr>
              <w:spacing w:after="0"/>
              <w:rPr>
                <w:sz w:val="1"/>
                <w:szCs w:val="1"/>
                <w:color w:val="auto"/>
              </w:rPr>
            </w:pPr>
          </w:p>
        </w:tc>
      </w:tr>
      <w:tr>
        <w:trPr>
          <w:trHeight w:val="162"/>
        </w:trPr>
        <w:tc>
          <w:tcPr>
            <w:tcW w:w="5420" w:type="dxa"/>
            <w:vAlign w:val="bottom"/>
            <w:gridSpan w:val="2"/>
          </w:tcPr>
          <w:p>
            <w:pPr>
              <w:spacing w:after="0" w:line="162" w:lineRule="exact"/>
              <w:rPr>
                <w:sz w:val="20"/>
                <w:szCs w:val="20"/>
                <w:color w:val="auto"/>
              </w:rPr>
            </w:pPr>
            <w:r>
              <w:rPr>
                <w:rFonts w:ascii="Arial" w:cs="Arial" w:eastAsia="Arial" w:hAnsi="Arial"/>
                <w:sz w:val="15"/>
                <w:szCs w:val="15"/>
                <w:color w:val="auto"/>
              </w:rPr>
              <w:t>B: Potential Problem</w:t>
            </w:r>
          </w:p>
        </w:tc>
        <w:tc>
          <w:tcPr>
            <w:tcW w:w="4620" w:type="dxa"/>
            <w:vAlign w:val="bottom"/>
            <w:gridSpan w:val="3"/>
          </w:tcPr>
          <w:p>
            <w:pPr>
              <w:jc w:val="right"/>
              <w:ind w:right="360"/>
              <w:spacing w:after="0" w:line="162" w:lineRule="exact"/>
              <w:rPr>
                <w:sz w:val="20"/>
                <w:szCs w:val="20"/>
                <w:color w:val="auto"/>
              </w:rPr>
            </w:pPr>
            <w:r>
              <w:rPr>
                <w:rFonts w:ascii="Arial" w:cs="Arial" w:eastAsia="Arial" w:hAnsi="Arial"/>
                <w:sz w:val="15"/>
                <w:szCs w:val="15"/>
                <w:color w:val="auto"/>
              </w:rPr>
              <w:t>7.40%</w:t>
            </w: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162"/>
        </w:trPr>
        <w:tc>
          <w:tcPr>
            <w:tcW w:w="5420" w:type="dxa"/>
            <w:vAlign w:val="bottom"/>
            <w:gridSpan w:val="2"/>
          </w:tcPr>
          <w:p>
            <w:pPr>
              <w:spacing w:after="0" w:line="162" w:lineRule="exact"/>
              <w:rPr>
                <w:sz w:val="20"/>
                <w:szCs w:val="20"/>
                <w:color w:val="auto"/>
              </w:rPr>
            </w:pPr>
            <w:r>
              <w:rPr>
                <w:rFonts w:ascii="Arial" w:cs="Arial" w:eastAsia="Arial" w:hAnsi="Arial"/>
                <w:sz w:val="15"/>
                <w:szCs w:val="15"/>
                <w:color w:val="auto"/>
              </w:rPr>
              <w:t>C: Deficient</w:t>
            </w:r>
          </w:p>
        </w:tc>
        <w:tc>
          <w:tcPr>
            <w:tcW w:w="4620" w:type="dxa"/>
            <w:vAlign w:val="bottom"/>
            <w:gridSpan w:val="3"/>
          </w:tcPr>
          <w:p>
            <w:pPr>
              <w:jc w:val="right"/>
              <w:ind w:right="360"/>
              <w:spacing w:after="0" w:line="162" w:lineRule="exact"/>
              <w:rPr>
                <w:sz w:val="20"/>
                <w:szCs w:val="20"/>
                <w:color w:val="auto"/>
              </w:rPr>
            </w:pPr>
            <w:r>
              <w:rPr>
                <w:rFonts w:ascii="Arial" w:cs="Arial" w:eastAsia="Arial" w:hAnsi="Arial"/>
                <w:sz w:val="15"/>
                <w:szCs w:val="15"/>
                <w:color w:val="auto"/>
              </w:rPr>
              <w:t>4.50%</w:t>
            </w: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162"/>
        </w:trPr>
        <w:tc>
          <w:tcPr>
            <w:tcW w:w="5420" w:type="dxa"/>
            <w:vAlign w:val="bottom"/>
            <w:gridSpan w:val="2"/>
          </w:tcPr>
          <w:p>
            <w:pPr>
              <w:spacing w:after="0" w:line="162" w:lineRule="exact"/>
              <w:rPr>
                <w:sz w:val="20"/>
                <w:szCs w:val="20"/>
                <w:color w:val="auto"/>
              </w:rPr>
            </w:pPr>
            <w:r>
              <w:rPr>
                <w:rFonts w:ascii="Arial" w:cs="Arial" w:eastAsia="Arial" w:hAnsi="Arial"/>
                <w:sz w:val="15"/>
                <w:szCs w:val="15"/>
                <w:color w:val="auto"/>
              </w:rPr>
              <w:t>D: Doubtful</w:t>
            </w:r>
          </w:p>
        </w:tc>
        <w:tc>
          <w:tcPr>
            <w:tcW w:w="4620" w:type="dxa"/>
            <w:vAlign w:val="bottom"/>
            <w:gridSpan w:val="3"/>
          </w:tcPr>
          <w:p>
            <w:pPr>
              <w:jc w:val="right"/>
              <w:ind w:right="360"/>
              <w:spacing w:after="0" w:line="162" w:lineRule="exact"/>
              <w:rPr>
                <w:sz w:val="20"/>
                <w:szCs w:val="20"/>
                <w:color w:val="auto"/>
              </w:rPr>
            </w:pPr>
            <w:r>
              <w:rPr>
                <w:rFonts w:ascii="Arial" w:cs="Arial" w:eastAsia="Arial" w:hAnsi="Arial"/>
                <w:sz w:val="15"/>
                <w:szCs w:val="15"/>
                <w:color w:val="auto"/>
              </w:rPr>
              <w:t>4.30%</w:t>
            </w: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62"/>
        </w:trPr>
        <w:tc>
          <w:tcPr>
            <w:tcW w:w="5420" w:type="dxa"/>
            <w:vAlign w:val="bottom"/>
            <w:gridSpan w:val="2"/>
          </w:tcPr>
          <w:p>
            <w:pPr>
              <w:spacing w:after="0" w:line="162" w:lineRule="exact"/>
              <w:rPr>
                <w:sz w:val="20"/>
                <w:szCs w:val="20"/>
                <w:color w:val="auto"/>
              </w:rPr>
            </w:pPr>
            <w:r>
              <w:rPr>
                <w:rFonts w:ascii="Arial" w:cs="Arial" w:eastAsia="Arial" w:hAnsi="Arial"/>
                <w:sz w:val="15"/>
                <w:szCs w:val="15"/>
                <w:color w:val="auto"/>
              </w:rPr>
              <w:t>E: Loss</w:t>
            </w:r>
          </w:p>
        </w:tc>
        <w:tc>
          <w:tcPr>
            <w:tcW w:w="4620" w:type="dxa"/>
            <w:vAlign w:val="bottom"/>
            <w:gridSpan w:val="3"/>
          </w:tcPr>
          <w:p>
            <w:pPr>
              <w:jc w:val="right"/>
              <w:ind w:right="360"/>
              <w:spacing w:after="0" w:line="162" w:lineRule="exact"/>
              <w:rPr>
                <w:sz w:val="20"/>
                <w:szCs w:val="20"/>
                <w:color w:val="auto"/>
              </w:rPr>
            </w:pPr>
            <w:r>
              <w:rPr>
                <w:rFonts w:ascii="Arial" w:cs="Arial" w:eastAsia="Arial" w:hAnsi="Arial"/>
                <w:sz w:val="15"/>
                <w:szCs w:val="15"/>
                <w:color w:val="auto"/>
              </w:rPr>
              <w:t>2.70%</w:t>
            </w: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0.90%</w:t>
            </w:r>
          </w:p>
        </w:tc>
        <w:tc>
          <w:tcPr>
            <w:tcW w:w="0" w:type="dxa"/>
            <w:vAlign w:val="bottom"/>
          </w:tcPr>
          <w:p>
            <w:pPr>
              <w:spacing w:after="0"/>
              <w:rPr>
                <w:sz w:val="1"/>
                <w:szCs w:val="1"/>
                <w:color w:val="auto"/>
              </w:rPr>
            </w:pPr>
          </w:p>
        </w:tc>
      </w:tr>
      <w:tr>
        <w:trPr>
          <w:trHeight w:val="158"/>
        </w:trPr>
        <w:tc>
          <w:tcPr>
            <w:tcW w:w="320" w:type="dxa"/>
            <w:vAlign w:val="bottom"/>
          </w:tcPr>
          <w:p>
            <w:pPr>
              <w:spacing w:after="0" w:line="158" w:lineRule="exact"/>
              <w:rPr>
                <w:sz w:val="20"/>
                <w:szCs w:val="20"/>
                <w:color w:val="auto"/>
              </w:rPr>
            </w:pPr>
            <w:r>
              <w:rPr>
                <w:rFonts w:ascii="Arial" w:cs="Arial" w:eastAsia="Arial" w:hAnsi="Arial"/>
                <w:sz w:val="15"/>
                <w:szCs w:val="15"/>
                <w:color w:val="auto"/>
                <w:w w:val="89"/>
              </w:rPr>
              <w:t>Total</w:t>
            </w:r>
          </w:p>
        </w:tc>
        <w:tc>
          <w:tcPr>
            <w:tcW w:w="51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900" w:type="dxa"/>
            <w:vAlign w:val="bottom"/>
            <w:gridSpan w:val="2"/>
          </w:tcPr>
          <w:p>
            <w:pPr>
              <w:jc w:val="right"/>
              <w:ind w:right="360"/>
              <w:spacing w:after="0" w:line="158" w:lineRule="exact"/>
              <w:rPr>
                <w:sz w:val="20"/>
                <w:szCs w:val="20"/>
                <w:color w:val="auto"/>
              </w:rPr>
            </w:pPr>
            <w:r>
              <w:rPr>
                <w:rFonts w:ascii="Arial" w:cs="Arial" w:eastAsia="Arial" w:hAnsi="Arial"/>
                <w:sz w:val="15"/>
                <w:szCs w:val="15"/>
                <w:color w:val="auto"/>
                <w:w w:val="87"/>
              </w:rPr>
              <w:t>100.</w:t>
            </w:r>
            <w:r>
              <w:rPr>
                <w:rFonts w:ascii="Arial" w:cs="Arial" w:eastAsia="Arial" w:hAnsi="Arial"/>
                <w:sz w:val="15"/>
                <w:szCs w:val="15"/>
                <w:u w:val="single" w:color="auto"/>
                <w:color w:val="auto"/>
                <w:w w:val="87"/>
              </w:rPr>
              <w:t>00%</w:t>
            </w:r>
          </w:p>
        </w:tc>
        <w:tc>
          <w:tcPr>
            <w:tcW w:w="138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00%</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100" w:type="dxa"/>
            <w:vAlign w:val="bottom"/>
            <w:vMerge w:val="restart"/>
          </w:tcPr>
          <w:p>
            <w:pPr>
              <w:ind w:left="20"/>
              <w:spacing w:after="0"/>
              <w:rPr>
                <w:sz w:val="20"/>
                <w:szCs w:val="20"/>
                <w:color w:val="auto"/>
              </w:rPr>
            </w:pPr>
            <w:r>
              <w:rPr>
                <w:rFonts w:ascii="Arial" w:cs="Arial" w:eastAsia="Arial" w:hAnsi="Arial"/>
                <w:sz w:val="15"/>
                <w:szCs w:val="15"/>
                <w:color w:val="auto"/>
              </w:rPr>
              <w:t>Loans</w:t>
            </w:r>
          </w:p>
        </w:tc>
        <w:tc>
          <w:tcPr>
            <w:tcW w:w="3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w w:val="89"/>
              </w:rPr>
              <w:t>Total</w:t>
            </w:r>
          </w:p>
        </w:tc>
        <w:tc>
          <w:tcPr>
            <w:tcW w:w="5100" w:type="dxa"/>
            <w:vAlign w:val="bottom"/>
            <w:tcBorders>
              <w:bottom w:val="single" w:sz="8" w:color="auto"/>
            </w:tcBorders>
            <w:vMerge w:val="continue"/>
          </w:tcPr>
          <w:p>
            <w:pPr>
              <w:spacing w:after="0"/>
              <w:rPr>
                <w:sz w:val="13"/>
                <w:szCs w:val="13"/>
                <w:color w:val="auto"/>
              </w:rPr>
            </w:pPr>
          </w:p>
        </w:tc>
        <w:tc>
          <w:tcPr>
            <w:tcW w:w="426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5"/>
                <w:szCs w:val="15"/>
                <w:b w:val="1"/>
                <w:bCs w:val="1"/>
                <w:color w:val="auto"/>
              </w:rPr>
              <w:t>US$4,098</w:t>
            </w: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40"/>
              <w:spacing w:after="0" w:line="156" w:lineRule="exact"/>
              <w:rPr>
                <w:sz w:val="20"/>
                <w:szCs w:val="20"/>
                <w:color w:val="auto"/>
              </w:rPr>
            </w:pPr>
            <w:r>
              <w:rPr>
                <w:rFonts w:ascii="Arial" w:cs="Arial" w:eastAsia="Arial" w:hAnsi="Arial"/>
                <w:sz w:val="15"/>
                <w:szCs w:val="15"/>
                <w:b w:val="1"/>
                <w:bCs w:val="1"/>
                <w:color w:val="auto"/>
              </w:rPr>
              <w:t>US$4,830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The total provisions at December 2005 reached US$ 28.7 million, a figure significantly lower than the approximately US$ 36 million at December of 2004. The increase in provisions during 4Q05 was due mainly to an increase in the level of loans that was observed at the close of the year and to greater provisions made in the consumer loan segment in 4Q05. These gross provisions represent approximately 7.4% of NII for the year, down from 11.5% last year.</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Below is presented the quarterly trend in loan </w:t>
      </w:r>
      <w:r>
        <w:rPr>
          <w:rFonts w:ascii="Arial" w:cs="Arial" w:eastAsia="Arial" w:hAnsi="Arial"/>
          <w:sz w:val="22"/>
          <w:szCs w:val="22"/>
          <w:b w:val="1"/>
          <w:bCs w:val="1"/>
          <w:color w:val="auto"/>
        </w:rPr>
        <w:t>provisions, net</w:t>
      </w:r>
      <w:r>
        <w:rPr>
          <w:rFonts w:ascii="Arial" w:cs="Arial" w:eastAsia="Arial" w:hAnsi="Arial"/>
          <w:sz w:val="22"/>
          <w:szCs w:val="22"/>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(In US$ millions)</w:t>
            </w:r>
          </w:p>
        </w:tc>
        <w:tc>
          <w:tcPr>
            <w:tcW w:w="268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1T05</w:t>
            </w:r>
          </w:p>
        </w:tc>
        <w:tc>
          <w:tcPr>
            <w:tcW w:w="138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b w:val="1"/>
                <w:bCs w:val="1"/>
                <w:color w:val="auto"/>
              </w:rPr>
              <w:t>2T05</w:t>
            </w:r>
          </w:p>
        </w:tc>
        <w:tc>
          <w:tcPr>
            <w:tcW w:w="136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3T05</w:t>
            </w:r>
          </w:p>
        </w:tc>
        <w:tc>
          <w:tcPr>
            <w:tcW w:w="136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4T05</w:t>
            </w:r>
          </w:p>
        </w:tc>
        <w:tc>
          <w:tcPr>
            <w:tcW w:w="106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Total</w:t>
            </w:r>
          </w:p>
        </w:tc>
      </w:tr>
      <w:tr>
        <w:trPr>
          <w:trHeight w:val="160"/>
        </w:trPr>
        <w:tc>
          <w:tcPr>
            <w:tcW w:w="3580" w:type="dxa"/>
            <w:vAlign w:val="bottom"/>
          </w:tcPr>
          <w:p>
            <w:pPr>
              <w:spacing w:after="0" w:line="160" w:lineRule="exact"/>
              <w:rPr>
                <w:sz w:val="20"/>
                <w:szCs w:val="20"/>
                <w:color w:val="auto"/>
              </w:rPr>
            </w:pPr>
            <w:r>
              <w:rPr>
                <w:rFonts w:ascii="Arial" w:cs="Arial" w:eastAsia="Arial" w:hAnsi="Arial"/>
                <w:sz w:val="15"/>
                <w:szCs w:val="15"/>
                <w:color w:val="auto"/>
              </w:rPr>
              <w:t>Provisions for loan losses</w:t>
            </w:r>
          </w:p>
        </w:tc>
        <w:tc>
          <w:tcPr>
            <w:tcW w:w="268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4.576</w:t>
            </w:r>
          </w:p>
        </w:tc>
        <w:tc>
          <w:tcPr>
            <w:tcW w:w="138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6.014</w:t>
            </w:r>
          </w:p>
        </w:tc>
        <w:tc>
          <w:tcPr>
            <w:tcW w:w="1360" w:type="dxa"/>
            <w:vAlign w:val="bottom"/>
          </w:tcPr>
          <w:p>
            <w:pPr>
              <w:jc w:val="right"/>
              <w:ind w:right="246"/>
              <w:spacing w:after="0" w:line="160" w:lineRule="exact"/>
              <w:rPr>
                <w:sz w:val="20"/>
                <w:szCs w:val="20"/>
                <w:color w:val="auto"/>
              </w:rPr>
            </w:pPr>
            <w:r>
              <w:rPr>
                <w:rFonts w:ascii="Arial" w:cs="Arial" w:eastAsia="Arial" w:hAnsi="Arial"/>
                <w:sz w:val="15"/>
                <w:szCs w:val="15"/>
                <w:color w:val="auto"/>
              </w:rPr>
              <w:t>3.638</w:t>
            </w:r>
          </w:p>
        </w:tc>
        <w:tc>
          <w:tcPr>
            <w:tcW w:w="1360" w:type="dxa"/>
            <w:vAlign w:val="bottom"/>
          </w:tcPr>
          <w:p>
            <w:pPr>
              <w:jc w:val="right"/>
              <w:ind w:right="246"/>
              <w:spacing w:after="0" w:line="160" w:lineRule="exact"/>
              <w:rPr>
                <w:sz w:val="20"/>
                <w:szCs w:val="20"/>
                <w:color w:val="auto"/>
              </w:rPr>
            </w:pPr>
            <w:r>
              <w:rPr>
                <w:rFonts w:ascii="Arial" w:cs="Arial" w:eastAsia="Arial" w:hAnsi="Arial"/>
                <w:sz w:val="15"/>
                <w:szCs w:val="15"/>
                <w:color w:val="auto"/>
              </w:rPr>
              <w:t>14.448</w:t>
            </w:r>
          </w:p>
        </w:tc>
        <w:tc>
          <w:tcPr>
            <w:tcW w:w="1060" w:type="dxa"/>
            <w:vAlign w:val="bottom"/>
          </w:tcPr>
          <w:p>
            <w:pPr>
              <w:jc w:val="right"/>
              <w:spacing w:after="0" w:line="160" w:lineRule="exact"/>
              <w:rPr>
                <w:sz w:val="20"/>
                <w:szCs w:val="20"/>
                <w:color w:val="auto"/>
              </w:rPr>
            </w:pPr>
            <w:r>
              <w:rPr>
                <w:rFonts w:ascii="Arial" w:cs="Arial" w:eastAsia="Arial" w:hAnsi="Arial"/>
                <w:sz w:val="15"/>
                <w:szCs w:val="15"/>
                <w:color w:val="auto"/>
              </w:rPr>
              <w:t>28.675</w:t>
            </w:r>
          </w:p>
        </w:tc>
      </w:tr>
      <w:tr>
        <w:trPr>
          <w:trHeight w:val="158"/>
        </w:trPr>
        <w:tc>
          <w:tcPr>
            <w:tcW w:w="3580" w:type="dxa"/>
            <w:vAlign w:val="bottom"/>
          </w:tcPr>
          <w:p>
            <w:pPr>
              <w:spacing w:after="0" w:line="158" w:lineRule="exact"/>
              <w:rPr>
                <w:sz w:val="20"/>
                <w:szCs w:val="20"/>
                <w:color w:val="auto"/>
              </w:rPr>
            </w:pPr>
            <w:r>
              <w:rPr>
                <w:rFonts w:ascii="Arial" w:cs="Arial" w:eastAsia="Arial" w:hAnsi="Arial"/>
                <w:sz w:val="15"/>
                <w:szCs w:val="15"/>
                <w:color w:val="auto"/>
              </w:rPr>
              <w:t>Recoveries of charged-offs loans</w:t>
            </w:r>
          </w:p>
        </w:tc>
        <w:tc>
          <w:tcPr>
            <w:tcW w:w="2680" w:type="dxa"/>
            <w:vAlign w:val="bottom"/>
          </w:tcPr>
          <w:p>
            <w:pPr>
              <w:jc w:val="right"/>
              <w:ind w:right="266"/>
              <w:spacing w:after="0" w:line="158" w:lineRule="exact"/>
              <w:rPr>
                <w:sz w:val="20"/>
                <w:szCs w:val="20"/>
                <w:color w:val="auto"/>
              </w:rPr>
            </w:pPr>
            <w:r>
              <w:rPr>
                <w:rFonts w:ascii="Arial" w:cs="Arial" w:eastAsia="Arial" w:hAnsi="Arial"/>
                <w:sz w:val="15"/>
                <w:szCs w:val="15"/>
                <w:color w:val="auto"/>
              </w:rPr>
              <w:t>-7.702</w:t>
            </w:r>
          </w:p>
        </w:tc>
        <w:tc>
          <w:tcPr>
            <w:tcW w:w="1380" w:type="dxa"/>
            <w:vAlign w:val="bottom"/>
          </w:tcPr>
          <w:p>
            <w:pPr>
              <w:jc w:val="right"/>
              <w:ind w:right="266"/>
              <w:spacing w:after="0" w:line="158" w:lineRule="exact"/>
              <w:rPr>
                <w:sz w:val="20"/>
                <w:szCs w:val="20"/>
                <w:color w:val="auto"/>
              </w:rPr>
            </w:pPr>
            <w:r>
              <w:rPr>
                <w:rFonts w:ascii="Arial" w:cs="Arial" w:eastAsia="Arial" w:hAnsi="Arial"/>
                <w:sz w:val="15"/>
                <w:szCs w:val="15"/>
                <w:color w:val="auto"/>
              </w:rPr>
              <w:t>-5.1</w:t>
            </w:r>
          </w:p>
        </w:tc>
        <w:tc>
          <w:tcPr>
            <w:tcW w:w="1360" w:type="dxa"/>
            <w:vAlign w:val="bottom"/>
          </w:tcPr>
          <w:p>
            <w:pPr>
              <w:jc w:val="right"/>
              <w:ind w:right="246"/>
              <w:spacing w:after="0" w:line="158" w:lineRule="exact"/>
              <w:rPr>
                <w:sz w:val="20"/>
                <w:szCs w:val="20"/>
                <w:color w:val="auto"/>
              </w:rPr>
            </w:pPr>
            <w:r>
              <w:rPr>
                <w:rFonts w:ascii="Arial" w:cs="Arial" w:eastAsia="Arial" w:hAnsi="Arial"/>
                <w:sz w:val="15"/>
                <w:szCs w:val="15"/>
                <w:color w:val="auto"/>
              </w:rPr>
              <w:t>-6.615</w:t>
            </w:r>
          </w:p>
        </w:tc>
        <w:tc>
          <w:tcPr>
            <w:tcW w:w="1360" w:type="dxa"/>
            <w:vAlign w:val="bottom"/>
          </w:tcPr>
          <w:p>
            <w:pPr>
              <w:jc w:val="right"/>
              <w:ind w:right="246"/>
              <w:spacing w:after="0" w:line="158" w:lineRule="exact"/>
              <w:rPr>
                <w:sz w:val="20"/>
                <w:szCs w:val="20"/>
                <w:color w:val="auto"/>
              </w:rPr>
            </w:pPr>
            <w:r>
              <w:rPr>
                <w:rFonts w:ascii="Arial" w:cs="Arial" w:eastAsia="Arial" w:hAnsi="Arial"/>
                <w:sz w:val="15"/>
                <w:szCs w:val="15"/>
                <w:color w:val="auto"/>
              </w:rPr>
              <w:t>-9.131</w:t>
            </w:r>
          </w:p>
        </w:tc>
        <w:tc>
          <w:tcPr>
            <w:tcW w:w="1060" w:type="dxa"/>
            <w:vAlign w:val="bottom"/>
          </w:tcPr>
          <w:p>
            <w:pPr>
              <w:jc w:val="right"/>
              <w:spacing w:after="0" w:line="158" w:lineRule="exact"/>
              <w:rPr>
                <w:sz w:val="20"/>
                <w:szCs w:val="20"/>
                <w:color w:val="auto"/>
              </w:rPr>
            </w:pPr>
            <w:r>
              <w:rPr>
                <w:rFonts w:ascii="Arial" w:cs="Arial" w:eastAsia="Arial" w:hAnsi="Arial"/>
                <w:sz w:val="15"/>
                <w:szCs w:val="15"/>
                <w:color w:val="auto"/>
              </w:rPr>
              <w:t>-28.548</w:t>
            </w:r>
          </w:p>
        </w:tc>
      </w:tr>
      <w:tr>
        <w:trPr>
          <w:trHeight w:val="175"/>
        </w:trPr>
        <w:tc>
          <w:tcPr>
            <w:tcW w:w="35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Provisions for loan losses, net</w:t>
            </w:r>
          </w:p>
        </w:tc>
        <w:tc>
          <w:tcPr>
            <w:tcW w:w="26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-3.126</w:t>
            </w:r>
          </w:p>
        </w:tc>
        <w:tc>
          <w:tcPr>
            <w:tcW w:w="13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0.913</w:t>
            </w:r>
          </w:p>
        </w:tc>
        <w:tc>
          <w:tcPr>
            <w:tcW w:w="136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-2.977</w:t>
            </w:r>
          </w:p>
        </w:tc>
        <w:tc>
          <w:tcPr>
            <w:tcW w:w="136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5.317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0.127</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ADEQUACY</w:t>
      </w:r>
    </w:p>
    <w:p>
      <w:pPr>
        <w:spacing w:after="0" w:line="212"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BCP’s capital adequacy ratios demonstrate a volume of capital that broadly exceeds the minimums demanded by Peruvian regulations and those demanded by the Basel I international standards. Peruvian regulations limit risk-weighted assets, including market-risk exposure, to a ratio of 11 to 1 (or a minimum of 9.1% of capital), while those of Basel I suggest a maximum ratio of 12.5 times (minimum of 8%).</w:t>
      </w:r>
    </w:p>
    <w:p>
      <w:pPr>
        <w:spacing w:after="0" w:line="185" w:lineRule="exact"/>
        <w:rPr>
          <w:sz w:val="20"/>
          <w:szCs w:val="20"/>
          <w:color w:val="auto"/>
        </w:rPr>
      </w:pPr>
    </w:p>
    <w:p>
      <w:pPr>
        <w:ind w:right="420"/>
        <w:spacing w:after="0"/>
        <w:rPr>
          <w:sz w:val="20"/>
          <w:szCs w:val="20"/>
          <w:color w:val="auto"/>
        </w:rPr>
      </w:pPr>
      <w:r>
        <w:rPr>
          <w:rFonts w:ascii="Arial" w:cs="Arial" w:eastAsia="Arial" w:hAnsi="Arial"/>
          <w:sz w:val="22"/>
          <w:szCs w:val="22"/>
          <w:color w:val="auto"/>
        </w:rPr>
        <w:t>At the end of the 4Q05 BCP’s unconsolidated ratio of risk-weighted assets to regulatory capital was 9.1 to 1 (11.0%), while the corresponding consolidated ratio was 8.0 to 1 (12.4%) . Both are well below the maximum determined by the regulatory organizations.</w:t>
      </w:r>
    </w:p>
    <w:p>
      <w:pPr>
        <w:spacing w:after="0" w:line="186"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As of December 31, 2005, risk-weighted assets include US$ 280.1 million of market-risk exposure, the coverage of which requires US$ 25.5 million of regulatory capital, and BCP’s consolidated regulatory capital was US$ 680.5 million, similar to that for September, which reached US$ 682.2 million. During the fourth quarter, regulatory capital includes US$ 31.3 million subordinated debt, an amount lower than the debt in December 2004, which reached US$ 39.4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9"/>
        </w:trPr>
        <w:tc>
          <w:tcPr>
            <w:tcW w:w="3420" w:type="dxa"/>
            <w:vAlign w:val="bottom"/>
            <w:tcBorders>
              <w:top w:val="single" w:sz="8" w:color="auto"/>
              <w:bottom w:val="single" w:sz="8" w:color="auto"/>
            </w:tcBorders>
          </w:tcPr>
          <w:p>
            <w:pPr>
              <w:spacing w:after="0"/>
              <w:rPr>
                <w:sz w:val="16"/>
                <w:szCs w:val="16"/>
                <w:color w:val="auto"/>
              </w:rPr>
            </w:pPr>
          </w:p>
        </w:tc>
        <w:tc>
          <w:tcPr>
            <w:tcW w:w="4100" w:type="dxa"/>
            <w:vAlign w:val="bottom"/>
            <w:tcBorders>
              <w:top w:val="single" w:sz="8" w:color="auto"/>
              <w:bottom w:val="single" w:sz="8" w:color="auto"/>
            </w:tcBorders>
            <w:gridSpan w:val="2"/>
          </w:tcPr>
          <w:p>
            <w:pPr>
              <w:jc w:val="right"/>
              <w:ind w:right="406"/>
              <w:spacing w:after="0"/>
              <w:rPr>
                <w:sz w:val="20"/>
                <w:szCs w:val="20"/>
                <w:color w:val="auto"/>
              </w:rPr>
            </w:pPr>
            <w:r>
              <w:rPr>
                <w:rFonts w:ascii="Arial" w:cs="Arial" w:eastAsia="Arial" w:hAnsi="Arial"/>
                <w:sz w:val="15"/>
                <w:szCs w:val="15"/>
                <w:b w:val="1"/>
                <w:bCs w:val="1"/>
                <w:color w:val="auto"/>
              </w:rPr>
              <w:t>BCP unconsolidated</w:t>
            </w:r>
          </w:p>
        </w:tc>
        <w:tc>
          <w:tcPr>
            <w:tcW w:w="17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BCP consolidated</w:t>
            </w:r>
          </w:p>
        </w:tc>
        <w:tc>
          <w:tcPr>
            <w:tcW w:w="1020" w:type="dxa"/>
            <w:vAlign w:val="bottom"/>
            <w:tcBorders>
              <w:top w:val="single" w:sz="8" w:color="auto"/>
              <w:bottom w:val="single" w:sz="8" w:color="auto"/>
            </w:tcBorders>
          </w:tcPr>
          <w:p>
            <w:pPr>
              <w:spacing w:after="0"/>
              <w:rPr>
                <w:sz w:val="16"/>
                <w:szCs w:val="16"/>
                <w:color w:val="auto"/>
              </w:rPr>
            </w:pPr>
          </w:p>
        </w:tc>
      </w:tr>
      <w:tr>
        <w:trPr>
          <w:trHeight w:val="169"/>
        </w:trPr>
        <w:tc>
          <w:tcPr>
            <w:tcW w:w="342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i w:val="1"/>
                <w:iCs w:val="1"/>
                <w:color w:val="auto"/>
              </w:rPr>
              <w:t>(In US$ millions)</w:t>
            </w:r>
          </w:p>
        </w:tc>
        <w:tc>
          <w:tcPr>
            <w:tcW w:w="2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31.12.04</w:t>
            </w:r>
          </w:p>
        </w:tc>
        <w:tc>
          <w:tcPr>
            <w:tcW w:w="1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31.12.05</w:t>
            </w:r>
          </w:p>
        </w:tc>
        <w:tc>
          <w:tcPr>
            <w:tcW w:w="1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31.12.04</w:t>
            </w:r>
          </w:p>
        </w:tc>
        <w:tc>
          <w:tcPr>
            <w:tcW w:w="1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6"/>
              <w:spacing w:after="0" w:line="169" w:lineRule="exact"/>
              <w:rPr>
                <w:sz w:val="20"/>
                <w:szCs w:val="20"/>
                <w:color w:val="auto"/>
              </w:rPr>
            </w:pPr>
            <w:r>
              <w:rPr>
                <w:rFonts w:ascii="Arial" w:cs="Arial" w:eastAsia="Arial" w:hAnsi="Arial"/>
                <w:sz w:val="15"/>
                <w:szCs w:val="15"/>
                <w:b w:val="1"/>
                <w:bCs w:val="1"/>
                <w:color w:val="auto"/>
                <w:w w:val="85"/>
              </w:rPr>
              <w:t>31.12.05</w:t>
            </w:r>
          </w:p>
        </w:tc>
      </w:tr>
      <w:tr>
        <w:trPr>
          <w:trHeight w:val="160"/>
        </w:trPr>
        <w:tc>
          <w:tcPr>
            <w:tcW w:w="3420" w:type="dxa"/>
            <w:vAlign w:val="bottom"/>
          </w:tcPr>
          <w:p>
            <w:pPr>
              <w:spacing w:after="0" w:line="160" w:lineRule="exact"/>
              <w:rPr>
                <w:sz w:val="20"/>
                <w:szCs w:val="20"/>
                <w:color w:val="auto"/>
              </w:rPr>
            </w:pPr>
            <w:r>
              <w:rPr>
                <w:rFonts w:ascii="Arial" w:cs="Arial" w:eastAsia="Arial" w:hAnsi="Arial"/>
                <w:sz w:val="15"/>
                <w:szCs w:val="15"/>
                <w:color w:val="auto"/>
              </w:rPr>
              <w:t>Regulatory capital</w:t>
            </w:r>
          </w:p>
        </w:tc>
        <w:tc>
          <w:tcPr>
            <w:tcW w:w="2380" w:type="dxa"/>
            <w:vAlign w:val="bottom"/>
          </w:tcPr>
          <w:p>
            <w:pPr>
              <w:spacing w:after="0"/>
              <w:rPr>
                <w:sz w:val="13"/>
                <w:szCs w:val="13"/>
                <w:color w:val="auto"/>
              </w:rPr>
            </w:pPr>
          </w:p>
        </w:tc>
        <w:tc>
          <w:tcPr>
            <w:tcW w:w="1720" w:type="dxa"/>
            <w:vAlign w:val="bottom"/>
          </w:tcPr>
          <w:p>
            <w:pPr>
              <w:jc w:val="right"/>
              <w:ind w:right="1186"/>
              <w:spacing w:after="0" w:line="160" w:lineRule="exact"/>
              <w:rPr>
                <w:sz w:val="20"/>
                <w:szCs w:val="20"/>
                <w:color w:val="auto"/>
              </w:rPr>
            </w:pPr>
            <w:r>
              <w:rPr>
                <w:rFonts w:ascii="Arial" w:cs="Arial" w:eastAsia="Arial" w:hAnsi="Arial"/>
                <w:sz w:val="15"/>
                <w:szCs w:val="15"/>
                <w:color w:val="auto"/>
              </w:rPr>
              <w:t>541.7</w:t>
            </w:r>
          </w:p>
        </w:tc>
        <w:tc>
          <w:tcPr>
            <w:tcW w:w="1720" w:type="dxa"/>
            <w:vAlign w:val="bottom"/>
          </w:tcPr>
          <w:p>
            <w:pPr>
              <w:jc w:val="right"/>
              <w:ind w:right="1186"/>
              <w:spacing w:after="0" w:line="160" w:lineRule="exact"/>
              <w:rPr>
                <w:sz w:val="20"/>
                <w:szCs w:val="20"/>
                <w:color w:val="auto"/>
              </w:rPr>
            </w:pPr>
            <w:r>
              <w:rPr>
                <w:rFonts w:ascii="Arial" w:cs="Arial" w:eastAsia="Arial" w:hAnsi="Arial"/>
                <w:sz w:val="15"/>
                <w:szCs w:val="15"/>
                <w:color w:val="auto"/>
              </w:rPr>
              <w:t>542.9</w:t>
            </w:r>
          </w:p>
        </w:tc>
        <w:tc>
          <w:tcPr>
            <w:tcW w:w="1160" w:type="dxa"/>
            <w:vAlign w:val="bottom"/>
          </w:tcPr>
          <w:p>
            <w:pPr>
              <w:jc w:val="right"/>
              <w:ind w:right="626"/>
              <w:spacing w:after="0" w:line="160" w:lineRule="exact"/>
              <w:rPr>
                <w:sz w:val="20"/>
                <w:szCs w:val="20"/>
                <w:color w:val="auto"/>
              </w:rPr>
            </w:pPr>
            <w:r>
              <w:rPr>
                <w:rFonts w:ascii="Arial" w:cs="Arial" w:eastAsia="Arial" w:hAnsi="Arial"/>
                <w:sz w:val="15"/>
                <w:szCs w:val="15"/>
                <w:color w:val="auto"/>
              </w:rPr>
              <w:t>665.6</w:t>
            </w:r>
          </w:p>
        </w:tc>
        <w:tc>
          <w:tcPr>
            <w:tcW w:w="1020" w:type="dxa"/>
            <w:vAlign w:val="bottom"/>
          </w:tcPr>
          <w:p>
            <w:pPr>
              <w:jc w:val="right"/>
              <w:spacing w:after="0" w:line="160" w:lineRule="exact"/>
              <w:rPr>
                <w:sz w:val="20"/>
                <w:szCs w:val="20"/>
                <w:color w:val="auto"/>
              </w:rPr>
            </w:pPr>
            <w:r>
              <w:rPr>
                <w:rFonts w:ascii="Arial" w:cs="Arial" w:eastAsia="Arial" w:hAnsi="Arial"/>
                <w:sz w:val="15"/>
                <w:szCs w:val="15"/>
                <w:color w:val="auto"/>
              </w:rPr>
              <w:t>680.5</w:t>
            </w:r>
          </w:p>
        </w:tc>
      </w:tr>
      <w:tr>
        <w:trPr>
          <w:trHeight w:val="162"/>
        </w:trPr>
        <w:tc>
          <w:tcPr>
            <w:tcW w:w="3420" w:type="dxa"/>
            <w:vAlign w:val="bottom"/>
          </w:tcPr>
          <w:p>
            <w:pPr>
              <w:spacing w:after="0" w:line="162" w:lineRule="exact"/>
              <w:rPr>
                <w:sz w:val="20"/>
                <w:szCs w:val="20"/>
                <w:color w:val="auto"/>
              </w:rPr>
            </w:pPr>
            <w:r>
              <w:rPr>
                <w:rFonts w:ascii="Arial" w:cs="Arial" w:eastAsia="Arial" w:hAnsi="Arial"/>
                <w:sz w:val="15"/>
                <w:szCs w:val="15"/>
                <w:color w:val="auto"/>
              </w:rPr>
              <w:t>Risk weighted assets</w:t>
            </w:r>
          </w:p>
        </w:tc>
        <w:tc>
          <w:tcPr>
            <w:tcW w:w="2380" w:type="dxa"/>
            <w:vAlign w:val="bottom"/>
          </w:tcPr>
          <w:p>
            <w:pPr>
              <w:spacing w:after="0"/>
              <w:rPr>
                <w:sz w:val="14"/>
                <w:szCs w:val="14"/>
                <w:color w:val="auto"/>
              </w:rPr>
            </w:pPr>
          </w:p>
        </w:tc>
        <w:tc>
          <w:tcPr>
            <w:tcW w:w="1720" w:type="dxa"/>
            <w:vAlign w:val="bottom"/>
          </w:tcPr>
          <w:p>
            <w:pPr>
              <w:jc w:val="right"/>
              <w:ind w:right="1186"/>
              <w:spacing w:after="0" w:line="162" w:lineRule="exact"/>
              <w:rPr>
                <w:sz w:val="20"/>
                <w:szCs w:val="20"/>
                <w:color w:val="auto"/>
              </w:rPr>
            </w:pPr>
            <w:r>
              <w:rPr>
                <w:rFonts w:ascii="Arial" w:cs="Arial" w:eastAsia="Arial" w:hAnsi="Arial"/>
                <w:sz w:val="15"/>
                <w:szCs w:val="15"/>
                <w:color w:val="auto"/>
                <w:w w:val="87"/>
              </w:rPr>
              <w:t>4,176.1</w:t>
            </w:r>
          </w:p>
        </w:tc>
        <w:tc>
          <w:tcPr>
            <w:tcW w:w="1720" w:type="dxa"/>
            <w:vAlign w:val="bottom"/>
          </w:tcPr>
          <w:p>
            <w:pPr>
              <w:jc w:val="right"/>
              <w:ind w:right="1186"/>
              <w:spacing w:after="0" w:line="162" w:lineRule="exact"/>
              <w:rPr>
                <w:sz w:val="20"/>
                <w:szCs w:val="20"/>
                <w:color w:val="auto"/>
              </w:rPr>
            </w:pPr>
            <w:r>
              <w:rPr>
                <w:rFonts w:ascii="Arial" w:cs="Arial" w:eastAsia="Arial" w:hAnsi="Arial"/>
                <w:sz w:val="15"/>
                <w:szCs w:val="15"/>
                <w:color w:val="auto"/>
                <w:w w:val="87"/>
              </w:rPr>
              <w:t>4,974.8</w:t>
            </w:r>
          </w:p>
        </w:tc>
        <w:tc>
          <w:tcPr>
            <w:tcW w:w="1160" w:type="dxa"/>
            <w:vAlign w:val="bottom"/>
          </w:tcPr>
          <w:p>
            <w:pPr>
              <w:jc w:val="right"/>
              <w:ind w:right="626"/>
              <w:spacing w:after="0" w:line="162" w:lineRule="exact"/>
              <w:rPr>
                <w:sz w:val="20"/>
                <w:szCs w:val="20"/>
                <w:color w:val="auto"/>
              </w:rPr>
            </w:pPr>
            <w:r>
              <w:rPr>
                <w:rFonts w:ascii="Arial" w:cs="Arial" w:eastAsia="Arial" w:hAnsi="Arial"/>
                <w:sz w:val="15"/>
                <w:szCs w:val="15"/>
                <w:color w:val="auto"/>
                <w:w w:val="87"/>
              </w:rPr>
              <w:t>4,626.2</w:t>
            </w: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5,477.3</w:t>
            </w:r>
          </w:p>
        </w:tc>
      </w:tr>
      <w:tr>
        <w:trPr>
          <w:trHeight w:val="162"/>
        </w:trPr>
        <w:tc>
          <w:tcPr>
            <w:tcW w:w="3420" w:type="dxa"/>
            <w:vAlign w:val="bottom"/>
          </w:tcPr>
          <w:p>
            <w:pPr>
              <w:spacing w:after="0" w:line="162" w:lineRule="exact"/>
              <w:rPr>
                <w:sz w:val="20"/>
                <w:szCs w:val="20"/>
                <w:color w:val="auto"/>
              </w:rPr>
            </w:pPr>
            <w:r>
              <w:rPr>
                <w:rFonts w:ascii="Arial" w:cs="Arial" w:eastAsia="Arial" w:hAnsi="Arial"/>
                <w:sz w:val="15"/>
                <w:szCs w:val="15"/>
                <w:color w:val="auto"/>
              </w:rPr>
              <w:t>Weighted assets / Capital</w:t>
            </w:r>
          </w:p>
        </w:tc>
        <w:tc>
          <w:tcPr>
            <w:tcW w:w="2380" w:type="dxa"/>
            <w:vAlign w:val="bottom"/>
          </w:tcPr>
          <w:p>
            <w:pPr>
              <w:spacing w:after="0"/>
              <w:rPr>
                <w:sz w:val="14"/>
                <w:szCs w:val="14"/>
                <w:color w:val="auto"/>
              </w:rPr>
            </w:pPr>
          </w:p>
        </w:tc>
        <w:tc>
          <w:tcPr>
            <w:tcW w:w="1720" w:type="dxa"/>
            <w:vAlign w:val="bottom"/>
          </w:tcPr>
          <w:p>
            <w:pPr>
              <w:jc w:val="right"/>
              <w:ind w:right="1186"/>
              <w:spacing w:after="0" w:line="162" w:lineRule="exact"/>
              <w:rPr>
                <w:sz w:val="20"/>
                <w:szCs w:val="20"/>
                <w:color w:val="auto"/>
              </w:rPr>
            </w:pPr>
            <w:r>
              <w:rPr>
                <w:rFonts w:ascii="Arial" w:cs="Arial" w:eastAsia="Arial" w:hAnsi="Arial"/>
                <w:sz w:val="15"/>
                <w:szCs w:val="15"/>
                <w:color w:val="auto"/>
              </w:rPr>
              <w:t>7.7</w:t>
            </w:r>
          </w:p>
        </w:tc>
        <w:tc>
          <w:tcPr>
            <w:tcW w:w="1720" w:type="dxa"/>
            <w:vAlign w:val="bottom"/>
          </w:tcPr>
          <w:p>
            <w:pPr>
              <w:jc w:val="right"/>
              <w:ind w:right="1186"/>
              <w:spacing w:after="0" w:line="162" w:lineRule="exact"/>
              <w:rPr>
                <w:sz w:val="20"/>
                <w:szCs w:val="20"/>
                <w:color w:val="auto"/>
              </w:rPr>
            </w:pPr>
            <w:r>
              <w:rPr>
                <w:rFonts w:ascii="Arial" w:cs="Arial" w:eastAsia="Arial" w:hAnsi="Arial"/>
                <w:sz w:val="15"/>
                <w:szCs w:val="15"/>
                <w:color w:val="auto"/>
              </w:rPr>
              <w:t>9.1</w:t>
            </w:r>
          </w:p>
        </w:tc>
        <w:tc>
          <w:tcPr>
            <w:tcW w:w="116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6.9</w:t>
            </w: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8.0</w:t>
            </w:r>
          </w:p>
        </w:tc>
      </w:tr>
      <w:tr>
        <w:trPr>
          <w:trHeight w:val="171"/>
        </w:trPr>
        <w:tc>
          <w:tcPr>
            <w:tcW w:w="342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Capital / Weighted Assets</w:t>
            </w:r>
          </w:p>
        </w:tc>
        <w:tc>
          <w:tcPr>
            <w:tcW w:w="2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1186"/>
              <w:spacing w:after="0" w:line="172" w:lineRule="exact"/>
              <w:rPr>
                <w:sz w:val="20"/>
                <w:szCs w:val="20"/>
                <w:color w:val="auto"/>
              </w:rPr>
            </w:pPr>
            <w:r>
              <w:rPr>
                <w:rFonts w:ascii="Arial" w:cs="Arial" w:eastAsia="Arial" w:hAnsi="Arial"/>
                <w:sz w:val="15"/>
                <w:szCs w:val="15"/>
                <w:color w:val="auto"/>
              </w:rPr>
              <w:t>13.0%</w:t>
            </w:r>
          </w:p>
        </w:tc>
        <w:tc>
          <w:tcPr>
            <w:tcW w:w="1720" w:type="dxa"/>
            <w:vAlign w:val="bottom"/>
            <w:tcBorders>
              <w:bottom w:val="single" w:sz="8" w:color="auto"/>
            </w:tcBorders>
          </w:tcPr>
          <w:p>
            <w:pPr>
              <w:jc w:val="right"/>
              <w:ind w:right="1186"/>
              <w:spacing w:after="0" w:line="172" w:lineRule="exact"/>
              <w:rPr>
                <w:sz w:val="20"/>
                <w:szCs w:val="20"/>
                <w:color w:val="auto"/>
              </w:rPr>
            </w:pPr>
            <w:r>
              <w:rPr>
                <w:rFonts w:ascii="Arial" w:cs="Arial" w:eastAsia="Arial" w:hAnsi="Arial"/>
                <w:sz w:val="15"/>
                <w:szCs w:val="15"/>
                <w:color w:val="auto"/>
              </w:rPr>
              <w:t>11.0%</w:t>
            </w:r>
          </w:p>
        </w:tc>
        <w:tc>
          <w:tcPr>
            <w:tcW w:w="1160" w:type="dxa"/>
            <w:vAlign w:val="bottom"/>
            <w:tcBorders>
              <w:bottom w:val="single" w:sz="8" w:color="auto"/>
            </w:tcBorders>
          </w:tcPr>
          <w:p>
            <w:pPr>
              <w:jc w:val="right"/>
              <w:ind w:right="626"/>
              <w:spacing w:after="0" w:line="172" w:lineRule="exact"/>
              <w:rPr>
                <w:sz w:val="20"/>
                <w:szCs w:val="20"/>
                <w:color w:val="auto"/>
              </w:rPr>
            </w:pPr>
            <w:r>
              <w:rPr>
                <w:rFonts w:ascii="Arial" w:cs="Arial" w:eastAsia="Arial" w:hAnsi="Arial"/>
                <w:sz w:val="15"/>
                <w:szCs w:val="15"/>
                <w:color w:val="auto"/>
              </w:rPr>
              <w:t>14.4%</w:t>
            </w: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12.4%</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5" w:name="page36"/>
    <w:bookmarkEnd w:id="35"/>
    <w:p>
      <w:pPr>
        <w:ind w:left="5240"/>
        <w:spacing w:after="0"/>
        <w:rPr>
          <w:sz w:val="20"/>
          <w:szCs w:val="20"/>
          <w:color w:val="auto"/>
        </w:rPr>
      </w:pPr>
      <w:r>
        <w:rPr>
          <w:rFonts w:ascii="Arial" w:cs="Arial" w:eastAsia="Arial" w:hAnsi="Arial"/>
          <w:sz w:val="22"/>
          <w:szCs w:val="22"/>
          <w:b w:val="1"/>
          <w:bCs w:val="1"/>
          <w:color w:val="auto"/>
        </w:rPr>
        <w:t>Section IV</w:t>
      </w:r>
    </w:p>
    <w:p>
      <w:pPr>
        <w:spacing w:after="0" w:line="207"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EXHIBIT 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COMPLEMENTARY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Classifications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Pacific Credit Ratings and Apoyo y Asociados Internacionales.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Issue</w:t>
            </w:r>
          </w:p>
        </w:tc>
        <w:tc>
          <w:tcPr>
            <w:tcW w:w="3640" w:type="dxa"/>
            <w:vAlign w:val="bottom"/>
            <w:tcBorders>
              <w:bottom w:val="single" w:sz="8" w:color="auto"/>
            </w:tcBorders>
          </w:tcPr>
          <w:p>
            <w:pPr>
              <w:ind w:left="1620"/>
              <w:spacing w:after="0"/>
              <w:rPr>
                <w:sz w:val="20"/>
                <w:szCs w:val="20"/>
                <w:color w:val="auto"/>
              </w:rPr>
            </w:pPr>
            <w:r>
              <w:rPr>
                <w:rFonts w:ascii="Arial" w:cs="Arial" w:eastAsia="Arial" w:hAnsi="Arial"/>
                <w:sz w:val="15"/>
                <w:szCs w:val="15"/>
                <w:b w:val="1"/>
                <w:bCs w:val="1"/>
                <w:color w:val="auto"/>
              </w:rPr>
              <w:t>PCR</w:t>
            </w:r>
          </w:p>
        </w:tc>
        <w:tc>
          <w:tcPr>
            <w:tcW w:w="5040" w:type="dxa"/>
            <w:vAlign w:val="bottom"/>
            <w:tcBorders>
              <w:bottom w:val="single" w:sz="8" w:color="auto"/>
            </w:tcBorders>
          </w:tcPr>
          <w:p>
            <w:pPr>
              <w:ind w:left="1620"/>
              <w:spacing w:after="0"/>
              <w:rPr>
                <w:sz w:val="20"/>
                <w:szCs w:val="20"/>
                <w:color w:val="auto"/>
              </w:rPr>
            </w:pPr>
            <w:r>
              <w:rPr>
                <w:rFonts w:ascii="Arial" w:cs="Arial" w:eastAsia="Arial" w:hAnsi="Arial"/>
                <w:sz w:val="15"/>
                <w:szCs w:val="15"/>
                <w:b w:val="1"/>
                <w:bCs w:val="1"/>
                <w:color w:val="auto"/>
              </w:rPr>
              <w:t>Apoyo</w:t>
            </w:r>
          </w:p>
        </w:tc>
      </w:tr>
      <w:tr>
        <w:trPr>
          <w:trHeight w:val="322"/>
        </w:trPr>
        <w:tc>
          <w:tcPr>
            <w:tcW w:w="2740" w:type="dxa"/>
            <w:vAlign w:val="bottom"/>
          </w:tcPr>
          <w:p>
            <w:pPr>
              <w:spacing w:after="0"/>
              <w:rPr>
                <w:sz w:val="20"/>
                <w:szCs w:val="20"/>
                <w:color w:val="auto"/>
              </w:rPr>
            </w:pPr>
            <w:r>
              <w:rPr>
                <w:rFonts w:ascii="Arial" w:cs="Arial" w:eastAsia="Arial" w:hAnsi="Arial"/>
                <w:sz w:val="15"/>
                <w:szCs w:val="15"/>
                <w:color w:val="auto"/>
              </w:rPr>
              <w:t>Common Stock</w:t>
            </w:r>
          </w:p>
        </w:tc>
        <w:tc>
          <w:tcPr>
            <w:tcW w:w="3640" w:type="dxa"/>
            <w:vAlign w:val="bottom"/>
          </w:tcPr>
          <w:p>
            <w:pPr>
              <w:ind w:left="1620"/>
              <w:spacing w:after="0"/>
              <w:rPr>
                <w:sz w:val="20"/>
                <w:szCs w:val="20"/>
                <w:color w:val="auto"/>
              </w:rPr>
            </w:pPr>
            <w:r>
              <w:rPr>
                <w:rFonts w:ascii="Arial" w:cs="Arial" w:eastAsia="Arial" w:hAnsi="Arial"/>
                <w:sz w:val="15"/>
                <w:szCs w:val="15"/>
                <w:color w:val="auto"/>
              </w:rPr>
              <w:t>PCN-1</w:t>
            </w:r>
          </w:p>
        </w:tc>
        <w:tc>
          <w:tcPr>
            <w:tcW w:w="5040" w:type="dxa"/>
            <w:vAlign w:val="bottom"/>
          </w:tcPr>
          <w:p>
            <w:pPr>
              <w:ind w:left="1620"/>
              <w:spacing w:after="0"/>
              <w:rPr>
                <w:sz w:val="20"/>
                <w:szCs w:val="20"/>
                <w:color w:val="auto"/>
              </w:rPr>
            </w:pPr>
            <w:r>
              <w:rPr>
                <w:rFonts w:ascii="Arial" w:cs="Arial" w:eastAsia="Arial" w:hAnsi="Arial"/>
                <w:sz w:val="15"/>
                <w:szCs w:val="15"/>
                <w:color w:val="auto"/>
              </w:rPr>
              <w:t>1ª</w:t>
            </w:r>
          </w:p>
        </w:tc>
      </w:tr>
      <w:tr>
        <w:trPr>
          <w:trHeight w:val="188"/>
        </w:trPr>
        <w:tc>
          <w:tcPr>
            <w:tcW w:w="2740" w:type="dxa"/>
            <w:vAlign w:val="bottom"/>
          </w:tcPr>
          <w:p>
            <w:pPr>
              <w:spacing w:after="0"/>
              <w:rPr>
                <w:sz w:val="20"/>
                <w:szCs w:val="20"/>
                <w:color w:val="auto"/>
              </w:rPr>
            </w:pPr>
            <w:r>
              <w:rPr>
                <w:rFonts w:ascii="Arial" w:cs="Arial" w:eastAsia="Arial" w:hAnsi="Arial"/>
                <w:sz w:val="15"/>
                <w:szCs w:val="15"/>
                <w:color w:val="auto"/>
              </w:rPr>
              <w:t>Corporative Bonds</w:t>
            </w:r>
          </w:p>
        </w:tc>
        <w:tc>
          <w:tcPr>
            <w:tcW w:w="3640" w:type="dxa"/>
            <w:vAlign w:val="bottom"/>
          </w:tcPr>
          <w:p>
            <w:pPr>
              <w:ind w:left="1620"/>
              <w:spacing w:after="0"/>
              <w:rPr>
                <w:sz w:val="20"/>
                <w:szCs w:val="20"/>
                <w:color w:val="auto"/>
              </w:rPr>
            </w:pPr>
            <w:r>
              <w:rPr>
                <w:rFonts w:ascii="Arial" w:cs="Arial" w:eastAsia="Arial" w:hAnsi="Arial"/>
                <w:sz w:val="15"/>
                <w:szCs w:val="15"/>
                <w:color w:val="auto"/>
              </w:rPr>
              <w:t>BB-</w:t>
            </w:r>
          </w:p>
        </w:tc>
        <w:tc>
          <w:tcPr>
            <w:tcW w:w="5040" w:type="dxa"/>
            <w:vAlign w:val="bottom"/>
          </w:tcPr>
          <w:p>
            <w:pPr>
              <w:ind w:left="1620"/>
              <w:spacing w:after="0"/>
              <w:rPr>
                <w:sz w:val="20"/>
                <w:szCs w:val="20"/>
                <w:color w:val="auto"/>
              </w:rPr>
            </w:pPr>
            <w:r>
              <w:rPr>
                <w:rFonts w:ascii="Arial" w:cs="Arial" w:eastAsia="Arial" w:hAnsi="Arial"/>
                <w:sz w:val="15"/>
                <w:szCs w:val="15"/>
                <w:color w:val="auto"/>
              </w:rPr>
              <w:t>BB-</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Shares</w:t>
      </w:r>
    </w:p>
    <w:p>
      <w:pPr>
        <w:spacing w:after="0" w:line="212" w:lineRule="exact"/>
        <w:rPr>
          <w:sz w:val="20"/>
          <w:szCs w:val="20"/>
          <w:color w:val="auto"/>
        </w:rPr>
      </w:pPr>
    </w:p>
    <w:p>
      <w:pPr>
        <w:ind w:right="440"/>
        <w:spacing w:after="0"/>
        <w:rPr>
          <w:sz w:val="20"/>
          <w:szCs w:val="20"/>
          <w:color w:val="auto"/>
        </w:rPr>
      </w:pPr>
      <w:r>
        <w:rPr>
          <w:rFonts w:ascii="Arial" w:cs="Arial" w:eastAsia="Arial" w:hAnsi="Arial"/>
          <w:sz w:val="22"/>
          <w:szCs w:val="22"/>
          <w:color w:val="auto"/>
        </w:rPr>
        <w:t>Credicorp’s common shares are traded on the New York Stock Exchange (NYSE) and the Lima stock exchange. The following chart shows, for the periods indicated, the high, low and closing prices on the NYSE. The common shares are quoted in U.S. Dollars on both the NYSE and the Lima stock exchange.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CREDICORP LTD.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NYSE 2005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40" w:type="dxa"/>
            <w:vAlign w:val="bottom"/>
            <w:tcBorders>
              <w:top w:val="single" w:sz="8" w:color="auto"/>
              <w:bottom w:val="single" w:sz="8" w:color="auto"/>
            </w:tcBorders>
            <w:vMerge w:val="restart"/>
          </w:tcPr>
          <w:p>
            <w:pPr>
              <w:ind w:left="580"/>
              <w:spacing w:after="0"/>
              <w:rPr>
                <w:sz w:val="20"/>
                <w:szCs w:val="20"/>
                <w:color w:val="auto"/>
              </w:rPr>
            </w:pPr>
            <w:r>
              <w:rPr>
                <w:rFonts w:ascii="Arial" w:cs="Arial" w:eastAsia="Arial" w:hAnsi="Arial"/>
                <w:sz w:val="15"/>
                <w:szCs w:val="15"/>
                <w:b w:val="1"/>
                <w:bCs w:val="1"/>
                <w:color w:val="auto"/>
              </w:rPr>
              <w:t>Cusip Number</w:t>
            </w:r>
          </w:p>
        </w:tc>
        <w:tc>
          <w:tcPr>
            <w:tcW w:w="1400" w:type="dxa"/>
            <w:vAlign w:val="bottom"/>
            <w:tcBorders>
              <w:top w:val="single" w:sz="8" w:color="auto"/>
              <w:bottom w:val="single" w:sz="8" w:color="auto"/>
            </w:tcBorders>
            <w:vMerge w:val="restart"/>
          </w:tcPr>
          <w:p>
            <w:pPr>
              <w:jc w:val="center"/>
              <w:ind w:left="146"/>
              <w:spacing w:after="0"/>
              <w:rPr>
                <w:sz w:val="20"/>
                <w:szCs w:val="20"/>
                <w:color w:val="auto"/>
              </w:rPr>
            </w:pPr>
            <w:r>
              <w:rPr>
                <w:rFonts w:ascii="Arial" w:cs="Arial" w:eastAsia="Arial" w:hAnsi="Arial"/>
                <w:sz w:val="15"/>
                <w:szCs w:val="15"/>
                <w:b w:val="1"/>
                <w:bCs w:val="1"/>
                <w:color w:val="auto"/>
                <w:w w:val="94"/>
              </w:rPr>
              <w:t>Ticker</w:t>
            </w:r>
          </w:p>
        </w:tc>
        <w:tc>
          <w:tcPr>
            <w:tcW w:w="1720" w:type="dxa"/>
            <w:vAlign w:val="bottom"/>
            <w:tcBorders>
              <w:top w:val="single" w:sz="8" w:color="auto"/>
              <w:bottom w:val="single" w:sz="8" w:color="auto"/>
            </w:tcBorders>
            <w:vMerge w:val="restart"/>
          </w:tcPr>
          <w:p>
            <w:pPr>
              <w:jc w:val="right"/>
              <w:ind w:right="366"/>
              <w:spacing w:after="0"/>
              <w:rPr>
                <w:sz w:val="20"/>
                <w:szCs w:val="20"/>
                <w:color w:val="auto"/>
              </w:rPr>
            </w:pPr>
            <w:r>
              <w:rPr>
                <w:rFonts w:ascii="Arial" w:cs="Arial" w:eastAsia="Arial" w:hAnsi="Arial"/>
                <w:sz w:val="15"/>
                <w:szCs w:val="15"/>
                <w:b w:val="1"/>
                <w:bCs w:val="1"/>
                <w:color w:val="auto"/>
              </w:rPr>
              <w:t>Period-Month</w:t>
            </w:r>
          </w:p>
        </w:tc>
        <w:tc>
          <w:tcPr>
            <w:tcW w:w="2700" w:type="dxa"/>
            <w:vAlign w:val="bottom"/>
            <w:tcBorders>
              <w:top w:val="single" w:sz="8" w:color="auto"/>
              <w:bottom w:val="single" w:sz="8" w:color="auto"/>
            </w:tcBorders>
            <w:gridSpan w:val="2"/>
          </w:tcPr>
          <w:p>
            <w:pPr>
              <w:jc w:val="right"/>
              <w:ind w:right="46"/>
              <w:spacing w:after="0"/>
              <w:rPr>
                <w:sz w:val="20"/>
                <w:szCs w:val="20"/>
                <w:color w:val="auto"/>
              </w:rPr>
            </w:pPr>
            <w:r>
              <w:rPr>
                <w:rFonts w:ascii="Arial" w:cs="Arial" w:eastAsia="Arial" w:hAnsi="Arial"/>
                <w:sz w:val="15"/>
                <w:szCs w:val="15"/>
                <w:b w:val="1"/>
                <w:bCs w:val="1"/>
                <w:color w:val="auto"/>
              </w:rPr>
              <w:t>Q U O T A T I O N 2005</w:t>
            </w:r>
          </w:p>
        </w:tc>
        <w:tc>
          <w:tcPr>
            <w:tcW w:w="10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vMerge w:val="restart"/>
          </w:tcPr>
          <w:p>
            <w:pPr>
              <w:jc w:val="right"/>
              <w:ind w:right="106"/>
              <w:spacing w:after="0"/>
              <w:rPr>
                <w:sz w:val="20"/>
                <w:szCs w:val="20"/>
                <w:color w:val="auto"/>
              </w:rPr>
            </w:pPr>
            <w:r>
              <w:rPr>
                <w:rFonts w:ascii="Arial" w:cs="Arial" w:eastAsia="Arial" w:hAnsi="Arial"/>
                <w:sz w:val="15"/>
                <w:szCs w:val="15"/>
                <w:b w:val="1"/>
                <w:bCs w:val="1"/>
                <w:color w:val="auto"/>
              </w:rPr>
              <w:t>Average ($)</w:t>
            </w:r>
          </w:p>
        </w:tc>
        <w:tc>
          <w:tcPr>
            <w:tcW w:w="0" w:type="dxa"/>
            <w:vAlign w:val="bottom"/>
          </w:tcPr>
          <w:p>
            <w:pPr>
              <w:spacing w:after="0"/>
              <w:rPr>
                <w:sz w:val="1"/>
                <w:szCs w:val="1"/>
                <w:color w:val="auto"/>
              </w:rPr>
            </w:pPr>
          </w:p>
        </w:tc>
      </w:tr>
      <w:tr>
        <w:trPr>
          <w:trHeight w:val="92"/>
        </w:trPr>
        <w:tc>
          <w:tcPr>
            <w:tcW w:w="214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280" w:type="dxa"/>
            <w:vAlign w:val="bottom"/>
            <w:vMerge w:val="restart"/>
          </w:tcPr>
          <w:p>
            <w:pPr>
              <w:jc w:val="right"/>
              <w:ind w:right="386"/>
              <w:spacing w:after="0" w:line="169" w:lineRule="exact"/>
              <w:rPr>
                <w:sz w:val="20"/>
                <w:szCs w:val="20"/>
                <w:color w:val="auto"/>
              </w:rPr>
            </w:pPr>
            <w:r>
              <w:rPr>
                <w:rFonts w:ascii="Arial" w:cs="Arial" w:eastAsia="Arial" w:hAnsi="Arial"/>
                <w:sz w:val="15"/>
                <w:szCs w:val="15"/>
                <w:b w:val="1"/>
                <w:bCs w:val="1"/>
                <w:color w:val="auto"/>
              </w:rPr>
              <w:t>Open ($)</w:t>
            </w:r>
          </w:p>
        </w:tc>
        <w:tc>
          <w:tcPr>
            <w:tcW w:w="1420" w:type="dxa"/>
            <w:vAlign w:val="bottom"/>
            <w:vMerge w:val="restart"/>
          </w:tcPr>
          <w:p>
            <w:pPr>
              <w:jc w:val="right"/>
              <w:ind w:right="526"/>
              <w:spacing w:after="0" w:line="169" w:lineRule="exact"/>
              <w:rPr>
                <w:sz w:val="20"/>
                <w:szCs w:val="20"/>
                <w:color w:val="auto"/>
              </w:rPr>
            </w:pPr>
            <w:r>
              <w:rPr>
                <w:rFonts w:ascii="Arial" w:cs="Arial" w:eastAsia="Arial" w:hAnsi="Arial"/>
                <w:sz w:val="15"/>
                <w:szCs w:val="15"/>
                <w:b w:val="1"/>
                <w:bCs w:val="1"/>
                <w:color w:val="auto"/>
              </w:rPr>
              <w:t>Close ($)</w:t>
            </w:r>
          </w:p>
        </w:tc>
        <w:tc>
          <w:tcPr>
            <w:tcW w:w="1040" w:type="dxa"/>
            <w:vAlign w:val="bottom"/>
            <w:vMerge w:val="restart"/>
          </w:tcPr>
          <w:p>
            <w:pPr>
              <w:ind w:left="140"/>
              <w:spacing w:after="0" w:line="169" w:lineRule="exact"/>
              <w:rPr>
                <w:sz w:val="20"/>
                <w:szCs w:val="20"/>
                <w:color w:val="auto"/>
              </w:rPr>
            </w:pPr>
            <w:r>
              <w:rPr>
                <w:rFonts w:ascii="Arial" w:cs="Arial" w:eastAsia="Arial" w:hAnsi="Arial"/>
                <w:sz w:val="15"/>
                <w:szCs w:val="15"/>
                <w:b w:val="1"/>
                <w:bCs w:val="1"/>
                <w:color w:val="auto"/>
              </w:rPr>
              <w:t>High ($)</w:t>
            </w:r>
          </w:p>
        </w:tc>
        <w:tc>
          <w:tcPr>
            <w:tcW w:w="1100" w:type="dxa"/>
            <w:vAlign w:val="bottom"/>
            <w:vMerge w:val="restart"/>
          </w:tcPr>
          <w:p>
            <w:pPr>
              <w:jc w:val="right"/>
              <w:ind w:right="166"/>
              <w:spacing w:after="0" w:line="169" w:lineRule="exact"/>
              <w:rPr>
                <w:sz w:val="20"/>
                <w:szCs w:val="20"/>
                <w:color w:val="auto"/>
              </w:rPr>
            </w:pPr>
            <w:r>
              <w:rPr>
                <w:rFonts w:ascii="Arial" w:cs="Arial" w:eastAsia="Arial" w:hAnsi="Arial"/>
                <w:sz w:val="15"/>
                <w:szCs w:val="15"/>
                <w:b w:val="1"/>
                <w:bCs w:val="1"/>
                <w:color w:val="auto"/>
              </w:rPr>
              <w:t>Low ($)</w:t>
            </w: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1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140" w:type="dxa"/>
            <w:vAlign w:val="bottom"/>
          </w:tcPr>
          <w:p>
            <w:pPr>
              <w:spacing w:after="0" w:line="160" w:lineRule="exact"/>
              <w:rPr>
                <w:sz w:val="20"/>
                <w:szCs w:val="20"/>
                <w:color w:val="auto"/>
              </w:rPr>
            </w:pPr>
            <w:r>
              <w:rPr>
                <w:rFonts w:ascii="Arial" w:cs="Arial" w:eastAsia="Arial" w:hAnsi="Arial"/>
                <w:sz w:val="15"/>
                <w:szCs w:val="15"/>
                <w:color w:val="auto"/>
              </w:rPr>
              <w:t>BMG2519Y1084</w:t>
            </w:r>
          </w:p>
        </w:tc>
        <w:tc>
          <w:tcPr>
            <w:tcW w:w="1400" w:type="dxa"/>
            <w:vAlign w:val="bottom"/>
          </w:tcPr>
          <w:p>
            <w:pPr>
              <w:jc w:val="center"/>
              <w:ind w:left="106"/>
              <w:spacing w:after="0" w:line="160" w:lineRule="exact"/>
              <w:rPr>
                <w:sz w:val="20"/>
                <w:szCs w:val="20"/>
                <w:color w:val="auto"/>
              </w:rPr>
            </w:pPr>
            <w:r>
              <w:rPr>
                <w:rFonts w:ascii="Arial" w:cs="Arial" w:eastAsia="Arial" w:hAnsi="Arial"/>
                <w:sz w:val="15"/>
                <w:szCs w:val="15"/>
                <w:color w:val="auto"/>
                <w:w w:val="99"/>
              </w:rPr>
              <w:t>BAP</w:t>
            </w:r>
          </w:p>
        </w:tc>
        <w:tc>
          <w:tcPr>
            <w:tcW w:w="1720" w:type="dxa"/>
            <w:vAlign w:val="bottom"/>
          </w:tcPr>
          <w:p>
            <w:pPr>
              <w:jc w:val="right"/>
              <w:ind w:right="186"/>
              <w:spacing w:after="0" w:line="160" w:lineRule="exact"/>
              <w:rPr>
                <w:sz w:val="20"/>
                <w:szCs w:val="20"/>
                <w:color w:val="auto"/>
              </w:rPr>
            </w:pPr>
            <w:r>
              <w:rPr>
                <w:rFonts w:ascii="Arial" w:cs="Arial" w:eastAsia="Arial" w:hAnsi="Arial"/>
                <w:sz w:val="15"/>
                <w:szCs w:val="15"/>
                <w:color w:val="auto"/>
              </w:rPr>
              <w:t>2005-1</w:t>
            </w:r>
          </w:p>
        </w:tc>
        <w:tc>
          <w:tcPr>
            <w:tcW w:w="1280" w:type="dxa"/>
            <w:vAlign w:val="bottom"/>
          </w:tcPr>
          <w:p>
            <w:pPr>
              <w:jc w:val="right"/>
              <w:ind w:right="166"/>
              <w:spacing w:after="0" w:line="160" w:lineRule="exact"/>
              <w:rPr>
                <w:sz w:val="20"/>
                <w:szCs w:val="20"/>
                <w:color w:val="auto"/>
              </w:rPr>
            </w:pPr>
            <w:r>
              <w:rPr>
                <w:rFonts w:ascii="Arial" w:cs="Arial" w:eastAsia="Arial" w:hAnsi="Arial"/>
                <w:sz w:val="15"/>
                <w:szCs w:val="15"/>
                <w:color w:val="auto"/>
              </w:rPr>
              <w:t>15.63</w:t>
            </w:r>
          </w:p>
        </w:tc>
        <w:tc>
          <w:tcPr>
            <w:tcW w:w="1420" w:type="dxa"/>
            <w:vAlign w:val="bottom"/>
          </w:tcPr>
          <w:p>
            <w:pPr>
              <w:jc w:val="right"/>
              <w:ind w:right="306"/>
              <w:spacing w:after="0" w:line="160" w:lineRule="exact"/>
              <w:rPr>
                <w:sz w:val="20"/>
                <w:szCs w:val="20"/>
                <w:color w:val="auto"/>
              </w:rPr>
            </w:pPr>
            <w:r>
              <w:rPr>
                <w:rFonts w:ascii="Arial" w:cs="Arial" w:eastAsia="Arial" w:hAnsi="Arial"/>
                <w:sz w:val="15"/>
                <w:szCs w:val="15"/>
                <w:color w:val="auto"/>
              </w:rPr>
              <w:t>17.60</w:t>
            </w:r>
          </w:p>
        </w:tc>
        <w:tc>
          <w:tcPr>
            <w:tcW w:w="1040" w:type="dxa"/>
            <w:vAlign w:val="bottom"/>
          </w:tcPr>
          <w:p>
            <w:pPr>
              <w:ind w:left="120"/>
              <w:spacing w:after="0" w:line="160" w:lineRule="exact"/>
              <w:rPr>
                <w:sz w:val="20"/>
                <w:szCs w:val="20"/>
                <w:color w:val="auto"/>
              </w:rPr>
            </w:pPr>
            <w:r>
              <w:rPr>
                <w:rFonts w:ascii="Arial" w:cs="Arial" w:eastAsia="Arial" w:hAnsi="Arial"/>
                <w:sz w:val="15"/>
                <w:szCs w:val="15"/>
                <w:color w:val="auto"/>
              </w:rPr>
              <w:t>17.60</w:t>
            </w:r>
          </w:p>
        </w:tc>
        <w:tc>
          <w:tcPr>
            <w:tcW w:w="1100" w:type="dxa"/>
            <w:vAlign w:val="bottom"/>
          </w:tcPr>
          <w:p>
            <w:pPr>
              <w:jc w:val="right"/>
              <w:spacing w:after="0" w:line="160" w:lineRule="exact"/>
              <w:rPr>
                <w:sz w:val="20"/>
                <w:szCs w:val="20"/>
                <w:color w:val="auto"/>
              </w:rPr>
            </w:pPr>
            <w:r>
              <w:rPr>
                <w:rFonts w:ascii="Arial" w:cs="Arial" w:eastAsia="Arial" w:hAnsi="Arial"/>
                <w:sz w:val="15"/>
                <w:szCs w:val="15"/>
                <w:color w:val="auto"/>
              </w:rPr>
              <w:t>15.60</w:t>
            </w:r>
          </w:p>
        </w:tc>
        <w:tc>
          <w:tcPr>
            <w:tcW w:w="1320" w:type="dxa"/>
            <w:vAlign w:val="bottom"/>
          </w:tcPr>
          <w:p>
            <w:pPr>
              <w:jc w:val="right"/>
              <w:spacing w:after="0" w:line="160" w:lineRule="exact"/>
              <w:rPr>
                <w:sz w:val="20"/>
                <w:szCs w:val="20"/>
                <w:color w:val="auto"/>
              </w:rPr>
            </w:pPr>
            <w:r>
              <w:rPr>
                <w:rFonts w:ascii="Arial" w:cs="Arial" w:eastAsia="Arial" w:hAnsi="Arial"/>
                <w:sz w:val="15"/>
                <w:szCs w:val="15"/>
                <w:color w:val="auto"/>
              </w:rPr>
              <w:t>16.16</w:t>
            </w:r>
          </w:p>
        </w:tc>
        <w:tc>
          <w:tcPr>
            <w:tcW w:w="0" w:type="dxa"/>
            <w:vAlign w:val="bottom"/>
          </w:tcPr>
          <w:p>
            <w:pPr>
              <w:spacing w:after="0"/>
              <w:rPr>
                <w:sz w:val="1"/>
                <w:szCs w:val="1"/>
                <w:color w:val="auto"/>
              </w:rPr>
            </w:pPr>
          </w:p>
        </w:tc>
      </w:tr>
      <w:tr>
        <w:trPr>
          <w:trHeight w:val="162"/>
        </w:trPr>
        <w:tc>
          <w:tcPr>
            <w:tcW w:w="2140" w:type="dxa"/>
            <w:vAlign w:val="bottom"/>
          </w:tcPr>
          <w:p>
            <w:pPr>
              <w:spacing w:after="0" w:line="162" w:lineRule="exact"/>
              <w:rPr>
                <w:sz w:val="20"/>
                <w:szCs w:val="20"/>
                <w:color w:val="auto"/>
              </w:rPr>
            </w:pPr>
            <w:r>
              <w:rPr>
                <w:rFonts w:ascii="Arial" w:cs="Arial" w:eastAsia="Arial" w:hAnsi="Arial"/>
                <w:sz w:val="15"/>
                <w:szCs w:val="15"/>
                <w:color w:val="auto"/>
              </w:rPr>
              <w:t>BMG2519Y1084</w:t>
            </w:r>
          </w:p>
        </w:tc>
        <w:tc>
          <w:tcPr>
            <w:tcW w:w="1400" w:type="dxa"/>
            <w:vAlign w:val="bottom"/>
          </w:tcPr>
          <w:p>
            <w:pPr>
              <w:jc w:val="center"/>
              <w:ind w:left="106"/>
              <w:spacing w:after="0" w:line="162" w:lineRule="exact"/>
              <w:rPr>
                <w:sz w:val="20"/>
                <w:szCs w:val="20"/>
                <w:color w:val="auto"/>
              </w:rPr>
            </w:pPr>
            <w:r>
              <w:rPr>
                <w:rFonts w:ascii="Arial" w:cs="Arial" w:eastAsia="Arial" w:hAnsi="Arial"/>
                <w:sz w:val="15"/>
                <w:szCs w:val="15"/>
                <w:color w:val="auto"/>
                <w:w w:val="99"/>
              </w:rPr>
              <w:t>BAP</w:t>
            </w:r>
          </w:p>
        </w:tc>
        <w:tc>
          <w:tcPr>
            <w:tcW w:w="17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2005-2</w:t>
            </w:r>
          </w:p>
        </w:tc>
        <w:tc>
          <w:tcPr>
            <w:tcW w:w="128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17.63</w:t>
            </w:r>
          </w:p>
        </w:tc>
        <w:tc>
          <w:tcPr>
            <w:tcW w:w="142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18.95</w:t>
            </w:r>
          </w:p>
        </w:tc>
        <w:tc>
          <w:tcPr>
            <w:tcW w:w="1040" w:type="dxa"/>
            <w:vAlign w:val="bottom"/>
          </w:tcPr>
          <w:p>
            <w:pPr>
              <w:ind w:left="120"/>
              <w:spacing w:after="0" w:line="162" w:lineRule="exact"/>
              <w:rPr>
                <w:sz w:val="20"/>
                <w:szCs w:val="20"/>
                <w:color w:val="auto"/>
              </w:rPr>
            </w:pPr>
            <w:r>
              <w:rPr>
                <w:rFonts w:ascii="Arial" w:cs="Arial" w:eastAsia="Arial" w:hAnsi="Arial"/>
                <w:sz w:val="15"/>
                <w:szCs w:val="15"/>
                <w:color w:val="auto"/>
              </w:rPr>
              <w:t>18.95</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17.12</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17.96</w:t>
            </w:r>
          </w:p>
        </w:tc>
        <w:tc>
          <w:tcPr>
            <w:tcW w:w="0" w:type="dxa"/>
            <w:vAlign w:val="bottom"/>
          </w:tcPr>
          <w:p>
            <w:pPr>
              <w:spacing w:after="0"/>
              <w:rPr>
                <w:sz w:val="1"/>
                <w:szCs w:val="1"/>
                <w:color w:val="auto"/>
              </w:rPr>
            </w:pPr>
          </w:p>
        </w:tc>
      </w:tr>
      <w:tr>
        <w:trPr>
          <w:trHeight w:val="162"/>
        </w:trPr>
        <w:tc>
          <w:tcPr>
            <w:tcW w:w="2140" w:type="dxa"/>
            <w:vAlign w:val="bottom"/>
          </w:tcPr>
          <w:p>
            <w:pPr>
              <w:spacing w:after="0" w:line="162" w:lineRule="exact"/>
              <w:rPr>
                <w:sz w:val="20"/>
                <w:szCs w:val="20"/>
                <w:color w:val="auto"/>
              </w:rPr>
            </w:pPr>
            <w:r>
              <w:rPr>
                <w:rFonts w:ascii="Arial" w:cs="Arial" w:eastAsia="Arial" w:hAnsi="Arial"/>
                <w:sz w:val="15"/>
                <w:szCs w:val="15"/>
                <w:color w:val="auto"/>
              </w:rPr>
              <w:t>BMG2519Y1084</w:t>
            </w:r>
          </w:p>
        </w:tc>
        <w:tc>
          <w:tcPr>
            <w:tcW w:w="1400" w:type="dxa"/>
            <w:vAlign w:val="bottom"/>
          </w:tcPr>
          <w:p>
            <w:pPr>
              <w:jc w:val="center"/>
              <w:ind w:left="106"/>
              <w:spacing w:after="0" w:line="162" w:lineRule="exact"/>
              <w:rPr>
                <w:sz w:val="20"/>
                <w:szCs w:val="20"/>
                <w:color w:val="auto"/>
              </w:rPr>
            </w:pPr>
            <w:r>
              <w:rPr>
                <w:rFonts w:ascii="Arial" w:cs="Arial" w:eastAsia="Arial" w:hAnsi="Arial"/>
                <w:sz w:val="15"/>
                <w:szCs w:val="15"/>
                <w:color w:val="auto"/>
                <w:w w:val="99"/>
              </w:rPr>
              <w:t>BAP</w:t>
            </w:r>
          </w:p>
        </w:tc>
        <w:tc>
          <w:tcPr>
            <w:tcW w:w="17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2005-3</w:t>
            </w:r>
          </w:p>
        </w:tc>
        <w:tc>
          <w:tcPr>
            <w:tcW w:w="128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18.99</w:t>
            </w:r>
          </w:p>
        </w:tc>
        <w:tc>
          <w:tcPr>
            <w:tcW w:w="142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17.15</w:t>
            </w:r>
          </w:p>
        </w:tc>
        <w:tc>
          <w:tcPr>
            <w:tcW w:w="1040" w:type="dxa"/>
            <w:vAlign w:val="bottom"/>
          </w:tcPr>
          <w:p>
            <w:pPr>
              <w:ind w:left="120"/>
              <w:spacing w:after="0" w:line="162" w:lineRule="exact"/>
              <w:rPr>
                <w:sz w:val="20"/>
                <w:szCs w:val="20"/>
                <w:color w:val="auto"/>
              </w:rPr>
            </w:pPr>
            <w:r>
              <w:rPr>
                <w:rFonts w:ascii="Arial" w:cs="Arial" w:eastAsia="Arial" w:hAnsi="Arial"/>
                <w:sz w:val="15"/>
                <w:szCs w:val="15"/>
                <w:color w:val="auto"/>
              </w:rPr>
              <w:t>19.20</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17.06</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18.14</w:t>
            </w:r>
          </w:p>
        </w:tc>
        <w:tc>
          <w:tcPr>
            <w:tcW w:w="0" w:type="dxa"/>
            <w:vAlign w:val="bottom"/>
          </w:tcPr>
          <w:p>
            <w:pPr>
              <w:spacing w:after="0"/>
              <w:rPr>
                <w:sz w:val="1"/>
                <w:szCs w:val="1"/>
                <w:color w:val="auto"/>
              </w:rPr>
            </w:pPr>
          </w:p>
        </w:tc>
      </w:tr>
      <w:tr>
        <w:trPr>
          <w:trHeight w:val="162"/>
        </w:trPr>
        <w:tc>
          <w:tcPr>
            <w:tcW w:w="2140" w:type="dxa"/>
            <w:vAlign w:val="bottom"/>
          </w:tcPr>
          <w:p>
            <w:pPr>
              <w:spacing w:after="0" w:line="162" w:lineRule="exact"/>
              <w:rPr>
                <w:sz w:val="20"/>
                <w:szCs w:val="20"/>
                <w:color w:val="auto"/>
              </w:rPr>
            </w:pPr>
            <w:r>
              <w:rPr>
                <w:rFonts w:ascii="Arial" w:cs="Arial" w:eastAsia="Arial" w:hAnsi="Arial"/>
                <w:sz w:val="15"/>
                <w:szCs w:val="15"/>
                <w:color w:val="auto"/>
              </w:rPr>
              <w:t>BMG2519Y1084</w:t>
            </w:r>
          </w:p>
        </w:tc>
        <w:tc>
          <w:tcPr>
            <w:tcW w:w="1400" w:type="dxa"/>
            <w:vAlign w:val="bottom"/>
          </w:tcPr>
          <w:p>
            <w:pPr>
              <w:jc w:val="center"/>
              <w:ind w:left="106"/>
              <w:spacing w:after="0" w:line="162" w:lineRule="exact"/>
              <w:rPr>
                <w:sz w:val="20"/>
                <w:szCs w:val="20"/>
                <w:color w:val="auto"/>
              </w:rPr>
            </w:pPr>
            <w:r>
              <w:rPr>
                <w:rFonts w:ascii="Arial" w:cs="Arial" w:eastAsia="Arial" w:hAnsi="Arial"/>
                <w:sz w:val="15"/>
                <w:szCs w:val="15"/>
                <w:color w:val="auto"/>
                <w:w w:val="99"/>
              </w:rPr>
              <w:t>BAP</w:t>
            </w:r>
          </w:p>
        </w:tc>
        <w:tc>
          <w:tcPr>
            <w:tcW w:w="17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2005-4</w:t>
            </w:r>
          </w:p>
        </w:tc>
        <w:tc>
          <w:tcPr>
            <w:tcW w:w="128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17.40</w:t>
            </w:r>
          </w:p>
        </w:tc>
        <w:tc>
          <w:tcPr>
            <w:tcW w:w="142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17.44</w:t>
            </w:r>
          </w:p>
        </w:tc>
        <w:tc>
          <w:tcPr>
            <w:tcW w:w="1040" w:type="dxa"/>
            <w:vAlign w:val="bottom"/>
          </w:tcPr>
          <w:p>
            <w:pPr>
              <w:ind w:left="120"/>
              <w:spacing w:after="0" w:line="162" w:lineRule="exact"/>
              <w:rPr>
                <w:sz w:val="20"/>
                <w:szCs w:val="20"/>
                <w:color w:val="auto"/>
              </w:rPr>
            </w:pPr>
            <w:r>
              <w:rPr>
                <w:rFonts w:ascii="Arial" w:cs="Arial" w:eastAsia="Arial" w:hAnsi="Arial"/>
                <w:sz w:val="15"/>
                <w:szCs w:val="15"/>
                <w:color w:val="auto"/>
              </w:rPr>
              <w:t>18.50</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17.30</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17.85</w:t>
            </w:r>
          </w:p>
        </w:tc>
        <w:tc>
          <w:tcPr>
            <w:tcW w:w="0" w:type="dxa"/>
            <w:vAlign w:val="bottom"/>
          </w:tcPr>
          <w:p>
            <w:pPr>
              <w:spacing w:after="0"/>
              <w:rPr>
                <w:sz w:val="1"/>
                <w:szCs w:val="1"/>
                <w:color w:val="auto"/>
              </w:rPr>
            </w:pPr>
          </w:p>
        </w:tc>
      </w:tr>
      <w:tr>
        <w:trPr>
          <w:trHeight w:val="162"/>
        </w:trPr>
        <w:tc>
          <w:tcPr>
            <w:tcW w:w="2140" w:type="dxa"/>
            <w:vAlign w:val="bottom"/>
          </w:tcPr>
          <w:p>
            <w:pPr>
              <w:spacing w:after="0" w:line="162" w:lineRule="exact"/>
              <w:rPr>
                <w:sz w:val="20"/>
                <w:szCs w:val="20"/>
                <w:color w:val="auto"/>
              </w:rPr>
            </w:pPr>
            <w:r>
              <w:rPr>
                <w:rFonts w:ascii="Arial" w:cs="Arial" w:eastAsia="Arial" w:hAnsi="Arial"/>
                <w:sz w:val="15"/>
                <w:szCs w:val="15"/>
                <w:color w:val="auto"/>
              </w:rPr>
              <w:t>BMG2519Y1084</w:t>
            </w:r>
          </w:p>
        </w:tc>
        <w:tc>
          <w:tcPr>
            <w:tcW w:w="1400" w:type="dxa"/>
            <w:vAlign w:val="bottom"/>
          </w:tcPr>
          <w:p>
            <w:pPr>
              <w:jc w:val="center"/>
              <w:ind w:left="106"/>
              <w:spacing w:after="0" w:line="162" w:lineRule="exact"/>
              <w:rPr>
                <w:sz w:val="20"/>
                <w:szCs w:val="20"/>
                <w:color w:val="auto"/>
              </w:rPr>
            </w:pPr>
            <w:r>
              <w:rPr>
                <w:rFonts w:ascii="Arial" w:cs="Arial" w:eastAsia="Arial" w:hAnsi="Arial"/>
                <w:sz w:val="15"/>
                <w:szCs w:val="15"/>
                <w:color w:val="auto"/>
                <w:w w:val="99"/>
              </w:rPr>
              <w:t>BAP</w:t>
            </w:r>
          </w:p>
        </w:tc>
        <w:tc>
          <w:tcPr>
            <w:tcW w:w="17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2005-5</w:t>
            </w:r>
          </w:p>
        </w:tc>
        <w:tc>
          <w:tcPr>
            <w:tcW w:w="128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17.41</w:t>
            </w:r>
          </w:p>
        </w:tc>
        <w:tc>
          <w:tcPr>
            <w:tcW w:w="142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18.50</w:t>
            </w:r>
          </w:p>
        </w:tc>
        <w:tc>
          <w:tcPr>
            <w:tcW w:w="1040" w:type="dxa"/>
            <w:vAlign w:val="bottom"/>
          </w:tcPr>
          <w:p>
            <w:pPr>
              <w:ind w:left="120"/>
              <w:spacing w:after="0" w:line="162" w:lineRule="exact"/>
              <w:rPr>
                <w:sz w:val="20"/>
                <w:szCs w:val="20"/>
                <w:color w:val="auto"/>
              </w:rPr>
            </w:pPr>
            <w:r>
              <w:rPr>
                <w:rFonts w:ascii="Arial" w:cs="Arial" w:eastAsia="Arial" w:hAnsi="Arial"/>
                <w:sz w:val="15"/>
                <w:szCs w:val="15"/>
                <w:color w:val="auto"/>
              </w:rPr>
              <w:t>19.81</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17.20</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18.72</w:t>
            </w:r>
          </w:p>
        </w:tc>
        <w:tc>
          <w:tcPr>
            <w:tcW w:w="0" w:type="dxa"/>
            <w:vAlign w:val="bottom"/>
          </w:tcPr>
          <w:p>
            <w:pPr>
              <w:spacing w:after="0"/>
              <w:rPr>
                <w:sz w:val="1"/>
                <w:szCs w:val="1"/>
                <w:color w:val="auto"/>
              </w:rPr>
            </w:pPr>
          </w:p>
        </w:tc>
      </w:tr>
      <w:tr>
        <w:trPr>
          <w:trHeight w:val="162"/>
        </w:trPr>
        <w:tc>
          <w:tcPr>
            <w:tcW w:w="2140" w:type="dxa"/>
            <w:vAlign w:val="bottom"/>
          </w:tcPr>
          <w:p>
            <w:pPr>
              <w:spacing w:after="0" w:line="162" w:lineRule="exact"/>
              <w:rPr>
                <w:sz w:val="20"/>
                <w:szCs w:val="20"/>
                <w:color w:val="auto"/>
              </w:rPr>
            </w:pPr>
            <w:r>
              <w:rPr>
                <w:rFonts w:ascii="Arial" w:cs="Arial" w:eastAsia="Arial" w:hAnsi="Arial"/>
                <w:sz w:val="15"/>
                <w:szCs w:val="15"/>
                <w:color w:val="auto"/>
              </w:rPr>
              <w:t>BMG2519Y1084</w:t>
            </w:r>
          </w:p>
        </w:tc>
        <w:tc>
          <w:tcPr>
            <w:tcW w:w="1400" w:type="dxa"/>
            <w:vAlign w:val="bottom"/>
          </w:tcPr>
          <w:p>
            <w:pPr>
              <w:jc w:val="center"/>
              <w:ind w:left="106"/>
              <w:spacing w:after="0" w:line="162" w:lineRule="exact"/>
              <w:rPr>
                <w:sz w:val="20"/>
                <w:szCs w:val="20"/>
                <w:color w:val="auto"/>
              </w:rPr>
            </w:pPr>
            <w:r>
              <w:rPr>
                <w:rFonts w:ascii="Arial" w:cs="Arial" w:eastAsia="Arial" w:hAnsi="Arial"/>
                <w:sz w:val="15"/>
                <w:szCs w:val="15"/>
                <w:color w:val="auto"/>
                <w:w w:val="99"/>
              </w:rPr>
              <w:t>BAP</w:t>
            </w:r>
          </w:p>
        </w:tc>
        <w:tc>
          <w:tcPr>
            <w:tcW w:w="17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2005-6</w:t>
            </w:r>
          </w:p>
        </w:tc>
        <w:tc>
          <w:tcPr>
            <w:tcW w:w="128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18.70</w:t>
            </w:r>
          </w:p>
        </w:tc>
        <w:tc>
          <w:tcPr>
            <w:tcW w:w="142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19.66</w:t>
            </w:r>
          </w:p>
        </w:tc>
        <w:tc>
          <w:tcPr>
            <w:tcW w:w="1040" w:type="dxa"/>
            <w:vAlign w:val="bottom"/>
          </w:tcPr>
          <w:p>
            <w:pPr>
              <w:ind w:left="120"/>
              <w:spacing w:after="0" w:line="162" w:lineRule="exact"/>
              <w:rPr>
                <w:sz w:val="20"/>
                <w:szCs w:val="20"/>
                <w:color w:val="auto"/>
              </w:rPr>
            </w:pPr>
            <w:r>
              <w:rPr>
                <w:rFonts w:ascii="Arial" w:cs="Arial" w:eastAsia="Arial" w:hAnsi="Arial"/>
                <w:sz w:val="15"/>
                <w:szCs w:val="15"/>
                <w:color w:val="auto"/>
              </w:rPr>
              <w:t>19.81</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18.70</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19.10</w:t>
            </w:r>
          </w:p>
        </w:tc>
        <w:tc>
          <w:tcPr>
            <w:tcW w:w="0" w:type="dxa"/>
            <w:vAlign w:val="bottom"/>
          </w:tcPr>
          <w:p>
            <w:pPr>
              <w:spacing w:after="0"/>
              <w:rPr>
                <w:sz w:val="1"/>
                <w:szCs w:val="1"/>
                <w:color w:val="auto"/>
              </w:rPr>
            </w:pPr>
          </w:p>
        </w:tc>
      </w:tr>
      <w:tr>
        <w:trPr>
          <w:trHeight w:val="162"/>
        </w:trPr>
        <w:tc>
          <w:tcPr>
            <w:tcW w:w="2140" w:type="dxa"/>
            <w:vAlign w:val="bottom"/>
          </w:tcPr>
          <w:p>
            <w:pPr>
              <w:spacing w:after="0" w:line="162" w:lineRule="exact"/>
              <w:rPr>
                <w:sz w:val="20"/>
                <w:szCs w:val="20"/>
                <w:color w:val="auto"/>
              </w:rPr>
            </w:pPr>
            <w:r>
              <w:rPr>
                <w:rFonts w:ascii="Arial" w:cs="Arial" w:eastAsia="Arial" w:hAnsi="Arial"/>
                <w:sz w:val="15"/>
                <w:szCs w:val="15"/>
                <w:color w:val="auto"/>
              </w:rPr>
              <w:t>BMG2519Y1084</w:t>
            </w:r>
          </w:p>
        </w:tc>
        <w:tc>
          <w:tcPr>
            <w:tcW w:w="1400" w:type="dxa"/>
            <w:vAlign w:val="bottom"/>
          </w:tcPr>
          <w:p>
            <w:pPr>
              <w:jc w:val="center"/>
              <w:ind w:left="106"/>
              <w:spacing w:after="0" w:line="162" w:lineRule="exact"/>
              <w:rPr>
                <w:sz w:val="20"/>
                <w:szCs w:val="20"/>
                <w:color w:val="auto"/>
              </w:rPr>
            </w:pPr>
            <w:r>
              <w:rPr>
                <w:rFonts w:ascii="Arial" w:cs="Arial" w:eastAsia="Arial" w:hAnsi="Arial"/>
                <w:sz w:val="15"/>
                <w:szCs w:val="15"/>
                <w:color w:val="auto"/>
                <w:w w:val="99"/>
              </w:rPr>
              <w:t>BAP</w:t>
            </w:r>
          </w:p>
        </w:tc>
        <w:tc>
          <w:tcPr>
            <w:tcW w:w="17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2005-7</w:t>
            </w:r>
          </w:p>
        </w:tc>
        <w:tc>
          <w:tcPr>
            <w:tcW w:w="128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19.66</w:t>
            </w:r>
          </w:p>
        </w:tc>
        <w:tc>
          <w:tcPr>
            <w:tcW w:w="142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20.50</w:t>
            </w:r>
          </w:p>
        </w:tc>
        <w:tc>
          <w:tcPr>
            <w:tcW w:w="1040" w:type="dxa"/>
            <w:vAlign w:val="bottom"/>
          </w:tcPr>
          <w:p>
            <w:pPr>
              <w:ind w:left="120"/>
              <w:spacing w:after="0" w:line="162" w:lineRule="exact"/>
              <w:rPr>
                <w:sz w:val="20"/>
                <w:szCs w:val="20"/>
                <w:color w:val="auto"/>
              </w:rPr>
            </w:pPr>
            <w:r>
              <w:rPr>
                <w:rFonts w:ascii="Arial" w:cs="Arial" w:eastAsia="Arial" w:hAnsi="Arial"/>
                <w:sz w:val="15"/>
                <w:szCs w:val="15"/>
                <w:color w:val="auto"/>
              </w:rPr>
              <w:t>21.56</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19.52</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162"/>
        </w:trPr>
        <w:tc>
          <w:tcPr>
            <w:tcW w:w="2140" w:type="dxa"/>
            <w:vAlign w:val="bottom"/>
          </w:tcPr>
          <w:p>
            <w:pPr>
              <w:spacing w:after="0" w:line="162" w:lineRule="exact"/>
              <w:rPr>
                <w:sz w:val="20"/>
                <w:szCs w:val="20"/>
                <w:color w:val="auto"/>
              </w:rPr>
            </w:pPr>
            <w:r>
              <w:rPr>
                <w:rFonts w:ascii="Arial" w:cs="Arial" w:eastAsia="Arial" w:hAnsi="Arial"/>
                <w:sz w:val="15"/>
                <w:szCs w:val="15"/>
                <w:color w:val="auto"/>
              </w:rPr>
              <w:t>BMG2519Y1084</w:t>
            </w:r>
          </w:p>
        </w:tc>
        <w:tc>
          <w:tcPr>
            <w:tcW w:w="1400" w:type="dxa"/>
            <w:vAlign w:val="bottom"/>
          </w:tcPr>
          <w:p>
            <w:pPr>
              <w:jc w:val="center"/>
              <w:ind w:left="106"/>
              <w:spacing w:after="0" w:line="162" w:lineRule="exact"/>
              <w:rPr>
                <w:sz w:val="20"/>
                <w:szCs w:val="20"/>
                <w:color w:val="auto"/>
              </w:rPr>
            </w:pPr>
            <w:r>
              <w:rPr>
                <w:rFonts w:ascii="Arial" w:cs="Arial" w:eastAsia="Arial" w:hAnsi="Arial"/>
                <w:sz w:val="15"/>
                <w:szCs w:val="15"/>
                <w:color w:val="auto"/>
                <w:w w:val="99"/>
              </w:rPr>
              <w:t>BAP</w:t>
            </w:r>
          </w:p>
        </w:tc>
        <w:tc>
          <w:tcPr>
            <w:tcW w:w="17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2005-8</w:t>
            </w:r>
          </w:p>
        </w:tc>
        <w:tc>
          <w:tcPr>
            <w:tcW w:w="128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21.30</w:t>
            </w:r>
          </w:p>
        </w:tc>
        <w:tc>
          <w:tcPr>
            <w:tcW w:w="142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22.05</w:t>
            </w:r>
          </w:p>
        </w:tc>
        <w:tc>
          <w:tcPr>
            <w:tcW w:w="1040" w:type="dxa"/>
            <w:vAlign w:val="bottom"/>
          </w:tcPr>
          <w:p>
            <w:pPr>
              <w:ind w:left="120"/>
              <w:spacing w:after="0" w:line="162" w:lineRule="exact"/>
              <w:rPr>
                <w:sz w:val="20"/>
                <w:szCs w:val="20"/>
                <w:color w:val="auto"/>
              </w:rPr>
            </w:pPr>
            <w:r>
              <w:rPr>
                <w:rFonts w:ascii="Arial" w:cs="Arial" w:eastAsia="Arial" w:hAnsi="Arial"/>
                <w:sz w:val="15"/>
                <w:szCs w:val="15"/>
                <w:color w:val="auto"/>
              </w:rPr>
              <w:t>22.10</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21.00</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21.65</w:t>
            </w:r>
          </w:p>
        </w:tc>
        <w:tc>
          <w:tcPr>
            <w:tcW w:w="0" w:type="dxa"/>
            <w:vAlign w:val="bottom"/>
          </w:tcPr>
          <w:p>
            <w:pPr>
              <w:spacing w:after="0"/>
              <w:rPr>
                <w:sz w:val="1"/>
                <w:szCs w:val="1"/>
                <w:color w:val="auto"/>
              </w:rPr>
            </w:pPr>
          </w:p>
        </w:tc>
      </w:tr>
      <w:tr>
        <w:trPr>
          <w:trHeight w:val="162"/>
        </w:trPr>
        <w:tc>
          <w:tcPr>
            <w:tcW w:w="2140" w:type="dxa"/>
            <w:vAlign w:val="bottom"/>
          </w:tcPr>
          <w:p>
            <w:pPr>
              <w:spacing w:after="0" w:line="162" w:lineRule="exact"/>
              <w:rPr>
                <w:sz w:val="20"/>
                <w:szCs w:val="20"/>
                <w:color w:val="auto"/>
              </w:rPr>
            </w:pPr>
            <w:r>
              <w:rPr>
                <w:rFonts w:ascii="Arial" w:cs="Arial" w:eastAsia="Arial" w:hAnsi="Arial"/>
                <w:sz w:val="15"/>
                <w:szCs w:val="15"/>
                <w:color w:val="auto"/>
              </w:rPr>
              <w:t>BMG2519Y1084</w:t>
            </w:r>
          </w:p>
        </w:tc>
        <w:tc>
          <w:tcPr>
            <w:tcW w:w="1400" w:type="dxa"/>
            <w:vAlign w:val="bottom"/>
          </w:tcPr>
          <w:p>
            <w:pPr>
              <w:jc w:val="center"/>
              <w:ind w:left="106"/>
              <w:spacing w:after="0" w:line="162" w:lineRule="exact"/>
              <w:rPr>
                <w:sz w:val="20"/>
                <w:szCs w:val="20"/>
                <w:color w:val="auto"/>
              </w:rPr>
            </w:pPr>
            <w:r>
              <w:rPr>
                <w:rFonts w:ascii="Arial" w:cs="Arial" w:eastAsia="Arial" w:hAnsi="Arial"/>
                <w:sz w:val="15"/>
                <w:szCs w:val="15"/>
                <w:color w:val="auto"/>
                <w:w w:val="99"/>
              </w:rPr>
              <w:t>BAP</w:t>
            </w:r>
          </w:p>
        </w:tc>
        <w:tc>
          <w:tcPr>
            <w:tcW w:w="17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2005-9</w:t>
            </w:r>
          </w:p>
        </w:tc>
        <w:tc>
          <w:tcPr>
            <w:tcW w:w="128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22.05</w:t>
            </w:r>
          </w:p>
        </w:tc>
        <w:tc>
          <w:tcPr>
            <w:tcW w:w="142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28.60</w:t>
            </w:r>
          </w:p>
        </w:tc>
        <w:tc>
          <w:tcPr>
            <w:tcW w:w="1040" w:type="dxa"/>
            <w:vAlign w:val="bottom"/>
          </w:tcPr>
          <w:p>
            <w:pPr>
              <w:ind w:left="120"/>
              <w:spacing w:after="0" w:line="162" w:lineRule="exact"/>
              <w:rPr>
                <w:sz w:val="20"/>
                <w:szCs w:val="20"/>
                <w:color w:val="auto"/>
              </w:rPr>
            </w:pPr>
            <w:r>
              <w:rPr>
                <w:rFonts w:ascii="Arial" w:cs="Arial" w:eastAsia="Arial" w:hAnsi="Arial"/>
                <w:sz w:val="15"/>
                <w:szCs w:val="15"/>
                <w:color w:val="auto"/>
              </w:rPr>
              <w:t>28.60</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22.02</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24.73</w:t>
            </w:r>
          </w:p>
        </w:tc>
        <w:tc>
          <w:tcPr>
            <w:tcW w:w="0" w:type="dxa"/>
            <w:vAlign w:val="bottom"/>
          </w:tcPr>
          <w:p>
            <w:pPr>
              <w:spacing w:after="0"/>
              <w:rPr>
                <w:sz w:val="1"/>
                <w:szCs w:val="1"/>
                <w:color w:val="auto"/>
              </w:rPr>
            </w:pPr>
          </w:p>
        </w:tc>
      </w:tr>
      <w:tr>
        <w:trPr>
          <w:trHeight w:val="162"/>
        </w:trPr>
        <w:tc>
          <w:tcPr>
            <w:tcW w:w="2140" w:type="dxa"/>
            <w:vAlign w:val="bottom"/>
          </w:tcPr>
          <w:p>
            <w:pPr>
              <w:spacing w:after="0" w:line="162" w:lineRule="exact"/>
              <w:rPr>
                <w:sz w:val="20"/>
                <w:szCs w:val="20"/>
                <w:color w:val="auto"/>
              </w:rPr>
            </w:pPr>
            <w:r>
              <w:rPr>
                <w:rFonts w:ascii="Arial" w:cs="Arial" w:eastAsia="Arial" w:hAnsi="Arial"/>
                <w:sz w:val="15"/>
                <w:szCs w:val="15"/>
                <w:color w:val="auto"/>
              </w:rPr>
              <w:t>BMG2519Y1084</w:t>
            </w:r>
          </w:p>
        </w:tc>
        <w:tc>
          <w:tcPr>
            <w:tcW w:w="1400" w:type="dxa"/>
            <w:vAlign w:val="bottom"/>
          </w:tcPr>
          <w:p>
            <w:pPr>
              <w:jc w:val="center"/>
              <w:ind w:left="106"/>
              <w:spacing w:after="0" w:line="162" w:lineRule="exact"/>
              <w:rPr>
                <w:sz w:val="20"/>
                <w:szCs w:val="20"/>
                <w:color w:val="auto"/>
              </w:rPr>
            </w:pPr>
            <w:r>
              <w:rPr>
                <w:rFonts w:ascii="Arial" w:cs="Arial" w:eastAsia="Arial" w:hAnsi="Arial"/>
                <w:sz w:val="15"/>
                <w:szCs w:val="15"/>
                <w:color w:val="auto"/>
                <w:w w:val="99"/>
              </w:rPr>
              <w:t>BAP</w:t>
            </w:r>
          </w:p>
        </w:tc>
        <w:tc>
          <w:tcPr>
            <w:tcW w:w="17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2005-10</w:t>
            </w:r>
          </w:p>
        </w:tc>
        <w:tc>
          <w:tcPr>
            <w:tcW w:w="128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29.40</w:t>
            </w:r>
          </w:p>
        </w:tc>
        <w:tc>
          <w:tcPr>
            <w:tcW w:w="142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26.30</w:t>
            </w:r>
          </w:p>
        </w:tc>
        <w:tc>
          <w:tcPr>
            <w:tcW w:w="1040" w:type="dxa"/>
            <w:vAlign w:val="bottom"/>
          </w:tcPr>
          <w:p>
            <w:pPr>
              <w:ind w:left="120"/>
              <w:spacing w:after="0" w:line="162" w:lineRule="exact"/>
              <w:rPr>
                <w:sz w:val="20"/>
                <w:szCs w:val="20"/>
                <w:color w:val="auto"/>
              </w:rPr>
            </w:pPr>
            <w:r>
              <w:rPr>
                <w:rFonts w:ascii="Arial" w:cs="Arial" w:eastAsia="Arial" w:hAnsi="Arial"/>
                <w:sz w:val="15"/>
                <w:szCs w:val="15"/>
                <w:color w:val="auto"/>
              </w:rPr>
              <w:t>30.20</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25.45</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26.98</w:t>
            </w:r>
          </w:p>
        </w:tc>
        <w:tc>
          <w:tcPr>
            <w:tcW w:w="0" w:type="dxa"/>
            <w:vAlign w:val="bottom"/>
          </w:tcPr>
          <w:p>
            <w:pPr>
              <w:spacing w:after="0"/>
              <w:rPr>
                <w:sz w:val="1"/>
                <w:szCs w:val="1"/>
                <w:color w:val="auto"/>
              </w:rPr>
            </w:pPr>
          </w:p>
        </w:tc>
      </w:tr>
      <w:tr>
        <w:trPr>
          <w:trHeight w:val="162"/>
        </w:trPr>
        <w:tc>
          <w:tcPr>
            <w:tcW w:w="2140" w:type="dxa"/>
            <w:vAlign w:val="bottom"/>
          </w:tcPr>
          <w:p>
            <w:pPr>
              <w:spacing w:after="0" w:line="162" w:lineRule="exact"/>
              <w:rPr>
                <w:sz w:val="20"/>
                <w:szCs w:val="20"/>
                <w:color w:val="auto"/>
              </w:rPr>
            </w:pPr>
            <w:r>
              <w:rPr>
                <w:rFonts w:ascii="Arial" w:cs="Arial" w:eastAsia="Arial" w:hAnsi="Arial"/>
                <w:sz w:val="15"/>
                <w:szCs w:val="15"/>
                <w:color w:val="auto"/>
              </w:rPr>
              <w:t>BMG2519Y1085</w:t>
            </w:r>
          </w:p>
        </w:tc>
        <w:tc>
          <w:tcPr>
            <w:tcW w:w="1400" w:type="dxa"/>
            <w:vAlign w:val="bottom"/>
          </w:tcPr>
          <w:p>
            <w:pPr>
              <w:jc w:val="center"/>
              <w:ind w:left="106"/>
              <w:spacing w:after="0" w:line="162" w:lineRule="exact"/>
              <w:rPr>
                <w:sz w:val="20"/>
                <w:szCs w:val="20"/>
                <w:color w:val="auto"/>
              </w:rPr>
            </w:pPr>
            <w:r>
              <w:rPr>
                <w:rFonts w:ascii="Arial" w:cs="Arial" w:eastAsia="Arial" w:hAnsi="Arial"/>
                <w:sz w:val="15"/>
                <w:szCs w:val="15"/>
                <w:color w:val="auto"/>
                <w:w w:val="99"/>
              </w:rPr>
              <w:t>BAP</w:t>
            </w:r>
          </w:p>
        </w:tc>
        <w:tc>
          <w:tcPr>
            <w:tcW w:w="17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2005-11</w:t>
            </w:r>
          </w:p>
        </w:tc>
        <w:tc>
          <w:tcPr>
            <w:tcW w:w="128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27.40</w:t>
            </w:r>
          </w:p>
        </w:tc>
        <w:tc>
          <w:tcPr>
            <w:tcW w:w="142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26.40</w:t>
            </w:r>
          </w:p>
        </w:tc>
        <w:tc>
          <w:tcPr>
            <w:tcW w:w="1040" w:type="dxa"/>
            <w:vAlign w:val="bottom"/>
          </w:tcPr>
          <w:p>
            <w:pPr>
              <w:ind w:left="120"/>
              <w:spacing w:after="0" w:line="162" w:lineRule="exact"/>
              <w:rPr>
                <w:sz w:val="20"/>
                <w:szCs w:val="20"/>
                <w:color w:val="auto"/>
              </w:rPr>
            </w:pPr>
            <w:r>
              <w:rPr>
                <w:rFonts w:ascii="Arial" w:cs="Arial" w:eastAsia="Arial" w:hAnsi="Arial"/>
                <w:sz w:val="15"/>
                <w:szCs w:val="15"/>
                <w:color w:val="auto"/>
              </w:rPr>
              <w:t>29.10</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26.40</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27.97</w:t>
            </w:r>
          </w:p>
        </w:tc>
        <w:tc>
          <w:tcPr>
            <w:tcW w:w="0" w:type="dxa"/>
            <w:vAlign w:val="bottom"/>
          </w:tcPr>
          <w:p>
            <w:pPr>
              <w:spacing w:after="0"/>
              <w:rPr>
                <w:sz w:val="1"/>
                <w:szCs w:val="1"/>
                <w:color w:val="auto"/>
              </w:rPr>
            </w:pPr>
          </w:p>
        </w:tc>
      </w:tr>
      <w:tr>
        <w:trPr>
          <w:trHeight w:val="171"/>
        </w:trPr>
        <w:tc>
          <w:tcPr>
            <w:tcW w:w="214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BMG2519Y1086</w:t>
            </w:r>
          </w:p>
        </w:tc>
        <w:tc>
          <w:tcPr>
            <w:tcW w:w="1400" w:type="dxa"/>
            <w:vAlign w:val="bottom"/>
            <w:tcBorders>
              <w:bottom w:val="single" w:sz="8" w:color="auto"/>
            </w:tcBorders>
          </w:tcPr>
          <w:p>
            <w:pPr>
              <w:jc w:val="center"/>
              <w:ind w:left="106"/>
              <w:spacing w:after="0" w:line="172" w:lineRule="exact"/>
              <w:rPr>
                <w:sz w:val="20"/>
                <w:szCs w:val="20"/>
                <w:color w:val="auto"/>
              </w:rPr>
            </w:pPr>
            <w:r>
              <w:rPr>
                <w:rFonts w:ascii="Arial" w:cs="Arial" w:eastAsia="Arial" w:hAnsi="Arial"/>
                <w:sz w:val="15"/>
                <w:szCs w:val="15"/>
                <w:color w:val="auto"/>
                <w:w w:val="99"/>
              </w:rPr>
              <w:t>BAP</w:t>
            </w:r>
          </w:p>
        </w:tc>
        <w:tc>
          <w:tcPr>
            <w:tcW w:w="1720" w:type="dxa"/>
            <w:vAlign w:val="bottom"/>
            <w:tcBorders>
              <w:bottom w:val="single" w:sz="8" w:color="auto"/>
            </w:tcBorders>
          </w:tcPr>
          <w:p>
            <w:pPr>
              <w:jc w:val="right"/>
              <w:ind w:right="186"/>
              <w:spacing w:after="0" w:line="172" w:lineRule="exact"/>
              <w:rPr>
                <w:sz w:val="20"/>
                <w:szCs w:val="20"/>
                <w:color w:val="auto"/>
              </w:rPr>
            </w:pPr>
            <w:r>
              <w:rPr>
                <w:rFonts w:ascii="Arial" w:cs="Arial" w:eastAsia="Arial" w:hAnsi="Arial"/>
                <w:sz w:val="15"/>
                <w:szCs w:val="15"/>
                <w:color w:val="auto"/>
              </w:rPr>
              <w:t>2005-12</w:t>
            </w:r>
          </w:p>
        </w:tc>
        <w:tc>
          <w:tcPr>
            <w:tcW w:w="1280" w:type="dxa"/>
            <w:vAlign w:val="bottom"/>
            <w:tcBorders>
              <w:bottom w:val="single" w:sz="8" w:color="auto"/>
            </w:tcBorders>
          </w:tcPr>
          <w:p>
            <w:pPr>
              <w:jc w:val="right"/>
              <w:ind w:right="166"/>
              <w:spacing w:after="0" w:line="172" w:lineRule="exact"/>
              <w:rPr>
                <w:sz w:val="20"/>
                <w:szCs w:val="20"/>
                <w:color w:val="auto"/>
              </w:rPr>
            </w:pPr>
            <w:r>
              <w:rPr>
                <w:rFonts w:ascii="Arial" w:cs="Arial" w:eastAsia="Arial" w:hAnsi="Arial"/>
                <w:sz w:val="15"/>
                <w:szCs w:val="15"/>
                <w:color w:val="auto"/>
              </w:rPr>
              <w:t>26.50</w:t>
            </w:r>
          </w:p>
        </w:tc>
        <w:tc>
          <w:tcPr>
            <w:tcW w:w="1420" w:type="dxa"/>
            <w:vAlign w:val="bottom"/>
            <w:tcBorders>
              <w:bottom w:val="single" w:sz="8" w:color="auto"/>
            </w:tcBorders>
          </w:tcPr>
          <w:p>
            <w:pPr>
              <w:jc w:val="right"/>
              <w:ind w:right="306"/>
              <w:spacing w:after="0" w:line="172" w:lineRule="exact"/>
              <w:rPr>
                <w:sz w:val="20"/>
                <w:szCs w:val="20"/>
                <w:color w:val="auto"/>
              </w:rPr>
            </w:pPr>
            <w:r>
              <w:rPr>
                <w:rFonts w:ascii="Arial" w:cs="Arial" w:eastAsia="Arial" w:hAnsi="Arial"/>
                <w:sz w:val="15"/>
                <w:szCs w:val="15"/>
                <w:color w:val="auto"/>
              </w:rPr>
              <w:t>23.00</w:t>
            </w:r>
          </w:p>
        </w:tc>
        <w:tc>
          <w:tcPr>
            <w:tcW w:w="1040" w:type="dxa"/>
            <w:vAlign w:val="bottom"/>
            <w:tcBorders>
              <w:bottom w:val="single" w:sz="8" w:color="auto"/>
            </w:tcBorders>
          </w:tcPr>
          <w:p>
            <w:pPr>
              <w:ind w:left="120"/>
              <w:spacing w:after="0" w:line="172" w:lineRule="exact"/>
              <w:rPr>
                <w:sz w:val="20"/>
                <w:szCs w:val="20"/>
                <w:color w:val="auto"/>
              </w:rPr>
            </w:pPr>
            <w:r>
              <w:rPr>
                <w:rFonts w:ascii="Arial" w:cs="Arial" w:eastAsia="Arial" w:hAnsi="Arial"/>
                <w:sz w:val="15"/>
                <w:szCs w:val="15"/>
                <w:color w:val="auto"/>
              </w:rPr>
              <w:t>29.00</w:t>
            </w:r>
          </w:p>
        </w:tc>
        <w:tc>
          <w:tcPr>
            <w:tcW w:w="11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22.80</w:t>
            </w:r>
          </w:p>
        </w:tc>
        <w:tc>
          <w:tcPr>
            <w:tcW w:w="13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53"/>
        </w:trPr>
        <w:tc>
          <w:tcPr>
            <w:tcW w:w="1720" w:type="dxa"/>
            <w:vAlign w:val="bottom"/>
          </w:tcPr>
          <w:p>
            <w:pPr>
              <w:spacing w:after="0"/>
              <w:rPr>
                <w:sz w:val="21"/>
                <w:szCs w:val="21"/>
                <w:color w:val="auto"/>
              </w:rPr>
            </w:pPr>
          </w:p>
        </w:tc>
        <w:tc>
          <w:tcPr>
            <w:tcW w:w="9700" w:type="dxa"/>
            <w:vAlign w:val="bottom"/>
            <w:gridSpan w:val="2"/>
          </w:tcPr>
          <w:p>
            <w:pPr>
              <w:jc w:val="center"/>
              <w:ind w:right="1696"/>
              <w:spacing w:after="0"/>
              <w:rPr>
                <w:sz w:val="20"/>
                <w:szCs w:val="20"/>
                <w:color w:val="auto"/>
              </w:rPr>
            </w:pPr>
            <w:r>
              <w:rPr>
                <w:rFonts w:ascii="Arial" w:cs="Arial" w:eastAsia="Arial" w:hAnsi="Arial"/>
                <w:sz w:val="22"/>
                <w:szCs w:val="22"/>
                <w:b w:val="1"/>
                <w:bCs w:val="1"/>
                <w:color w:val="auto"/>
                <w:w w:val="99"/>
              </w:rPr>
              <w:t>(10150) INFORMATION ON THE FULFILLMENT OF THE PRINCIPLES OF</w:t>
            </w:r>
          </w:p>
        </w:tc>
      </w:tr>
      <w:tr>
        <w:trPr>
          <w:trHeight w:val="249"/>
        </w:trPr>
        <w:tc>
          <w:tcPr>
            <w:tcW w:w="1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540" w:type="dxa"/>
            <w:vAlign w:val="bottom"/>
          </w:tcPr>
          <w:p>
            <w:pPr>
              <w:jc w:val="center"/>
              <w:ind w:right="2796"/>
              <w:spacing w:after="0" w:line="249" w:lineRule="exact"/>
              <w:rPr>
                <w:sz w:val="20"/>
                <w:szCs w:val="20"/>
                <w:color w:val="auto"/>
              </w:rPr>
            </w:pPr>
            <w:r>
              <w:rPr>
                <w:rFonts w:ascii="Arial" w:cs="Arial" w:eastAsia="Arial" w:hAnsi="Arial"/>
                <w:sz w:val="22"/>
                <w:szCs w:val="22"/>
                <w:b w:val="1"/>
                <w:bCs w:val="1"/>
                <w:color w:val="auto"/>
                <w:w w:val="99"/>
              </w:rPr>
              <w:t>GOOD MANAGEMENT FOR PERUVIAN COMPANIES</w:t>
            </w:r>
          </w:p>
        </w:tc>
      </w:tr>
      <w:tr>
        <w:trPr>
          <w:trHeight w:val="275"/>
        </w:trPr>
        <w:tc>
          <w:tcPr>
            <w:tcW w:w="1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540" w:type="dxa"/>
            <w:vAlign w:val="bottom"/>
          </w:tcPr>
          <w:p>
            <w:pPr>
              <w:jc w:val="center"/>
              <w:ind w:right="2796"/>
              <w:spacing w:after="0"/>
              <w:rPr>
                <w:sz w:val="20"/>
                <w:szCs w:val="20"/>
                <w:color w:val="auto"/>
              </w:rPr>
            </w:pPr>
            <w:r>
              <w:rPr>
                <w:rFonts w:ascii="Arial" w:cs="Arial" w:eastAsia="Arial" w:hAnsi="Arial"/>
                <w:sz w:val="22"/>
                <w:szCs w:val="22"/>
                <w:color w:val="auto"/>
                <w:w w:val="90"/>
              </w:rPr>
              <w:t>(Corresponding to financial year 2005)</w:t>
            </w:r>
          </w:p>
        </w:tc>
      </w:tr>
      <w:tr>
        <w:trPr>
          <w:trHeight w:val="368"/>
        </w:trPr>
        <w:tc>
          <w:tcPr>
            <w:tcW w:w="1720" w:type="dxa"/>
            <w:vAlign w:val="bottom"/>
          </w:tcPr>
          <w:p>
            <w:pPr>
              <w:spacing w:after="0"/>
              <w:rPr>
                <w:sz w:val="20"/>
                <w:szCs w:val="20"/>
                <w:color w:val="auto"/>
              </w:rPr>
            </w:pPr>
            <w:r>
              <w:rPr>
                <w:rFonts w:ascii="Arial" w:cs="Arial" w:eastAsia="Arial" w:hAnsi="Arial"/>
                <w:sz w:val="15"/>
                <w:szCs w:val="15"/>
                <w:b w:val="1"/>
                <w:bCs w:val="1"/>
                <w:color w:val="auto"/>
              </w:rPr>
              <w:t>Company Name</w:t>
            </w:r>
          </w:p>
        </w:tc>
        <w:tc>
          <w:tcPr>
            <w:tcW w:w="1160" w:type="dxa"/>
            <w:vAlign w:val="bottom"/>
          </w:tcPr>
          <w:p>
            <w:pPr>
              <w:spacing w:after="0"/>
              <w:rPr>
                <w:sz w:val="24"/>
                <w:szCs w:val="24"/>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CREDICORP LTD.</w:t>
            </w:r>
          </w:p>
        </w:tc>
      </w:tr>
      <w:tr>
        <w:trPr>
          <w:trHeight w:val="169"/>
        </w:trPr>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540" w:type="dxa"/>
            <w:vAlign w:val="bottom"/>
          </w:tcPr>
          <w:p>
            <w:pPr>
              <w:ind w:left="100"/>
              <w:spacing w:after="0" w:line="156" w:lineRule="exact"/>
              <w:rPr>
                <w:sz w:val="20"/>
                <w:szCs w:val="20"/>
                <w:color w:val="auto"/>
              </w:rPr>
            </w:pPr>
            <w:r>
              <w:rPr>
                <w:rFonts w:ascii="Arial" w:cs="Arial" w:eastAsia="Arial" w:hAnsi="Arial"/>
                <w:sz w:val="15"/>
                <w:szCs w:val="15"/>
                <w:b w:val="1"/>
                <w:bCs w:val="1"/>
                <w:color w:val="auto"/>
              </w:rPr>
              <w:t>(Hereonafter THE COMPANY)</w:t>
            </w:r>
          </w:p>
        </w:tc>
      </w:tr>
      <w:tr>
        <w:trPr>
          <w:trHeight w:val="192"/>
        </w:trPr>
        <w:tc>
          <w:tcPr>
            <w:tcW w:w="1720" w:type="dxa"/>
            <w:vAlign w:val="bottom"/>
          </w:tcPr>
          <w:p>
            <w:pPr>
              <w:spacing w:after="0"/>
              <w:rPr>
                <w:sz w:val="20"/>
                <w:szCs w:val="20"/>
                <w:color w:val="auto"/>
              </w:rPr>
            </w:pPr>
            <w:r>
              <w:rPr>
                <w:rFonts w:ascii="Arial" w:cs="Arial" w:eastAsia="Arial" w:hAnsi="Arial"/>
                <w:sz w:val="15"/>
                <w:szCs w:val="15"/>
                <w:b w:val="1"/>
                <w:bCs w:val="1"/>
                <w:color w:val="auto"/>
              </w:rPr>
              <w:t>RUC</w:t>
            </w:r>
          </w:p>
        </w:tc>
        <w:tc>
          <w:tcPr>
            <w:tcW w:w="9700" w:type="dxa"/>
            <w:vAlign w:val="bottom"/>
            <w:gridSpan w:val="2"/>
          </w:tcPr>
          <w:p>
            <w:pPr>
              <w:ind w:left="1160"/>
              <w:spacing w:after="0"/>
              <w:rPr>
                <w:sz w:val="20"/>
                <w:szCs w:val="20"/>
                <w:color w:val="auto"/>
              </w:rPr>
            </w:pPr>
            <w:r>
              <w:rPr>
                <w:rFonts w:ascii="Arial" w:cs="Arial" w:eastAsia="Arial" w:hAnsi="Arial"/>
                <w:sz w:val="15"/>
                <w:szCs w:val="15"/>
                <w:b w:val="1"/>
                <w:bCs w:val="1"/>
                <w:color w:val="auto"/>
              </w:rPr>
              <w:t>:</w:t>
            </w:r>
          </w:p>
        </w:tc>
      </w:tr>
      <w:tr>
        <w:trPr>
          <w:trHeight w:val="307"/>
        </w:trPr>
        <w:tc>
          <w:tcPr>
            <w:tcW w:w="1720" w:type="dxa"/>
            <w:vAlign w:val="bottom"/>
          </w:tcPr>
          <w:p>
            <w:pPr>
              <w:spacing w:after="0"/>
              <w:rPr>
                <w:sz w:val="20"/>
                <w:szCs w:val="20"/>
                <w:color w:val="auto"/>
              </w:rPr>
            </w:pPr>
            <w:r>
              <w:rPr>
                <w:rFonts w:ascii="Arial" w:cs="Arial" w:eastAsia="Arial" w:hAnsi="Arial"/>
                <w:sz w:val="15"/>
                <w:szCs w:val="15"/>
                <w:b w:val="1"/>
                <w:bCs w:val="1"/>
                <w:color w:val="auto"/>
              </w:rPr>
              <w:t>Address</w:t>
            </w:r>
          </w:p>
        </w:tc>
        <w:tc>
          <w:tcPr>
            <w:tcW w:w="1160" w:type="dxa"/>
            <w:vAlign w:val="bottom"/>
          </w:tcPr>
          <w:p>
            <w:pPr>
              <w:spacing w:after="0"/>
              <w:rPr>
                <w:sz w:val="24"/>
                <w:szCs w:val="24"/>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Calle Centenario 156, Las Laderas de Melgarejo, La Molina, Lima 12, Peru.</w:t>
            </w:r>
          </w:p>
        </w:tc>
      </w:tr>
      <w:tr>
        <w:trPr>
          <w:trHeight w:val="331"/>
        </w:trPr>
        <w:tc>
          <w:tcPr>
            <w:tcW w:w="1720" w:type="dxa"/>
            <w:vAlign w:val="bottom"/>
          </w:tcPr>
          <w:p>
            <w:pPr>
              <w:spacing w:after="0"/>
              <w:rPr>
                <w:sz w:val="20"/>
                <w:szCs w:val="20"/>
                <w:color w:val="auto"/>
              </w:rPr>
            </w:pPr>
            <w:r>
              <w:rPr>
                <w:rFonts w:ascii="Arial" w:cs="Arial" w:eastAsia="Arial" w:hAnsi="Arial"/>
                <w:sz w:val="15"/>
                <w:szCs w:val="15"/>
                <w:b w:val="1"/>
                <w:bCs w:val="1"/>
                <w:color w:val="auto"/>
              </w:rPr>
              <w:t>Telephone Nos</w:t>
            </w:r>
          </w:p>
        </w:tc>
        <w:tc>
          <w:tcPr>
            <w:tcW w:w="9700" w:type="dxa"/>
            <w:vAlign w:val="bottom"/>
            <w:gridSpan w:val="2"/>
          </w:tcPr>
          <w:p>
            <w:pPr>
              <w:ind w:left="116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313-2000</w:t>
            </w:r>
          </w:p>
        </w:tc>
      </w:tr>
      <w:tr>
        <w:trPr>
          <w:trHeight w:val="20"/>
        </w:trPr>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540" w:type="dxa"/>
            <w:vAlign w:val="bottom"/>
            <w:shd w:val="clear" w:color="auto" w:fill="000000"/>
          </w:tcPr>
          <w:p>
            <w:pPr>
              <w:spacing w:after="0" w:line="20" w:lineRule="exact"/>
              <w:rPr>
                <w:sz w:val="1"/>
                <w:szCs w:val="1"/>
                <w:color w:val="auto"/>
              </w:rPr>
            </w:pPr>
          </w:p>
        </w:tc>
      </w:tr>
      <w:tr>
        <w:trPr>
          <w:trHeight w:val="331"/>
        </w:trPr>
        <w:tc>
          <w:tcPr>
            <w:tcW w:w="1720" w:type="dxa"/>
            <w:vAlign w:val="bottom"/>
          </w:tcPr>
          <w:p>
            <w:pPr>
              <w:spacing w:after="0"/>
              <w:rPr>
                <w:sz w:val="20"/>
                <w:szCs w:val="20"/>
                <w:color w:val="auto"/>
              </w:rPr>
            </w:pPr>
            <w:r>
              <w:rPr>
                <w:rFonts w:ascii="Arial" w:cs="Arial" w:eastAsia="Arial" w:hAnsi="Arial"/>
                <w:sz w:val="15"/>
                <w:szCs w:val="15"/>
                <w:b w:val="1"/>
                <w:bCs w:val="1"/>
                <w:color w:val="auto"/>
              </w:rPr>
              <w:t>Fax</w:t>
            </w:r>
          </w:p>
        </w:tc>
        <w:tc>
          <w:tcPr>
            <w:tcW w:w="9700" w:type="dxa"/>
            <w:vAlign w:val="bottom"/>
            <w:gridSpan w:val="2"/>
          </w:tcPr>
          <w:p>
            <w:pPr>
              <w:ind w:left="116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313-2135</w:t>
            </w:r>
          </w:p>
        </w:tc>
      </w:tr>
      <w:tr>
        <w:trPr>
          <w:trHeight w:val="331"/>
        </w:trPr>
        <w:tc>
          <w:tcPr>
            <w:tcW w:w="1720" w:type="dxa"/>
            <w:vAlign w:val="bottom"/>
          </w:tcPr>
          <w:p>
            <w:pPr>
              <w:spacing w:after="0"/>
              <w:rPr>
                <w:sz w:val="20"/>
                <w:szCs w:val="20"/>
                <w:color w:val="auto"/>
              </w:rPr>
            </w:pPr>
            <w:r>
              <w:rPr>
                <w:rFonts w:ascii="Arial" w:cs="Arial" w:eastAsia="Arial" w:hAnsi="Arial"/>
                <w:sz w:val="15"/>
                <w:szCs w:val="15"/>
                <w:b w:val="1"/>
                <w:bCs w:val="1"/>
                <w:color w:val="auto"/>
              </w:rPr>
              <w:t>Web Page</w:t>
            </w:r>
          </w:p>
        </w:tc>
        <w:tc>
          <w:tcPr>
            <w:tcW w:w="1160" w:type="dxa"/>
            <w:vAlign w:val="bottom"/>
          </w:tcPr>
          <w:p>
            <w:pPr>
              <w:spacing w:after="0"/>
              <w:rPr>
                <w:sz w:val="24"/>
                <w:szCs w:val="24"/>
                <w:color w:val="auto"/>
              </w:rPr>
            </w:pPr>
          </w:p>
        </w:tc>
        <w:tc>
          <w:tcPr>
            <w:tcW w:w="8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www.credicorpnet.com</w:t>
            </w:r>
          </w:p>
        </w:tc>
      </w:tr>
      <w:tr>
        <w:trPr>
          <w:trHeight w:val="331"/>
        </w:trPr>
        <w:tc>
          <w:tcPr>
            <w:tcW w:w="1720" w:type="dxa"/>
            <w:vAlign w:val="bottom"/>
          </w:tcPr>
          <w:p>
            <w:pPr>
              <w:spacing w:after="0"/>
              <w:rPr>
                <w:sz w:val="20"/>
                <w:szCs w:val="20"/>
                <w:color w:val="auto"/>
              </w:rPr>
            </w:pPr>
            <w:r>
              <w:rPr>
                <w:rFonts w:ascii="Arial" w:cs="Arial" w:eastAsia="Arial" w:hAnsi="Arial"/>
                <w:sz w:val="15"/>
                <w:szCs w:val="15"/>
                <w:b w:val="1"/>
                <w:bCs w:val="1"/>
                <w:color w:val="auto"/>
              </w:rPr>
              <w:t>Email</w:t>
            </w:r>
          </w:p>
        </w:tc>
        <w:tc>
          <w:tcPr>
            <w:tcW w:w="9700" w:type="dxa"/>
            <w:vAlign w:val="bottom"/>
            <w:gridSpan w:val="2"/>
          </w:tcPr>
          <w:p>
            <w:pPr>
              <w:ind w:left="1160"/>
              <w:spacing w:after="0"/>
              <w:rPr>
                <w:sz w:val="20"/>
                <w:szCs w:val="20"/>
                <w:color w:val="auto"/>
              </w:rPr>
            </w:pPr>
            <w:r>
              <w:rPr>
                <w:rFonts w:ascii="Arial" w:cs="Arial" w:eastAsia="Arial" w:hAnsi="Arial"/>
                <w:sz w:val="15"/>
                <w:szCs w:val="15"/>
                <w:b w:val="1"/>
                <w:bCs w:val="1"/>
                <w:color w:val="auto"/>
              </w:rPr>
              <w:t>:</w:t>
            </w:r>
          </w:p>
        </w:tc>
      </w:tr>
      <w:tr>
        <w:trPr>
          <w:trHeight w:val="331"/>
        </w:trPr>
        <w:tc>
          <w:tcPr>
            <w:tcW w:w="1720" w:type="dxa"/>
            <w:vAlign w:val="bottom"/>
          </w:tcPr>
          <w:p>
            <w:pPr>
              <w:spacing w:after="0"/>
              <w:rPr>
                <w:sz w:val="20"/>
                <w:szCs w:val="20"/>
                <w:color w:val="auto"/>
              </w:rPr>
            </w:pPr>
            <w:r>
              <w:rPr>
                <w:rFonts w:ascii="Arial" w:cs="Arial" w:eastAsia="Arial" w:hAnsi="Arial"/>
                <w:sz w:val="15"/>
                <w:szCs w:val="15"/>
                <w:b w:val="1"/>
                <w:bCs w:val="1"/>
                <w:color w:val="auto"/>
              </w:rPr>
              <w:t>Stockbroker</w:t>
            </w:r>
          </w:p>
        </w:tc>
        <w:tc>
          <w:tcPr>
            <w:tcW w:w="1160" w:type="dxa"/>
            <w:vAlign w:val="bottom"/>
          </w:tcPr>
          <w:p>
            <w:pPr>
              <w:spacing w:after="0"/>
              <w:rPr>
                <w:sz w:val="24"/>
                <w:szCs w:val="24"/>
                <w:color w:val="auto"/>
              </w:rPr>
            </w:pPr>
          </w:p>
        </w:tc>
        <w:tc>
          <w:tcPr>
            <w:tcW w:w="8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Fernando Palao</w:t>
            </w:r>
          </w:p>
        </w:tc>
      </w:tr>
      <w:tr>
        <w:trPr>
          <w:trHeight w:val="331"/>
        </w:trPr>
        <w:tc>
          <w:tcPr>
            <w:tcW w:w="1720" w:type="dxa"/>
            <w:vAlign w:val="bottom"/>
          </w:tcPr>
          <w:p>
            <w:pPr>
              <w:spacing w:after="0"/>
              <w:rPr>
                <w:sz w:val="20"/>
                <w:szCs w:val="20"/>
                <w:color w:val="auto"/>
              </w:rPr>
            </w:pPr>
            <w:r>
              <w:rPr>
                <w:rFonts w:ascii="Arial" w:cs="Arial" w:eastAsia="Arial" w:hAnsi="Arial"/>
                <w:sz w:val="15"/>
                <w:szCs w:val="15"/>
                <w:b w:val="1"/>
                <w:bCs w:val="1"/>
                <w:color w:val="auto"/>
              </w:rPr>
              <w:t>Name of the inspecting</w:t>
            </w:r>
          </w:p>
        </w:tc>
        <w:tc>
          <w:tcPr>
            <w:tcW w:w="9700" w:type="dxa"/>
            <w:vAlign w:val="bottom"/>
            <w:gridSpan w:val="2"/>
          </w:tcPr>
          <w:p>
            <w:pPr>
              <w:ind w:left="1160"/>
              <w:spacing w:after="0"/>
              <w:rPr>
                <w:sz w:val="20"/>
                <w:szCs w:val="20"/>
                <w:color w:val="auto"/>
              </w:rPr>
            </w:pPr>
            <w:r>
              <w:rPr>
                <w:rFonts w:ascii="Arial" w:cs="Arial" w:eastAsia="Arial" w:hAnsi="Arial"/>
                <w:sz w:val="15"/>
                <w:szCs w:val="15"/>
                <w:b w:val="1"/>
                <w:bCs w:val="1"/>
                <w:color w:val="auto"/>
              </w:rPr>
              <w:t>:</w:t>
            </w:r>
          </w:p>
        </w:tc>
      </w:tr>
      <w:tr>
        <w:trPr>
          <w:trHeight w:val="358"/>
        </w:trPr>
        <w:tc>
          <w:tcPr>
            <w:tcW w:w="1720" w:type="dxa"/>
            <w:vAlign w:val="bottom"/>
          </w:tcPr>
          <w:p>
            <w:pPr>
              <w:spacing w:after="0"/>
              <w:rPr>
                <w:sz w:val="20"/>
                <w:szCs w:val="20"/>
                <w:color w:val="auto"/>
              </w:rPr>
            </w:pPr>
            <w:r>
              <w:rPr>
                <w:rFonts w:ascii="Arial" w:cs="Arial" w:eastAsia="Arial" w:hAnsi="Arial"/>
                <w:sz w:val="15"/>
                <w:szCs w:val="15"/>
                <w:b w:val="1"/>
                <w:bCs w:val="1"/>
                <w:color w:val="auto"/>
              </w:rPr>
              <w:t>company</w:t>
            </w:r>
            <w:r>
              <w:rPr>
                <w:rFonts w:ascii="Arial" w:cs="Arial" w:eastAsia="Arial" w:hAnsi="Arial"/>
                <w:sz w:val="24"/>
                <w:szCs w:val="24"/>
                <w:b w:val="1"/>
                <w:bCs w:val="1"/>
                <w:color w:val="auto"/>
                <w:vertAlign w:val="superscript"/>
              </w:rPr>
              <w:t>1</w:t>
            </w:r>
          </w:p>
        </w:tc>
        <w:tc>
          <w:tcPr>
            <w:tcW w:w="1160" w:type="dxa"/>
            <w:vAlign w:val="bottom"/>
          </w:tcPr>
          <w:p>
            <w:pPr>
              <w:spacing w:after="0"/>
              <w:rPr>
                <w:sz w:val="24"/>
                <w:szCs w:val="24"/>
                <w:color w:val="auto"/>
              </w:rPr>
            </w:pPr>
          </w:p>
        </w:tc>
        <w:tc>
          <w:tcPr>
            <w:tcW w:w="8540" w:type="dxa"/>
            <w:vAlign w:val="bottom"/>
            <w:tcBorders>
              <w:top w:val="single" w:sz="8" w:color="auto"/>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INSTRUCTIONS</w:t>
      </w:r>
    </w:p>
    <w:p>
      <w:pPr>
        <w:spacing w:after="0" w:line="213" w:lineRule="exact"/>
        <w:rPr>
          <w:sz w:val="20"/>
          <w:szCs w:val="20"/>
          <w:color w:val="auto"/>
        </w:rPr>
      </w:pPr>
    </w:p>
    <w:p>
      <w:pPr>
        <w:ind w:right="160"/>
        <w:spacing w:after="0" w:line="198" w:lineRule="auto"/>
        <w:rPr>
          <w:sz w:val="20"/>
          <w:szCs w:val="20"/>
          <w:color w:val="auto"/>
        </w:rPr>
      </w:pPr>
      <w:r>
        <w:rPr>
          <w:rFonts w:ascii="Arial" w:cs="Arial" w:eastAsia="Arial" w:hAnsi="Arial"/>
          <w:sz w:val="22"/>
          <w:szCs w:val="22"/>
          <w:b w:val="1"/>
          <w:bCs w:val="1"/>
          <w:color w:val="auto"/>
        </w:rPr>
        <w:t xml:space="preserve">In the First Section of this report, 26 recommendations of the </w:t>
      </w:r>
      <w:r>
        <w:rPr>
          <w:rFonts w:ascii="Arial" w:cs="Arial" w:eastAsia="Arial" w:hAnsi="Arial"/>
          <w:sz w:val="22"/>
          <w:szCs w:val="22"/>
          <w:b w:val="1"/>
          <w:bCs w:val="1"/>
          <w:i w:val="1"/>
          <w:iCs w:val="1"/>
          <w:color w:val="auto"/>
        </w:rPr>
        <w:t>Principles of Good Management for Peruvian Companies</w:t>
      </w:r>
      <w:r>
        <w:rPr>
          <w:rFonts w:ascii="Arial" w:cs="Arial" w:eastAsia="Arial" w:hAnsi="Arial"/>
          <w:sz w:val="36"/>
          <w:szCs w:val="36"/>
          <w:b w:val="1"/>
          <w:bCs w:val="1"/>
          <w:i w:val="1"/>
          <w:iCs w:val="1"/>
          <w:color w:val="auto"/>
          <w:vertAlign w:val="superscript"/>
        </w:rPr>
        <w:t>2</w:t>
      </w:r>
      <w:r>
        <w:rPr>
          <w:rFonts w:ascii="Arial" w:cs="Arial" w:eastAsia="Arial" w:hAnsi="Arial"/>
          <w:sz w:val="22"/>
          <w:szCs w:val="22"/>
          <w:b w:val="1"/>
          <w:bCs w:val="1"/>
          <w:color w:val="auto"/>
        </w:rPr>
        <w:t xml:space="preserve"> are evaluated.</w:t>
      </w:r>
    </w:p>
    <w:p>
      <w:pPr>
        <w:spacing w:after="0" w:line="231" w:lineRule="auto"/>
        <w:rPr>
          <w:sz w:val="20"/>
          <w:szCs w:val="20"/>
          <w:color w:val="auto"/>
        </w:rPr>
      </w:pPr>
      <w:r>
        <w:rPr>
          <w:rFonts w:ascii="Arial" w:cs="Arial" w:eastAsia="Arial" w:hAnsi="Arial"/>
          <w:sz w:val="22"/>
          <w:szCs w:val="22"/>
          <w:b w:val="1"/>
          <w:bCs w:val="1"/>
          <w:color w:val="auto"/>
        </w:rPr>
        <w:t>For every recommendation evaluated, the COMPANY should:</w:t>
      </w:r>
    </w:p>
    <w:p>
      <w:pPr>
        <w:spacing w:after="0"/>
        <w:rPr>
          <w:sz w:val="20"/>
          <w:szCs w:val="20"/>
          <w:color w:val="auto"/>
        </w:rPr>
      </w:pPr>
      <w:r>
        <w:rPr>
          <w:rFonts w:ascii="Arial" w:cs="Arial" w:eastAsia="Arial" w:hAnsi="Arial"/>
          <w:sz w:val="19"/>
          <w:szCs w:val="19"/>
          <w:b w:val="1"/>
          <w:bCs w:val="1"/>
          <w:color w:val="auto"/>
        </w:rPr>
        <w:t xml:space="preserve">a) mark with an ‘x’ the level of fulfillment considered adequate for the </w:t>
      </w:r>
      <w:r>
        <w:rPr>
          <w:rFonts w:ascii="Arial" w:cs="Arial" w:eastAsia="Arial" w:hAnsi="Arial"/>
          <w:sz w:val="19"/>
          <w:szCs w:val="19"/>
          <w:b w:val="1"/>
          <w:bCs w:val="1"/>
          <w:i w:val="1"/>
          <w:iCs w:val="1"/>
          <w:color w:val="auto"/>
        </w:rPr>
        <w:t>Subjective Evaluation,</w:t>
      </w:r>
      <w:r>
        <w:rPr>
          <w:rFonts w:ascii="Arial" w:cs="Arial" w:eastAsia="Arial" w:hAnsi="Arial"/>
          <w:sz w:val="19"/>
          <w:szCs w:val="19"/>
          <w:b w:val="1"/>
          <w:bCs w:val="1"/>
          <w:color w:val="auto"/>
        </w:rPr>
        <w:t xml:space="preserve"> using the following scale:</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0 : does not fulfill the principle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 3 : partially fulfills the principle</w:t>
      </w:r>
    </w:p>
    <w:p>
      <w:pPr>
        <w:ind w:left="60"/>
        <w:spacing w:after="0"/>
        <w:rPr>
          <w:sz w:val="20"/>
          <w:szCs w:val="20"/>
          <w:color w:val="auto"/>
        </w:rPr>
      </w:pPr>
      <w:r>
        <w:rPr>
          <w:rFonts w:ascii="Arial" w:cs="Arial" w:eastAsia="Arial" w:hAnsi="Arial"/>
          <w:sz w:val="22"/>
          <w:szCs w:val="22"/>
          <w:b w:val="1"/>
          <w:bCs w:val="1"/>
          <w:color w:val="auto"/>
        </w:rPr>
        <w:t>4 : totally fulfills the principle</w:t>
      </w:r>
    </w:p>
    <w:p>
      <w:pPr>
        <w:spacing w:after="0" w:line="182" w:lineRule="exact"/>
        <w:rPr>
          <w:sz w:val="20"/>
          <w:szCs w:val="20"/>
          <w:color w:val="auto"/>
        </w:rPr>
      </w:pPr>
    </w:p>
    <w:p>
      <w:pPr>
        <w:ind w:right="100" w:firstLine="8"/>
        <w:spacing w:after="0" w:line="272" w:lineRule="auto"/>
        <w:tabs>
          <w:tab w:leader="none" w:pos="246"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mark with an ‘x’ one or more of the alternatives given and complete the information requested in detail for the </w:t>
      </w:r>
      <w:r>
        <w:rPr>
          <w:rFonts w:ascii="Arial" w:cs="Arial" w:eastAsia="Arial" w:hAnsi="Arial"/>
          <w:sz w:val="22"/>
          <w:szCs w:val="22"/>
          <w:b w:val="1"/>
          <w:bCs w:val="1"/>
          <w:i w:val="1"/>
          <w:iCs w:val="1"/>
          <w:color w:val="auto"/>
        </w:rPr>
        <w:t>Objective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Evaluation</w:t>
      </w:r>
      <w:r>
        <w:rPr>
          <w:rFonts w:ascii="Arial" w:cs="Arial" w:eastAsia="Arial" w:hAnsi="Arial"/>
          <w:sz w:val="22"/>
          <w:szCs w:val="22"/>
          <w:b w:val="1"/>
          <w:bCs w:val="1"/>
          <w:color w:val="auto"/>
        </w:rPr>
        <w:t>.</w:t>
      </w:r>
      <w:r>
        <w:rPr>
          <w:rFonts w:ascii="Arial" w:cs="Arial" w:eastAsia="Arial" w:hAnsi="Arial"/>
          <w:sz w:val="36"/>
          <w:szCs w:val="36"/>
          <w:b w:val="1"/>
          <w:bCs w:val="1"/>
          <w:color w:val="auto"/>
          <w:vertAlign w:val="superscript"/>
        </w:rPr>
        <w:t>3</w:t>
      </w:r>
    </w:p>
    <w:p>
      <w:pPr>
        <w:ind w:right="200"/>
        <w:spacing w:after="0" w:line="289" w:lineRule="auto"/>
        <w:rPr>
          <w:sz w:val="20"/>
          <w:szCs w:val="20"/>
          <w:color w:val="auto"/>
        </w:rPr>
      </w:pPr>
      <w:r>
        <w:rPr>
          <w:rFonts w:ascii="Arial" w:cs="Arial" w:eastAsia="Arial" w:hAnsi="Arial"/>
          <w:sz w:val="19"/>
          <w:szCs w:val="19"/>
          <w:b w:val="1"/>
          <w:bCs w:val="1"/>
          <w:color w:val="auto"/>
        </w:rPr>
        <w:t xml:space="preserve">In the </w:t>
      </w:r>
      <w:r>
        <w:rPr>
          <w:rFonts w:ascii="Arial" w:cs="Arial" w:eastAsia="Arial" w:hAnsi="Arial"/>
          <w:sz w:val="19"/>
          <w:szCs w:val="19"/>
          <w:color w:val="auto"/>
        </w:rPr>
        <w:t>Second Section</w:t>
      </w:r>
      <w:r>
        <w:rPr>
          <w:rFonts w:ascii="Arial" w:cs="Arial" w:eastAsia="Arial" w:hAnsi="Arial"/>
          <w:sz w:val="19"/>
          <w:szCs w:val="19"/>
          <w:b w:val="1"/>
          <w:bCs w:val="1"/>
          <w:color w:val="auto"/>
        </w:rPr>
        <w:t xml:space="preserve"> of this report, a series of aspects is evaluated, referred to as the rights of the shareholders, the Board of Directors, the responsibilities of THE COMPANY and the shareholders and possessions. In this section, THE COMPANY should provide the information requested, by marking with an ‘x’ one or more alternative(s) included in each question and/or giving a detailed response to the request for information.</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________________________________________</w:t>
      </w:r>
    </w:p>
    <w:p>
      <w:pPr>
        <w:spacing w:after="0" w:line="14" w:lineRule="exact"/>
        <w:rPr>
          <w:sz w:val="20"/>
          <w:szCs w:val="20"/>
          <w:color w:val="auto"/>
        </w:rPr>
      </w:pPr>
    </w:p>
    <w:p>
      <w:pPr>
        <w:ind w:right="480"/>
        <w:spacing w:after="0" w:line="230" w:lineRule="auto"/>
        <w:rPr>
          <w:sz w:val="20"/>
          <w:szCs w:val="20"/>
          <w:color w:val="auto"/>
        </w:rPr>
      </w:pPr>
      <w:r>
        <w:rPr>
          <w:rFonts w:ascii="Arial" w:cs="Arial" w:eastAsia="Arial" w:hAnsi="Arial"/>
          <w:sz w:val="22"/>
          <w:szCs w:val="22"/>
          <w:color w:val="auto"/>
        </w:rPr>
        <w:t>1 Only applicable if the information contained in this report has been inspected by a specialized firm (for example, an auditing firm, a consultancy, etc.)</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 The text of the </w:t>
      </w:r>
      <w:r>
        <w:rPr>
          <w:rFonts w:ascii="Arial" w:cs="Arial" w:eastAsia="Arial" w:hAnsi="Arial"/>
          <w:sz w:val="21"/>
          <w:szCs w:val="21"/>
          <w:i w:val="1"/>
          <w:iCs w:val="1"/>
          <w:color w:val="auto"/>
        </w:rPr>
        <w:t>Principles of Good Management for Peruvian Companies</w:t>
      </w:r>
      <w:r>
        <w:rPr>
          <w:rFonts w:ascii="Arial" w:cs="Arial" w:eastAsia="Arial" w:hAnsi="Arial"/>
          <w:sz w:val="21"/>
          <w:szCs w:val="21"/>
          <w:color w:val="auto"/>
        </w:rPr>
        <w:t xml:space="preserve"> can be consulted at the following web page:</w:t>
      </w:r>
    </w:p>
    <w:p>
      <w:pPr>
        <w:spacing w:after="0" w:line="232" w:lineRule="auto"/>
        <w:rPr>
          <w:sz w:val="20"/>
          <w:szCs w:val="20"/>
          <w:color w:val="auto"/>
        </w:rPr>
      </w:pPr>
      <w:r>
        <w:rPr>
          <w:rFonts w:ascii="Arial" w:cs="Arial" w:eastAsia="Arial" w:hAnsi="Arial"/>
          <w:sz w:val="22"/>
          <w:szCs w:val="22"/>
          <w:u w:val="single" w:color="auto"/>
          <w:color w:val="auto"/>
        </w:rPr>
        <w:t>www.conasev.gob.pe</w:t>
      </w:r>
    </w:p>
    <w:p>
      <w:pPr>
        <w:ind w:right="300"/>
        <w:spacing w:after="0" w:line="237" w:lineRule="auto"/>
        <w:rPr>
          <w:sz w:val="20"/>
          <w:szCs w:val="20"/>
          <w:color w:val="auto"/>
        </w:rPr>
      </w:pPr>
      <w:r>
        <w:rPr>
          <w:rFonts w:ascii="Arial" w:cs="Arial" w:eastAsia="Arial" w:hAnsi="Arial"/>
          <w:sz w:val="22"/>
          <w:szCs w:val="22"/>
          <w:color w:val="auto"/>
        </w:rPr>
        <w:t>3 For this purpose, lines may be added to the tables included in this report, or alternatively the model tables can be replicated the number of times considered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2"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I. FIRST SECTION: EVALUATION OF 26 PRINCIPLES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RIGHTS OF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42545" cy="7283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545" cy="728345"/>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140335</wp:posOffset>
            </wp:positionV>
            <wp:extent cx="42545" cy="711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545" cy="71120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132080</wp:posOffset>
            </wp:positionV>
            <wp:extent cx="42545" cy="7283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545" cy="7283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6"/>
            <w:vMerge w:val="restart"/>
          </w:tcPr>
          <w:p>
            <w:pPr>
              <w:ind w:left="20"/>
              <w:spacing w:after="0"/>
              <w:rPr>
                <w:sz w:val="20"/>
                <w:szCs w:val="20"/>
                <w:color w:val="auto"/>
              </w:rPr>
            </w:pPr>
            <w:r>
              <w:rPr>
                <w:rFonts w:ascii="Arial" w:cs="Arial" w:eastAsia="Arial" w:hAnsi="Arial"/>
                <w:sz w:val="15"/>
                <w:szCs w:val="15"/>
                <w:i w:val="1"/>
                <w:iCs w:val="1"/>
                <w:color w:val="auto"/>
              </w:rPr>
              <w:t>Principles</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560" w:type="dxa"/>
            <w:vAlign w:val="bottom"/>
            <w:tcBorders>
              <w:top w:val="single" w:sz="8" w:color="2C2C2C"/>
              <w:bottom w:val="single" w:sz="8" w:color="2C2C2C"/>
            </w:tcBorders>
          </w:tcPr>
          <w:p>
            <w:pPr>
              <w:spacing w:after="0"/>
              <w:rPr>
                <w:sz w:val="17"/>
                <w:szCs w:val="17"/>
                <w:color w:val="auto"/>
              </w:rPr>
            </w:pPr>
          </w:p>
        </w:tc>
        <w:tc>
          <w:tcPr>
            <w:tcW w:w="220" w:type="dxa"/>
            <w:vAlign w:val="bottom"/>
            <w:tcBorders>
              <w:top w:val="single" w:sz="8" w:color="2C2C2C"/>
              <w:bottom w:val="single" w:sz="8" w:color="2C2C2C"/>
            </w:tcBorders>
          </w:tcPr>
          <w:p>
            <w:pPr>
              <w:spacing w:after="0"/>
              <w:rPr>
                <w:sz w:val="17"/>
                <w:szCs w:val="17"/>
                <w:color w:val="auto"/>
              </w:rPr>
            </w:pPr>
          </w:p>
        </w:tc>
        <w:tc>
          <w:tcPr>
            <w:tcW w:w="120" w:type="dxa"/>
            <w:vAlign w:val="bottom"/>
            <w:tcBorders>
              <w:top w:val="single" w:sz="8" w:color="2C2C2C"/>
              <w:bottom w:val="single" w:sz="8" w:color="2C2C2C"/>
            </w:tcBorders>
          </w:tcPr>
          <w:p>
            <w:pPr>
              <w:spacing w:after="0"/>
              <w:rPr>
                <w:sz w:val="17"/>
                <w:szCs w:val="17"/>
                <w:color w:val="auto"/>
              </w:rPr>
            </w:pPr>
          </w:p>
        </w:tc>
        <w:tc>
          <w:tcPr>
            <w:tcW w:w="22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6"/>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56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3</w:t>
            </w:r>
          </w:p>
        </w:tc>
        <w:tc>
          <w:tcPr>
            <w:tcW w:w="340" w:type="dxa"/>
            <w:vAlign w:val="bottom"/>
            <w:gridSpan w:val="2"/>
            <w:vMerge w:val="restart"/>
          </w:tcPr>
          <w:p>
            <w:pPr>
              <w:ind w:left="240"/>
              <w:spacing w:after="0" w:line="162" w:lineRule="exact"/>
              <w:rPr>
                <w:sz w:val="20"/>
                <w:szCs w:val="20"/>
                <w:color w:val="auto"/>
              </w:rPr>
            </w:pPr>
            <w:r>
              <w:rPr>
                <w:rFonts w:ascii="Arial" w:cs="Arial" w:eastAsia="Arial" w:hAnsi="Arial"/>
                <w:sz w:val="15"/>
                <w:szCs w:val="15"/>
                <w:i w:val="1"/>
                <w:iCs w:val="1"/>
                <w:color w:val="auto"/>
                <w:w w:val="95"/>
              </w:rPr>
              <w:t>4</w:t>
            </w: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top w:val="single" w:sz="8" w:color="auto"/>
              <w:bottom w:val="single" w:sz="8" w:color="2C2C2C"/>
            </w:tcBorders>
          </w:tcPr>
          <w:p>
            <w:pPr>
              <w:spacing w:after="0"/>
              <w:rPr>
                <w:sz w:val="8"/>
                <w:szCs w:val="8"/>
                <w:color w:val="auto"/>
              </w:rPr>
            </w:pPr>
          </w:p>
        </w:tc>
        <w:tc>
          <w:tcPr>
            <w:tcW w:w="460" w:type="dxa"/>
            <w:vAlign w:val="bottom"/>
            <w:tcBorders>
              <w:top w:val="single" w:sz="8" w:color="auto"/>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340" w:type="dxa"/>
            <w:vAlign w:val="bottom"/>
            <w:tcBorders>
              <w:bottom w:val="single" w:sz="8" w:color="2C2C2C"/>
            </w:tcBorders>
            <w:gridSpan w:val="2"/>
            <w:vMerge w:val="continue"/>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6"/>
          </w:tcPr>
          <w:p>
            <w:pPr>
              <w:ind w:left="20"/>
              <w:spacing w:after="0" w:line="149" w:lineRule="exact"/>
              <w:rPr>
                <w:sz w:val="20"/>
                <w:szCs w:val="20"/>
                <w:color w:val="auto"/>
              </w:rPr>
            </w:pPr>
            <w:r>
              <w:rPr>
                <w:rFonts w:ascii="Arial" w:cs="Arial" w:eastAsia="Arial" w:hAnsi="Arial"/>
                <w:sz w:val="15"/>
                <w:szCs w:val="15"/>
                <w:color w:val="auto"/>
                <w:w w:val="91"/>
              </w:rPr>
              <w:t xml:space="preserve">1. </w:t>
            </w:r>
            <w:r>
              <w:rPr>
                <w:rFonts w:ascii="Arial" w:cs="Arial" w:eastAsia="Arial" w:hAnsi="Arial"/>
                <w:sz w:val="15"/>
                <w:szCs w:val="15"/>
                <w:i w:val="1"/>
                <w:iCs w:val="1"/>
                <w:color w:val="auto"/>
                <w:w w:val="91"/>
              </w:rPr>
              <w:t>Principle (I.C.1. second paragraph) .- Generic matters should not be included in the agenda. Matters to be dealt with should be specified in</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3"/>
          </w:tcPr>
          <w:p>
            <w:pPr>
              <w:ind w:left="220"/>
              <w:spacing w:after="0" w:line="149" w:lineRule="exact"/>
              <w:rPr>
                <w:sz w:val="20"/>
                <w:szCs w:val="20"/>
                <w:color w:val="auto"/>
              </w:rPr>
            </w:pPr>
            <w:r>
              <w:rPr>
                <w:rFonts w:ascii="Arial" w:cs="Arial" w:eastAsia="Arial" w:hAnsi="Arial"/>
                <w:sz w:val="15"/>
                <w:szCs w:val="15"/>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8560" w:type="dxa"/>
            <w:vAlign w:val="bottom"/>
            <w:gridSpan w:val="6"/>
          </w:tcPr>
          <w:p>
            <w:pPr>
              <w:ind w:left="20"/>
              <w:spacing w:after="0" w:line="146" w:lineRule="exact"/>
              <w:rPr>
                <w:sz w:val="20"/>
                <w:szCs w:val="20"/>
                <w:color w:val="auto"/>
              </w:rPr>
            </w:pPr>
            <w:r>
              <w:rPr>
                <w:rFonts w:ascii="Arial" w:cs="Arial" w:eastAsia="Arial" w:hAnsi="Arial"/>
                <w:sz w:val="15"/>
                <w:szCs w:val="15"/>
                <w:i w:val="1"/>
                <w:iCs w:val="1"/>
                <w:color w:val="auto"/>
                <w:w w:val="93"/>
              </w:rPr>
              <w:t>such a way that each matter is discussed separately, facilitating analysis and avoiding decisions on matters about which different opinions</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560" w:type="dxa"/>
            <w:vAlign w:val="bottom"/>
            <w:tcBorders>
              <w:bottom w:val="single" w:sz="8" w:color="2C2C2C"/>
            </w:tcBorders>
            <w:gridSpan w:val="6"/>
          </w:tcPr>
          <w:p>
            <w:pPr>
              <w:ind w:left="20"/>
              <w:spacing w:after="0" w:line="172" w:lineRule="exact"/>
              <w:rPr>
                <w:sz w:val="20"/>
                <w:szCs w:val="20"/>
                <w:color w:val="auto"/>
              </w:rPr>
            </w:pPr>
            <w:r>
              <w:rPr>
                <w:rFonts w:ascii="Arial" w:cs="Arial" w:eastAsia="Arial" w:hAnsi="Arial"/>
                <w:sz w:val="15"/>
                <w:szCs w:val="15"/>
                <w:i w:val="1"/>
                <w:iCs w:val="1"/>
                <w:color w:val="auto"/>
              </w:rPr>
              <w:t>may be held.</w:t>
            </w:r>
          </w:p>
        </w:tc>
        <w:tc>
          <w:tcPr>
            <w:tcW w:w="7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560" w:type="dxa"/>
            <w:vAlign w:val="bottom"/>
            <w:gridSpan w:val="6"/>
          </w:tcPr>
          <w:p>
            <w:pPr>
              <w:ind w:left="20"/>
              <w:spacing w:after="0" w:line="149" w:lineRule="exact"/>
              <w:rPr>
                <w:sz w:val="20"/>
                <w:szCs w:val="20"/>
                <w:color w:val="auto"/>
              </w:rPr>
            </w:pPr>
            <w:r>
              <w:rPr>
                <w:rFonts w:ascii="Arial" w:cs="Arial" w:eastAsia="Arial" w:hAnsi="Arial"/>
                <w:sz w:val="15"/>
                <w:szCs w:val="15"/>
                <w:color w:val="auto"/>
              </w:rPr>
              <w:t xml:space="preserve">2. </w:t>
            </w:r>
            <w:r>
              <w:rPr>
                <w:rFonts w:ascii="Arial" w:cs="Arial" w:eastAsia="Arial" w:hAnsi="Arial"/>
                <w:sz w:val="15"/>
                <w:szCs w:val="15"/>
                <w:i w:val="1"/>
                <w:iCs w:val="1"/>
                <w:color w:val="auto"/>
              </w:rPr>
              <w:t>Principle (I.C.1. third paragraph) .- The venue for the General Meetings should be easy for shareholders to get to.</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3"/>
          </w:tcPr>
          <w:p>
            <w:pPr>
              <w:ind w:left="220"/>
              <w:spacing w:after="0" w:line="149" w:lineRule="exact"/>
              <w:rPr>
                <w:sz w:val="20"/>
                <w:szCs w:val="20"/>
                <w:color w:val="auto"/>
              </w:rPr>
            </w:pPr>
            <w:r>
              <w:rPr>
                <w:rFonts w:ascii="Arial" w:cs="Arial" w:eastAsia="Arial" w:hAnsi="Arial"/>
                <w:sz w:val="15"/>
                <w:szCs w:val="15"/>
                <w:color w:val="auto"/>
              </w:rPr>
              <w:t>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auto"/>
            </w:tcBorders>
            <w:shd w:val="clear" w:color="auto" w:fill="2C2C2C"/>
          </w:tcPr>
          <w:p>
            <w:pPr>
              <w:spacing w:after="0" w:line="20" w:lineRule="exact"/>
              <w:rPr>
                <w:sz w:val="1"/>
                <w:szCs w:val="1"/>
                <w:color w:val="auto"/>
              </w:rPr>
            </w:pPr>
          </w:p>
        </w:tc>
        <w:tc>
          <w:tcPr>
            <w:tcW w:w="1560" w:type="dxa"/>
            <w:vAlign w:val="bottom"/>
            <w:tcBorders>
              <w:top w:val="single" w:sz="8" w:color="auto"/>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62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auto"/>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-586740</wp:posOffset>
            </wp:positionV>
            <wp:extent cx="42545" cy="5911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-586740</wp:posOffset>
            </wp:positionV>
            <wp:extent cx="42545" cy="5911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-586740</wp:posOffset>
            </wp:positionV>
            <wp:extent cx="42545" cy="5911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-586740</wp:posOffset>
            </wp:positionV>
            <wp:extent cx="42545" cy="591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54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220"/>
        <w:spacing w:after="0" w:line="256" w:lineRule="auto"/>
        <w:rPr>
          <w:sz w:val="20"/>
          <w:szCs w:val="20"/>
          <w:color w:val="auto"/>
        </w:rPr>
      </w:pPr>
      <w:r>
        <w:rPr>
          <w:rFonts w:ascii="Arial" w:cs="Arial" w:eastAsia="Arial" w:hAnsi="Arial"/>
          <w:sz w:val="22"/>
          <w:szCs w:val="22"/>
          <w:b w:val="1"/>
          <w:bCs w:val="1"/>
          <w:color w:val="auto"/>
        </w:rPr>
        <w:t>a. Indicate the number of Shareholder Meetings called by THE COMPANY during the financial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42545" cy="402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107950</wp:posOffset>
            </wp:positionV>
            <wp:extent cx="42545" cy="402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116840</wp:posOffset>
            </wp:positionV>
            <wp:extent cx="42545" cy="3854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545" cy="3854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598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15"/>
                <w:szCs w:val="15"/>
                <w:b w:val="1"/>
                <w:bCs w:val="1"/>
                <w:color w:val="auto"/>
              </w:rPr>
              <w:t>1. Type</w:t>
            </w:r>
          </w:p>
        </w:tc>
        <w:tc>
          <w:tcPr>
            <w:tcW w:w="5400" w:type="dxa"/>
            <w:vAlign w:val="bottom"/>
            <w:tcBorders>
              <w:top w:val="single" w:sz="8" w:color="2C2C2C"/>
              <w:bottom w:val="single" w:sz="8" w:color="2C2C2C"/>
            </w:tcBorders>
          </w:tcPr>
          <w:p>
            <w:pPr>
              <w:ind w:left="4020"/>
              <w:spacing w:after="0"/>
              <w:rPr>
                <w:sz w:val="20"/>
                <w:szCs w:val="20"/>
                <w:color w:val="auto"/>
              </w:rPr>
            </w:pPr>
            <w:r>
              <w:rPr>
                <w:rFonts w:ascii="Arial" w:cs="Arial" w:eastAsia="Arial" w:hAnsi="Arial"/>
                <w:sz w:val="15"/>
                <w:szCs w:val="15"/>
                <w:color w:val="auto"/>
              </w:rPr>
              <w:t>Number</w:t>
            </w:r>
          </w:p>
        </w:tc>
        <w:tc>
          <w:tcPr>
            <w:tcW w:w="20" w:type="dxa"/>
            <w:vAlign w:val="bottom"/>
            <w:tcBorders>
              <w:top w:val="single" w:sz="8" w:color="808080"/>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59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General Shareholder Meetings</w:t>
            </w:r>
          </w:p>
        </w:tc>
        <w:tc>
          <w:tcPr>
            <w:tcW w:w="5400" w:type="dxa"/>
            <w:vAlign w:val="bottom"/>
            <w:tcBorders>
              <w:bottom w:val="single" w:sz="8" w:color="2C2C2C"/>
            </w:tcBorders>
          </w:tcPr>
          <w:p>
            <w:pPr>
              <w:jc w:val="right"/>
              <w:ind w:right="966"/>
              <w:spacing w:after="0" w:line="162"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59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General Shareholder Meetings</w:t>
            </w:r>
          </w:p>
        </w:tc>
        <w:tc>
          <w:tcPr>
            <w:tcW w:w="5400" w:type="dxa"/>
            <w:vAlign w:val="bottom"/>
            <w:tcBorders>
              <w:bottom w:val="single" w:sz="8" w:color="2C2C2C"/>
            </w:tcBorders>
          </w:tcPr>
          <w:p>
            <w:pPr>
              <w:jc w:val="right"/>
              <w:ind w:right="1026"/>
              <w:spacing w:after="0" w:line="162" w:lineRule="exact"/>
              <w:rPr>
                <w:sz w:val="20"/>
                <w:szCs w:val="20"/>
                <w:color w:val="auto"/>
              </w:rPr>
            </w:pPr>
            <w:r>
              <w:rPr>
                <w:rFonts w:ascii="Arial" w:cs="Arial" w:eastAsia="Arial" w:hAnsi="Arial"/>
                <w:sz w:val="15"/>
                <w:szCs w:val="15"/>
                <w:color w:val="auto"/>
              </w:rPr>
              <w:t>-</w:t>
            </w:r>
          </w:p>
        </w:tc>
        <w:tc>
          <w:tcPr>
            <w:tcW w:w="20" w:type="dxa"/>
            <w:vAlign w:val="bottom"/>
            <w:tcBorders>
              <w:bottom w:val="single" w:sz="8" w:color="2C2C2C"/>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If shareholder meetings have been called, please provide the following information for each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7272020" cy="1054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Borders>
              <w:top w:val="single" w:sz="8" w:color="808080"/>
            </w:tcBorders>
          </w:tcPr>
          <w:p>
            <w:pPr>
              <w:spacing w:after="0"/>
              <w:rPr>
                <w:sz w:val="15"/>
                <w:szCs w:val="15"/>
                <w:color w:val="auto"/>
              </w:rPr>
            </w:pPr>
          </w:p>
        </w:tc>
        <w:tc>
          <w:tcPr>
            <w:tcW w:w="1540" w:type="dxa"/>
            <w:vAlign w:val="bottom"/>
            <w:tcBorders>
              <w:top w:val="single" w:sz="8" w:color="2C2C2C"/>
            </w:tcBorders>
          </w:tcPr>
          <w:p>
            <w:pPr>
              <w:jc w:val="center"/>
              <w:ind w:left="46"/>
              <w:spacing w:after="0"/>
              <w:rPr>
                <w:sz w:val="20"/>
                <w:szCs w:val="20"/>
                <w:color w:val="auto"/>
              </w:rPr>
            </w:pPr>
            <w:r>
              <w:rPr>
                <w:rFonts w:ascii="Arial" w:cs="Arial" w:eastAsia="Arial" w:hAnsi="Arial"/>
                <w:sz w:val="15"/>
                <w:szCs w:val="15"/>
                <w:color w:val="auto"/>
                <w:w w:val="96"/>
              </w:rPr>
              <w:t>DATE ON WHICH</w:t>
            </w:r>
          </w:p>
        </w:tc>
        <w:tc>
          <w:tcPr>
            <w:tcW w:w="1240" w:type="dxa"/>
            <w:vAlign w:val="bottom"/>
            <w:tcBorders>
              <w:top w:val="single" w:sz="8" w:color="2C2C2C"/>
            </w:tcBorders>
          </w:tcPr>
          <w:p>
            <w:pPr>
              <w:spacing w:after="0"/>
              <w:rPr>
                <w:sz w:val="15"/>
                <w:szCs w:val="15"/>
                <w:color w:val="auto"/>
              </w:rPr>
            </w:pPr>
          </w:p>
        </w:tc>
        <w:tc>
          <w:tcPr>
            <w:tcW w:w="1300" w:type="dxa"/>
            <w:vAlign w:val="bottom"/>
            <w:tcBorders>
              <w:top w:val="single" w:sz="8" w:color="2C2C2C"/>
            </w:tcBorders>
          </w:tcPr>
          <w:p>
            <w:pPr>
              <w:spacing w:after="0"/>
              <w:rPr>
                <w:sz w:val="15"/>
                <w:szCs w:val="15"/>
                <w:color w:val="auto"/>
              </w:rPr>
            </w:pPr>
          </w:p>
        </w:tc>
        <w:tc>
          <w:tcPr>
            <w:tcW w:w="2260" w:type="dxa"/>
            <w:vAlign w:val="bottom"/>
            <w:tcBorders>
              <w:top w:val="single" w:sz="8" w:color="2C2C2C"/>
            </w:tcBorders>
            <w:gridSpan w:val="2"/>
            <w:vMerge w:val="restart"/>
          </w:tcPr>
          <w:p>
            <w:pPr>
              <w:ind w:left="460"/>
              <w:spacing w:after="0"/>
              <w:rPr>
                <w:sz w:val="20"/>
                <w:szCs w:val="20"/>
                <w:color w:val="auto"/>
              </w:rPr>
            </w:pPr>
            <w:r>
              <w:rPr>
                <w:rFonts w:ascii="Arial" w:cs="Arial" w:eastAsia="Arial" w:hAnsi="Arial"/>
                <w:sz w:val="15"/>
                <w:szCs w:val="15"/>
                <w:color w:val="auto"/>
              </w:rPr>
              <w:t>TYPE OF MEETING</w:t>
            </w:r>
          </w:p>
        </w:tc>
        <w:tc>
          <w:tcPr>
            <w:tcW w:w="1060" w:type="dxa"/>
            <w:vAlign w:val="bottom"/>
            <w:tcBorders>
              <w:top w:val="single" w:sz="8" w:color="2C2C2C"/>
            </w:tcBorders>
          </w:tcPr>
          <w:p>
            <w:pPr>
              <w:spacing w:after="0"/>
              <w:rPr>
                <w:sz w:val="15"/>
                <w:szCs w:val="15"/>
                <w:color w:val="auto"/>
              </w:rPr>
            </w:pPr>
          </w:p>
        </w:tc>
        <w:tc>
          <w:tcPr>
            <w:tcW w:w="1740" w:type="dxa"/>
            <w:vAlign w:val="bottom"/>
            <w:tcBorders>
              <w:top w:val="single" w:sz="8" w:color="2C2C2C"/>
            </w:tcBorders>
          </w:tcPr>
          <w:p>
            <w:pPr>
              <w:spacing w:after="0"/>
              <w:rPr>
                <w:sz w:val="15"/>
                <w:szCs w:val="15"/>
                <w:color w:val="auto"/>
              </w:rPr>
            </w:pPr>
          </w:p>
        </w:tc>
        <w:tc>
          <w:tcPr>
            <w:tcW w:w="1500" w:type="dxa"/>
            <w:vAlign w:val="bottom"/>
            <w:tcBorders>
              <w:top w:val="single" w:sz="8" w:color="2C2C2C"/>
            </w:tcBorders>
            <w:vMerge w:val="restart"/>
          </w:tcPr>
          <w:p>
            <w:pPr>
              <w:jc w:val="right"/>
              <w:spacing w:after="0"/>
              <w:rPr>
                <w:sz w:val="20"/>
                <w:szCs w:val="20"/>
                <w:color w:val="auto"/>
              </w:rPr>
            </w:pPr>
            <w:r>
              <w:rPr>
                <w:rFonts w:ascii="Arial" w:cs="Arial" w:eastAsia="Arial" w:hAnsi="Arial"/>
                <w:sz w:val="15"/>
                <w:szCs w:val="15"/>
                <w:color w:val="auto"/>
              </w:rPr>
              <w:t>DURATION</w:t>
            </w:r>
          </w:p>
        </w:tc>
        <w:tc>
          <w:tcPr>
            <w:tcW w:w="74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540" w:type="dxa"/>
            <w:vAlign w:val="bottom"/>
            <w:vMerge w:val="restart"/>
          </w:tcPr>
          <w:p>
            <w:pPr>
              <w:jc w:val="center"/>
              <w:ind w:left="46"/>
              <w:spacing w:after="0" w:line="162" w:lineRule="exact"/>
              <w:rPr>
                <w:sz w:val="20"/>
                <w:szCs w:val="20"/>
                <w:color w:val="auto"/>
              </w:rPr>
            </w:pPr>
            <w:r>
              <w:rPr>
                <w:rFonts w:ascii="Arial" w:cs="Arial" w:eastAsia="Arial" w:hAnsi="Arial"/>
                <w:sz w:val="15"/>
                <w:szCs w:val="15"/>
                <w:color w:val="auto"/>
                <w:w w:val="95"/>
              </w:rPr>
              <w:t>THE MEETING</w:t>
            </w:r>
          </w:p>
        </w:tc>
        <w:tc>
          <w:tcPr>
            <w:tcW w:w="1240" w:type="dxa"/>
            <w:vAlign w:val="bottom"/>
            <w:vMerge w:val="restart"/>
          </w:tcPr>
          <w:p>
            <w:pPr>
              <w:jc w:val="center"/>
              <w:ind w:left="226"/>
              <w:spacing w:after="0" w:line="162" w:lineRule="exact"/>
              <w:rPr>
                <w:sz w:val="20"/>
                <w:szCs w:val="20"/>
                <w:color w:val="auto"/>
              </w:rPr>
            </w:pPr>
            <w:r>
              <w:rPr>
                <w:rFonts w:ascii="Arial" w:cs="Arial" w:eastAsia="Arial" w:hAnsi="Arial"/>
                <w:sz w:val="15"/>
                <w:szCs w:val="15"/>
                <w:color w:val="auto"/>
                <w:w w:val="94"/>
              </w:rPr>
              <w:t>DATE</w:t>
            </w:r>
          </w:p>
        </w:tc>
        <w:tc>
          <w:tcPr>
            <w:tcW w:w="1300" w:type="dxa"/>
            <w:vAlign w:val="bottom"/>
            <w:vMerge w:val="restart"/>
          </w:tcPr>
          <w:p>
            <w:pPr>
              <w:jc w:val="center"/>
              <w:ind w:left="86"/>
              <w:spacing w:after="0" w:line="162" w:lineRule="exact"/>
              <w:rPr>
                <w:sz w:val="20"/>
                <w:szCs w:val="20"/>
                <w:color w:val="auto"/>
              </w:rPr>
            </w:pPr>
            <w:r>
              <w:rPr>
                <w:rFonts w:ascii="Arial" w:cs="Arial" w:eastAsia="Arial" w:hAnsi="Arial"/>
                <w:sz w:val="15"/>
                <w:szCs w:val="15"/>
                <w:color w:val="auto"/>
                <w:w w:val="94"/>
              </w:rPr>
              <w:t>PLACE OF</w:t>
            </w:r>
          </w:p>
        </w:tc>
        <w:tc>
          <w:tcPr>
            <w:tcW w:w="2260" w:type="dxa"/>
            <w:vAlign w:val="bottom"/>
            <w:tcBorders>
              <w:bottom w:val="single" w:sz="8" w:color="2C2C2C"/>
            </w:tcBorders>
            <w:gridSpan w:val="2"/>
            <w:vMerge w:val="continue"/>
          </w:tcPr>
          <w:p>
            <w:pPr>
              <w:spacing w:after="0"/>
              <w:rPr>
                <w:sz w:val="7"/>
                <w:szCs w:val="7"/>
                <w:color w:val="auto"/>
              </w:rPr>
            </w:pPr>
          </w:p>
        </w:tc>
        <w:tc>
          <w:tcPr>
            <w:tcW w:w="1060" w:type="dxa"/>
            <w:vAlign w:val="bottom"/>
          </w:tcPr>
          <w:p>
            <w:pPr>
              <w:spacing w:after="0"/>
              <w:rPr>
                <w:sz w:val="7"/>
                <w:szCs w:val="7"/>
                <w:color w:val="auto"/>
              </w:rPr>
            </w:pPr>
          </w:p>
        </w:tc>
        <w:tc>
          <w:tcPr>
            <w:tcW w:w="174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4"/>
              </w:rPr>
              <w:t>Nº OF SHAREHOLDERS</w:t>
            </w:r>
          </w:p>
        </w:tc>
        <w:tc>
          <w:tcPr>
            <w:tcW w:w="1500" w:type="dxa"/>
            <w:vAlign w:val="bottom"/>
            <w:tcBorders>
              <w:bottom w:val="single" w:sz="8" w:color="2C2C2C"/>
            </w:tcBorders>
            <w:vMerge w:val="continue"/>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1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SPECIAL</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GENERAL</w:t>
            </w:r>
          </w:p>
        </w:tc>
        <w:tc>
          <w:tcPr>
            <w:tcW w:w="106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40" w:type="dxa"/>
            <w:vAlign w:val="bottom"/>
          </w:tcPr>
          <w:p>
            <w:pPr>
              <w:jc w:val="center"/>
              <w:ind w:left="6"/>
              <w:spacing w:after="0" w:line="172" w:lineRule="exact"/>
              <w:rPr>
                <w:sz w:val="20"/>
                <w:szCs w:val="20"/>
                <w:color w:val="auto"/>
              </w:rPr>
            </w:pPr>
            <w:r>
              <w:rPr>
                <w:rFonts w:ascii="Arial" w:cs="Arial" w:eastAsia="Arial" w:hAnsi="Arial"/>
                <w:sz w:val="15"/>
                <w:szCs w:val="15"/>
                <w:color w:val="auto"/>
                <w:w w:val="99"/>
              </w:rPr>
              <w:t>WAS CALLED*</w:t>
            </w:r>
          </w:p>
        </w:tc>
        <w:tc>
          <w:tcPr>
            <w:tcW w:w="2540" w:type="dxa"/>
            <w:vAlign w:val="bottom"/>
            <w:gridSpan w:val="2"/>
          </w:tcPr>
          <w:p>
            <w:pPr>
              <w:ind w:left="140"/>
              <w:spacing w:after="0" w:line="172" w:lineRule="exact"/>
              <w:rPr>
                <w:sz w:val="20"/>
                <w:szCs w:val="20"/>
                <w:color w:val="auto"/>
              </w:rPr>
            </w:pPr>
            <w:r>
              <w:rPr>
                <w:rFonts w:ascii="Arial" w:cs="Arial" w:eastAsia="Arial" w:hAnsi="Arial"/>
                <w:sz w:val="15"/>
                <w:szCs w:val="15"/>
                <w:color w:val="auto"/>
                <w:w w:val="99"/>
              </w:rPr>
              <w:t>OF THE MEETING  THE MEETING</w:t>
            </w:r>
          </w:p>
        </w:tc>
        <w:tc>
          <w:tcPr>
            <w:tcW w:w="11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60" w:type="dxa"/>
            <w:vAlign w:val="bottom"/>
          </w:tcPr>
          <w:p>
            <w:pPr>
              <w:jc w:val="center"/>
              <w:spacing w:after="0" w:line="172" w:lineRule="exact"/>
              <w:rPr>
                <w:sz w:val="20"/>
                <w:szCs w:val="20"/>
                <w:color w:val="auto"/>
              </w:rPr>
            </w:pPr>
            <w:r>
              <w:rPr>
                <w:rFonts w:ascii="Arial" w:cs="Arial" w:eastAsia="Arial" w:hAnsi="Arial"/>
                <w:sz w:val="15"/>
                <w:szCs w:val="15"/>
                <w:color w:val="auto"/>
                <w:w w:val="95"/>
              </w:rPr>
              <w:t>% QUORUM</w:t>
            </w:r>
          </w:p>
        </w:tc>
        <w:tc>
          <w:tcPr>
            <w:tcW w:w="1740" w:type="dxa"/>
            <w:vAlign w:val="bottom"/>
          </w:tcPr>
          <w:p>
            <w:pPr>
              <w:jc w:val="center"/>
              <w:spacing w:after="0" w:line="172" w:lineRule="exact"/>
              <w:rPr>
                <w:sz w:val="20"/>
                <w:szCs w:val="20"/>
                <w:color w:val="auto"/>
              </w:rPr>
            </w:pPr>
            <w:r>
              <w:rPr>
                <w:rFonts w:ascii="Arial" w:cs="Arial" w:eastAsia="Arial" w:hAnsi="Arial"/>
                <w:sz w:val="15"/>
                <w:szCs w:val="15"/>
                <w:color w:val="auto"/>
                <w:w w:val="95"/>
              </w:rPr>
              <w:t>IN ATTENDANCE</w:t>
            </w:r>
          </w:p>
        </w:tc>
        <w:tc>
          <w:tcPr>
            <w:tcW w:w="1500" w:type="dxa"/>
            <w:vAlign w:val="bottom"/>
          </w:tcPr>
          <w:p>
            <w:pPr>
              <w:jc w:val="right"/>
              <w:ind w:right="446"/>
              <w:spacing w:after="0" w:line="172" w:lineRule="exact"/>
              <w:rPr>
                <w:sz w:val="20"/>
                <w:szCs w:val="20"/>
                <w:color w:val="auto"/>
              </w:rPr>
            </w:pPr>
            <w:r>
              <w:rPr>
                <w:rFonts w:ascii="Arial" w:cs="Arial" w:eastAsia="Arial" w:hAnsi="Arial"/>
                <w:sz w:val="15"/>
                <w:szCs w:val="15"/>
                <w:color w:val="auto"/>
              </w:rPr>
              <w:t>START TIME</w:t>
            </w:r>
          </w:p>
        </w:tc>
        <w:tc>
          <w:tcPr>
            <w:tcW w:w="760" w:type="dxa"/>
            <w:vAlign w:val="bottom"/>
            <w:gridSpan w:val="2"/>
          </w:tcPr>
          <w:p>
            <w:pPr>
              <w:jc w:val="right"/>
              <w:ind w:right="420"/>
              <w:spacing w:after="0" w:line="172" w:lineRule="exact"/>
              <w:rPr>
                <w:sz w:val="20"/>
                <w:szCs w:val="20"/>
                <w:color w:val="auto"/>
              </w:rPr>
            </w:pPr>
            <w:r>
              <w:rPr>
                <w:rFonts w:ascii="Arial" w:cs="Arial" w:eastAsia="Arial" w:hAnsi="Arial"/>
                <w:sz w:val="15"/>
                <w:szCs w:val="15"/>
                <w:color w:val="auto"/>
              </w:rPr>
              <w:t>END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tcBorders>
              <w:top w:val="single" w:sz="8" w:color="2C2C2C"/>
            </w:tcBorders>
          </w:tcPr>
          <w:p>
            <w:pPr>
              <w:jc w:val="center"/>
              <w:ind w:left="26"/>
              <w:spacing w:after="0" w:line="153" w:lineRule="exact"/>
              <w:rPr>
                <w:sz w:val="20"/>
                <w:szCs w:val="20"/>
                <w:color w:val="auto"/>
              </w:rPr>
            </w:pPr>
            <w:r>
              <w:rPr>
                <w:rFonts w:ascii="Arial" w:cs="Arial" w:eastAsia="Arial" w:hAnsi="Arial"/>
                <w:sz w:val="15"/>
                <w:szCs w:val="15"/>
                <w:color w:val="auto"/>
                <w:w w:val="89"/>
              </w:rPr>
              <w:t>24.2.2005</w:t>
            </w:r>
          </w:p>
        </w:tc>
        <w:tc>
          <w:tcPr>
            <w:tcW w:w="1240" w:type="dxa"/>
            <w:vAlign w:val="bottom"/>
            <w:tcBorders>
              <w:top w:val="single" w:sz="8" w:color="2C2C2C"/>
            </w:tcBorders>
          </w:tcPr>
          <w:p>
            <w:pPr>
              <w:jc w:val="right"/>
              <w:ind w:right="126"/>
              <w:spacing w:after="0" w:line="153" w:lineRule="exact"/>
              <w:rPr>
                <w:sz w:val="20"/>
                <w:szCs w:val="20"/>
                <w:color w:val="auto"/>
              </w:rPr>
            </w:pPr>
            <w:r>
              <w:rPr>
                <w:rFonts w:ascii="Arial" w:cs="Arial" w:eastAsia="Arial" w:hAnsi="Arial"/>
                <w:sz w:val="15"/>
                <w:szCs w:val="15"/>
                <w:color w:val="auto"/>
              </w:rPr>
              <w:t>31.3.2005</w:t>
            </w:r>
          </w:p>
        </w:tc>
        <w:tc>
          <w:tcPr>
            <w:tcW w:w="1300" w:type="dxa"/>
            <w:vAlign w:val="bottom"/>
            <w:tcBorders>
              <w:top w:val="single" w:sz="8" w:color="2C2C2C"/>
            </w:tcBorders>
          </w:tcPr>
          <w:p>
            <w:pPr>
              <w:jc w:val="center"/>
              <w:ind w:left="86"/>
              <w:spacing w:after="0" w:line="153" w:lineRule="exact"/>
              <w:rPr>
                <w:sz w:val="20"/>
                <w:szCs w:val="20"/>
                <w:color w:val="auto"/>
              </w:rPr>
            </w:pPr>
            <w:r>
              <w:rPr>
                <w:rFonts w:ascii="Arial" w:cs="Arial" w:eastAsia="Arial" w:hAnsi="Arial"/>
                <w:sz w:val="15"/>
                <w:szCs w:val="15"/>
                <w:color w:val="auto"/>
                <w:w w:val="87"/>
              </w:rPr>
              <w:t>Calle</w:t>
            </w:r>
          </w:p>
        </w:tc>
        <w:tc>
          <w:tcPr>
            <w:tcW w:w="1100" w:type="dxa"/>
            <w:vAlign w:val="bottom"/>
            <w:tcBorders>
              <w:top w:val="single" w:sz="8" w:color="2C2C2C"/>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1060" w:type="dxa"/>
            <w:vAlign w:val="bottom"/>
            <w:tcBorders>
              <w:top w:val="single" w:sz="8" w:color="2C2C2C"/>
            </w:tcBorders>
          </w:tcPr>
          <w:p>
            <w:pPr>
              <w:spacing w:after="0"/>
              <w:rPr>
                <w:sz w:val="13"/>
                <w:szCs w:val="13"/>
                <w:color w:val="auto"/>
              </w:rPr>
            </w:pPr>
          </w:p>
        </w:tc>
        <w:tc>
          <w:tcPr>
            <w:tcW w:w="1740" w:type="dxa"/>
            <w:vAlign w:val="bottom"/>
            <w:tcBorders>
              <w:top w:val="single" w:sz="8" w:color="2C2C2C"/>
            </w:tcBorders>
          </w:tcPr>
          <w:p>
            <w:pPr>
              <w:spacing w:after="0"/>
              <w:rPr>
                <w:sz w:val="13"/>
                <w:szCs w:val="13"/>
                <w:color w:val="auto"/>
              </w:rPr>
            </w:pPr>
          </w:p>
        </w:tc>
        <w:tc>
          <w:tcPr>
            <w:tcW w:w="150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jc w:val="center"/>
              <w:ind w:left="86"/>
              <w:spacing w:after="0" w:line="162" w:lineRule="exact"/>
              <w:rPr>
                <w:sz w:val="20"/>
                <w:szCs w:val="20"/>
                <w:color w:val="auto"/>
              </w:rPr>
            </w:pPr>
            <w:r>
              <w:rPr>
                <w:rFonts w:ascii="Arial" w:cs="Arial" w:eastAsia="Arial" w:hAnsi="Arial"/>
                <w:sz w:val="15"/>
                <w:szCs w:val="15"/>
                <w:color w:val="auto"/>
                <w:w w:val="89"/>
              </w:rPr>
              <w:t>Centenario 156 La</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1300" w:type="dxa"/>
            <w:vAlign w:val="bottom"/>
            <w:tcBorders>
              <w:bottom w:val="single" w:sz="8" w:color="2C2C2C"/>
            </w:tcBorders>
          </w:tcPr>
          <w:p>
            <w:pPr>
              <w:jc w:val="center"/>
              <w:ind w:left="46"/>
              <w:spacing w:after="0" w:line="172" w:lineRule="exact"/>
              <w:rPr>
                <w:sz w:val="20"/>
                <w:szCs w:val="20"/>
                <w:color w:val="auto"/>
              </w:rPr>
            </w:pPr>
            <w:r>
              <w:rPr>
                <w:rFonts w:ascii="Arial" w:cs="Arial" w:eastAsia="Arial" w:hAnsi="Arial"/>
                <w:sz w:val="15"/>
                <w:szCs w:val="15"/>
                <w:color w:val="auto"/>
                <w:w w:val="96"/>
              </w:rPr>
              <w:t>Molina Lima</w:t>
            </w:r>
          </w:p>
        </w:tc>
        <w:tc>
          <w:tcPr>
            <w:tcW w:w="1100" w:type="dxa"/>
            <w:vAlign w:val="bottom"/>
            <w:tcBorders>
              <w:bottom w:val="single" w:sz="8" w:color="2C2C2C"/>
            </w:tcBorders>
          </w:tcPr>
          <w:p>
            <w:pPr>
              <w:jc w:val="center"/>
              <w:spacing w:after="0" w:line="172" w:lineRule="exact"/>
              <w:rPr>
                <w:sz w:val="20"/>
                <w:szCs w:val="20"/>
                <w:color w:val="auto"/>
              </w:rPr>
            </w:pPr>
            <w:r>
              <w:rPr>
                <w:rFonts w:ascii="Arial" w:cs="Arial" w:eastAsia="Arial" w:hAnsi="Arial"/>
                <w:sz w:val="15"/>
                <w:szCs w:val="15"/>
                <w:color w:val="auto"/>
                <w:w w:val="84"/>
              </w:rPr>
              <w:t>( )</w:t>
            </w:r>
          </w:p>
        </w:tc>
        <w:tc>
          <w:tcPr>
            <w:tcW w:w="1160" w:type="dxa"/>
            <w:vAlign w:val="bottom"/>
            <w:tcBorders>
              <w:bottom w:val="single" w:sz="8" w:color="2C2C2C"/>
            </w:tcBorders>
          </w:tcPr>
          <w:p>
            <w:pPr>
              <w:jc w:val="center"/>
              <w:spacing w:after="0" w:line="172" w:lineRule="exact"/>
              <w:rPr>
                <w:sz w:val="20"/>
                <w:szCs w:val="20"/>
                <w:color w:val="auto"/>
              </w:rPr>
            </w:pPr>
            <w:r>
              <w:rPr>
                <w:rFonts w:ascii="Arial" w:cs="Arial" w:eastAsia="Arial" w:hAnsi="Arial"/>
                <w:sz w:val="15"/>
                <w:szCs w:val="15"/>
                <w:color w:val="auto"/>
                <w:w w:val="99"/>
              </w:rPr>
              <w:t>(X)</w:t>
            </w:r>
          </w:p>
        </w:tc>
        <w:tc>
          <w:tcPr>
            <w:tcW w:w="1060" w:type="dxa"/>
            <w:vAlign w:val="bottom"/>
            <w:tcBorders>
              <w:bottom w:val="single" w:sz="8" w:color="2C2C2C"/>
            </w:tcBorders>
          </w:tcPr>
          <w:p>
            <w:pPr>
              <w:jc w:val="right"/>
              <w:ind w:right="266"/>
              <w:spacing w:after="0" w:line="172" w:lineRule="exact"/>
              <w:rPr>
                <w:sz w:val="20"/>
                <w:szCs w:val="20"/>
                <w:color w:val="auto"/>
              </w:rPr>
            </w:pPr>
            <w:r>
              <w:rPr>
                <w:rFonts w:ascii="Arial" w:cs="Arial" w:eastAsia="Arial" w:hAnsi="Arial"/>
                <w:sz w:val="15"/>
                <w:szCs w:val="15"/>
                <w:color w:val="auto"/>
              </w:rPr>
              <w:t>89.97</w:t>
            </w:r>
          </w:p>
        </w:tc>
        <w:tc>
          <w:tcPr>
            <w:tcW w:w="1740" w:type="dxa"/>
            <w:vAlign w:val="bottom"/>
            <w:tcBorders>
              <w:bottom w:val="single" w:sz="8" w:color="2C2C2C"/>
            </w:tcBorders>
          </w:tcPr>
          <w:p>
            <w:pPr>
              <w:jc w:val="center"/>
              <w:ind w:left="26"/>
              <w:spacing w:after="0" w:line="172" w:lineRule="exact"/>
              <w:rPr>
                <w:sz w:val="20"/>
                <w:szCs w:val="20"/>
                <w:color w:val="auto"/>
              </w:rPr>
            </w:pPr>
            <w:r>
              <w:rPr>
                <w:rFonts w:ascii="Arial" w:cs="Arial" w:eastAsia="Arial" w:hAnsi="Arial"/>
                <w:sz w:val="15"/>
                <w:szCs w:val="15"/>
                <w:color w:val="auto"/>
                <w:w w:val="95"/>
              </w:rPr>
              <w:t>39</w:t>
            </w:r>
          </w:p>
        </w:tc>
        <w:tc>
          <w:tcPr>
            <w:tcW w:w="1500" w:type="dxa"/>
            <w:vAlign w:val="bottom"/>
            <w:tcBorders>
              <w:bottom w:val="single" w:sz="8" w:color="2C2C2C"/>
            </w:tcBorders>
          </w:tcPr>
          <w:p>
            <w:pPr>
              <w:jc w:val="right"/>
              <w:ind w:right="686"/>
              <w:spacing w:after="0" w:line="172" w:lineRule="exact"/>
              <w:rPr>
                <w:sz w:val="20"/>
                <w:szCs w:val="20"/>
                <w:color w:val="auto"/>
              </w:rPr>
            </w:pPr>
            <w:r>
              <w:rPr>
                <w:rFonts w:ascii="Arial" w:cs="Arial" w:eastAsia="Arial" w:hAnsi="Arial"/>
                <w:sz w:val="15"/>
                <w:szCs w:val="15"/>
                <w:color w:val="auto"/>
              </w:rPr>
              <w:t>15.00</w:t>
            </w:r>
          </w:p>
        </w:tc>
        <w:tc>
          <w:tcPr>
            <w:tcW w:w="740" w:type="dxa"/>
            <w:vAlign w:val="bottom"/>
            <w:tcBorders>
              <w:bottom w:val="single" w:sz="8" w:color="2C2C2C"/>
            </w:tcBorders>
          </w:tcPr>
          <w:p>
            <w:pPr>
              <w:jc w:val="right"/>
              <w:ind w:right="326"/>
              <w:spacing w:after="0" w:line="172" w:lineRule="exact"/>
              <w:rPr>
                <w:sz w:val="20"/>
                <w:szCs w:val="20"/>
                <w:color w:val="auto"/>
              </w:rPr>
            </w:pPr>
            <w:r>
              <w:rPr>
                <w:rFonts w:ascii="Arial" w:cs="Arial" w:eastAsia="Arial" w:hAnsi="Arial"/>
                <w:sz w:val="15"/>
                <w:szCs w:val="15"/>
                <w:color w:val="auto"/>
                <w:w w:val="85"/>
              </w:rPr>
              <w:t>16.10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4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3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b w:val="1"/>
                <w:bCs w:val="1"/>
                <w:color w:val="auto"/>
                <w:w w:val="84"/>
              </w:rPr>
              <w:t>( )</w:t>
            </w:r>
          </w:p>
        </w:tc>
        <w:tc>
          <w:tcPr>
            <w:tcW w:w="116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b w:val="1"/>
                <w:bCs w:val="1"/>
                <w:color w:val="auto"/>
                <w:w w:val="98"/>
              </w:rPr>
              <w:t>( )</w:t>
            </w:r>
          </w:p>
        </w:tc>
        <w:tc>
          <w:tcPr>
            <w:tcW w:w="1060" w:type="dxa"/>
            <w:vAlign w:val="bottom"/>
            <w:tcBorders>
              <w:bottom w:val="single" w:sz="8" w:color="2C2C2C"/>
            </w:tcBorders>
          </w:tcPr>
          <w:p>
            <w:pPr>
              <w:spacing w:after="0"/>
              <w:rPr>
                <w:sz w:val="14"/>
                <w:szCs w:val="14"/>
                <w:color w:val="auto"/>
              </w:rPr>
            </w:pPr>
          </w:p>
        </w:tc>
        <w:tc>
          <w:tcPr>
            <w:tcW w:w="174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40" w:type="dxa"/>
            <w:vAlign w:val="bottom"/>
            <w:tcBorders>
              <w:bottom w:val="single" w:sz="8" w:color="2C2C2C"/>
            </w:tcBorders>
          </w:tcPr>
          <w:p>
            <w:pPr>
              <w:spacing w:after="0"/>
              <w:rPr>
                <w:sz w:val="14"/>
                <w:szCs w:val="14"/>
                <w:color w:val="auto"/>
              </w:rPr>
            </w:pPr>
          </w:p>
        </w:tc>
        <w:tc>
          <w:tcPr>
            <w:tcW w:w="1240" w:type="dxa"/>
            <w:vAlign w:val="bottom"/>
            <w:tcBorders>
              <w:bottom w:val="single" w:sz="8" w:color="2C2C2C"/>
            </w:tcBorders>
          </w:tcPr>
          <w:p>
            <w:pPr>
              <w:spacing w:after="0"/>
              <w:rPr>
                <w:sz w:val="14"/>
                <w:szCs w:val="14"/>
                <w:color w:val="auto"/>
              </w:rPr>
            </w:pPr>
          </w:p>
        </w:tc>
        <w:tc>
          <w:tcPr>
            <w:tcW w:w="13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b w:val="1"/>
                <w:bCs w:val="1"/>
                <w:color w:val="auto"/>
                <w:w w:val="84"/>
              </w:rPr>
              <w:t>( )</w:t>
            </w:r>
          </w:p>
        </w:tc>
        <w:tc>
          <w:tcPr>
            <w:tcW w:w="116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b w:val="1"/>
                <w:bCs w:val="1"/>
                <w:color w:val="auto"/>
                <w:w w:val="98"/>
              </w:rPr>
              <w:t>( )</w:t>
            </w:r>
          </w:p>
        </w:tc>
        <w:tc>
          <w:tcPr>
            <w:tcW w:w="1060" w:type="dxa"/>
            <w:vAlign w:val="bottom"/>
            <w:tcBorders>
              <w:bottom w:val="single" w:sz="8" w:color="2C2C2C"/>
            </w:tcBorders>
          </w:tcPr>
          <w:p>
            <w:pPr>
              <w:spacing w:after="0"/>
              <w:rPr>
                <w:sz w:val="14"/>
                <w:szCs w:val="14"/>
                <w:color w:val="auto"/>
              </w:rPr>
            </w:pPr>
          </w:p>
        </w:tc>
        <w:tc>
          <w:tcPr>
            <w:tcW w:w="174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84"/>
              </w:rPr>
              <w:t>( )</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8"/>
              </w:rPr>
              <w:t>( )</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b w:val="1"/>
          <w:bCs w:val="1"/>
          <w:color w:val="auto"/>
        </w:rPr>
        <w:t>* If more than one meeting was called, please give the date of each one.</w:t>
      </w:r>
    </w:p>
    <w:p>
      <w:pPr>
        <w:spacing w:after="0" w:line="200" w:lineRule="exact"/>
        <w:rPr>
          <w:sz w:val="20"/>
          <w:szCs w:val="20"/>
          <w:color w:val="auto"/>
        </w:rPr>
      </w:pPr>
    </w:p>
    <w:p>
      <w:pPr>
        <w:spacing w:after="0" w:line="225" w:lineRule="exact"/>
        <w:rPr>
          <w:sz w:val="20"/>
          <w:szCs w:val="20"/>
          <w:color w:val="auto"/>
        </w:rPr>
      </w:pPr>
    </w:p>
    <w:p>
      <w:pPr>
        <w:ind w:right="340"/>
        <w:spacing w:after="0" w:line="256" w:lineRule="auto"/>
        <w:rPr>
          <w:sz w:val="20"/>
          <w:szCs w:val="20"/>
          <w:color w:val="auto"/>
        </w:rPr>
      </w:pPr>
      <w:r>
        <w:rPr>
          <w:rFonts w:ascii="Arial" w:cs="Arial" w:eastAsia="Arial" w:hAnsi="Arial"/>
          <w:sz w:val="22"/>
          <w:szCs w:val="22"/>
          <w:b w:val="1"/>
          <w:bCs w:val="1"/>
          <w:color w:val="auto"/>
        </w:rPr>
        <w:t>c. What means, apart from those included in article 43 of the General Companies Law, does THE COMPANY use to call shareholder meetings?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 ELECTRONIC MAIL</w:t>
      </w:r>
    </w:p>
    <w:p>
      <w:pPr>
        <w:spacing w:after="0" w:line="4"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IN PERSON WITHIN THE COMPANY</w:t>
      </w:r>
    </w:p>
    <w:p>
      <w:pPr>
        <w:ind w:left="140" w:hanging="132"/>
        <w:spacing w:after="0" w:line="230" w:lineRule="auto"/>
        <w:tabs>
          <w:tab w:leader="none" w:pos="14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TELEPHONE</w:t>
      </w:r>
    </w:p>
    <w:p>
      <w:pPr>
        <w:spacing w:after="0" w:line="230" w:lineRule="auto"/>
        <w:rPr>
          <w:rFonts w:ascii="Arial" w:cs="Arial" w:eastAsia="Arial" w:hAnsi="Arial"/>
          <w:sz w:val="22"/>
          <w:szCs w:val="22"/>
          <w:b w:val="1"/>
          <w:bCs w:val="1"/>
          <w:color w:val="auto"/>
        </w:rPr>
      </w:pPr>
      <w:r>
        <w:rPr>
          <w:rFonts w:ascii="Arial" w:cs="Arial" w:eastAsia="Arial" w:hAnsi="Arial"/>
          <w:sz w:val="22"/>
          <w:szCs w:val="22"/>
          <w:b w:val="1"/>
          <w:bCs w:val="1"/>
          <w:color w:val="auto"/>
        </w:rPr>
        <w:t>(X) WEB PAGE</w:t>
      </w:r>
    </w:p>
    <w:p>
      <w:pPr>
        <w:spacing w:after="0" w:line="230" w:lineRule="auto"/>
        <w:rPr>
          <w:rFonts w:ascii="Arial" w:cs="Arial" w:eastAsia="Arial" w:hAnsi="Arial"/>
          <w:sz w:val="22"/>
          <w:szCs w:val="22"/>
          <w:b w:val="1"/>
          <w:bCs w:val="1"/>
          <w:color w:val="auto"/>
        </w:rPr>
      </w:pPr>
      <w:r>
        <w:rPr>
          <w:rFonts w:ascii="Arial" w:cs="Arial" w:eastAsia="Arial" w:hAnsi="Arial"/>
          <w:sz w:val="22"/>
          <w:szCs w:val="22"/>
          <w:b w:val="1"/>
          <w:bCs w:val="1"/>
          <w:color w:val="auto"/>
        </w:rPr>
        <w:t>(X) MAIL</w:t>
      </w:r>
    </w:p>
    <w:p>
      <w:pPr>
        <w:ind w:left="140" w:hanging="132"/>
        <w:spacing w:after="0" w:line="230" w:lineRule="auto"/>
        <w:tabs>
          <w:tab w:leader="none" w:pos="14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OTHER. Specify ......................................................................................................................</w:t>
      </w:r>
    </w:p>
    <w:p>
      <w:pPr>
        <w:ind w:left="140" w:hanging="132"/>
        <w:spacing w:after="0"/>
        <w:tabs>
          <w:tab w:leader="none" w:pos="14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8" w:name="page39"/>
    <w:bookmarkEnd w:id="38"/>
    <w:p>
      <w:pPr>
        <w:ind w:right="700"/>
        <w:spacing w:after="0" w:line="257" w:lineRule="auto"/>
        <w:rPr>
          <w:sz w:val="20"/>
          <w:szCs w:val="20"/>
          <w:color w:val="auto"/>
        </w:rPr>
      </w:pPr>
      <w:r>
        <w:rPr>
          <w:rFonts w:ascii="Arial" w:cs="Arial" w:eastAsia="Arial" w:hAnsi="Arial"/>
          <w:sz w:val="22"/>
          <w:szCs w:val="22"/>
          <w:b w:val="1"/>
          <w:bCs w:val="1"/>
          <w:color w:val="auto"/>
        </w:rPr>
        <w:t>d. Please say whether the means indicated in the previous question are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272020" cy="282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28257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40" w:type="dxa"/>
            <w:vAlign w:val="bottom"/>
            <w:tcBorders>
              <w:top w:val="single" w:sz="8" w:color="2C2C2C"/>
              <w:bottom w:val="single" w:sz="8" w:color="2C2C2C"/>
            </w:tcBorders>
          </w:tcPr>
          <w:p>
            <w:pPr>
              <w:jc w:val="center"/>
              <w:ind w:left="306"/>
              <w:spacing w:after="0"/>
              <w:rPr>
                <w:sz w:val="20"/>
                <w:szCs w:val="20"/>
                <w:color w:val="auto"/>
              </w:rPr>
            </w:pPr>
            <w:r>
              <w:rPr>
                <w:rFonts w:ascii="Arial" w:cs="Arial" w:eastAsia="Arial" w:hAnsi="Arial"/>
                <w:sz w:val="15"/>
                <w:szCs w:val="15"/>
                <w:color w:val="auto"/>
                <w:w w:val="95"/>
              </w:rPr>
              <w:t>OTHER</w:t>
            </w:r>
          </w:p>
        </w:tc>
        <w:tc>
          <w:tcPr>
            <w:tcW w:w="2680" w:type="dxa"/>
            <w:vAlign w:val="bottom"/>
            <w:tcBorders>
              <w:top w:val="single" w:sz="8" w:color="2C2C2C"/>
              <w:bottom w:val="single" w:sz="8" w:color="2C2C2C"/>
            </w:tcBorders>
          </w:tcPr>
          <w:p>
            <w:pPr>
              <w:ind w:left="500"/>
              <w:spacing w:after="0"/>
              <w:rPr>
                <w:sz w:val="20"/>
                <w:szCs w:val="20"/>
                <w:color w:val="auto"/>
              </w:rPr>
            </w:pPr>
            <w:r>
              <w:rPr>
                <w:rFonts w:ascii="Arial" w:cs="Arial" w:eastAsia="Arial" w:hAnsi="Arial"/>
                <w:sz w:val="15"/>
                <w:szCs w:val="15"/>
                <w:b w:val="1"/>
                <w:bCs w:val="1"/>
                <w:color w:val="auto"/>
              </w:rPr>
              <w:t>NAME OF THE DOCUMENT *</w:t>
            </w:r>
          </w:p>
        </w:tc>
        <w:tc>
          <w:tcPr>
            <w:tcW w:w="20" w:type="dxa"/>
            <w:vAlign w:val="bottom"/>
            <w:tcBorders>
              <w:top w:val="single" w:sz="8" w:color="808080"/>
            </w:tcBorders>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2000" w:type="dxa"/>
            <w:vAlign w:val="bottom"/>
          </w:tcPr>
          <w:p>
            <w:pPr>
              <w:jc w:val="center"/>
              <w:ind w:left="206"/>
              <w:spacing w:after="0"/>
              <w:rPr>
                <w:sz w:val="20"/>
                <w:szCs w:val="20"/>
                <w:color w:val="auto"/>
              </w:rPr>
            </w:pPr>
            <w:r>
              <w:rPr>
                <w:rFonts w:ascii="Arial" w:cs="Arial" w:eastAsia="Arial" w:hAnsi="Arial"/>
                <w:sz w:val="15"/>
                <w:szCs w:val="15"/>
                <w:b w:val="1"/>
                <w:bCs w:val="1"/>
                <w:color w:val="auto"/>
                <w:w w:val="99"/>
              </w:rPr>
              <w:t>(.X)</w:t>
            </w:r>
          </w:p>
        </w:tc>
        <w:tc>
          <w:tcPr>
            <w:tcW w:w="2820" w:type="dxa"/>
            <w:vAlign w:val="bottom"/>
          </w:tcPr>
          <w:p>
            <w:pPr>
              <w:jc w:val="right"/>
              <w:ind w:right="1206"/>
              <w:spacing w:after="0"/>
              <w:rPr>
                <w:sz w:val="20"/>
                <w:szCs w:val="20"/>
                <w:color w:val="auto"/>
              </w:rPr>
            </w:pPr>
            <w:r>
              <w:rPr>
                <w:rFonts w:ascii="Arial" w:cs="Arial" w:eastAsia="Arial" w:hAnsi="Arial"/>
                <w:sz w:val="15"/>
                <w:szCs w:val="15"/>
                <w:b w:val="1"/>
                <w:bCs w:val="1"/>
                <w:color w:val="auto"/>
              </w:rPr>
              <w:t>(...)</w:t>
            </w:r>
          </w:p>
        </w:tc>
        <w:tc>
          <w:tcPr>
            <w:tcW w:w="2040" w:type="dxa"/>
            <w:vAlign w:val="bottom"/>
          </w:tcPr>
          <w:p>
            <w:pPr>
              <w:jc w:val="right"/>
              <w:ind w:right="966"/>
              <w:spacing w:after="0"/>
              <w:rPr>
                <w:sz w:val="20"/>
                <w:szCs w:val="20"/>
                <w:color w:val="auto"/>
              </w:rPr>
            </w:pPr>
            <w:r>
              <w:rPr>
                <w:rFonts w:ascii="Arial" w:cs="Arial" w:eastAsia="Arial" w:hAnsi="Arial"/>
                <w:sz w:val="15"/>
                <w:szCs w:val="15"/>
                <w:b w:val="1"/>
                <w:bCs w:val="1"/>
                <w:color w:val="auto"/>
              </w:rPr>
              <w:t>(...)</w:t>
            </w:r>
          </w:p>
        </w:tc>
        <w:tc>
          <w:tcPr>
            <w:tcW w:w="1840" w:type="dxa"/>
            <w:vAlign w:val="bottom"/>
          </w:tcPr>
          <w:p>
            <w:pPr>
              <w:jc w:val="right"/>
              <w:ind w:right="546"/>
              <w:spacing w:after="0"/>
              <w:rPr>
                <w:sz w:val="20"/>
                <w:szCs w:val="20"/>
                <w:color w:val="auto"/>
              </w:rPr>
            </w:pPr>
            <w:r>
              <w:rPr>
                <w:rFonts w:ascii="Arial" w:cs="Arial" w:eastAsia="Arial" w:hAnsi="Arial"/>
                <w:sz w:val="15"/>
                <w:szCs w:val="15"/>
                <w:b w:val="1"/>
                <w:bCs w:val="1"/>
                <w:color w:val="auto"/>
              </w:rPr>
              <w:t>(...)</w:t>
            </w: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ind w:right="5100" w:firstLine="8"/>
        <w:spacing w:after="0" w:line="439" w:lineRule="auto"/>
        <w:tabs>
          <w:tab w:leader="none" w:pos="162"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Give the name of the document, if not THE COMPANY’s Statutes. (...) THEY ARE NOT REGULATED</w:t>
      </w:r>
    </w:p>
    <w:p>
      <w:pPr>
        <w:spacing w:after="0" w:line="212" w:lineRule="exact"/>
        <w:rPr>
          <w:sz w:val="20"/>
          <w:szCs w:val="20"/>
          <w:color w:val="auto"/>
        </w:rPr>
      </w:pPr>
    </w:p>
    <w:p>
      <w:pPr>
        <w:ind w:right="220"/>
        <w:spacing w:after="0" w:line="256" w:lineRule="auto"/>
        <w:rPr>
          <w:sz w:val="20"/>
          <w:szCs w:val="20"/>
          <w:color w:val="auto"/>
        </w:rPr>
      </w:pPr>
      <w:r>
        <w:rPr>
          <w:rFonts w:ascii="Arial" w:cs="Arial" w:eastAsia="Arial" w:hAnsi="Arial"/>
          <w:sz w:val="22"/>
          <w:szCs w:val="22"/>
          <w:b w:val="1"/>
          <w:bCs w:val="1"/>
          <w:color w:val="auto"/>
        </w:rPr>
        <w:t>e. If THE COMPANY has a corporate web page, is it possible to obtain the minutes of the shareholder meetings from that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42545" cy="402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116840</wp:posOffset>
            </wp:positionV>
            <wp:extent cx="42545" cy="3854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545" cy="38544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107950</wp:posOffset>
            </wp:positionV>
            <wp:extent cx="42545" cy="402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116840</wp:posOffset>
            </wp:positionV>
            <wp:extent cx="42545" cy="3854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545" cy="3854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5360" w:type="dxa"/>
            <w:vAlign w:val="bottom"/>
            <w:tcBorders>
              <w:top w:val="single" w:sz="8" w:color="2C2C2C"/>
              <w:bottom w:val="single" w:sz="8" w:color="2C2C2C"/>
            </w:tcBorders>
          </w:tcPr>
          <w:p>
            <w:pPr>
              <w:spacing w:after="0"/>
              <w:rPr>
                <w:sz w:val="17"/>
                <w:szCs w:val="17"/>
                <w:color w:val="auto"/>
              </w:rPr>
            </w:pPr>
          </w:p>
        </w:tc>
        <w:tc>
          <w:tcPr>
            <w:tcW w:w="4320" w:type="dxa"/>
            <w:vAlign w:val="bottom"/>
            <w:tcBorders>
              <w:top w:val="single" w:sz="8" w:color="2C2C2C"/>
              <w:bottom w:val="single" w:sz="8" w:color="2C2C2C"/>
            </w:tcBorders>
            <w:gridSpan w:val="2"/>
          </w:tcPr>
          <w:p>
            <w:pPr>
              <w:jc w:val="center"/>
              <w:ind w:left="2526"/>
              <w:spacing w:after="0"/>
              <w:rPr>
                <w:sz w:val="20"/>
                <w:szCs w:val="20"/>
                <w:color w:val="auto"/>
              </w:rPr>
            </w:pPr>
            <w:r>
              <w:rPr>
                <w:rFonts w:ascii="Arial" w:cs="Arial" w:eastAsia="Arial" w:hAnsi="Arial"/>
                <w:sz w:val="15"/>
                <w:szCs w:val="15"/>
                <w:color w:val="auto"/>
                <w:w w:val="93"/>
              </w:rPr>
              <w:t>YES</w:t>
            </w:r>
          </w:p>
        </w:tc>
        <w:tc>
          <w:tcPr>
            <w:tcW w:w="1700" w:type="dxa"/>
            <w:vAlign w:val="bottom"/>
            <w:tcBorders>
              <w:top w:val="single" w:sz="8" w:color="2C2C2C"/>
              <w:bottom w:val="single" w:sz="8" w:color="2C2C2C"/>
            </w:tcBorders>
          </w:tcPr>
          <w:p>
            <w:pPr>
              <w:ind w:left="720"/>
              <w:spacing w:after="0"/>
              <w:rPr>
                <w:sz w:val="20"/>
                <w:szCs w:val="20"/>
                <w:color w:val="auto"/>
              </w:rPr>
            </w:pPr>
            <w:r>
              <w:rPr>
                <w:rFonts w:ascii="Arial" w:cs="Arial" w:eastAsia="Arial" w:hAnsi="Arial"/>
                <w:sz w:val="15"/>
                <w:szCs w:val="15"/>
                <w:color w:val="auto"/>
              </w:rPr>
              <w:t>NO</w:t>
            </w:r>
          </w:p>
        </w:tc>
        <w:tc>
          <w:tcPr>
            <w:tcW w:w="20" w:type="dxa"/>
            <w:vAlign w:val="bottom"/>
            <w:tcBorders>
              <w:top w:val="single" w:sz="8" w:color="808080"/>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536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ONLY FOR SHAREHOLDERS</w:t>
            </w:r>
          </w:p>
        </w:tc>
        <w:tc>
          <w:tcPr>
            <w:tcW w:w="3520" w:type="dxa"/>
            <w:vAlign w:val="bottom"/>
            <w:tcBorders>
              <w:bottom w:val="single" w:sz="8" w:color="2C2C2C"/>
            </w:tcBorders>
          </w:tcPr>
          <w:p>
            <w:pPr>
              <w:jc w:val="center"/>
              <w:ind w:left="3286"/>
              <w:spacing w:after="0" w:line="162" w:lineRule="exact"/>
              <w:rPr>
                <w:sz w:val="20"/>
                <w:szCs w:val="20"/>
                <w:color w:val="auto"/>
              </w:rPr>
            </w:pPr>
            <w:r>
              <w:rPr>
                <w:rFonts w:ascii="Arial" w:cs="Arial" w:eastAsia="Arial" w:hAnsi="Arial"/>
                <w:sz w:val="15"/>
                <w:szCs w:val="15"/>
                <w:b w:val="1"/>
                <w:bCs w:val="1"/>
                <w:color w:val="auto"/>
                <w:w w:val="91"/>
              </w:rPr>
              <w:t>(...</w:t>
            </w:r>
          </w:p>
        </w:tc>
        <w:tc>
          <w:tcPr>
            <w:tcW w:w="800" w:type="dxa"/>
            <w:vAlign w:val="bottom"/>
            <w:tcBorders>
              <w:bottom w:val="single" w:sz="8" w:color="2C2C2C"/>
            </w:tcBorders>
          </w:tcPr>
          <w:p>
            <w:pPr>
              <w:jc w:val="right"/>
              <w:ind w:right="666"/>
              <w:spacing w:after="0" w:line="162" w:lineRule="exact"/>
              <w:rPr>
                <w:sz w:val="20"/>
                <w:szCs w:val="20"/>
                <w:color w:val="auto"/>
              </w:rPr>
            </w:pPr>
            <w:r>
              <w:rPr>
                <w:rFonts w:ascii="Arial" w:cs="Arial" w:eastAsia="Arial" w:hAnsi="Arial"/>
                <w:sz w:val="15"/>
                <w:szCs w:val="15"/>
                <w:b w:val="1"/>
                <w:bCs w:val="1"/>
                <w:color w:val="auto"/>
                <w:w w:val="79"/>
              </w:rPr>
              <w:t>)</w:t>
            </w:r>
          </w:p>
        </w:tc>
        <w:tc>
          <w:tcPr>
            <w:tcW w:w="1700" w:type="dxa"/>
            <w:vAlign w:val="bottom"/>
            <w:tcBorders>
              <w:bottom w:val="single" w:sz="8" w:color="2C2C2C"/>
            </w:tcBorders>
          </w:tcPr>
          <w:p>
            <w:pPr>
              <w:ind w:left="760"/>
              <w:spacing w:after="0" w:line="162"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536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FOR THE GENERAL PUBLIC</w:t>
            </w:r>
          </w:p>
        </w:tc>
        <w:tc>
          <w:tcPr>
            <w:tcW w:w="3520" w:type="dxa"/>
            <w:vAlign w:val="bottom"/>
            <w:tcBorders>
              <w:bottom w:val="single" w:sz="8" w:color="2C2C2C"/>
            </w:tcBorders>
          </w:tcPr>
          <w:p>
            <w:pPr>
              <w:jc w:val="center"/>
              <w:ind w:left="3286"/>
              <w:spacing w:after="0" w:line="162" w:lineRule="exact"/>
              <w:rPr>
                <w:sz w:val="20"/>
                <w:szCs w:val="20"/>
                <w:color w:val="auto"/>
              </w:rPr>
            </w:pPr>
            <w:r>
              <w:rPr>
                <w:rFonts w:ascii="Arial" w:cs="Arial" w:eastAsia="Arial" w:hAnsi="Arial"/>
                <w:sz w:val="15"/>
                <w:szCs w:val="15"/>
                <w:b w:val="1"/>
                <w:bCs w:val="1"/>
                <w:color w:val="auto"/>
                <w:w w:val="91"/>
              </w:rPr>
              <w:t>(...</w:t>
            </w:r>
          </w:p>
        </w:tc>
        <w:tc>
          <w:tcPr>
            <w:tcW w:w="800" w:type="dxa"/>
            <w:vAlign w:val="bottom"/>
            <w:tcBorders>
              <w:bottom w:val="single" w:sz="8" w:color="2C2C2C"/>
            </w:tcBorders>
          </w:tcPr>
          <w:p>
            <w:pPr>
              <w:jc w:val="right"/>
              <w:ind w:right="666"/>
              <w:spacing w:after="0" w:line="162" w:lineRule="exact"/>
              <w:rPr>
                <w:sz w:val="20"/>
                <w:szCs w:val="20"/>
                <w:color w:val="auto"/>
              </w:rPr>
            </w:pPr>
            <w:r>
              <w:rPr>
                <w:rFonts w:ascii="Arial" w:cs="Arial" w:eastAsia="Arial" w:hAnsi="Arial"/>
                <w:sz w:val="15"/>
                <w:szCs w:val="15"/>
                <w:b w:val="1"/>
                <w:bCs w:val="1"/>
                <w:color w:val="auto"/>
                <w:w w:val="79"/>
              </w:rPr>
              <w:t>)</w:t>
            </w:r>
          </w:p>
        </w:tc>
        <w:tc>
          <w:tcPr>
            <w:tcW w:w="1700" w:type="dxa"/>
            <w:vAlign w:val="bottom"/>
            <w:tcBorders>
              <w:bottom w:val="single" w:sz="8" w:color="2C2C2C"/>
            </w:tcBorders>
          </w:tcPr>
          <w:p>
            <w:pPr>
              <w:ind w:left="720"/>
              <w:spacing w:after="0" w:line="162" w:lineRule="exact"/>
              <w:rPr>
                <w:sz w:val="20"/>
                <w:szCs w:val="20"/>
                <w:color w:val="auto"/>
              </w:rPr>
            </w:pPr>
            <w:r>
              <w:rPr>
                <w:rFonts w:ascii="Arial" w:cs="Arial" w:eastAsia="Arial" w:hAnsi="Arial"/>
                <w:sz w:val="15"/>
                <w:szCs w:val="15"/>
                <w:b w:val="1"/>
                <w:bCs w:val="1"/>
                <w:color w:val="auto"/>
              </w:rPr>
              <w:t>( X.)</w:t>
            </w:r>
          </w:p>
        </w:tc>
        <w:tc>
          <w:tcPr>
            <w:tcW w:w="20" w:type="dxa"/>
            <w:vAlign w:val="bottom"/>
            <w:tcBorders>
              <w:bottom w:val="single" w:sz="8" w:color="2C2C2C"/>
            </w:tcBorders>
          </w:tcPr>
          <w:p>
            <w:pPr>
              <w:spacing w:after="0"/>
              <w:rPr>
                <w:sz w:val="14"/>
                <w:szCs w:val="14"/>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THE COMPANY does not have a web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42545" cy="608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545" cy="60833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435610</wp:posOffset>
            </wp:positionV>
            <wp:extent cx="42545" cy="5911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427355</wp:posOffset>
            </wp:positionV>
            <wp:extent cx="42545" cy="608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54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5"/>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560" w:type="dxa"/>
            <w:vAlign w:val="bottom"/>
            <w:tcBorders>
              <w:top w:val="single" w:sz="8" w:color="2C2C2C"/>
              <w:bottom w:val="single" w:sz="8" w:color="2C2C2C"/>
            </w:tcBorders>
          </w:tcPr>
          <w:p>
            <w:pPr>
              <w:spacing w:after="0"/>
              <w:rPr>
                <w:sz w:val="17"/>
                <w:szCs w:val="17"/>
                <w:color w:val="auto"/>
              </w:rPr>
            </w:pPr>
          </w:p>
        </w:tc>
        <w:tc>
          <w:tcPr>
            <w:tcW w:w="56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5"/>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56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3</w:t>
            </w:r>
          </w:p>
        </w:tc>
        <w:tc>
          <w:tcPr>
            <w:tcW w:w="560" w:type="dxa"/>
            <w:vAlign w:val="bottom"/>
            <w:vMerge w:val="restart"/>
          </w:tcPr>
          <w:p>
            <w:pPr>
              <w:ind w:left="240"/>
              <w:spacing w:after="0" w:line="162" w:lineRule="exact"/>
              <w:rPr>
                <w:sz w:val="20"/>
                <w:szCs w:val="20"/>
                <w:color w:val="auto"/>
              </w:rPr>
            </w:pPr>
            <w:r>
              <w:rPr>
                <w:rFonts w:ascii="Arial" w:cs="Arial" w:eastAsia="Arial" w:hAnsi="Arial"/>
                <w:sz w:val="15"/>
                <w:szCs w:val="15"/>
                <w:i w:val="1"/>
                <w:iCs w:val="1"/>
                <w:color w:val="auto"/>
              </w:rPr>
              <w:t>4</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top w:val="single" w:sz="8" w:color="auto"/>
              <w:bottom w:val="single" w:sz="8" w:color="2C2C2C"/>
            </w:tcBorders>
          </w:tcPr>
          <w:p>
            <w:pPr>
              <w:spacing w:after="0"/>
              <w:rPr>
                <w:sz w:val="8"/>
                <w:szCs w:val="8"/>
                <w:color w:val="auto"/>
              </w:rPr>
            </w:pPr>
          </w:p>
        </w:tc>
        <w:tc>
          <w:tcPr>
            <w:tcW w:w="400" w:type="dxa"/>
            <w:vAlign w:val="bottom"/>
            <w:tcBorders>
              <w:top w:val="single" w:sz="8" w:color="auto"/>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4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5"/>
          </w:tcPr>
          <w:p>
            <w:pPr>
              <w:ind w:left="20"/>
              <w:spacing w:after="0" w:line="149" w:lineRule="exact"/>
              <w:rPr>
                <w:sz w:val="20"/>
                <w:szCs w:val="20"/>
                <w:color w:val="auto"/>
              </w:rPr>
            </w:pPr>
            <w:r>
              <w:rPr>
                <w:rFonts w:ascii="Arial" w:cs="Arial" w:eastAsia="Arial" w:hAnsi="Arial"/>
                <w:sz w:val="15"/>
                <w:szCs w:val="15"/>
                <w:i w:val="1"/>
                <w:iCs w:val="1"/>
                <w:color w:val="auto"/>
                <w:w w:val="90"/>
              </w:rPr>
              <w:t>3. Principle (I.C.2).- The shareholders must have the opportunity to suggest subjects for debate (within reasonable limits) on the agenda of the</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ind w:left="220"/>
              <w:spacing w:after="0" w:line="149" w:lineRule="exact"/>
              <w:rPr>
                <w:sz w:val="20"/>
                <w:szCs w:val="20"/>
                <w:color w:val="auto"/>
              </w:rPr>
            </w:pPr>
            <w:r>
              <w:rPr>
                <w:rFonts w:ascii="Arial" w:cs="Arial" w:eastAsia="Arial" w:hAnsi="Arial"/>
                <w:sz w:val="15"/>
                <w:szCs w:val="15"/>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7420" w:type="dxa"/>
            <w:vAlign w:val="bottom"/>
            <w:vMerge w:val="restart"/>
          </w:tcPr>
          <w:p>
            <w:pPr>
              <w:ind w:left="180"/>
              <w:spacing w:after="0" w:line="167" w:lineRule="exact"/>
              <w:rPr>
                <w:sz w:val="20"/>
                <w:szCs w:val="20"/>
                <w:color w:val="auto"/>
              </w:rPr>
            </w:pPr>
            <w:r>
              <w:rPr>
                <w:rFonts w:ascii="Arial" w:cs="Arial" w:eastAsia="Arial" w:hAnsi="Arial"/>
                <w:sz w:val="15"/>
                <w:szCs w:val="15"/>
                <w:i w:val="1"/>
                <w:iCs w:val="1"/>
                <w:color w:val="auto"/>
                <w:w w:val="91"/>
              </w:rPr>
              <w:t>Meetings. The subjects included in the agenda must be of social interest and pertinent to the legal or statutory ambit of</w:t>
            </w: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1140" w:type="dxa"/>
            <w:vAlign w:val="bottom"/>
            <w:gridSpan w:val="4"/>
          </w:tcPr>
          <w:p>
            <w:pPr>
              <w:ind w:left="20"/>
              <w:spacing w:after="0" w:line="146" w:lineRule="exact"/>
              <w:rPr>
                <w:sz w:val="20"/>
                <w:szCs w:val="20"/>
                <w:color w:val="auto"/>
              </w:rPr>
            </w:pPr>
            <w:r>
              <w:rPr>
                <w:rFonts w:ascii="Arial" w:cs="Arial" w:eastAsia="Arial" w:hAnsi="Arial"/>
                <w:sz w:val="15"/>
                <w:szCs w:val="15"/>
                <w:i w:val="1"/>
                <w:iCs w:val="1"/>
                <w:color w:val="auto"/>
                <w:w w:val="78"/>
              </w:rPr>
              <w:t>General Shareholder</w:t>
            </w:r>
          </w:p>
        </w:tc>
        <w:tc>
          <w:tcPr>
            <w:tcW w:w="74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2C2C2C"/>
            </w:tcBorders>
          </w:tcPr>
          <w:p>
            <w:pPr>
              <w:spacing w:after="0"/>
              <w:rPr>
                <w:sz w:val="15"/>
                <w:szCs w:val="15"/>
                <w:color w:val="auto"/>
              </w:rPr>
            </w:pPr>
          </w:p>
        </w:tc>
        <w:tc>
          <w:tcPr>
            <w:tcW w:w="8560" w:type="dxa"/>
            <w:vAlign w:val="bottom"/>
            <w:tcBorders>
              <w:bottom w:val="single" w:sz="8" w:color="2C2C2C"/>
            </w:tcBorders>
            <w:gridSpan w:val="5"/>
          </w:tcPr>
          <w:p>
            <w:pPr>
              <w:ind w:left="20"/>
              <w:spacing w:after="0" w:line="172" w:lineRule="exact"/>
              <w:rPr>
                <w:sz w:val="20"/>
                <w:szCs w:val="20"/>
                <w:color w:val="auto"/>
              </w:rPr>
            </w:pPr>
            <w:r>
              <w:rPr>
                <w:rFonts w:ascii="Arial" w:cs="Arial" w:eastAsia="Arial" w:hAnsi="Arial"/>
                <w:sz w:val="15"/>
                <w:szCs w:val="15"/>
                <w:i w:val="1"/>
                <w:iCs w:val="1"/>
                <w:color w:val="auto"/>
                <w:w w:val="94"/>
              </w:rPr>
              <w:t>the Shareholder Meeting. The Board of Directors must not dismiss this type of request without giving a sound reason to the shareholder.</w:t>
            </w:r>
          </w:p>
        </w:tc>
        <w:tc>
          <w:tcPr>
            <w:tcW w:w="7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-466725</wp:posOffset>
            </wp:positionV>
            <wp:extent cx="42545" cy="4711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-466725</wp:posOffset>
            </wp:positionV>
            <wp:extent cx="42545" cy="4711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-466725</wp:posOffset>
            </wp:positionV>
            <wp:extent cx="42545" cy="4711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-466725</wp:posOffset>
            </wp:positionV>
            <wp:extent cx="42545" cy="4711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54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20"/>
        <w:spacing w:after="0" w:line="243" w:lineRule="auto"/>
        <w:rPr>
          <w:sz w:val="20"/>
          <w:szCs w:val="20"/>
          <w:color w:val="auto"/>
        </w:rPr>
      </w:pPr>
      <w:r>
        <w:rPr>
          <w:rFonts w:ascii="Arial" w:cs="Arial" w:eastAsia="Arial" w:hAnsi="Arial"/>
          <w:sz w:val="22"/>
          <w:szCs w:val="22"/>
          <w:b w:val="1"/>
          <w:bCs w:val="1"/>
          <w:color w:val="auto"/>
        </w:rPr>
        <w:t>a. Indicate whether the shareholders can include matters to be dealt with in the agenda through any other mechanism than the one stipulated in the General Companies Law (article 117 for regular anonymous companies and article 255 for open anonymous companies).</w:t>
      </w:r>
    </w:p>
    <w:p>
      <w:pPr>
        <w:spacing w:after="0" w:line="177"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(.X.) YES</w:t>
      </w:r>
      <w:r>
        <w:rPr>
          <w:sz w:val="20"/>
          <w:szCs w:val="20"/>
          <w:color w:val="auto"/>
        </w:rPr>
        <w:tab/>
      </w:r>
      <w:r>
        <w:rPr>
          <w:rFonts w:ascii="Arial" w:cs="Arial" w:eastAsia="Arial" w:hAnsi="Arial"/>
          <w:sz w:val="19"/>
          <w:szCs w:val="19"/>
          <w:b w:val="1"/>
          <w:bCs w:val="1"/>
          <w:color w:val="auto"/>
        </w:rPr>
        <w:t>(....) NO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If the answer to the previous question is affirmative, please describe the alternative mechanisms.</w:t>
      </w:r>
    </w:p>
    <w:p>
      <w:pPr>
        <w:spacing w:after="0" w:line="212"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The subjects on the agenda are always of social interest and relevant to the subject matter of the shareholder meeting. All matters that are presented in advance are considered. The Board of Directors does not dismiss requests without giving the shareholder a sound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9" w:name="page40"/>
    <w:bookmarkEnd w:id="39"/>
    <w:p>
      <w:pPr>
        <w:ind w:right="320"/>
        <w:spacing w:after="0" w:line="257" w:lineRule="auto"/>
        <w:rPr>
          <w:sz w:val="20"/>
          <w:szCs w:val="20"/>
          <w:color w:val="auto"/>
        </w:rPr>
      </w:pPr>
      <w:r>
        <w:rPr>
          <w:rFonts w:ascii="Arial" w:cs="Arial" w:eastAsia="Arial" w:hAnsi="Arial"/>
          <w:sz w:val="22"/>
          <w:szCs w:val="22"/>
          <w:b w:val="1"/>
          <w:bCs w:val="1"/>
          <w:color w:val="auto"/>
        </w:rPr>
        <w:t>c. Indicate whether the mechanisms described in the previous question are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272020" cy="282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28257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40" w:type="dxa"/>
            <w:vAlign w:val="bottom"/>
            <w:tcBorders>
              <w:top w:val="single" w:sz="8" w:color="2C2C2C"/>
              <w:bottom w:val="single" w:sz="8" w:color="2C2C2C"/>
            </w:tcBorders>
          </w:tcPr>
          <w:p>
            <w:pPr>
              <w:jc w:val="center"/>
              <w:ind w:left="306"/>
              <w:spacing w:after="0"/>
              <w:rPr>
                <w:sz w:val="20"/>
                <w:szCs w:val="20"/>
                <w:color w:val="auto"/>
              </w:rPr>
            </w:pPr>
            <w:r>
              <w:rPr>
                <w:rFonts w:ascii="Arial" w:cs="Arial" w:eastAsia="Arial" w:hAnsi="Arial"/>
                <w:sz w:val="15"/>
                <w:szCs w:val="15"/>
                <w:color w:val="auto"/>
                <w:w w:val="95"/>
              </w:rPr>
              <w:t>OTHER</w:t>
            </w:r>
          </w:p>
        </w:tc>
        <w:tc>
          <w:tcPr>
            <w:tcW w:w="2680" w:type="dxa"/>
            <w:vAlign w:val="bottom"/>
            <w:tcBorders>
              <w:top w:val="single" w:sz="8" w:color="2C2C2C"/>
              <w:bottom w:val="single" w:sz="8" w:color="2C2C2C"/>
            </w:tcBorders>
          </w:tcPr>
          <w:p>
            <w:pPr>
              <w:ind w:left="500"/>
              <w:spacing w:after="0"/>
              <w:rPr>
                <w:sz w:val="20"/>
                <w:szCs w:val="20"/>
                <w:color w:val="auto"/>
              </w:rPr>
            </w:pPr>
            <w:r>
              <w:rPr>
                <w:rFonts w:ascii="Arial" w:cs="Arial" w:eastAsia="Arial" w:hAnsi="Arial"/>
                <w:sz w:val="15"/>
                <w:szCs w:val="15"/>
                <w:b w:val="1"/>
                <w:bCs w:val="1"/>
                <w:color w:val="auto"/>
              </w:rPr>
              <w:t>NAME OF THE DOCUMENT *</w:t>
            </w:r>
          </w:p>
        </w:tc>
        <w:tc>
          <w:tcPr>
            <w:tcW w:w="20" w:type="dxa"/>
            <w:vAlign w:val="bottom"/>
            <w:tcBorders>
              <w:top w:val="single" w:sz="8" w:color="808080"/>
            </w:tcBorders>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2000" w:type="dxa"/>
            <w:vAlign w:val="bottom"/>
          </w:tcPr>
          <w:p>
            <w:pPr>
              <w:jc w:val="center"/>
              <w:ind w:left="206"/>
              <w:spacing w:after="0"/>
              <w:rPr>
                <w:sz w:val="20"/>
                <w:szCs w:val="20"/>
                <w:color w:val="auto"/>
              </w:rPr>
            </w:pPr>
            <w:r>
              <w:rPr>
                <w:rFonts w:ascii="Arial" w:cs="Arial" w:eastAsia="Arial" w:hAnsi="Arial"/>
                <w:sz w:val="15"/>
                <w:szCs w:val="15"/>
                <w:b w:val="1"/>
                <w:bCs w:val="1"/>
                <w:color w:val="auto"/>
                <w:w w:val="99"/>
              </w:rPr>
              <w:t>(.X)</w:t>
            </w:r>
          </w:p>
        </w:tc>
        <w:tc>
          <w:tcPr>
            <w:tcW w:w="2820" w:type="dxa"/>
            <w:vAlign w:val="bottom"/>
          </w:tcPr>
          <w:p>
            <w:pPr>
              <w:jc w:val="right"/>
              <w:ind w:right="1206"/>
              <w:spacing w:after="0"/>
              <w:rPr>
                <w:sz w:val="20"/>
                <w:szCs w:val="20"/>
                <w:color w:val="auto"/>
              </w:rPr>
            </w:pPr>
            <w:r>
              <w:rPr>
                <w:rFonts w:ascii="Arial" w:cs="Arial" w:eastAsia="Arial" w:hAnsi="Arial"/>
                <w:sz w:val="15"/>
                <w:szCs w:val="15"/>
                <w:b w:val="1"/>
                <w:bCs w:val="1"/>
                <w:color w:val="auto"/>
              </w:rPr>
              <w:t>(...)</w:t>
            </w:r>
          </w:p>
        </w:tc>
        <w:tc>
          <w:tcPr>
            <w:tcW w:w="2040" w:type="dxa"/>
            <w:vAlign w:val="bottom"/>
          </w:tcPr>
          <w:p>
            <w:pPr>
              <w:jc w:val="right"/>
              <w:ind w:right="966"/>
              <w:spacing w:after="0"/>
              <w:rPr>
                <w:sz w:val="20"/>
                <w:szCs w:val="20"/>
                <w:color w:val="auto"/>
              </w:rPr>
            </w:pPr>
            <w:r>
              <w:rPr>
                <w:rFonts w:ascii="Arial" w:cs="Arial" w:eastAsia="Arial" w:hAnsi="Arial"/>
                <w:sz w:val="15"/>
                <w:szCs w:val="15"/>
                <w:b w:val="1"/>
                <w:bCs w:val="1"/>
                <w:color w:val="auto"/>
              </w:rPr>
              <w:t>(...)</w:t>
            </w:r>
          </w:p>
        </w:tc>
        <w:tc>
          <w:tcPr>
            <w:tcW w:w="1840" w:type="dxa"/>
            <w:vAlign w:val="bottom"/>
          </w:tcPr>
          <w:p>
            <w:pPr>
              <w:jc w:val="right"/>
              <w:ind w:right="546"/>
              <w:spacing w:after="0"/>
              <w:rPr>
                <w:sz w:val="20"/>
                <w:szCs w:val="20"/>
                <w:color w:val="auto"/>
              </w:rPr>
            </w:pPr>
            <w:r>
              <w:rPr>
                <w:rFonts w:ascii="Arial" w:cs="Arial" w:eastAsia="Arial" w:hAnsi="Arial"/>
                <w:sz w:val="15"/>
                <w:szCs w:val="15"/>
                <w:b w:val="1"/>
                <w:bCs w:val="1"/>
                <w:color w:val="auto"/>
              </w:rPr>
              <w:t>(...)</w:t>
            </w: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ind w:right="5100" w:firstLine="8"/>
        <w:spacing w:after="0" w:line="439" w:lineRule="auto"/>
        <w:tabs>
          <w:tab w:leader="none" w:pos="162"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Give the name of the document, if not THE COMPANY’s Statutes. (...) THEY ARE NOT REGULATED</w:t>
      </w:r>
    </w:p>
    <w:p>
      <w:pPr>
        <w:spacing w:after="0" w:line="212"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b w:val="1"/>
          <w:bCs w:val="1"/>
          <w:color w:val="auto"/>
        </w:rPr>
        <w:t>d. Indicate the number of requests presented by the shareholders for inclusion in the agenda for the shareholder meeting during the financial year to which this report refers.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402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02590"/>
                    </a:xfrm>
                    <a:prstGeom prst="rect">
                      <a:avLst/>
                    </a:prstGeom>
                    <a:noFill/>
                  </pic:spPr>
                </pic:pic>
              </a:graphicData>
            </a:graphic>
          </wp:anchor>
        </w:drawing>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NUMBER OF REQUESTS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0" w:type="dxa"/>
            <w:vAlign w:val="bottom"/>
            <w:tcBorders>
              <w:top w:val="single" w:sz="8" w:color="2C2C2C"/>
              <w:bottom w:val="single" w:sz="8" w:color="2C2C2C"/>
            </w:tcBorders>
          </w:tcPr>
          <w:p>
            <w:pPr>
              <w:spacing w:after="0"/>
              <w:rPr>
                <w:sz w:val="15"/>
                <w:szCs w:val="15"/>
                <w:color w:val="auto"/>
              </w:rPr>
            </w:pPr>
          </w:p>
        </w:tc>
        <w:tc>
          <w:tcPr>
            <w:tcW w:w="140" w:type="dxa"/>
            <w:vAlign w:val="bottom"/>
            <w:tcBorders>
              <w:top w:val="single" w:sz="8" w:color="2C2C2C"/>
              <w:bottom w:val="single" w:sz="8" w:color="2C2C2C"/>
            </w:tcBorders>
          </w:tcPr>
          <w:p>
            <w:pPr>
              <w:spacing w:after="0"/>
              <w:rPr>
                <w:sz w:val="15"/>
                <w:szCs w:val="15"/>
                <w:color w:val="auto"/>
              </w:rPr>
            </w:pPr>
          </w:p>
        </w:tc>
        <w:tc>
          <w:tcPr>
            <w:tcW w:w="400" w:type="dxa"/>
            <w:vAlign w:val="bottom"/>
            <w:tcBorders>
              <w:top w:val="single" w:sz="8" w:color="2C2C2C"/>
              <w:bottom w:val="single" w:sz="8" w:color="2C2C2C"/>
            </w:tcBorders>
          </w:tcPr>
          <w:p>
            <w:pPr>
              <w:spacing w:after="0"/>
              <w:rPr>
                <w:sz w:val="15"/>
                <w:szCs w:val="15"/>
                <w:color w:val="auto"/>
              </w:rPr>
            </w:pPr>
          </w:p>
        </w:tc>
        <w:tc>
          <w:tcPr>
            <w:tcW w:w="460" w:type="dxa"/>
            <w:vAlign w:val="bottom"/>
            <w:tcBorders>
              <w:top w:val="single" w:sz="8" w:color="2C2C2C"/>
              <w:bottom w:val="single" w:sz="8" w:color="2C2C2C"/>
            </w:tcBorders>
          </w:tcPr>
          <w:p>
            <w:pPr>
              <w:spacing w:after="0"/>
              <w:rPr>
                <w:sz w:val="15"/>
                <w:szCs w:val="15"/>
                <w:color w:val="auto"/>
              </w:rPr>
            </w:pPr>
          </w:p>
        </w:tc>
        <w:tc>
          <w:tcPr>
            <w:tcW w:w="3380" w:type="dxa"/>
            <w:vAlign w:val="bottom"/>
            <w:tcBorders>
              <w:top w:val="single" w:sz="8" w:color="2C2C2C"/>
              <w:bottom w:val="single" w:sz="8" w:color="2C2C2C"/>
            </w:tcBorders>
          </w:tcPr>
          <w:p>
            <w:pPr>
              <w:ind w:left="540"/>
              <w:spacing w:after="0" w:line="169" w:lineRule="exact"/>
              <w:rPr>
                <w:sz w:val="20"/>
                <w:szCs w:val="20"/>
                <w:color w:val="auto"/>
              </w:rPr>
            </w:pPr>
            <w:r>
              <w:rPr>
                <w:rFonts w:ascii="Arial" w:cs="Arial" w:eastAsia="Arial" w:hAnsi="Arial"/>
                <w:sz w:val="15"/>
                <w:szCs w:val="15"/>
                <w:color w:val="auto"/>
              </w:rPr>
              <w:t>RECEIVED</w:t>
            </w:r>
          </w:p>
        </w:tc>
        <w:tc>
          <w:tcPr>
            <w:tcW w:w="4600" w:type="dxa"/>
            <w:vAlign w:val="bottom"/>
            <w:tcBorders>
              <w:top w:val="single" w:sz="8" w:color="2C2C2C"/>
              <w:bottom w:val="single" w:sz="8" w:color="2C2C2C"/>
            </w:tcBorders>
            <w:gridSpan w:val="2"/>
          </w:tcPr>
          <w:p>
            <w:pPr>
              <w:jc w:val="right"/>
              <w:ind w:right="2806"/>
              <w:spacing w:after="0" w:line="169" w:lineRule="exact"/>
              <w:rPr>
                <w:sz w:val="20"/>
                <w:szCs w:val="20"/>
                <w:color w:val="auto"/>
              </w:rPr>
            </w:pPr>
            <w:r>
              <w:rPr>
                <w:rFonts w:ascii="Arial" w:cs="Arial" w:eastAsia="Arial" w:hAnsi="Arial"/>
                <w:sz w:val="15"/>
                <w:szCs w:val="15"/>
                <w:color w:val="auto"/>
              </w:rPr>
              <w:t>ACCEPTED</w:t>
            </w:r>
          </w:p>
        </w:tc>
        <w:tc>
          <w:tcPr>
            <w:tcW w:w="900" w:type="dxa"/>
            <w:vAlign w:val="bottom"/>
            <w:tcBorders>
              <w:top w:val="single" w:sz="8" w:color="2C2C2C"/>
              <w:bottom w:val="single" w:sz="8" w:color="2C2C2C"/>
            </w:tcBorders>
          </w:tcPr>
          <w:p>
            <w:pPr>
              <w:jc w:val="right"/>
              <w:spacing w:after="0" w:line="169" w:lineRule="exact"/>
              <w:rPr>
                <w:sz w:val="20"/>
                <w:szCs w:val="20"/>
                <w:color w:val="auto"/>
              </w:rPr>
            </w:pPr>
            <w:r>
              <w:rPr>
                <w:rFonts w:ascii="Arial" w:cs="Arial" w:eastAsia="Arial" w:hAnsi="Arial"/>
                <w:sz w:val="15"/>
                <w:szCs w:val="15"/>
                <w:color w:val="auto"/>
              </w:rPr>
              <w:t>REJECTED</w:t>
            </w:r>
          </w:p>
        </w:tc>
        <w:tc>
          <w:tcPr>
            <w:tcW w:w="360" w:type="dxa"/>
            <w:vAlign w:val="bottom"/>
            <w:tcBorders>
              <w:top w:val="single" w:sz="8" w:color="2C2C2C"/>
              <w:bottom w:val="single" w:sz="8" w:color="2C2C2C"/>
            </w:tcBorders>
          </w:tcPr>
          <w:p>
            <w:pPr>
              <w:spacing w:after="0"/>
              <w:rPr>
                <w:sz w:val="15"/>
                <w:szCs w:val="15"/>
                <w:color w:val="auto"/>
              </w:rPr>
            </w:pPr>
          </w:p>
        </w:tc>
        <w:tc>
          <w:tcPr>
            <w:tcW w:w="560" w:type="dxa"/>
            <w:vAlign w:val="bottom"/>
            <w:tcBorders>
              <w:top w:val="single" w:sz="8" w:color="2C2C2C"/>
              <w:bottom w:val="single" w:sz="8" w:color="2C2C2C"/>
            </w:tcBorders>
          </w:tcPr>
          <w:p>
            <w:pPr>
              <w:spacing w:after="0"/>
              <w:rPr>
                <w:sz w:val="15"/>
                <w:szCs w:val="15"/>
                <w:color w:val="auto"/>
              </w:rPr>
            </w:pPr>
          </w:p>
        </w:tc>
        <w:tc>
          <w:tcPr>
            <w:tcW w:w="220" w:type="dxa"/>
            <w:vAlign w:val="bottom"/>
            <w:tcBorders>
              <w:top w:val="single" w:sz="8" w:color="2C2C2C"/>
              <w:bottom w:val="single" w:sz="8" w:color="2C2C2C"/>
            </w:tcBorders>
          </w:tcPr>
          <w:p>
            <w:pPr>
              <w:spacing w:after="0"/>
              <w:rPr>
                <w:sz w:val="15"/>
                <w:szCs w:val="15"/>
                <w:color w:val="auto"/>
              </w:rPr>
            </w:pPr>
          </w:p>
        </w:tc>
        <w:tc>
          <w:tcPr>
            <w:tcW w:w="120" w:type="dxa"/>
            <w:vAlign w:val="bottom"/>
            <w:tcBorders>
              <w:top w:val="single" w:sz="8" w:color="2C2C2C"/>
              <w:bottom w:val="single" w:sz="8" w:color="2C2C2C"/>
            </w:tcBorders>
          </w:tcPr>
          <w:p>
            <w:pPr>
              <w:spacing w:after="0"/>
              <w:rPr>
                <w:sz w:val="15"/>
                <w:szCs w:val="15"/>
                <w:color w:val="auto"/>
              </w:rPr>
            </w:pPr>
          </w:p>
        </w:tc>
        <w:tc>
          <w:tcPr>
            <w:tcW w:w="220" w:type="dxa"/>
            <w:vAlign w:val="bottom"/>
            <w:tcBorders>
              <w:top w:val="single" w:sz="8" w:color="2C2C2C"/>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4400" w:type="dxa"/>
            <w:vAlign w:val="bottom"/>
            <w:tcBorders>
              <w:bottom w:val="single" w:sz="8" w:color="2C2C2C"/>
            </w:tcBorders>
            <w:gridSpan w:val="5"/>
          </w:tcPr>
          <w:p>
            <w:pPr>
              <w:ind w:left="20"/>
              <w:spacing w:after="0" w:line="162" w:lineRule="exact"/>
              <w:rPr>
                <w:sz w:val="20"/>
                <w:szCs w:val="20"/>
                <w:color w:val="auto"/>
              </w:rPr>
            </w:pPr>
            <w:r>
              <w:rPr>
                <w:rFonts w:ascii="Arial" w:cs="Arial" w:eastAsia="Arial" w:hAnsi="Arial"/>
                <w:sz w:val="15"/>
                <w:szCs w:val="15"/>
                <w:b w:val="1"/>
                <w:bCs w:val="1"/>
                <w:color w:val="auto"/>
              </w:rPr>
              <w:t>None.</w:t>
            </w:r>
          </w:p>
        </w:tc>
        <w:tc>
          <w:tcPr>
            <w:tcW w:w="41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82"/>
        </w:trPr>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380" w:type="dxa"/>
            <w:vAlign w:val="bottom"/>
            <w:tcBorders>
              <w:bottom w:val="single" w:sz="8" w:color="2C2C2C"/>
            </w:tcBorders>
          </w:tcPr>
          <w:p>
            <w:pPr>
              <w:spacing w:after="0"/>
              <w:rPr>
                <w:sz w:val="24"/>
                <w:szCs w:val="24"/>
                <w:color w:val="auto"/>
              </w:rPr>
            </w:pPr>
          </w:p>
        </w:tc>
        <w:tc>
          <w:tcPr>
            <w:tcW w:w="41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2"/>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00" w:type="dxa"/>
            <w:vAlign w:val="bottom"/>
            <w:gridSpan w:val="5"/>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4160" w:type="dxa"/>
            <w:vAlign w:val="bottom"/>
          </w:tcPr>
          <w:p>
            <w:pPr>
              <w:spacing w:after="0"/>
              <w:rPr>
                <w:sz w:val="14"/>
                <w:szCs w:val="14"/>
                <w:color w:val="auto"/>
              </w:rPr>
            </w:pPr>
          </w:p>
        </w:tc>
        <w:tc>
          <w:tcPr>
            <w:tcW w:w="1340" w:type="dxa"/>
            <w:vAlign w:val="bottom"/>
            <w:tcBorders>
              <w:bottom w:val="single" w:sz="8" w:color="2C2C2C"/>
            </w:tcBorders>
            <w:gridSpan w:val="2"/>
          </w:tcPr>
          <w:p>
            <w:pPr>
              <w:jc w:val="right"/>
              <w:ind w:right="606"/>
              <w:spacing w:after="0" w:line="162" w:lineRule="exact"/>
              <w:rPr>
                <w:sz w:val="20"/>
                <w:szCs w:val="20"/>
                <w:color w:val="auto"/>
              </w:rPr>
            </w:pPr>
            <w:r>
              <w:rPr>
                <w:rFonts w:ascii="Arial" w:cs="Arial" w:eastAsia="Arial" w:hAnsi="Arial"/>
                <w:sz w:val="15"/>
                <w:szCs w:val="15"/>
                <w:i w:val="1"/>
                <w:iCs w:val="1"/>
                <w:color w:val="auto"/>
                <w:w w:val="93"/>
              </w:rPr>
              <w:t>Fulfillment</w:t>
            </w: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400" w:type="dxa"/>
            <w:vAlign w:val="bottom"/>
            <w:gridSpan w:val="5"/>
            <w:vMerge w:val="continue"/>
          </w:tcPr>
          <w:p>
            <w:pPr>
              <w:spacing w:after="0"/>
              <w:rPr>
                <w:sz w:val="4"/>
                <w:szCs w:val="4"/>
                <w:color w:val="auto"/>
              </w:rPr>
            </w:pPr>
          </w:p>
        </w:tc>
        <w:tc>
          <w:tcPr>
            <w:tcW w:w="4600" w:type="dxa"/>
            <w:vAlign w:val="bottom"/>
            <w:gridSpan w:val="2"/>
            <w:vMerge w:val="restart"/>
          </w:tcPr>
          <w:p>
            <w:pPr>
              <w:jc w:val="right"/>
              <w:ind w:right="46"/>
              <w:spacing w:after="0" w:line="162" w:lineRule="exact"/>
              <w:rPr>
                <w:sz w:val="20"/>
                <w:szCs w:val="20"/>
                <w:color w:val="auto"/>
              </w:rPr>
            </w:pPr>
            <w:r>
              <w:rPr>
                <w:rFonts w:ascii="Arial" w:cs="Arial" w:eastAsia="Arial" w:hAnsi="Arial"/>
                <w:sz w:val="15"/>
                <w:szCs w:val="15"/>
                <w:i w:val="1"/>
                <w:iCs w:val="1"/>
                <w:color w:val="auto"/>
              </w:rPr>
              <w:t>0</w:t>
            </w:r>
          </w:p>
        </w:tc>
        <w:tc>
          <w:tcPr>
            <w:tcW w:w="900" w:type="dxa"/>
            <w:vAlign w:val="bottom"/>
            <w:vMerge w:val="restart"/>
          </w:tcPr>
          <w:p>
            <w:pPr>
              <w:jc w:val="right"/>
              <w:ind w:right="386"/>
              <w:spacing w:after="0" w:line="162" w:lineRule="exact"/>
              <w:rPr>
                <w:sz w:val="20"/>
                <w:szCs w:val="20"/>
                <w:color w:val="auto"/>
              </w:rPr>
            </w:pPr>
            <w:r>
              <w:rPr>
                <w:rFonts w:ascii="Arial" w:cs="Arial" w:eastAsia="Arial" w:hAnsi="Arial"/>
                <w:sz w:val="15"/>
                <w:szCs w:val="15"/>
                <w:i w:val="1"/>
                <w:iCs w:val="1"/>
                <w:color w:val="auto"/>
              </w:rPr>
              <w:t>1</w:t>
            </w:r>
          </w:p>
        </w:tc>
        <w:tc>
          <w:tcPr>
            <w:tcW w:w="36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w w:val="95"/>
              </w:rPr>
              <w:t>2</w:t>
            </w:r>
          </w:p>
        </w:tc>
        <w:tc>
          <w:tcPr>
            <w:tcW w:w="56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3</w:t>
            </w:r>
          </w:p>
        </w:tc>
        <w:tc>
          <w:tcPr>
            <w:tcW w:w="340" w:type="dxa"/>
            <w:vAlign w:val="bottom"/>
            <w:gridSpan w:val="2"/>
            <w:vMerge w:val="restart"/>
          </w:tcPr>
          <w:p>
            <w:pPr>
              <w:ind w:left="240"/>
              <w:spacing w:after="0" w:line="162" w:lineRule="exact"/>
              <w:rPr>
                <w:sz w:val="20"/>
                <w:szCs w:val="20"/>
                <w:color w:val="auto"/>
              </w:rPr>
            </w:pPr>
            <w:r>
              <w:rPr>
                <w:rFonts w:ascii="Arial" w:cs="Arial" w:eastAsia="Arial" w:hAnsi="Arial"/>
                <w:sz w:val="15"/>
                <w:szCs w:val="15"/>
                <w:i w:val="1"/>
                <w:iCs w:val="1"/>
                <w:color w:val="auto"/>
                <w:w w:val="95"/>
              </w:rPr>
              <w:t>4</w:t>
            </w: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top w:val="single" w:sz="8" w:color="auto"/>
              <w:bottom w:val="single" w:sz="8" w:color="2C2C2C"/>
            </w:tcBorders>
          </w:tcPr>
          <w:p>
            <w:pPr>
              <w:spacing w:after="0"/>
              <w:rPr>
                <w:sz w:val="8"/>
                <w:szCs w:val="8"/>
                <w:color w:val="auto"/>
              </w:rPr>
            </w:pPr>
          </w:p>
        </w:tc>
        <w:tc>
          <w:tcPr>
            <w:tcW w:w="400" w:type="dxa"/>
            <w:vAlign w:val="bottom"/>
            <w:tcBorders>
              <w:top w:val="single" w:sz="8" w:color="auto"/>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380" w:type="dxa"/>
            <w:vAlign w:val="bottom"/>
            <w:tcBorders>
              <w:bottom w:val="single" w:sz="8" w:color="2C2C2C"/>
            </w:tcBorders>
          </w:tcPr>
          <w:p>
            <w:pPr>
              <w:spacing w:after="0"/>
              <w:rPr>
                <w:sz w:val="8"/>
                <w:szCs w:val="8"/>
                <w:color w:val="auto"/>
              </w:rPr>
            </w:pPr>
          </w:p>
        </w:tc>
        <w:tc>
          <w:tcPr>
            <w:tcW w:w="4600" w:type="dxa"/>
            <w:vAlign w:val="bottom"/>
            <w:tcBorders>
              <w:bottom w:val="single" w:sz="8" w:color="2C2C2C"/>
            </w:tcBorders>
            <w:gridSpan w:val="2"/>
            <w:vMerge w:val="continue"/>
          </w:tcPr>
          <w:p>
            <w:pPr>
              <w:spacing w:after="0"/>
              <w:rPr>
                <w:sz w:val="8"/>
                <w:szCs w:val="8"/>
                <w:color w:val="auto"/>
              </w:rPr>
            </w:pPr>
          </w:p>
        </w:tc>
        <w:tc>
          <w:tcPr>
            <w:tcW w:w="900" w:type="dxa"/>
            <w:vAlign w:val="bottom"/>
            <w:tcBorders>
              <w:bottom w:val="single" w:sz="8" w:color="2C2C2C"/>
            </w:tcBorders>
            <w:vMerge w:val="continue"/>
          </w:tcPr>
          <w:p>
            <w:pPr>
              <w:spacing w:after="0"/>
              <w:rPr>
                <w:sz w:val="8"/>
                <w:szCs w:val="8"/>
                <w:color w:val="auto"/>
              </w:rPr>
            </w:pPr>
          </w:p>
        </w:tc>
        <w:tc>
          <w:tcPr>
            <w:tcW w:w="360" w:type="dxa"/>
            <w:vAlign w:val="bottom"/>
            <w:tcBorders>
              <w:bottom w:val="single" w:sz="8" w:color="2C2C2C"/>
            </w:tcBorders>
            <w:vMerge w:val="continue"/>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340" w:type="dxa"/>
            <w:vAlign w:val="bottom"/>
            <w:tcBorders>
              <w:bottom w:val="single" w:sz="8" w:color="2C2C2C"/>
            </w:tcBorders>
            <w:gridSpan w:val="2"/>
            <w:vMerge w:val="continue"/>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gridSpan w:val="7"/>
          </w:tcPr>
          <w:p>
            <w:pPr>
              <w:ind w:left="20"/>
              <w:spacing w:after="0" w:line="149" w:lineRule="exact"/>
              <w:rPr>
                <w:sz w:val="20"/>
                <w:szCs w:val="20"/>
                <w:color w:val="auto"/>
              </w:rPr>
            </w:pPr>
            <w:r>
              <w:rPr>
                <w:rFonts w:ascii="Arial" w:cs="Arial" w:eastAsia="Arial" w:hAnsi="Arial"/>
                <w:sz w:val="15"/>
                <w:szCs w:val="15"/>
                <w:i w:val="1"/>
                <w:iCs w:val="1"/>
                <w:color w:val="auto"/>
                <w:w w:val="95"/>
              </w:rPr>
              <w:t>4. Principle (I.C.4.i.).- The statutes should not impose limits on the rights of all shareholders with access to the General Shareholder Meetings</w:t>
            </w: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3"/>
          </w:tcPr>
          <w:p>
            <w:pPr>
              <w:ind w:left="220"/>
              <w:spacing w:after="0" w:line="149" w:lineRule="exact"/>
              <w:rPr>
                <w:sz w:val="20"/>
                <w:szCs w:val="20"/>
                <w:color w:val="auto"/>
              </w:rPr>
            </w:pPr>
            <w:r>
              <w:rPr>
                <w:rFonts w:ascii="Arial" w:cs="Arial" w:eastAsia="Arial" w:hAnsi="Arial"/>
                <w:sz w:val="15"/>
                <w:szCs w:val="15"/>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gridSpan w:val="2"/>
          </w:tcPr>
          <w:p>
            <w:pPr>
              <w:ind w:left="20"/>
              <w:spacing w:after="0" w:line="156" w:lineRule="exact"/>
              <w:rPr>
                <w:sz w:val="20"/>
                <w:szCs w:val="20"/>
                <w:color w:val="auto"/>
              </w:rPr>
            </w:pPr>
            <w:r>
              <w:rPr>
                <w:rFonts w:ascii="Arial" w:cs="Arial" w:eastAsia="Arial" w:hAnsi="Arial"/>
                <w:sz w:val="15"/>
                <w:szCs w:val="15"/>
                <w:i w:val="1"/>
                <w:iCs w:val="1"/>
                <w:color w:val="auto"/>
                <w:w w:val="95"/>
              </w:rPr>
              <w:t>to</w:t>
            </w:r>
          </w:p>
        </w:tc>
        <w:tc>
          <w:tcPr>
            <w:tcW w:w="860" w:type="dxa"/>
            <w:vAlign w:val="bottom"/>
            <w:tcBorders>
              <w:top w:val="single" w:sz="8" w:color="auto"/>
              <w:bottom w:val="single" w:sz="8" w:color="2C2C2C"/>
            </w:tcBorders>
            <w:gridSpan w:val="2"/>
          </w:tcPr>
          <w:p>
            <w:pPr>
              <w:spacing w:after="0" w:line="156" w:lineRule="exact"/>
              <w:rPr>
                <w:sz w:val="20"/>
                <w:szCs w:val="20"/>
                <w:color w:val="auto"/>
              </w:rPr>
            </w:pPr>
            <w:r>
              <w:rPr>
                <w:rFonts w:ascii="Arial" w:cs="Arial" w:eastAsia="Arial" w:hAnsi="Arial"/>
                <w:sz w:val="15"/>
                <w:szCs w:val="15"/>
                <w:i w:val="1"/>
                <w:iCs w:val="1"/>
                <w:color w:val="auto"/>
                <w:w w:val="77"/>
              </w:rPr>
              <w:t>be respresented</w:t>
            </w:r>
          </w:p>
        </w:tc>
        <w:tc>
          <w:tcPr>
            <w:tcW w:w="3380" w:type="dxa"/>
            <w:vAlign w:val="bottom"/>
            <w:tcBorders>
              <w:bottom w:val="single" w:sz="8" w:color="2C2C2C"/>
            </w:tcBorders>
          </w:tcPr>
          <w:p>
            <w:pPr>
              <w:ind w:left="120"/>
              <w:spacing w:after="0" w:line="156" w:lineRule="exact"/>
              <w:rPr>
                <w:sz w:val="20"/>
                <w:szCs w:val="20"/>
                <w:color w:val="auto"/>
              </w:rPr>
            </w:pPr>
            <w:r>
              <w:rPr>
                <w:rFonts w:ascii="Arial" w:cs="Arial" w:eastAsia="Arial" w:hAnsi="Arial"/>
                <w:sz w:val="15"/>
                <w:szCs w:val="15"/>
                <w:i w:val="1"/>
                <w:iCs w:val="1"/>
                <w:color w:val="auto"/>
              </w:rPr>
              <w:t>by the person they choose to designate.</w:t>
            </w:r>
          </w:p>
        </w:tc>
        <w:tc>
          <w:tcPr>
            <w:tcW w:w="41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 w:type="dxa"/>
            <w:vAlign w:val="bottom"/>
            <w:tcBorders>
              <w:top w:val="single" w:sz="8" w:color="auto"/>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42545" cy="5054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-483870</wp:posOffset>
            </wp:positionV>
            <wp:extent cx="42545" cy="4883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545" cy="48831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-363855</wp:posOffset>
            </wp:positionV>
            <wp:extent cx="42545" cy="368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-363855</wp:posOffset>
            </wp:positionV>
            <wp:extent cx="42545" cy="368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-363855</wp:posOffset>
            </wp:positionV>
            <wp:extent cx="42545" cy="368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-492125</wp:posOffset>
            </wp:positionV>
            <wp:extent cx="42545" cy="5054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-363855</wp:posOffset>
            </wp:positionV>
            <wp:extent cx="42545" cy="368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545" cy="368300"/>
                    </a:xfrm>
                    <a:prstGeom prst="rect">
                      <a:avLst/>
                    </a:prstGeom>
                    <a:noFill/>
                  </pic:spPr>
                </pic:pic>
              </a:graphicData>
            </a:graphic>
          </wp:anchor>
        </w:drawing>
      </w:r>
    </w:p>
    <w:p>
      <w:pPr>
        <w:spacing w:after="0" w:line="169" w:lineRule="exact"/>
        <w:rPr>
          <w:sz w:val="20"/>
          <w:szCs w:val="20"/>
          <w:color w:val="auto"/>
        </w:rPr>
      </w:pPr>
    </w:p>
    <w:p>
      <w:pPr>
        <w:ind w:right="1100"/>
        <w:spacing w:after="0" w:line="256" w:lineRule="auto"/>
        <w:rPr>
          <w:sz w:val="20"/>
          <w:szCs w:val="20"/>
          <w:color w:val="auto"/>
        </w:rPr>
      </w:pPr>
      <w:r>
        <w:rPr>
          <w:rFonts w:ascii="Arial" w:cs="Arial" w:eastAsia="Arial" w:hAnsi="Arial"/>
          <w:sz w:val="22"/>
          <w:szCs w:val="22"/>
          <w:b w:val="1"/>
          <w:bCs w:val="1"/>
          <w:color w:val="auto"/>
        </w:rPr>
        <w:t>a. In accordance with provisions laid out in article 122 of the General Law of Companies, indicate whether THE COMPANY’s statutes limit the right of representation, restricting it: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TO ANOTHER SHAREHOLDER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TO A DIRECTOR</w:t>
      </w:r>
    </w:p>
    <w:p>
      <w:pPr>
        <w:spacing w:after="0" w:line="230" w:lineRule="auto"/>
        <w:rPr>
          <w:sz w:val="20"/>
          <w:szCs w:val="20"/>
          <w:color w:val="auto"/>
        </w:rPr>
      </w:pPr>
      <w:r>
        <w:rPr>
          <w:rFonts w:ascii="Arial" w:cs="Arial" w:eastAsia="Arial" w:hAnsi="Arial"/>
          <w:sz w:val="22"/>
          <w:szCs w:val="22"/>
          <w:b w:val="1"/>
          <w:bCs w:val="1"/>
          <w:color w:val="auto"/>
        </w:rPr>
        <w:t>(...) TO A MANAGER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(.X) THE RIGHT OF REPRESENTATION IS NOT LIMITED</w:t>
      </w:r>
    </w:p>
    <w:p>
      <w:pPr>
        <w:spacing w:after="0" w:line="182"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b w:val="1"/>
          <w:bCs w:val="1"/>
          <w:color w:val="auto"/>
        </w:rPr>
        <w:t>b. Please give the following information for each Shareholder Meeting held during the financial year to which this report refers:</w:t>
      </w:r>
    </w:p>
    <w:p>
      <w:pPr>
        <w:spacing w:after="0" w:line="166"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Type of meeting</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80" w:type="dxa"/>
            <w:vAlign w:val="bottom"/>
          </w:tcPr>
          <w:p>
            <w:pPr>
              <w:jc w:val="center"/>
              <w:ind w:left="186"/>
              <w:spacing w:after="0"/>
              <w:rPr>
                <w:sz w:val="20"/>
                <w:szCs w:val="20"/>
                <w:color w:val="auto"/>
              </w:rPr>
            </w:pPr>
            <w:r>
              <w:rPr>
                <w:rFonts w:ascii="Arial" w:cs="Arial" w:eastAsia="Arial" w:hAnsi="Arial"/>
                <w:sz w:val="15"/>
                <w:szCs w:val="15"/>
                <w:b w:val="1"/>
                <w:bCs w:val="1"/>
                <w:color w:val="auto"/>
                <w:w w:val="89"/>
              </w:rPr>
              <w:t>Date of the meeting</w:t>
            </w:r>
          </w:p>
        </w:tc>
        <w:tc>
          <w:tcPr>
            <w:tcW w:w="5780" w:type="dxa"/>
            <w:vAlign w:val="bottom"/>
            <w:gridSpan w:val="2"/>
          </w:tcPr>
          <w:p>
            <w:pPr>
              <w:ind w:left="340"/>
              <w:spacing w:after="0"/>
              <w:rPr>
                <w:sz w:val="20"/>
                <w:szCs w:val="20"/>
                <w:color w:val="auto"/>
              </w:rPr>
            </w:pPr>
            <w:r>
              <w:rPr>
                <w:rFonts w:ascii="Arial" w:cs="Arial" w:eastAsia="Arial" w:hAnsi="Arial"/>
                <w:sz w:val="15"/>
                <w:szCs w:val="15"/>
                <w:b w:val="1"/>
                <w:bCs w:val="1"/>
                <w:color w:val="auto"/>
                <w:w w:val="89"/>
              </w:rPr>
              <w:t>(%) Participation in relation to the total number of shareholders with the right to vote</w:t>
            </w:r>
          </w:p>
        </w:tc>
      </w:tr>
      <w:tr>
        <w:trPr>
          <w:trHeight w:val="162"/>
        </w:trPr>
        <w:tc>
          <w:tcPr>
            <w:tcW w:w="1660" w:type="dxa"/>
            <w:vAlign w:val="bottom"/>
            <w:gridSpan w:val="2"/>
          </w:tcPr>
          <w:p>
            <w:pPr>
              <w:jc w:val="right"/>
              <w:ind w:right="1086"/>
              <w:spacing w:after="0" w:line="162" w:lineRule="exact"/>
              <w:rPr>
                <w:sz w:val="20"/>
                <w:szCs w:val="20"/>
                <w:color w:val="auto"/>
              </w:rPr>
            </w:pPr>
            <w:r>
              <w:rPr>
                <w:rFonts w:ascii="Arial" w:cs="Arial" w:eastAsia="Arial" w:hAnsi="Arial"/>
                <w:sz w:val="15"/>
                <w:szCs w:val="15"/>
                <w:b w:val="1"/>
                <w:bCs w:val="1"/>
                <w:color w:val="auto"/>
                <w:w w:val="85"/>
              </w:rPr>
              <w:t>General</w:t>
            </w:r>
          </w:p>
        </w:tc>
        <w:tc>
          <w:tcPr>
            <w:tcW w:w="1100" w:type="dxa"/>
            <w:vAlign w:val="bottom"/>
            <w:gridSpan w:val="2"/>
          </w:tcPr>
          <w:p>
            <w:pPr>
              <w:jc w:val="right"/>
              <w:ind w:right="526"/>
              <w:spacing w:after="0" w:line="162" w:lineRule="exact"/>
              <w:rPr>
                <w:sz w:val="20"/>
                <w:szCs w:val="20"/>
                <w:color w:val="auto"/>
              </w:rPr>
            </w:pPr>
            <w:r>
              <w:rPr>
                <w:rFonts w:ascii="Arial" w:cs="Arial" w:eastAsia="Arial" w:hAnsi="Arial"/>
                <w:sz w:val="15"/>
                <w:szCs w:val="15"/>
                <w:b w:val="1"/>
                <w:bCs w:val="1"/>
                <w:color w:val="auto"/>
                <w:w w:val="91"/>
              </w:rPr>
              <w:t>Special</w:t>
            </w:r>
          </w:p>
        </w:tc>
        <w:tc>
          <w:tcPr>
            <w:tcW w:w="2180" w:type="dxa"/>
            <w:vAlign w:val="bottom"/>
          </w:tcPr>
          <w:p>
            <w:pPr>
              <w:spacing w:after="0"/>
              <w:rPr>
                <w:sz w:val="14"/>
                <w:szCs w:val="14"/>
                <w:color w:val="auto"/>
              </w:rPr>
            </w:pPr>
          </w:p>
        </w:tc>
        <w:tc>
          <w:tcPr>
            <w:tcW w:w="3420" w:type="dxa"/>
            <w:vAlign w:val="bottom"/>
          </w:tcPr>
          <w:p>
            <w:pPr>
              <w:jc w:val="center"/>
              <w:ind w:left="246"/>
              <w:spacing w:after="0" w:line="162" w:lineRule="exact"/>
              <w:rPr>
                <w:sz w:val="20"/>
                <w:szCs w:val="20"/>
                <w:color w:val="auto"/>
              </w:rPr>
            </w:pPr>
            <w:r>
              <w:rPr>
                <w:rFonts w:ascii="Arial" w:cs="Arial" w:eastAsia="Arial" w:hAnsi="Arial"/>
                <w:sz w:val="15"/>
                <w:szCs w:val="15"/>
                <w:b w:val="1"/>
                <w:bCs w:val="1"/>
                <w:color w:val="auto"/>
                <w:w w:val="88"/>
              </w:rPr>
              <w:t>through power of attorney</w:t>
            </w:r>
          </w:p>
        </w:tc>
        <w:tc>
          <w:tcPr>
            <w:tcW w:w="2360" w:type="dxa"/>
            <w:vAlign w:val="bottom"/>
          </w:tcPr>
          <w:p>
            <w:pPr>
              <w:jc w:val="center"/>
              <w:ind w:left="86"/>
              <w:spacing w:after="0" w:line="162" w:lineRule="exact"/>
              <w:rPr>
                <w:sz w:val="20"/>
                <w:szCs w:val="20"/>
                <w:color w:val="auto"/>
              </w:rPr>
            </w:pPr>
            <w:r>
              <w:rPr>
                <w:rFonts w:ascii="Arial" w:cs="Arial" w:eastAsia="Arial" w:hAnsi="Arial"/>
                <w:sz w:val="15"/>
                <w:szCs w:val="15"/>
                <w:b w:val="1"/>
                <w:bCs w:val="1"/>
                <w:color w:val="auto"/>
                <w:w w:val="84"/>
              </w:rPr>
              <w:t>exercise in person</w:t>
            </w:r>
          </w:p>
        </w:tc>
      </w:tr>
      <w:tr>
        <w:trPr>
          <w:trHeight w:val="162"/>
        </w:trPr>
        <w:tc>
          <w:tcPr>
            <w:tcW w:w="1660" w:type="dxa"/>
            <w:vAlign w:val="bottom"/>
            <w:gridSpan w:val="2"/>
          </w:tcPr>
          <w:p>
            <w:pPr>
              <w:jc w:val="right"/>
              <w:ind w:right="1146"/>
              <w:spacing w:after="0" w:line="162" w:lineRule="exact"/>
              <w:rPr>
                <w:sz w:val="20"/>
                <w:szCs w:val="20"/>
                <w:color w:val="auto"/>
              </w:rPr>
            </w:pPr>
            <w:r>
              <w:rPr>
                <w:rFonts w:ascii="Arial" w:cs="Arial" w:eastAsia="Arial" w:hAnsi="Arial"/>
                <w:sz w:val="15"/>
                <w:szCs w:val="15"/>
                <w:b w:val="1"/>
                <w:bCs w:val="1"/>
                <w:color w:val="auto"/>
              </w:rPr>
              <w:t>(.. x .)</w:t>
            </w:r>
          </w:p>
        </w:tc>
        <w:tc>
          <w:tcPr>
            <w:tcW w:w="3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646"/>
              <w:spacing w:after="0" w:line="162" w:lineRule="exact"/>
              <w:rPr>
                <w:sz w:val="20"/>
                <w:szCs w:val="20"/>
                <w:color w:val="auto"/>
              </w:rPr>
            </w:pPr>
            <w:r>
              <w:rPr>
                <w:rFonts w:ascii="Arial" w:cs="Arial" w:eastAsia="Arial" w:hAnsi="Arial"/>
                <w:sz w:val="15"/>
                <w:szCs w:val="15"/>
                <w:b w:val="1"/>
                <w:bCs w:val="1"/>
                <w:color w:val="auto"/>
                <w:w w:val="79"/>
              </w:rPr>
              <w:t>)</w:t>
            </w:r>
          </w:p>
        </w:tc>
        <w:tc>
          <w:tcPr>
            <w:tcW w:w="2180" w:type="dxa"/>
            <w:vAlign w:val="bottom"/>
          </w:tcPr>
          <w:p>
            <w:pPr>
              <w:jc w:val="right"/>
              <w:ind w:right="666"/>
              <w:spacing w:after="0" w:line="162" w:lineRule="exact"/>
              <w:rPr>
                <w:sz w:val="20"/>
                <w:szCs w:val="20"/>
                <w:color w:val="auto"/>
              </w:rPr>
            </w:pPr>
            <w:r>
              <w:rPr>
                <w:rFonts w:ascii="Arial" w:cs="Arial" w:eastAsia="Arial" w:hAnsi="Arial"/>
                <w:sz w:val="15"/>
                <w:szCs w:val="15"/>
                <w:b w:val="1"/>
                <w:bCs w:val="1"/>
                <w:color w:val="auto"/>
              </w:rPr>
              <w:t>31.3.05</w:t>
            </w:r>
          </w:p>
        </w:tc>
        <w:tc>
          <w:tcPr>
            <w:tcW w:w="3420" w:type="dxa"/>
            <w:vAlign w:val="bottom"/>
          </w:tcPr>
          <w:p>
            <w:pPr>
              <w:jc w:val="right"/>
              <w:ind w:right="1306"/>
              <w:spacing w:after="0" w:line="162" w:lineRule="exact"/>
              <w:rPr>
                <w:sz w:val="20"/>
                <w:szCs w:val="20"/>
                <w:color w:val="auto"/>
              </w:rPr>
            </w:pPr>
            <w:r>
              <w:rPr>
                <w:rFonts w:ascii="Arial" w:cs="Arial" w:eastAsia="Arial" w:hAnsi="Arial"/>
                <w:sz w:val="15"/>
                <w:szCs w:val="15"/>
                <w:b w:val="1"/>
                <w:bCs w:val="1"/>
                <w:color w:val="auto"/>
              </w:rPr>
              <w:t>89.88</w:t>
            </w:r>
          </w:p>
        </w:tc>
        <w:tc>
          <w:tcPr>
            <w:tcW w:w="2360" w:type="dxa"/>
            <w:vAlign w:val="bottom"/>
          </w:tcPr>
          <w:p>
            <w:pPr>
              <w:jc w:val="right"/>
              <w:ind w:right="886"/>
              <w:spacing w:after="0" w:line="162" w:lineRule="exact"/>
              <w:rPr>
                <w:sz w:val="20"/>
                <w:szCs w:val="20"/>
                <w:color w:val="auto"/>
              </w:rPr>
            </w:pPr>
            <w:r>
              <w:rPr>
                <w:rFonts w:ascii="Arial" w:cs="Arial" w:eastAsia="Arial" w:hAnsi="Arial"/>
                <w:sz w:val="15"/>
                <w:szCs w:val="15"/>
                <w:b w:val="1"/>
                <w:bCs w:val="1"/>
                <w:color w:val="auto"/>
              </w:rPr>
              <w:t>0.09</w:t>
            </w:r>
          </w:p>
        </w:tc>
      </w:tr>
      <w:tr>
        <w:trPr>
          <w:trHeight w:val="162"/>
        </w:trPr>
        <w:tc>
          <w:tcPr>
            <w:tcW w:w="3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360" w:type="dxa"/>
            <w:vAlign w:val="bottom"/>
          </w:tcPr>
          <w:p>
            <w:pPr>
              <w:jc w:val="right"/>
              <w:ind w:right="1226"/>
              <w:spacing w:after="0" w:line="162" w:lineRule="exact"/>
              <w:rPr>
                <w:sz w:val="20"/>
                <w:szCs w:val="20"/>
                <w:color w:val="auto"/>
              </w:rPr>
            </w:pPr>
            <w:r>
              <w:rPr>
                <w:rFonts w:ascii="Arial" w:cs="Arial" w:eastAsia="Arial" w:hAnsi="Arial"/>
                <w:sz w:val="15"/>
                <w:szCs w:val="15"/>
                <w:b w:val="1"/>
                <w:bCs w:val="1"/>
                <w:color w:val="auto"/>
                <w:w w:val="79"/>
              </w:rPr>
              <w:t>)</w:t>
            </w:r>
          </w:p>
        </w:tc>
        <w:tc>
          <w:tcPr>
            <w:tcW w:w="3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646"/>
              <w:spacing w:after="0" w:line="162" w:lineRule="exact"/>
              <w:rPr>
                <w:sz w:val="20"/>
                <w:szCs w:val="20"/>
                <w:color w:val="auto"/>
              </w:rPr>
            </w:pPr>
            <w:r>
              <w:rPr>
                <w:rFonts w:ascii="Arial" w:cs="Arial" w:eastAsia="Arial" w:hAnsi="Arial"/>
                <w:sz w:val="15"/>
                <w:szCs w:val="15"/>
                <w:b w:val="1"/>
                <w:bCs w:val="1"/>
                <w:color w:val="auto"/>
                <w:w w:val="79"/>
              </w:rPr>
              <w:t>)</w:t>
            </w:r>
          </w:p>
        </w:tc>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2"/>
        </w:trPr>
        <w:tc>
          <w:tcPr>
            <w:tcW w:w="3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360" w:type="dxa"/>
            <w:vAlign w:val="bottom"/>
          </w:tcPr>
          <w:p>
            <w:pPr>
              <w:jc w:val="right"/>
              <w:ind w:right="1226"/>
              <w:spacing w:after="0" w:line="162" w:lineRule="exact"/>
              <w:rPr>
                <w:sz w:val="20"/>
                <w:szCs w:val="20"/>
                <w:color w:val="auto"/>
              </w:rPr>
            </w:pPr>
            <w:r>
              <w:rPr>
                <w:rFonts w:ascii="Arial" w:cs="Arial" w:eastAsia="Arial" w:hAnsi="Arial"/>
                <w:sz w:val="15"/>
                <w:szCs w:val="15"/>
                <w:b w:val="1"/>
                <w:bCs w:val="1"/>
                <w:color w:val="auto"/>
                <w:w w:val="79"/>
              </w:rPr>
              <w:t>)</w:t>
            </w:r>
          </w:p>
        </w:tc>
        <w:tc>
          <w:tcPr>
            <w:tcW w:w="3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646"/>
              <w:spacing w:after="0" w:line="162" w:lineRule="exact"/>
              <w:rPr>
                <w:sz w:val="20"/>
                <w:szCs w:val="20"/>
                <w:color w:val="auto"/>
              </w:rPr>
            </w:pPr>
            <w:r>
              <w:rPr>
                <w:rFonts w:ascii="Arial" w:cs="Arial" w:eastAsia="Arial" w:hAnsi="Arial"/>
                <w:sz w:val="15"/>
                <w:szCs w:val="15"/>
                <w:b w:val="1"/>
                <w:bCs w:val="1"/>
                <w:color w:val="auto"/>
                <w:w w:val="79"/>
              </w:rPr>
              <w:t>)</w:t>
            </w:r>
          </w:p>
        </w:tc>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2"/>
        </w:trPr>
        <w:tc>
          <w:tcPr>
            <w:tcW w:w="3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360" w:type="dxa"/>
            <w:vAlign w:val="bottom"/>
          </w:tcPr>
          <w:p>
            <w:pPr>
              <w:jc w:val="right"/>
              <w:ind w:right="1226"/>
              <w:spacing w:after="0" w:line="162" w:lineRule="exact"/>
              <w:rPr>
                <w:sz w:val="20"/>
                <w:szCs w:val="20"/>
                <w:color w:val="auto"/>
              </w:rPr>
            </w:pPr>
            <w:r>
              <w:rPr>
                <w:rFonts w:ascii="Arial" w:cs="Arial" w:eastAsia="Arial" w:hAnsi="Arial"/>
                <w:sz w:val="15"/>
                <w:szCs w:val="15"/>
                <w:b w:val="1"/>
                <w:bCs w:val="1"/>
                <w:color w:val="auto"/>
                <w:w w:val="79"/>
              </w:rPr>
              <w:t>)</w:t>
            </w:r>
          </w:p>
        </w:tc>
        <w:tc>
          <w:tcPr>
            <w:tcW w:w="3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646"/>
              <w:spacing w:after="0" w:line="162" w:lineRule="exact"/>
              <w:rPr>
                <w:sz w:val="20"/>
                <w:szCs w:val="20"/>
                <w:color w:val="auto"/>
              </w:rPr>
            </w:pPr>
            <w:r>
              <w:rPr>
                <w:rFonts w:ascii="Arial" w:cs="Arial" w:eastAsia="Arial" w:hAnsi="Arial"/>
                <w:sz w:val="15"/>
                <w:szCs w:val="15"/>
                <w:b w:val="1"/>
                <w:bCs w:val="1"/>
                <w:color w:val="auto"/>
                <w:w w:val="79"/>
              </w:rPr>
              <w:t>)</w:t>
            </w:r>
          </w:p>
        </w:tc>
        <w:tc>
          <w:tcPr>
            <w:tcW w:w="2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92"/>
        </w:trPr>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360" w:type="dxa"/>
            <w:vAlign w:val="bottom"/>
          </w:tcPr>
          <w:p>
            <w:pPr>
              <w:jc w:val="right"/>
              <w:ind w:right="1226"/>
              <w:spacing w:after="0"/>
              <w:rPr>
                <w:sz w:val="20"/>
                <w:szCs w:val="20"/>
                <w:color w:val="auto"/>
              </w:rPr>
            </w:pPr>
            <w:r>
              <w:rPr>
                <w:rFonts w:ascii="Arial" w:cs="Arial" w:eastAsia="Arial" w:hAnsi="Arial"/>
                <w:sz w:val="15"/>
                <w:szCs w:val="15"/>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646"/>
              <w:spacing w:after="0"/>
              <w:rPr>
                <w:sz w:val="20"/>
                <w:szCs w:val="20"/>
                <w:color w:val="auto"/>
              </w:rPr>
            </w:pPr>
            <w:r>
              <w:rPr>
                <w:rFonts w:ascii="Arial" w:cs="Arial" w:eastAsia="Arial" w:hAnsi="Arial"/>
                <w:sz w:val="15"/>
                <w:szCs w:val="15"/>
                <w:b w:val="1"/>
                <w:bCs w:val="1"/>
                <w:color w:val="auto"/>
                <w:w w:val="79"/>
              </w:rPr>
              <w:t>)</w:t>
            </w:r>
          </w:p>
        </w:tc>
        <w:tc>
          <w:tcPr>
            <w:tcW w:w="21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120"/>
        <w:spacing w:after="0" w:line="256" w:lineRule="auto"/>
        <w:rPr>
          <w:sz w:val="20"/>
          <w:szCs w:val="20"/>
          <w:color w:val="auto"/>
        </w:rPr>
      </w:pPr>
      <w:r>
        <w:rPr>
          <w:rFonts w:ascii="Arial" w:cs="Arial" w:eastAsia="Arial" w:hAnsi="Arial"/>
          <w:sz w:val="22"/>
          <w:szCs w:val="22"/>
          <w:b w:val="1"/>
          <w:bCs w:val="1"/>
          <w:color w:val="auto"/>
        </w:rPr>
        <w:t>c. Please give details about the requirements and formalities necessary for a shareholder to be represented in a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4883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88315"/>
                    </a:xfrm>
                    <a:prstGeom prst="rect">
                      <a:avLst/>
                    </a:prstGeom>
                    <a:noFill/>
                  </pic:spPr>
                </pic:pic>
              </a:graphicData>
            </a:graphic>
          </wp:anchor>
        </w:drawing>
      </w:r>
    </w:p>
    <w:p>
      <w:pPr>
        <w:spacing w:after="0" w:line="184" w:lineRule="exact"/>
        <w:rPr>
          <w:sz w:val="20"/>
          <w:szCs w:val="20"/>
          <w:color w:val="auto"/>
        </w:rPr>
      </w:pPr>
    </w:p>
    <w:p>
      <w:pPr>
        <w:ind w:left="40" w:right="1500"/>
        <w:spacing w:after="0" w:line="246" w:lineRule="auto"/>
        <w:rPr>
          <w:sz w:val="20"/>
          <w:szCs w:val="20"/>
          <w:color w:val="auto"/>
        </w:rPr>
      </w:pPr>
      <w:r>
        <w:rPr>
          <w:rFonts w:ascii="Arial" w:cs="Arial" w:eastAsia="Arial" w:hAnsi="Arial"/>
          <w:sz w:val="15"/>
          <w:szCs w:val="15"/>
          <w:b w:val="1"/>
          <w:bCs w:val="1"/>
          <w:color w:val="auto"/>
        </w:rPr>
        <w:t xml:space="preserve">FORMALITY (INDICATE WHETHER THE COMPANY REQUIRES A SIMPLE LETTER, A NOTARIAL LETTER, PUBLIC </w:t>
      </w:r>
      <w:r>
        <w:rPr>
          <w:rFonts w:ascii="Arial" w:cs="Arial" w:eastAsia="Arial" w:hAnsi="Arial"/>
          <w:sz w:val="15"/>
          <w:szCs w:val="15"/>
          <w:color w:val="auto"/>
        </w:rPr>
        <w:t>Simple letter</w:t>
      </w:r>
      <w:r>
        <w:rPr>
          <w:rFonts w:ascii="Arial" w:cs="Arial" w:eastAsia="Arial" w:hAnsi="Arial"/>
          <w:sz w:val="15"/>
          <w:szCs w:val="15"/>
          <w:b w:val="1"/>
          <w:bCs w:val="1"/>
          <w:color w:val="auto"/>
        </w:rPr>
        <w:t xml:space="preserve"> INSCRIPTION OR OTHER)</w:t>
      </w:r>
    </w:p>
    <w:p>
      <w:pPr>
        <w:spacing w:after="0" w:line="1" w:lineRule="exact"/>
        <w:rPr>
          <w:sz w:val="20"/>
          <w:szCs w:val="20"/>
          <w:color w:val="auto"/>
        </w:rPr>
      </w:pPr>
    </w:p>
    <w:p>
      <w:pPr>
        <w:ind w:left="40" w:right="340"/>
        <w:spacing w:after="0" w:line="248" w:lineRule="auto"/>
        <w:rPr>
          <w:sz w:val="20"/>
          <w:szCs w:val="20"/>
          <w:color w:val="auto"/>
        </w:rPr>
      </w:pPr>
      <w:r>
        <w:rPr>
          <w:rFonts w:ascii="Arial" w:cs="Arial" w:eastAsia="Arial" w:hAnsi="Arial"/>
          <w:sz w:val="15"/>
          <w:szCs w:val="15"/>
          <w:b w:val="1"/>
          <w:bCs w:val="1"/>
          <w:color w:val="auto"/>
        </w:rPr>
        <w:t xml:space="preserve">ADVANCE NOTICE (NUMBER OF DAYS PRIOR TO THE SHAREHOLDER MEETING THAT THE POWER OF ATTORNEY SHOULD </w:t>
      </w:r>
      <w:r>
        <w:rPr>
          <w:rFonts w:ascii="Arial" w:cs="Arial" w:eastAsia="Arial" w:hAnsi="Arial"/>
          <w:sz w:val="15"/>
          <w:szCs w:val="15"/>
          <w:color w:val="auto"/>
        </w:rPr>
        <w:t>Until the day before the meeting</w:t>
      </w:r>
      <w:r>
        <w:rPr>
          <w:rFonts w:ascii="Arial" w:cs="Arial" w:eastAsia="Arial" w:hAnsi="Arial"/>
          <w:sz w:val="15"/>
          <w:szCs w:val="15"/>
          <w:b w:val="1"/>
          <w:bCs w:val="1"/>
          <w:color w:val="auto"/>
        </w:rPr>
        <w:t xml:space="preserve"> BE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0" w:name="page41"/>
    <w:bookmarkEnd w:id="40"/>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9320" cy="149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9320" cy="149860"/>
                    </a:xfrm>
                    <a:prstGeom prst="rect">
                      <a:avLst/>
                    </a:prstGeom>
                    <a:noFill/>
                  </pic:spPr>
                </pic:pic>
              </a:graphicData>
            </a:graphic>
          </wp:anchor>
        </w:drawing>
        <w:drawing>
          <wp:inline distT="0" distB="0" distL="0" distR="0">
            <wp:extent cx="42545"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545" cy="149860"/>
                    </a:xfrm>
                    <a:prstGeom prst="rect">
                      <a:avLst/>
                    </a:prstGeom>
                    <a:noFill/>
                    <a:ln>
                      <a:noFill/>
                    </a:ln>
                  </pic:spPr>
                </pic:pic>
              </a:graphicData>
            </a:graphic>
          </wp:inline>
        </w:drawing>
      </w:r>
      <w:r>
        <w:rPr>
          <w:rFonts w:ascii="Arial" w:cs="Arial" w:eastAsia="Arial" w:hAnsi="Arial"/>
          <w:sz w:val="15"/>
          <w:szCs w:val="15"/>
          <w:b w:val="1"/>
          <w:bCs w:val="1"/>
          <w:color w:val="auto"/>
        </w:rPr>
        <w:t xml:space="preserve">COST (INDICATE WHETHER THE COMPANY REQUIRES PAYMENT FOR SUCH PURPOSES AND, IF SO, HOW MUCH)           </w:t>
      </w:r>
      <w:r>
        <w:rPr>
          <w:sz w:val="1"/>
          <w:szCs w:val="1"/>
          <w:color w:val="auto"/>
        </w:rPr>
        <w:drawing>
          <wp:inline distT="0" distB="0" distL="0" distR="0">
            <wp:extent cx="42545" cy="1416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545" cy="141605"/>
                    </a:xfrm>
                    <a:prstGeom prst="rect">
                      <a:avLst/>
                    </a:prstGeom>
                    <a:noFill/>
                    <a:ln>
                      <a:noFill/>
                    </a:ln>
                  </pic:spPr>
                </pic:pic>
              </a:graphicData>
            </a:graphic>
          </wp:inline>
        </w:drawing>
      </w:r>
      <w:r>
        <w:rPr>
          <w:rFonts w:ascii="Arial" w:cs="Arial" w:eastAsia="Arial" w:hAnsi="Arial"/>
          <w:sz w:val="15"/>
          <w:szCs w:val="15"/>
          <w:color w:val="auto"/>
        </w:rPr>
        <w:t>No</w:t>
      </w:r>
    </w:p>
    <w:p>
      <w:pPr>
        <w:spacing w:after="0" w:line="200" w:lineRule="exact"/>
        <w:rPr>
          <w:sz w:val="20"/>
          <w:szCs w:val="20"/>
          <w:color w:val="auto"/>
        </w:rPr>
      </w:pPr>
    </w:p>
    <w:p>
      <w:pPr>
        <w:spacing w:after="0" w:line="212" w:lineRule="exact"/>
        <w:rPr>
          <w:sz w:val="20"/>
          <w:szCs w:val="20"/>
          <w:color w:val="auto"/>
        </w:rPr>
      </w:pPr>
    </w:p>
    <w:p>
      <w:pPr>
        <w:ind w:left="20"/>
        <w:spacing w:after="0" w:line="256" w:lineRule="auto"/>
        <w:rPr>
          <w:sz w:val="20"/>
          <w:szCs w:val="20"/>
          <w:color w:val="auto"/>
        </w:rPr>
      </w:pPr>
      <w:r>
        <w:rPr>
          <w:rFonts w:ascii="Arial" w:cs="Arial" w:eastAsia="Arial" w:hAnsi="Arial"/>
          <w:sz w:val="22"/>
          <w:szCs w:val="22"/>
          <w:b w:val="1"/>
          <w:bCs w:val="1"/>
          <w:color w:val="auto"/>
        </w:rPr>
        <w:t>d. Indicate whether the requirements and formalities described in the previous question are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72020" cy="282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282575"/>
                    </a:xfrm>
                    <a:prstGeom prst="rect">
                      <a:avLst/>
                    </a:prstGeom>
                    <a:noFill/>
                  </pic:spPr>
                </pic:pic>
              </a:graphicData>
            </a:graphic>
          </wp:anchor>
        </w:drawing>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4520" w:type="dxa"/>
            <w:vAlign w:val="bottom"/>
            <w:tcBorders>
              <w:top w:val="single" w:sz="8" w:color="2C2C2C"/>
              <w:bottom w:val="single" w:sz="8" w:color="2C2C2C"/>
            </w:tcBorders>
          </w:tcPr>
          <w:p>
            <w:pPr>
              <w:jc w:val="center"/>
              <w:ind w:right="2226"/>
              <w:spacing w:after="0"/>
              <w:rPr>
                <w:sz w:val="20"/>
                <w:szCs w:val="20"/>
                <w:color w:val="auto"/>
              </w:rPr>
            </w:pPr>
            <w:r>
              <w:rPr>
                <w:rFonts w:ascii="Arial" w:cs="Arial" w:eastAsia="Arial" w:hAnsi="Arial"/>
                <w:sz w:val="15"/>
                <w:szCs w:val="15"/>
                <w:color w:val="auto"/>
                <w:w w:val="95"/>
              </w:rPr>
              <w:t>OTHER</w:t>
            </w:r>
          </w:p>
        </w:tc>
        <w:tc>
          <w:tcPr>
            <w:tcW w:w="20" w:type="dxa"/>
            <w:vAlign w:val="bottom"/>
            <w:tcBorders>
              <w:top w:val="single" w:sz="8" w:color="808080"/>
            </w:tcBorders>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2000" w:type="dxa"/>
            <w:vAlign w:val="bottom"/>
          </w:tcPr>
          <w:p>
            <w:pPr>
              <w:jc w:val="center"/>
              <w:ind w:left="206"/>
              <w:spacing w:after="0"/>
              <w:rPr>
                <w:sz w:val="20"/>
                <w:szCs w:val="20"/>
                <w:color w:val="auto"/>
              </w:rPr>
            </w:pPr>
            <w:r>
              <w:rPr>
                <w:rFonts w:ascii="Arial" w:cs="Arial" w:eastAsia="Arial" w:hAnsi="Arial"/>
                <w:sz w:val="15"/>
                <w:szCs w:val="15"/>
                <w:b w:val="1"/>
                <w:bCs w:val="1"/>
                <w:color w:val="auto"/>
                <w:w w:val="99"/>
              </w:rPr>
              <w:t>(.X)</w:t>
            </w:r>
          </w:p>
        </w:tc>
        <w:tc>
          <w:tcPr>
            <w:tcW w:w="2820" w:type="dxa"/>
            <w:vAlign w:val="bottom"/>
          </w:tcPr>
          <w:p>
            <w:pPr>
              <w:jc w:val="right"/>
              <w:ind w:right="1206"/>
              <w:spacing w:after="0"/>
              <w:rPr>
                <w:sz w:val="20"/>
                <w:szCs w:val="20"/>
                <w:color w:val="auto"/>
              </w:rPr>
            </w:pPr>
            <w:r>
              <w:rPr>
                <w:rFonts w:ascii="Arial" w:cs="Arial" w:eastAsia="Arial" w:hAnsi="Arial"/>
                <w:sz w:val="15"/>
                <w:szCs w:val="15"/>
                <w:b w:val="1"/>
                <w:bCs w:val="1"/>
                <w:color w:val="auto"/>
              </w:rPr>
              <w:t>(...)</w:t>
            </w:r>
          </w:p>
        </w:tc>
        <w:tc>
          <w:tcPr>
            <w:tcW w:w="2040" w:type="dxa"/>
            <w:vAlign w:val="bottom"/>
          </w:tcPr>
          <w:p>
            <w:pPr>
              <w:jc w:val="right"/>
              <w:ind w:right="966"/>
              <w:spacing w:after="0"/>
              <w:rPr>
                <w:sz w:val="20"/>
                <w:szCs w:val="20"/>
                <w:color w:val="auto"/>
              </w:rPr>
            </w:pPr>
            <w:r>
              <w:rPr>
                <w:rFonts w:ascii="Arial" w:cs="Arial" w:eastAsia="Arial" w:hAnsi="Arial"/>
                <w:sz w:val="15"/>
                <w:szCs w:val="15"/>
                <w:b w:val="1"/>
                <w:bCs w:val="1"/>
                <w:color w:val="auto"/>
              </w:rPr>
              <w:t>(...)</w:t>
            </w:r>
          </w:p>
        </w:tc>
        <w:tc>
          <w:tcPr>
            <w:tcW w:w="4520" w:type="dxa"/>
            <w:vAlign w:val="bottom"/>
          </w:tcPr>
          <w:p>
            <w:pPr>
              <w:jc w:val="right"/>
              <w:ind w:right="3226"/>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6"/>
                <w:szCs w:val="16"/>
                <w:color w:val="auto"/>
              </w:rPr>
            </w:pPr>
          </w:p>
        </w:tc>
      </w:tr>
    </w:tbl>
    <w:p>
      <w:pPr>
        <w:ind w:left="20" w:right="4900" w:firstLine="8"/>
        <w:spacing w:after="0" w:line="439" w:lineRule="auto"/>
        <w:tabs>
          <w:tab w:leader="none" w:pos="182"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Specify the name of the document, if not THE COMPANY’s statutes. (...) THEY ARE NOT REGULATED</w:t>
      </w: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IMPARTIAL TREATMENT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42545" cy="5054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140335</wp:posOffset>
            </wp:positionV>
            <wp:extent cx="42545" cy="4883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545" cy="48831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132080</wp:posOffset>
            </wp:positionV>
            <wp:extent cx="42545" cy="5054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545" cy="505460"/>
                    </a:xfrm>
                    <a:prstGeom prst="rect">
                      <a:avLst/>
                    </a:prstGeom>
                    <a:noFill/>
                  </pic:spPr>
                </pic:pic>
              </a:graphicData>
            </a:graphic>
          </wp:anchor>
        </w:drawing>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5"/>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560" w:type="dxa"/>
            <w:vAlign w:val="bottom"/>
            <w:tcBorders>
              <w:top w:val="single" w:sz="8" w:color="2C2C2C"/>
              <w:bottom w:val="single" w:sz="8" w:color="2C2C2C"/>
            </w:tcBorders>
          </w:tcPr>
          <w:p>
            <w:pPr>
              <w:spacing w:after="0"/>
              <w:rPr>
                <w:sz w:val="17"/>
                <w:szCs w:val="17"/>
                <w:color w:val="auto"/>
              </w:rPr>
            </w:pPr>
          </w:p>
        </w:tc>
        <w:tc>
          <w:tcPr>
            <w:tcW w:w="240" w:type="dxa"/>
            <w:vAlign w:val="bottom"/>
            <w:tcBorders>
              <w:top w:val="single" w:sz="8" w:color="2C2C2C"/>
              <w:bottom w:val="single" w:sz="8" w:color="2C2C2C"/>
            </w:tcBorders>
          </w:tcPr>
          <w:p>
            <w:pPr>
              <w:spacing w:after="0"/>
              <w:rPr>
                <w:sz w:val="17"/>
                <w:szCs w:val="17"/>
                <w:color w:val="auto"/>
              </w:rPr>
            </w:pPr>
          </w:p>
        </w:tc>
        <w:tc>
          <w:tcPr>
            <w:tcW w:w="80" w:type="dxa"/>
            <w:vAlign w:val="bottom"/>
            <w:tcBorders>
              <w:top w:val="single" w:sz="8" w:color="2C2C2C"/>
              <w:bottom w:val="single" w:sz="8" w:color="2C2C2C"/>
            </w:tcBorders>
          </w:tcPr>
          <w:p>
            <w:pPr>
              <w:spacing w:after="0"/>
              <w:rPr>
                <w:sz w:val="17"/>
                <w:szCs w:val="17"/>
                <w:color w:val="auto"/>
              </w:rPr>
            </w:pPr>
          </w:p>
        </w:tc>
        <w:tc>
          <w:tcPr>
            <w:tcW w:w="24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5"/>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56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3</w:t>
            </w:r>
          </w:p>
        </w:tc>
        <w:tc>
          <w:tcPr>
            <w:tcW w:w="320" w:type="dxa"/>
            <w:vAlign w:val="bottom"/>
            <w:gridSpan w:val="2"/>
            <w:vMerge w:val="restart"/>
          </w:tcPr>
          <w:p>
            <w:pPr>
              <w:ind w:left="240"/>
              <w:spacing w:after="0" w:line="162" w:lineRule="exact"/>
              <w:rPr>
                <w:sz w:val="20"/>
                <w:szCs w:val="20"/>
                <w:color w:val="auto"/>
              </w:rPr>
            </w:pPr>
            <w:r>
              <w:rPr>
                <w:rFonts w:ascii="Arial" w:cs="Arial" w:eastAsia="Arial" w:hAnsi="Arial"/>
                <w:sz w:val="15"/>
                <w:szCs w:val="15"/>
                <w:i w:val="1"/>
                <w:iCs w:val="1"/>
                <w:color w:val="auto"/>
                <w:w w:val="71"/>
              </w:rPr>
              <w:t>4</w:t>
            </w: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top w:val="single" w:sz="8" w:color="auto"/>
              <w:bottom w:val="single" w:sz="8" w:color="2C2C2C"/>
            </w:tcBorders>
          </w:tcPr>
          <w:p>
            <w:pPr>
              <w:spacing w:after="0"/>
              <w:rPr>
                <w:sz w:val="8"/>
                <w:szCs w:val="8"/>
                <w:color w:val="auto"/>
              </w:rPr>
            </w:pPr>
          </w:p>
        </w:tc>
        <w:tc>
          <w:tcPr>
            <w:tcW w:w="400" w:type="dxa"/>
            <w:vAlign w:val="bottom"/>
            <w:tcBorders>
              <w:top w:val="single" w:sz="8" w:color="auto"/>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320" w:type="dxa"/>
            <w:vAlign w:val="bottom"/>
            <w:tcBorders>
              <w:bottom w:val="single" w:sz="8" w:color="2C2C2C"/>
            </w:tcBorders>
            <w:gridSpan w:val="2"/>
            <w:vMerge w:val="continue"/>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5"/>
          </w:tcPr>
          <w:p>
            <w:pPr>
              <w:ind w:left="20"/>
              <w:spacing w:after="0" w:line="149" w:lineRule="exact"/>
              <w:rPr>
                <w:sz w:val="20"/>
                <w:szCs w:val="20"/>
                <w:color w:val="auto"/>
              </w:rPr>
            </w:pPr>
            <w:r>
              <w:rPr>
                <w:rFonts w:ascii="Arial" w:cs="Arial" w:eastAsia="Arial" w:hAnsi="Arial"/>
                <w:sz w:val="15"/>
                <w:szCs w:val="15"/>
                <w:i w:val="1"/>
                <w:iCs w:val="1"/>
                <w:color w:val="auto"/>
                <w:w w:val="92"/>
              </w:rPr>
              <w:t>5. Principle (II.A.1, third paragraph).- It is recommended that the company issuing shares or other securities without the right to vote, should</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3"/>
          </w:tcPr>
          <w:p>
            <w:pPr>
              <w:ind w:left="240"/>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6320" w:type="dxa"/>
            <w:vAlign w:val="bottom"/>
            <w:vMerge w:val="restart"/>
          </w:tcPr>
          <w:p>
            <w:pPr>
              <w:spacing w:after="0"/>
              <w:rPr>
                <w:sz w:val="20"/>
                <w:szCs w:val="20"/>
                <w:color w:val="auto"/>
              </w:rPr>
            </w:pPr>
            <w:r>
              <w:rPr>
                <w:rFonts w:ascii="Arial" w:cs="Arial" w:eastAsia="Arial" w:hAnsi="Arial"/>
                <w:sz w:val="15"/>
                <w:szCs w:val="15"/>
                <w:i w:val="1"/>
                <w:iCs w:val="1"/>
                <w:color w:val="auto"/>
                <w:w w:val="92"/>
              </w:rPr>
              <w:t>exchange them for common shares with the right to vote, or which provide this possibility when issued.</w:t>
            </w: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2C2C2C"/>
            </w:tcBorders>
          </w:tcPr>
          <w:p>
            <w:pPr>
              <w:spacing w:after="0"/>
              <w:rPr>
                <w:sz w:val="14"/>
                <w:szCs w:val="14"/>
                <w:color w:val="auto"/>
              </w:rPr>
            </w:pPr>
          </w:p>
        </w:tc>
        <w:tc>
          <w:tcPr>
            <w:tcW w:w="2240" w:type="dxa"/>
            <w:vAlign w:val="bottom"/>
            <w:tcBorders>
              <w:bottom w:val="single" w:sz="8" w:color="2C2C2C"/>
            </w:tcBorders>
            <w:gridSpan w:val="4"/>
          </w:tcPr>
          <w:p>
            <w:pPr>
              <w:ind w:left="20"/>
              <w:spacing w:after="0" w:line="156" w:lineRule="exact"/>
              <w:rPr>
                <w:sz w:val="20"/>
                <w:szCs w:val="20"/>
                <w:color w:val="auto"/>
              </w:rPr>
            </w:pPr>
            <w:r>
              <w:rPr>
                <w:rFonts w:ascii="Arial" w:cs="Arial" w:eastAsia="Arial" w:hAnsi="Arial"/>
                <w:sz w:val="15"/>
                <w:szCs w:val="15"/>
                <w:i w:val="1"/>
                <w:iCs w:val="1"/>
                <w:color w:val="auto"/>
                <w:w w:val="98"/>
              </w:rPr>
              <w:t>offer its holders the opportunity to</w:t>
            </w:r>
          </w:p>
        </w:tc>
        <w:tc>
          <w:tcPr>
            <w:tcW w:w="6320" w:type="dxa"/>
            <w:vAlign w:val="bottom"/>
            <w:tcBorders>
              <w:bottom w:val="single" w:sz="8" w:color="2C2C2C"/>
            </w:tcBorders>
            <w:vMerge w:val="continue"/>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-363855</wp:posOffset>
            </wp:positionV>
            <wp:extent cx="42545" cy="368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-363855</wp:posOffset>
            </wp:positionV>
            <wp:extent cx="42545" cy="368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-363855</wp:posOffset>
            </wp:positionV>
            <wp:extent cx="42545" cy="368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6874510</wp:posOffset>
            </wp:positionH>
            <wp:positionV relativeFrom="paragraph">
              <wp:posOffset>-363855</wp:posOffset>
            </wp:positionV>
            <wp:extent cx="42545" cy="368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254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 Has THE COMPANY carried out any share exchange process in the last five years?</w:t>
      </w:r>
    </w:p>
    <w:p>
      <w:pPr>
        <w:spacing w:after="0" w:line="14" w:lineRule="exact"/>
        <w:rPr>
          <w:sz w:val="20"/>
          <w:szCs w:val="20"/>
          <w:color w:val="auto"/>
        </w:rPr>
      </w:pPr>
    </w:p>
    <w:p>
      <w:pPr>
        <w:ind w:left="20" w:right="360"/>
        <w:spacing w:after="0" w:line="237" w:lineRule="auto"/>
        <w:rPr>
          <w:sz w:val="20"/>
          <w:szCs w:val="20"/>
          <w:color w:val="auto"/>
        </w:rPr>
      </w:pPr>
      <w:r>
        <w:rPr>
          <w:rFonts w:ascii="Arial" w:cs="Arial" w:eastAsia="Arial" w:hAnsi="Arial"/>
          <w:sz w:val="22"/>
          <w:szCs w:val="22"/>
          <w:color w:val="auto"/>
        </w:rPr>
        <w:t>None of the shares or securities issued by our institution are without the right to vote. They are all common shares and carry the same rights. There is one single type of share.</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1080" w:type="dxa"/>
            <w:vAlign w:val="bottom"/>
            <w:gridSpan w:val="6"/>
          </w:tcPr>
          <w:p>
            <w:pPr>
              <w:spacing w:after="0"/>
              <w:rPr>
                <w:sz w:val="20"/>
                <w:szCs w:val="20"/>
                <w:color w:val="auto"/>
              </w:rPr>
            </w:pPr>
            <w:r>
              <w:rPr>
                <w:rFonts w:ascii="Arial" w:cs="Arial" w:eastAsia="Arial" w:hAnsi="Arial"/>
                <w:sz w:val="22"/>
                <w:szCs w:val="22"/>
                <w:b w:val="1"/>
                <w:bCs w:val="1"/>
                <w:color w:val="auto"/>
              </w:rPr>
              <w:t>(...) YES</w:t>
            </w:r>
          </w:p>
        </w:tc>
        <w:tc>
          <w:tcPr>
            <w:tcW w:w="1400" w:type="dxa"/>
            <w:vAlign w:val="bottom"/>
          </w:tcPr>
          <w:p>
            <w:pPr>
              <w:ind w:left="300"/>
              <w:spacing w:after="0"/>
              <w:rPr>
                <w:sz w:val="20"/>
                <w:szCs w:val="20"/>
                <w:color w:val="auto"/>
              </w:rPr>
            </w:pPr>
            <w:r>
              <w:rPr>
                <w:rFonts w:ascii="Arial" w:cs="Arial" w:eastAsia="Arial" w:hAnsi="Arial"/>
                <w:sz w:val="22"/>
                <w:szCs w:val="22"/>
                <w:b w:val="1"/>
                <w:bCs w:val="1"/>
                <w:color w:val="auto"/>
              </w:rPr>
              <w:t>(...) NO</w:t>
            </w:r>
          </w:p>
        </w:tc>
        <w:tc>
          <w:tcPr>
            <w:tcW w:w="6840" w:type="dxa"/>
            <w:vAlign w:val="bottom"/>
            <w:gridSpan w:val="2"/>
          </w:tcPr>
          <w:p>
            <w:pPr>
              <w:jc w:val="right"/>
              <w:ind w:right="3986"/>
              <w:spacing w:after="0"/>
              <w:rPr>
                <w:sz w:val="20"/>
                <w:szCs w:val="20"/>
                <w:color w:val="auto"/>
              </w:rPr>
            </w:pPr>
            <w:r>
              <w:rPr>
                <w:rFonts w:ascii="Arial" w:cs="Arial" w:eastAsia="Arial" w:hAnsi="Arial"/>
                <w:sz w:val="22"/>
                <w:szCs w:val="22"/>
                <w:b w:val="1"/>
                <w:bCs w:val="1"/>
                <w:color w:val="auto"/>
              </w:rPr>
              <w:t>(.X.) NOT APPLICABLE</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6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14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40" w:type="dxa"/>
            <w:vAlign w:val="bottom"/>
            <w:tcBorders>
              <w:bottom w:val="single" w:sz="8" w:color="2C2C2C"/>
            </w:tcBorders>
          </w:tcPr>
          <w:p>
            <w:pPr>
              <w:jc w:val="right"/>
              <w:ind w:right="6"/>
              <w:spacing w:after="0" w:line="162" w:lineRule="exact"/>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1400" w:type="dxa"/>
            <w:vAlign w:val="bottom"/>
          </w:tcPr>
          <w:p>
            <w:pPr>
              <w:spacing w:after="0"/>
              <w:rPr>
                <w:sz w:val="4"/>
                <w:szCs w:val="4"/>
                <w:color w:val="auto"/>
              </w:rPr>
            </w:pPr>
          </w:p>
        </w:tc>
        <w:tc>
          <w:tcPr>
            <w:tcW w:w="6840" w:type="dxa"/>
            <w:vAlign w:val="bottom"/>
            <w:gridSpan w:val="2"/>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820" w:type="dxa"/>
            <w:vAlign w:val="bottom"/>
            <w:vMerge w:val="restart"/>
          </w:tcPr>
          <w:p>
            <w:pPr>
              <w:jc w:val="right"/>
              <w:ind w:right="426"/>
              <w:spacing w:after="0" w:line="162" w:lineRule="exact"/>
              <w:rPr>
                <w:sz w:val="20"/>
                <w:szCs w:val="20"/>
                <w:color w:val="auto"/>
              </w:rPr>
            </w:pPr>
            <w:r>
              <w:rPr>
                <w:rFonts w:ascii="Arial" w:cs="Arial" w:eastAsia="Arial" w:hAnsi="Arial"/>
                <w:sz w:val="15"/>
                <w:szCs w:val="15"/>
                <w:i w:val="1"/>
                <w:iCs w:val="1"/>
                <w:color w:val="auto"/>
              </w:rPr>
              <w:t>2</w:t>
            </w:r>
          </w:p>
        </w:tc>
        <w:tc>
          <w:tcPr>
            <w:tcW w:w="120" w:type="dxa"/>
            <w:vAlign w:val="bottom"/>
            <w:vMerge w:val="restart"/>
          </w:tcPr>
          <w:p>
            <w:pPr>
              <w:jc w:val="right"/>
              <w:spacing w:after="0" w:line="162" w:lineRule="exact"/>
              <w:rPr>
                <w:sz w:val="20"/>
                <w:szCs w:val="20"/>
                <w:color w:val="auto"/>
              </w:rPr>
            </w:pPr>
            <w:r>
              <w:rPr>
                <w:rFonts w:ascii="Arial" w:cs="Arial" w:eastAsia="Arial" w:hAnsi="Arial"/>
                <w:sz w:val="15"/>
                <w:szCs w:val="15"/>
                <w:i w:val="1"/>
                <w:iCs w:val="1"/>
                <w:color w:val="auto"/>
                <w:w w:val="71"/>
              </w:rPr>
              <w:t>3</w:t>
            </w:r>
          </w:p>
        </w:tc>
        <w:tc>
          <w:tcPr>
            <w:tcW w:w="220" w:type="dxa"/>
            <w:vAlign w:val="bottom"/>
          </w:tcPr>
          <w:p>
            <w:pPr>
              <w:spacing w:after="0"/>
              <w:rPr>
                <w:sz w:val="4"/>
                <w:szCs w:val="4"/>
                <w:color w:val="auto"/>
              </w:rPr>
            </w:pPr>
          </w:p>
        </w:tc>
        <w:tc>
          <w:tcPr>
            <w:tcW w:w="54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4</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top w:val="single" w:sz="8" w:color="auto"/>
              <w:bottom w:val="single" w:sz="8" w:color="2C2C2C"/>
            </w:tcBorders>
          </w:tcPr>
          <w:p>
            <w:pPr>
              <w:spacing w:after="0"/>
              <w:rPr>
                <w:sz w:val="8"/>
                <w:szCs w:val="8"/>
                <w:color w:val="auto"/>
              </w:rPr>
            </w:pPr>
          </w:p>
        </w:tc>
        <w:tc>
          <w:tcPr>
            <w:tcW w:w="400" w:type="dxa"/>
            <w:vAlign w:val="bottom"/>
            <w:tcBorders>
              <w:top w:val="single" w:sz="8" w:color="auto"/>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6840" w:type="dxa"/>
            <w:vAlign w:val="bottom"/>
            <w:tcBorders>
              <w:bottom w:val="single" w:sz="8" w:color="2C2C2C"/>
            </w:tcBorders>
            <w:gridSpan w:val="2"/>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820" w:type="dxa"/>
            <w:vAlign w:val="bottom"/>
            <w:tcBorders>
              <w:bottom w:val="single" w:sz="8" w:color="2C2C2C"/>
            </w:tcBorders>
            <w:vMerge w:val="continue"/>
          </w:tcPr>
          <w:p>
            <w:pPr>
              <w:spacing w:after="0"/>
              <w:rPr>
                <w:sz w:val="8"/>
                <w:szCs w:val="8"/>
                <w:color w:val="auto"/>
              </w:rPr>
            </w:pPr>
          </w:p>
        </w:tc>
        <w:tc>
          <w:tcPr>
            <w:tcW w:w="120" w:type="dxa"/>
            <w:vAlign w:val="bottom"/>
            <w:tcBorders>
              <w:bottom w:val="single" w:sz="8" w:color="2C2C2C"/>
            </w:tcBorders>
            <w:vMerge w:val="continue"/>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gridSpan w:val="8"/>
          </w:tcPr>
          <w:p>
            <w:pPr>
              <w:ind w:left="20"/>
              <w:spacing w:after="0" w:line="149" w:lineRule="exact"/>
              <w:rPr>
                <w:sz w:val="20"/>
                <w:szCs w:val="20"/>
                <w:color w:val="auto"/>
              </w:rPr>
            </w:pPr>
            <w:r>
              <w:rPr>
                <w:rFonts w:ascii="Arial" w:cs="Arial" w:eastAsia="Arial" w:hAnsi="Arial"/>
                <w:sz w:val="15"/>
                <w:szCs w:val="15"/>
                <w:i w:val="1"/>
                <w:iCs w:val="1"/>
                <w:color w:val="auto"/>
                <w:w w:val="99"/>
              </w:rPr>
              <w:t>6. Principle (II.B).- A sufficient number of directors who are capable of exercising independent judgment in matters where there is a potential</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5"/>
                <w:szCs w:val="15"/>
                <w:i w:val="1"/>
                <w:iCs w:val="1"/>
                <w:color w:val="auto"/>
              </w:rPr>
              <w:t>X</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540" w:type="dxa"/>
            <w:vAlign w:val="bottom"/>
            <w:gridSpan w:val="4"/>
            <w:vMerge w:val="restart"/>
          </w:tcPr>
          <w:p>
            <w:pPr>
              <w:jc w:val="right"/>
              <w:ind w:right="1086"/>
              <w:spacing w:after="0" w:line="167" w:lineRule="exact"/>
              <w:rPr>
                <w:sz w:val="20"/>
                <w:szCs w:val="20"/>
                <w:color w:val="auto"/>
              </w:rPr>
            </w:pPr>
            <w:r>
              <w:rPr>
                <w:rFonts w:ascii="Arial" w:cs="Arial" w:eastAsia="Arial" w:hAnsi="Arial"/>
                <w:sz w:val="15"/>
                <w:szCs w:val="15"/>
                <w:i w:val="1"/>
                <w:iCs w:val="1"/>
                <w:color w:val="auto"/>
                <w:w w:val="88"/>
              </w:rPr>
              <w:t>interest should be selected. For such purposes, the participation o f minority shareholders should be taken into consideration.</w:t>
            </w: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gridSpan w:val="4"/>
          </w:tcPr>
          <w:p>
            <w:pPr>
              <w:ind w:left="20"/>
              <w:spacing w:after="0" w:line="146" w:lineRule="exact"/>
              <w:rPr>
                <w:sz w:val="20"/>
                <w:szCs w:val="20"/>
                <w:color w:val="auto"/>
              </w:rPr>
            </w:pPr>
            <w:r>
              <w:rPr>
                <w:rFonts w:ascii="Arial" w:cs="Arial" w:eastAsia="Arial" w:hAnsi="Arial"/>
                <w:sz w:val="15"/>
                <w:szCs w:val="15"/>
                <w:i w:val="1"/>
                <w:iCs w:val="1"/>
                <w:color w:val="auto"/>
              </w:rPr>
              <w:t>conflict of</w:t>
            </w:r>
          </w:p>
        </w:tc>
        <w:tc>
          <w:tcPr>
            <w:tcW w:w="854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300" w:type="dxa"/>
            <w:vAlign w:val="bottom"/>
            <w:gridSpan w:val="8"/>
          </w:tcPr>
          <w:p>
            <w:pPr>
              <w:ind w:left="20"/>
              <w:spacing w:after="0" w:line="162" w:lineRule="exact"/>
              <w:rPr>
                <w:sz w:val="20"/>
                <w:szCs w:val="20"/>
                <w:color w:val="auto"/>
              </w:rPr>
            </w:pPr>
            <w:r>
              <w:rPr>
                <w:rFonts w:ascii="Arial" w:cs="Arial" w:eastAsia="Arial" w:hAnsi="Arial"/>
                <w:sz w:val="15"/>
                <w:szCs w:val="15"/>
                <w:i w:val="1"/>
                <w:iCs w:val="1"/>
                <w:color w:val="auto"/>
                <w:w w:val="99"/>
              </w:rPr>
              <w:t>The independent directors are selected for their professional prestige and are not involved in the administration of the company or that of the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2C2C2C"/>
            </w:tcBorders>
          </w:tcPr>
          <w:p>
            <w:pPr>
              <w:spacing w:after="0"/>
              <w:rPr>
                <w:sz w:val="15"/>
                <w:szCs w:val="15"/>
                <w:color w:val="auto"/>
              </w:rPr>
            </w:pPr>
          </w:p>
        </w:tc>
        <w:tc>
          <w:tcPr>
            <w:tcW w:w="2460" w:type="dxa"/>
            <w:vAlign w:val="bottom"/>
            <w:tcBorders>
              <w:bottom w:val="single" w:sz="8" w:color="2C2C2C"/>
            </w:tcBorders>
            <w:gridSpan w:val="6"/>
          </w:tcPr>
          <w:p>
            <w:pPr>
              <w:ind w:left="20"/>
              <w:spacing w:after="0" w:line="172" w:lineRule="exact"/>
              <w:rPr>
                <w:sz w:val="20"/>
                <w:szCs w:val="20"/>
                <w:color w:val="auto"/>
              </w:rPr>
            </w:pPr>
            <w:r>
              <w:rPr>
                <w:rFonts w:ascii="Arial" w:cs="Arial" w:eastAsia="Arial" w:hAnsi="Arial"/>
                <w:sz w:val="15"/>
                <w:szCs w:val="15"/>
                <w:i w:val="1"/>
                <w:iCs w:val="1"/>
                <w:color w:val="auto"/>
              </w:rPr>
              <w:t>principal shareholders.</w:t>
            </w:r>
          </w:p>
        </w:tc>
        <w:tc>
          <w:tcPr>
            <w:tcW w:w="61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-697865</wp:posOffset>
            </wp:positionV>
            <wp:extent cx="42545" cy="7112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545" cy="71120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-689610</wp:posOffset>
            </wp:positionV>
            <wp:extent cx="42545" cy="6940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545" cy="694055"/>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-569595</wp:posOffset>
            </wp:positionV>
            <wp:extent cx="42545" cy="5740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545" cy="57404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-569595</wp:posOffset>
            </wp:positionV>
            <wp:extent cx="42545" cy="5740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545" cy="57404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-569595</wp:posOffset>
            </wp:positionV>
            <wp:extent cx="42545" cy="5740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545" cy="574040"/>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-697865</wp:posOffset>
            </wp:positionV>
            <wp:extent cx="42545" cy="7112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545" cy="711200"/>
                    </a:xfrm>
                    <a:prstGeom prst="rect">
                      <a:avLst/>
                    </a:prstGeom>
                    <a:noFill/>
                  </pic:spPr>
                </pic:pic>
              </a:graphicData>
            </a:graphic>
          </wp:anchor>
        </w:drawing>
        <w:drawing>
          <wp:anchor simplePos="0" relativeHeight="251657728" behindDoc="1" locked="0" layoutInCell="0" allowOverlap="1">
            <wp:simplePos x="0" y="0"/>
            <wp:positionH relativeFrom="column">
              <wp:posOffset>6874510</wp:posOffset>
            </wp:positionH>
            <wp:positionV relativeFrom="paragraph">
              <wp:posOffset>-569595</wp:posOffset>
            </wp:positionV>
            <wp:extent cx="42545" cy="5740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54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number of directors is in line with current legal requirements and statutes and is approved by the Shareholders.</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 Indicate the number of dependent and independent directors in THE COMPANY</w:t>
      </w:r>
      <w:r>
        <w:rPr>
          <w:rFonts w:ascii="Arial" w:cs="Arial" w:eastAsia="Arial" w:hAnsi="Arial"/>
          <w:sz w:val="36"/>
          <w:szCs w:val="36"/>
          <w:b w:val="1"/>
          <w:bCs w:val="1"/>
          <w:color w:val="auto"/>
          <w:vertAlign w:val="superscript"/>
        </w:rPr>
        <w:t>4</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42545" cy="522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545" cy="52260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62230</wp:posOffset>
            </wp:positionV>
            <wp:extent cx="42545" cy="522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545" cy="52260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70485</wp:posOffset>
            </wp:positionV>
            <wp:extent cx="42545" cy="5054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545" cy="505460"/>
                    </a:xfrm>
                    <a:prstGeom prst="rect">
                      <a:avLst/>
                    </a:prstGeom>
                    <a:noFill/>
                  </pic:spPr>
                </pic:pic>
              </a:graphicData>
            </a:graphic>
          </wp:anchor>
        </w:drawing>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34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15"/>
                <w:szCs w:val="15"/>
                <w:color w:val="auto"/>
              </w:rPr>
              <w:t>DIRECTORS</w:t>
            </w:r>
          </w:p>
        </w:tc>
        <w:tc>
          <w:tcPr>
            <w:tcW w:w="7980" w:type="dxa"/>
            <w:vAlign w:val="bottom"/>
            <w:tcBorders>
              <w:top w:val="single" w:sz="8" w:color="2C2C2C"/>
              <w:bottom w:val="single" w:sz="8" w:color="2C2C2C"/>
            </w:tcBorders>
          </w:tcPr>
          <w:p>
            <w:pPr>
              <w:ind w:left="2320"/>
              <w:spacing w:after="0"/>
              <w:rPr>
                <w:sz w:val="20"/>
                <w:szCs w:val="20"/>
                <w:color w:val="auto"/>
              </w:rPr>
            </w:pPr>
            <w:r>
              <w:rPr>
                <w:rFonts w:ascii="Arial" w:cs="Arial" w:eastAsia="Arial" w:hAnsi="Arial"/>
                <w:sz w:val="15"/>
                <w:szCs w:val="15"/>
                <w:color w:val="auto"/>
              </w:rPr>
              <w:t>NUMBER</w:t>
            </w:r>
          </w:p>
        </w:tc>
        <w:tc>
          <w:tcPr>
            <w:tcW w:w="20" w:type="dxa"/>
            <w:vAlign w:val="bottom"/>
            <w:tcBorders>
              <w:top w:val="single" w:sz="8" w:color="808080"/>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34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DEPENDENT</w:t>
            </w:r>
          </w:p>
        </w:tc>
        <w:tc>
          <w:tcPr>
            <w:tcW w:w="7980" w:type="dxa"/>
            <w:vAlign w:val="bottom"/>
            <w:tcBorders>
              <w:bottom w:val="single" w:sz="8" w:color="2C2C2C"/>
            </w:tcBorders>
          </w:tcPr>
          <w:p>
            <w:pPr>
              <w:ind w:left="2320"/>
              <w:spacing w:after="0" w:line="162" w:lineRule="exact"/>
              <w:rPr>
                <w:sz w:val="20"/>
                <w:szCs w:val="20"/>
                <w:color w:val="auto"/>
              </w:rPr>
            </w:pPr>
            <w:r>
              <w:rPr>
                <w:rFonts w:ascii="Arial" w:cs="Arial" w:eastAsia="Arial" w:hAnsi="Arial"/>
                <w:sz w:val="15"/>
                <w:szCs w:val="15"/>
                <w:b w:val="1"/>
                <w:bCs w:val="1"/>
                <w:color w:val="auto"/>
              </w:rPr>
              <w:t>1</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4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INDEPENDENT</w:t>
            </w:r>
          </w:p>
        </w:tc>
        <w:tc>
          <w:tcPr>
            <w:tcW w:w="7980" w:type="dxa"/>
            <w:vAlign w:val="bottom"/>
            <w:tcBorders>
              <w:bottom w:val="single" w:sz="8" w:color="2C2C2C"/>
            </w:tcBorders>
          </w:tcPr>
          <w:p>
            <w:pPr>
              <w:ind w:left="2320"/>
              <w:spacing w:after="0" w:line="162" w:lineRule="exact"/>
              <w:rPr>
                <w:sz w:val="20"/>
                <w:szCs w:val="20"/>
                <w:color w:val="auto"/>
              </w:rPr>
            </w:pPr>
            <w:r>
              <w:rPr>
                <w:rFonts w:ascii="Arial" w:cs="Arial" w:eastAsia="Arial" w:hAnsi="Arial"/>
                <w:sz w:val="15"/>
                <w:szCs w:val="15"/>
                <w:b w:val="1"/>
                <w:bCs w:val="1"/>
                <w:color w:val="auto"/>
              </w:rPr>
              <w:t>7</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34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Total</w:t>
            </w:r>
          </w:p>
        </w:tc>
        <w:tc>
          <w:tcPr>
            <w:tcW w:w="7980" w:type="dxa"/>
            <w:vAlign w:val="bottom"/>
            <w:tcBorders>
              <w:bottom w:val="single" w:sz="8" w:color="2C2C2C"/>
            </w:tcBorders>
          </w:tcPr>
          <w:p>
            <w:pPr>
              <w:ind w:left="2320"/>
              <w:spacing w:after="0" w:line="162" w:lineRule="exact"/>
              <w:rPr>
                <w:sz w:val="20"/>
                <w:szCs w:val="20"/>
                <w:color w:val="auto"/>
              </w:rPr>
            </w:pPr>
            <w:r>
              <w:rPr>
                <w:rFonts w:ascii="Arial" w:cs="Arial" w:eastAsia="Arial" w:hAnsi="Arial"/>
                <w:sz w:val="15"/>
                <w:szCs w:val="15"/>
                <w:b w:val="1"/>
                <w:bCs w:val="1"/>
                <w:color w:val="auto"/>
              </w:rPr>
              <w:t>8</w:t>
            </w:r>
          </w:p>
        </w:tc>
        <w:tc>
          <w:tcPr>
            <w:tcW w:w="20" w:type="dxa"/>
            <w:vAlign w:val="bottom"/>
            <w:tcBorders>
              <w:bottom w:val="single" w:sz="8" w:color="2C2C2C"/>
            </w:tcBorders>
          </w:tcPr>
          <w:p>
            <w:pPr>
              <w:spacing w:after="0"/>
              <w:rPr>
                <w:sz w:val="14"/>
                <w:szCs w:val="14"/>
                <w:color w:val="auto"/>
              </w:rPr>
            </w:pPr>
          </w:p>
        </w:tc>
      </w:tr>
    </w:tbl>
    <w:p>
      <w:pPr>
        <w:spacing w:after="0" w:line="200" w:lineRule="exact"/>
        <w:rPr>
          <w:sz w:val="20"/>
          <w:szCs w:val="20"/>
          <w:color w:val="auto"/>
        </w:rPr>
      </w:pPr>
    </w:p>
    <w:p>
      <w:pPr>
        <w:spacing w:after="0" w:line="232" w:lineRule="exact"/>
        <w:rPr>
          <w:sz w:val="20"/>
          <w:szCs w:val="20"/>
          <w:color w:val="auto"/>
        </w:rPr>
      </w:pPr>
    </w:p>
    <w:p>
      <w:pPr>
        <w:ind w:left="20" w:right="200"/>
        <w:spacing w:after="0" w:line="242" w:lineRule="auto"/>
        <w:rPr>
          <w:sz w:val="20"/>
          <w:szCs w:val="20"/>
          <w:color w:val="auto"/>
        </w:rPr>
      </w:pPr>
      <w:r>
        <w:rPr>
          <w:rFonts w:ascii="Arial" w:cs="Arial" w:eastAsia="Arial" w:hAnsi="Arial"/>
          <w:sz w:val="22"/>
          <w:szCs w:val="22"/>
          <w:b w:val="1"/>
          <w:bCs w:val="1"/>
          <w:color w:val="auto"/>
        </w:rPr>
        <w:t>b. Indicate the special requirements (different from those necessary to be a director) needed to be an independent director of THE COMPANY?</w:t>
      </w:r>
    </w:p>
    <w:p>
      <w:pPr>
        <w:ind w:left="20"/>
        <w:spacing w:after="0"/>
        <w:rPr>
          <w:sz w:val="20"/>
          <w:szCs w:val="20"/>
          <w:color w:val="auto"/>
        </w:rPr>
      </w:pPr>
      <w:r>
        <w:rPr>
          <w:rFonts w:ascii="Arial" w:cs="Arial" w:eastAsia="Arial" w:hAnsi="Arial"/>
          <w:sz w:val="22"/>
          <w:szCs w:val="22"/>
          <w:color w:val="auto"/>
        </w:rPr>
        <w:t>They are selected for their professional prestige and are not involved in the Administration.</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w:t>
      </w:r>
    </w:p>
    <w:p>
      <w:pPr>
        <w:spacing w:after="0" w:line="206" w:lineRule="exact"/>
        <w:rPr>
          <w:sz w:val="20"/>
          <w:szCs w:val="20"/>
          <w:color w:val="auto"/>
        </w:rPr>
      </w:pPr>
    </w:p>
    <w:p>
      <w:pPr>
        <w:ind w:left="20" w:right="20"/>
        <w:spacing w:after="0" w:line="297" w:lineRule="auto"/>
        <w:rPr>
          <w:sz w:val="20"/>
          <w:szCs w:val="20"/>
          <w:color w:val="auto"/>
        </w:rPr>
      </w:pPr>
      <w:r>
        <w:rPr>
          <w:rFonts w:ascii="Arial" w:cs="Arial" w:eastAsia="Arial" w:hAnsi="Arial"/>
          <w:sz w:val="19"/>
          <w:szCs w:val="19"/>
          <w:color w:val="auto"/>
        </w:rPr>
        <w:t>4 The independent directors are those who are not involved in the administration of the issuing entity or its principle shareholders. For these purposes, the term ‘involved’ is defined in the Regulation on Indirect Ownership, Relationship and Economic Group. The principal shareholders are those persons or companies who own five percent (5%) or more of the capital of the issuing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96520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20" w:top="108" w:right="239" w:bottom="1440" w:gutter="0" w:footer="0" w:header="0"/>
        </w:sectPr>
      </w:pPr>
    </w:p>
    <w:bookmarkStart w:id="41" w:name="page42"/>
    <w:bookmarkEnd w:id="41"/>
    <w:p>
      <w:pPr>
        <w:spacing w:after="0"/>
        <w:tabs>
          <w:tab w:leader="none" w:pos="660" w:val="left"/>
        </w:tabs>
        <w:rPr>
          <w:sz w:val="20"/>
          <w:szCs w:val="20"/>
          <w:color w:val="auto"/>
        </w:rPr>
      </w:pPr>
      <w:r>
        <w:rPr>
          <w:rFonts w:ascii="Arial" w:cs="Arial" w:eastAsia="Arial" w:hAnsi="Arial"/>
          <w:sz w:val="22"/>
          <w:szCs w:val="22"/>
          <w:b w:val="1"/>
          <w:bCs w:val="1"/>
          <w:color w:val="auto"/>
        </w:rPr>
        <w:t>(...)</w:t>
      </w:r>
      <w:r>
        <w:rPr>
          <w:sz w:val="20"/>
          <w:szCs w:val="20"/>
          <w:color w:val="auto"/>
        </w:rPr>
        <w:tab/>
      </w:r>
      <w:r>
        <w:rPr>
          <w:rFonts w:ascii="Arial" w:cs="Arial" w:eastAsia="Arial" w:hAnsi="Arial"/>
          <w:sz w:val="21"/>
          <w:szCs w:val="21"/>
          <w:b w:val="1"/>
          <w:bCs w:val="1"/>
          <w:color w:val="auto"/>
        </w:rPr>
        <w:t>THERE ARE NO SPECIAL REQUIREMENTS</w:t>
      </w:r>
    </w:p>
    <w:p>
      <w:pPr>
        <w:spacing w:after="0" w:line="207" w:lineRule="exact"/>
        <w:rPr>
          <w:sz w:val="20"/>
          <w:szCs w:val="20"/>
          <w:color w:val="auto"/>
        </w:rPr>
      </w:pPr>
    </w:p>
    <w:p>
      <w:pPr>
        <w:ind w:right="860"/>
        <w:spacing w:after="0" w:line="256" w:lineRule="auto"/>
        <w:rPr>
          <w:sz w:val="20"/>
          <w:szCs w:val="20"/>
          <w:color w:val="auto"/>
        </w:rPr>
      </w:pPr>
      <w:r>
        <w:rPr>
          <w:rFonts w:ascii="Arial" w:cs="Arial" w:eastAsia="Arial" w:hAnsi="Arial"/>
          <w:sz w:val="22"/>
          <w:szCs w:val="22"/>
          <w:b w:val="1"/>
          <w:bCs w:val="1"/>
          <w:color w:val="auto"/>
        </w:rPr>
        <w:t>c. Indicate whether the special requirements described in the previous question are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2825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28257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40" w:type="dxa"/>
            <w:vAlign w:val="bottom"/>
            <w:tcBorders>
              <w:top w:val="single" w:sz="8" w:color="2C2C2C"/>
              <w:bottom w:val="single" w:sz="8" w:color="2C2C2C"/>
            </w:tcBorders>
          </w:tcPr>
          <w:p>
            <w:pPr>
              <w:jc w:val="center"/>
              <w:ind w:left="306"/>
              <w:spacing w:after="0"/>
              <w:rPr>
                <w:sz w:val="20"/>
                <w:szCs w:val="20"/>
                <w:color w:val="auto"/>
              </w:rPr>
            </w:pPr>
            <w:r>
              <w:rPr>
                <w:rFonts w:ascii="Arial" w:cs="Arial" w:eastAsia="Arial" w:hAnsi="Arial"/>
                <w:sz w:val="15"/>
                <w:szCs w:val="15"/>
                <w:color w:val="auto"/>
                <w:w w:val="95"/>
              </w:rPr>
              <w:t>OTHER</w:t>
            </w:r>
          </w:p>
        </w:tc>
        <w:tc>
          <w:tcPr>
            <w:tcW w:w="2680" w:type="dxa"/>
            <w:vAlign w:val="bottom"/>
            <w:tcBorders>
              <w:top w:val="single" w:sz="8" w:color="2C2C2C"/>
              <w:bottom w:val="single" w:sz="8" w:color="2C2C2C"/>
            </w:tcBorders>
          </w:tcPr>
          <w:p>
            <w:pPr>
              <w:ind w:left="500"/>
              <w:spacing w:after="0"/>
              <w:rPr>
                <w:sz w:val="20"/>
                <w:szCs w:val="20"/>
                <w:color w:val="auto"/>
              </w:rPr>
            </w:pPr>
            <w:r>
              <w:rPr>
                <w:rFonts w:ascii="Arial" w:cs="Arial" w:eastAsia="Arial" w:hAnsi="Arial"/>
                <w:sz w:val="15"/>
                <w:szCs w:val="15"/>
                <w:b w:val="1"/>
                <w:bCs w:val="1"/>
                <w:color w:val="auto"/>
              </w:rPr>
              <w:t>NAME OF THE DOCUMENT *</w:t>
            </w:r>
          </w:p>
        </w:tc>
        <w:tc>
          <w:tcPr>
            <w:tcW w:w="20" w:type="dxa"/>
            <w:vAlign w:val="bottom"/>
            <w:tcBorders>
              <w:top w:val="single" w:sz="8" w:color="808080"/>
            </w:tcBorders>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2000" w:type="dxa"/>
            <w:vAlign w:val="bottom"/>
          </w:tcPr>
          <w:p>
            <w:pPr>
              <w:jc w:val="right"/>
              <w:ind w:right="686"/>
              <w:spacing w:after="0"/>
              <w:rPr>
                <w:sz w:val="20"/>
                <w:szCs w:val="20"/>
                <w:color w:val="auto"/>
              </w:rPr>
            </w:pPr>
            <w:r>
              <w:rPr>
                <w:rFonts w:ascii="Arial" w:cs="Arial" w:eastAsia="Arial" w:hAnsi="Arial"/>
                <w:sz w:val="15"/>
                <w:szCs w:val="15"/>
                <w:b w:val="1"/>
                <w:bCs w:val="1"/>
                <w:color w:val="auto"/>
              </w:rPr>
              <w:t>(...)</w:t>
            </w:r>
          </w:p>
        </w:tc>
        <w:tc>
          <w:tcPr>
            <w:tcW w:w="2820" w:type="dxa"/>
            <w:vAlign w:val="bottom"/>
          </w:tcPr>
          <w:p>
            <w:pPr>
              <w:jc w:val="right"/>
              <w:ind w:right="1206"/>
              <w:spacing w:after="0"/>
              <w:rPr>
                <w:sz w:val="20"/>
                <w:szCs w:val="20"/>
                <w:color w:val="auto"/>
              </w:rPr>
            </w:pPr>
            <w:r>
              <w:rPr>
                <w:rFonts w:ascii="Arial" w:cs="Arial" w:eastAsia="Arial" w:hAnsi="Arial"/>
                <w:sz w:val="15"/>
                <w:szCs w:val="15"/>
                <w:b w:val="1"/>
                <w:bCs w:val="1"/>
                <w:color w:val="auto"/>
              </w:rPr>
              <w:t>(...)</w:t>
            </w:r>
          </w:p>
        </w:tc>
        <w:tc>
          <w:tcPr>
            <w:tcW w:w="2040" w:type="dxa"/>
            <w:vAlign w:val="bottom"/>
          </w:tcPr>
          <w:p>
            <w:pPr>
              <w:jc w:val="right"/>
              <w:ind w:right="966"/>
              <w:spacing w:after="0"/>
              <w:rPr>
                <w:sz w:val="20"/>
                <w:szCs w:val="20"/>
                <w:color w:val="auto"/>
              </w:rPr>
            </w:pPr>
            <w:r>
              <w:rPr>
                <w:rFonts w:ascii="Arial" w:cs="Arial" w:eastAsia="Arial" w:hAnsi="Arial"/>
                <w:sz w:val="15"/>
                <w:szCs w:val="15"/>
                <w:b w:val="1"/>
                <w:bCs w:val="1"/>
                <w:color w:val="auto"/>
              </w:rPr>
              <w:t>(...)</w:t>
            </w:r>
          </w:p>
        </w:tc>
        <w:tc>
          <w:tcPr>
            <w:tcW w:w="1840" w:type="dxa"/>
            <w:vAlign w:val="bottom"/>
          </w:tcPr>
          <w:p>
            <w:pPr>
              <w:jc w:val="right"/>
              <w:ind w:right="546"/>
              <w:spacing w:after="0"/>
              <w:rPr>
                <w:sz w:val="20"/>
                <w:szCs w:val="20"/>
                <w:color w:val="auto"/>
              </w:rPr>
            </w:pPr>
            <w:r>
              <w:rPr>
                <w:rFonts w:ascii="Arial" w:cs="Arial" w:eastAsia="Arial" w:hAnsi="Arial"/>
                <w:sz w:val="15"/>
                <w:szCs w:val="15"/>
                <w:b w:val="1"/>
                <w:bCs w:val="1"/>
                <w:color w:val="auto"/>
              </w:rPr>
              <w:t>(...)</w:t>
            </w: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22"/>
          <w:szCs w:val="22"/>
          <w:b w:val="1"/>
          <w:bCs w:val="1"/>
          <w:color w:val="auto"/>
        </w:rPr>
        <w:t>* Specify the name of the document, if not THE COMPANY’s statutes.</w:t>
      </w:r>
    </w:p>
    <w:p>
      <w:pPr>
        <w:spacing w:after="0" w:line="18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THEY ARE NOT REGULATED</w:t>
      </w:r>
    </w:p>
    <w:p>
      <w:pPr>
        <w:spacing w:after="0" w:line="206" w:lineRule="exact"/>
        <w:rPr>
          <w:sz w:val="20"/>
          <w:szCs w:val="20"/>
          <w:color w:val="auto"/>
        </w:rPr>
      </w:pPr>
    </w:p>
    <w:p>
      <w:pPr>
        <w:ind w:right="580"/>
        <w:spacing w:after="0" w:line="256" w:lineRule="auto"/>
        <w:rPr>
          <w:sz w:val="20"/>
          <w:szCs w:val="20"/>
          <w:color w:val="auto"/>
        </w:rPr>
      </w:pPr>
      <w:r>
        <w:rPr>
          <w:rFonts w:ascii="Arial" w:cs="Arial" w:eastAsia="Arial" w:hAnsi="Arial"/>
          <w:sz w:val="22"/>
          <w:szCs w:val="22"/>
          <w:b w:val="1"/>
          <w:bCs w:val="1"/>
          <w:color w:val="auto"/>
        </w:rPr>
        <w:t>d. Indicate whether the directors of THE COMPANY are related within the first or second degree of consanguinity or within the first degree affinity or are spouses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659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65976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86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5"/>
                <w:szCs w:val="15"/>
                <w:color w:val="auto"/>
              </w:rPr>
              <w:t>Names and last names of the director</w:t>
            </w:r>
          </w:p>
        </w:tc>
        <w:tc>
          <w:tcPr>
            <w:tcW w:w="1200" w:type="dxa"/>
            <w:vAlign w:val="bottom"/>
            <w:tcBorders>
              <w:top w:val="single" w:sz="8" w:color="2C2C2C"/>
              <w:bottom w:val="single" w:sz="8" w:color="2C2C2C"/>
            </w:tcBorders>
          </w:tcPr>
          <w:p>
            <w:pPr>
              <w:spacing w:after="0"/>
              <w:rPr>
                <w:sz w:val="17"/>
                <w:szCs w:val="17"/>
                <w:color w:val="auto"/>
              </w:rPr>
            </w:pPr>
          </w:p>
        </w:tc>
        <w:tc>
          <w:tcPr>
            <w:tcW w:w="1120" w:type="dxa"/>
            <w:vAlign w:val="bottom"/>
            <w:tcBorders>
              <w:top w:val="single" w:sz="8" w:color="2C2C2C"/>
              <w:bottom w:val="single" w:sz="8" w:color="2C2C2C"/>
            </w:tcBorders>
          </w:tcPr>
          <w:p>
            <w:pPr>
              <w:jc w:val="center"/>
              <w:ind w:right="26"/>
              <w:spacing w:after="0" w:line="169" w:lineRule="exact"/>
              <w:rPr>
                <w:sz w:val="20"/>
                <w:szCs w:val="20"/>
                <w:color w:val="auto"/>
              </w:rPr>
            </w:pPr>
            <w:r>
              <w:rPr>
                <w:rFonts w:ascii="Arial" w:cs="Arial" w:eastAsia="Arial" w:hAnsi="Arial"/>
                <w:sz w:val="15"/>
                <w:szCs w:val="15"/>
                <w:color w:val="auto"/>
                <w:w w:val="90"/>
              </w:rPr>
              <w:t>Related to:</w:t>
            </w:r>
          </w:p>
        </w:tc>
        <w:tc>
          <w:tcPr>
            <w:tcW w:w="1100" w:type="dxa"/>
            <w:vAlign w:val="bottom"/>
            <w:tcBorders>
              <w:top w:val="single" w:sz="8" w:color="2C2C2C"/>
              <w:bottom w:val="single" w:sz="8" w:color="2C2C2C"/>
            </w:tcBorders>
          </w:tcPr>
          <w:p>
            <w:pPr>
              <w:spacing w:after="0"/>
              <w:rPr>
                <w:sz w:val="17"/>
                <w:szCs w:val="17"/>
                <w:color w:val="auto"/>
              </w:rPr>
            </w:pPr>
          </w:p>
        </w:tc>
        <w:tc>
          <w:tcPr>
            <w:tcW w:w="2420" w:type="dxa"/>
            <w:vAlign w:val="bottom"/>
            <w:tcBorders>
              <w:top w:val="single" w:sz="8" w:color="2C2C2C"/>
            </w:tcBorders>
          </w:tcPr>
          <w:p>
            <w:pPr>
              <w:jc w:val="center"/>
              <w:ind w:right="86"/>
              <w:spacing w:after="0" w:line="169" w:lineRule="exact"/>
              <w:rPr>
                <w:sz w:val="20"/>
                <w:szCs w:val="20"/>
                <w:color w:val="auto"/>
              </w:rPr>
            </w:pPr>
            <w:r>
              <w:rPr>
                <w:rFonts w:ascii="Arial" w:cs="Arial" w:eastAsia="Arial" w:hAnsi="Arial"/>
                <w:sz w:val="15"/>
                <w:szCs w:val="15"/>
                <w:color w:val="auto"/>
                <w:w w:val="87"/>
              </w:rPr>
              <w:t>Names and last names of shareholder</w:t>
            </w:r>
          </w:p>
        </w:tc>
        <w:tc>
          <w:tcPr>
            <w:tcW w:w="860" w:type="dxa"/>
            <w:vAlign w:val="bottom"/>
            <w:tcBorders>
              <w:top w:val="single" w:sz="8" w:color="2C2C2C"/>
              <w:bottom w:val="single" w:sz="8" w:color="2C2C2C"/>
            </w:tcBorders>
            <w:vMerge w:val="restart"/>
          </w:tcPr>
          <w:p>
            <w:pPr>
              <w:ind w:left="180"/>
              <w:spacing w:after="0"/>
              <w:rPr>
                <w:sz w:val="20"/>
                <w:szCs w:val="20"/>
                <w:color w:val="auto"/>
              </w:rPr>
            </w:pPr>
            <w:r>
              <w:rPr>
                <w:rFonts w:ascii="Arial" w:cs="Arial" w:eastAsia="Arial" w:hAnsi="Arial"/>
                <w:sz w:val="15"/>
                <w:szCs w:val="15"/>
                <w:color w:val="auto"/>
              </w:rPr>
              <w:t>Affinity</w:t>
            </w:r>
          </w:p>
        </w:tc>
        <w:tc>
          <w:tcPr>
            <w:tcW w:w="1820" w:type="dxa"/>
            <w:vAlign w:val="bottom"/>
            <w:tcBorders>
              <w:top w:val="single" w:sz="8" w:color="2C2C2C"/>
              <w:bottom w:val="single" w:sz="8" w:color="2C2C2C"/>
            </w:tcBorders>
            <w:vMerge w:val="restart"/>
          </w:tcPr>
          <w:p>
            <w:pPr>
              <w:ind w:left="200"/>
              <w:spacing w:after="0"/>
              <w:rPr>
                <w:sz w:val="20"/>
                <w:szCs w:val="20"/>
                <w:color w:val="auto"/>
              </w:rPr>
            </w:pPr>
            <w:r>
              <w:rPr>
                <w:rFonts w:ascii="Arial" w:cs="Arial" w:eastAsia="Arial" w:hAnsi="Arial"/>
                <w:sz w:val="15"/>
                <w:szCs w:val="15"/>
                <w:color w:val="auto"/>
                <w:w w:val="96"/>
              </w:rPr>
              <w:t xml:space="preserve">Additional information </w:t>
            </w:r>
            <w:r>
              <w:rPr>
                <w:rFonts w:ascii="Arial" w:cs="Arial" w:eastAsia="Arial" w:hAnsi="Arial"/>
                <w:sz w:val="24"/>
                <w:szCs w:val="24"/>
                <w:color w:val="auto"/>
                <w:w w:val="96"/>
                <w:vertAlign w:val="superscript"/>
              </w:rPr>
              <w:t>2/.</w:t>
            </w:r>
          </w:p>
        </w:tc>
        <w:tc>
          <w:tcPr>
            <w:tcW w:w="20" w:type="dxa"/>
            <w:vAlign w:val="bottom"/>
            <w:tcBorders>
              <w:top w:val="single" w:sz="8" w:color="808080"/>
              <w:bottom w:val="single" w:sz="8" w:color="808080"/>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vMerge w:val="continue"/>
          </w:tcPr>
          <w:p>
            <w:pPr>
              <w:spacing w:after="0"/>
              <w:rPr>
                <w:sz w:val="14"/>
                <w:szCs w:val="14"/>
                <w:color w:val="auto"/>
              </w:rPr>
            </w:pPr>
          </w:p>
        </w:tc>
        <w:tc>
          <w:tcPr>
            <w:tcW w:w="1200" w:type="dxa"/>
            <w:vAlign w:val="bottom"/>
            <w:vMerge w:val="restart"/>
          </w:tcPr>
          <w:p>
            <w:pPr>
              <w:jc w:val="center"/>
              <w:ind w:right="8"/>
              <w:spacing w:after="0" w:line="189" w:lineRule="exact"/>
              <w:rPr>
                <w:sz w:val="20"/>
                <w:szCs w:val="20"/>
                <w:color w:val="auto"/>
              </w:rPr>
            </w:pPr>
            <w:r>
              <w:rPr>
                <w:rFonts w:ascii="Arial" w:cs="Arial" w:eastAsia="Arial" w:hAnsi="Arial"/>
                <w:sz w:val="13"/>
                <w:szCs w:val="13"/>
                <w:color w:val="auto"/>
                <w:w w:val="97"/>
              </w:rPr>
              <w:t xml:space="preserve">Shareholder </w:t>
            </w:r>
            <w:r>
              <w:rPr>
                <w:rFonts w:ascii="Arial" w:cs="Arial" w:eastAsia="Arial" w:hAnsi="Arial"/>
                <w:sz w:val="21"/>
                <w:szCs w:val="21"/>
                <w:color w:val="auto"/>
                <w:w w:val="97"/>
                <w:vertAlign w:val="superscript"/>
              </w:rPr>
              <w:t>1/.</w:t>
            </w:r>
          </w:p>
        </w:tc>
        <w:tc>
          <w:tcPr>
            <w:tcW w:w="1120" w:type="dxa"/>
            <w:vAlign w:val="bottom"/>
            <w:vMerge w:val="restart"/>
          </w:tcPr>
          <w:p>
            <w:pPr>
              <w:jc w:val="center"/>
              <w:ind w:right="26"/>
              <w:spacing w:after="0"/>
              <w:rPr>
                <w:sz w:val="20"/>
                <w:szCs w:val="20"/>
                <w:color w:val="auto"/>
              </w:rPr>
            </w:pPr>
            <w:r>
              <w:rPr>
                <w:rFonts w:ascii="Arial" w:cs="Arial" w:eastAsia="Arial" w:hAnsi="Arial"/>
                <w:sz w:val="15"/>
                <w:szCs w:val="15"/>
                <w:color w:val="auto"/>
                <w:w w:val="95"/>
              </w:rPr>
              <w:t>Director</w:t>
            </w:r>
          </w:p>
        </w:tc>
        <w:tc>
          <w:tcPr>
            <w:tcW w:w="1100" w:type="dxa"/>
            <w:vAlign w:val="bottom"/>
            <w:vMerge w:val="restart"/>
          </w:tcPr>
          <w:p>
            <w:pPr>
              <w:jc w:val="center"/>
              <w:spacing w:after="0"/>
              <w:rPr>
                <w:sz w:val="20"/>
                <w:szCs w:val="20"/>
                <w:color w:val="auto"/>
              </w:rPr>
            </w:pPr>
            <w:r>
              <w:rPr>
                <w:rFonts w:ascii="Arial" w:cs="Arial" w:eastAsia="Arial" w:hAnsi="Arial"/>
                <w:sz w:val="15"/>
                <w:szCs w:val="15"/>
                <w:color w:val="auto"/>
                <w:w w:val="87"/>
              </w:rPr>
              <w:t>Manager</w:t>
            </w:r>
          </w:p>
        </w:tc>
        <w:tc>
          <w:tcPr>
            <w:tcW w:w="2420" w:type="dxa"/>
            <w:vAlign w:val="bottom"/>
            <w:vMerge w:val="restart"/>
          </w:tcPr>
          <w:p>
            <w:pPr>
              <w:jc w:val="center"/>
              <w:ind w:right="66"/>
              <w:spacing w:after="0"/>
              <w:rPr>
                <w:sz w:val="20"/>
                <w:szCs w:val="20"/>
                <w:color w:val="auto"/>
              </w:rPr>
            </w:pPr>
            <w:r>
              <w:rPr>
                <w:rFonts w:ascii="Arial" w:cs="Arial" w:eastAsia="Arial" w:hAnsi="Arial"/>
                <w:sz w:val="15"/>
                <w:szCs w:val="15"/>
                <w:color w:val="auto"/>
                <w:w w:val="89"/>
              </w:rPr>
              <w:t>1/. / director /manager</w:t>
            </w:r>
          </w:p>
        </w:tc>
        <w:tc>
          <w:tcPr>
            <w:tcW w:w="86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vMerge w:val="continue"/>
          </w:tcPr>
          <w:p>
            <w:pPr>
              <w:spacing w:after="0"/>
              <w:rPr>
                <w:sz w:val="2"/>
                <w:szCs w:val="2"/>
                <w:color w:val="auto"/>
              </w:rPr>
            </w:pPr>
          </w:p>
        </w:tc>
        <w:tc>
          <w:tcPr>
            <w:tcW w:w="1120" w:type="dxa"/>
            <w:vAlign w:val="bottom"/>
            <w:tcBorders>
              <w:bottom w:val="single" w:sz="8" w:color="2C2C2C"/>
            </w:tcBorders>
            <w:vMerge w:val="continue"/>
          </w:tcPr>
          <w:p>
            <w:pPr>
              <w:spacing w:after="0"/>
              <w:rPr>
                <w:sz w:val="2"/>
                <w:szCs w:val="2"/>
                <w:color w:val="auto"/>
              </w:rPr>
            </w:pPr>
          </w:p>
        </w:tc>
        <w:tc>
          <w:tcPr>
            <w:tcW w:w="1100" w:type="dxa"/>
            <w:vAlign w:val="bottom"/>
            <w:tcBorders>
              <w:bottom w:val="single" w:sz="8" w:color="2C2C2C"/>
            </w:tcBorders>
            <w:vMerge w:val="continue"/>
          </w:tcPr>
          <w:p>
            <w:pPr>
              <w:spacing w:after="0"/>
              <w:rPr>
                <w:sz w:val="2"/>
                <w:szCs w:val="2"/>
                <w:color w:val="auto"/>
              </w:rPr>
            </w:pPr>
          </w:p>
        </w:tc>
        <w:tc>
          <w:tcPr>
            <w:tcW w:w="2420" w:type="dxa"/>
            <w:vAlign w:val="bottom"/>
            <w:tcBorders>
              <w:bottom w:val="single" w:sz="8" w:color="2C2C2C"/>
            </w:tcBorders>
            <w:vMerge w:val="continue"/>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6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None</w:t>
            </w:r>
          </w:p>
        </w:tc>
        <w:tc>
          <w:tcPr>
            <w:tcW w:w="120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97"/>
              </w:rPr>
              <w:t>(...)</w:t>
            </w:r>
          </w:p>
        </w:tc>
        <w:tc>
          <w:tcPr>
            <w:tcW w:w="1120" w:type="dxa"/>
            <w:vAlign w:val="bottom"/>
            <w:tcBorders>
              <w:bottom w:val="single" w:sz="8" w:color="2C2C2C"/>
            </w:tcBorders>
          </w:tcPr>
          <w:p>
            <w:pPr>
              <w:jc w:val="center"/>
              <w:ind w:right="26"/>
              <w:spacing w:after="0" w:line="162" w:lineRule="exact"/>
              <w:rPr>
                <w:sz w:val="20"/>
                <w:szCs w:val="20"/>
                <w:color w:val="auto"/>
              </w:rPr>
            </w:pPr>
            <w:r>
              <w:rPr>
                <w:rFonts w:ascii="Arial" w:cs="Arial" w:eastAsia="Arial" w:hAnsi="Arial"/>
                <w:sz w:val="15"/>
                <w:szCs w:val="15"/>
                <w:color w:val="auto"/>
                <w:w w:val="97"/>
              </w:rPr>
              <w:t>(...)</w:t>
            </w:r>
          </w:p>
        </w:tc>
        <w:tc>
          <w:tcPr>
            <w:tcW w:w="110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97"/>
              </w:rPr>
              <w:t>(...)</w:t>
            </w:r>
          </w:p>
        </w:tc>
        <w:tc>
          <w:tcPr>
            <w:tcW w:w="24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97"/>
              </w:rPr>
              <w:t>(...)</w:t>
            </w:r>
          </w:p>
        </w:tc>
        <w:tc>
          <w:tcPr>
            <w:tcW w:w="1120" w:type="dxa"/>
            <w:vAlign w:val="bottom"/>
            <w:tcBorders>
              <w:bottom w:val="single" w:sz="8" w:color="2C2C2C"/>
            </w:tcBorders>
          </w:tcPr>
          <w:p>
            <w:pPr>
              <w:jc w:val="center"/>
              <w:ind w:right="26"/>
              <w:spacing w:after="0" w:line="162" w:lineRule="exact"/>
              <w:rPr>
                <w:sz w:val="20"/>
                <w:szCs w:val="20"/>
                <w:color w:val="auto"/>
              </w:rPr>
            </w:pPr>
            <w:r>
              <w:rPr>
                <w:rFonts w:ascii="Arial" w:cs="Arial" w:eastAsia="Arial" w:hAnsi="Arial"/>
                <w:sz w:val="15"/>
                <w:szCs w:val="15"/>
                <w:color w:val="auto"/>
                <w:w w:val="97"/>
              </w:rPr>
              <w:t>(...)</w:t>
            </w:r>
          </w:p>
        </w:tc>
        <w:tc>
          <w:tcPr>
            <w:tcW w:w="110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97"/>
              </w:rPr>
              <w:t>(...)</w:t>
            </w:r>
          </w:p>
        </w:tc>
        <w:tc>
          <w:tcPr>
            <w:tcW w:w="24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97"/>
              </w:rPr>
              <w:t>(...)</w:t>
            </w:r>
          </w:p>
        </w:tc>
        <w:tc>
          <w:tcPr>
            <w:tcW w:w="1120" w:type="dxa"/>
            <w:vAlign w:val="bottom"/>
          </w:tcPr>
          <w:p>
            <w:pPr>
              <w:jc w:val="center"/>
              <w:ind w:right="26"/>
              <w:spacing w:after="0"/>
              <w:rPr>
                <w:sz w:val="20"/>
                <w:szCs w:val="20"/>
                <w:color w:val="auto"/>
              </w:rPr>
            </w:pPr>
            <w:r>
              <w:rPr>
                <w:rFonts w:ascii="Arial" w:cs="Arial" w:eastAsia="Arial" w:hAnsi="Arial"/>
                <w:sz w:val="15"/>
                <w:szCs w:val="15"/>
                <w:color w:val="auto"/>
                <w:w w:val="97"/>
              </w:rPr>
              <w:t>(...)</w:t>
            </w:r>
          </w:p>
        </w:tc>
        <w:tc>
          <w:tcPr>
            <w:tcW w:w="1100" w:type="dxa"/>
            <w:vAlign w:val="bottom"/>
          </w:tcPr>
          <w:p>
            <w:pPr>
              <w:jc w:val="center"/>
              <w:spacing w:after="0"/>
              <w:rPr>
                <w:sz w:val="20"/>
                <w:szCs w:val="20"/>
                <w:color w:val="auto"/>
              </w:rPr>
            </w:pPr>
            <w:r>
              <w:rPr>
                <w:rFonts w:ascii="Arial" w:cs="Arial" w:eastAsia="Arial" w:hAnsi="Arial"/>
                <w:sz w:val="15"/>
                <w:szCs w:val="15"/>
                <w:color w:val="auto"/>
                <w:w w:val="97"/>
              </w:rPr>
              <w:t>(...)</w:t>
            </w:r>
          </w:p>
        </w:tc>
        <w:tc>
          <w:tcPr>
            <w:tcW w:w="2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160"/>
        <w:spacing w:after="0" w:line="230" w:lineRule="auto"/>
        <w:rPr>
          <w:sz w:val="20"/>
          <w:szCs w:val="20"/>
          <w:color w:val="auto"/>
        </w:rPr>
      </w:pPr>
      <w:r>
        <w:rPr>
          <w:rFonts w:ascii="Arial" w:cs="Arial" w:eastAsia="Arial" w:hAnsi="Arial"/>
          <w:sz w:val="22"/>
          <w:szCs w:val="22"/>
          <w:b w:val="1"/>
          <w:bCs w:val="1"/>
          <w:color w:val="auto"/>
        </w:rPr>
        <w:t>1/. Shareholders with a participation equal to or greater than 5% of the shares of the company (according to type of share, including investment bonds).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If there is a relationship with any of the shareholders, please indicate the amount of their shareholder participation.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Should the relationship be with a member of the management, include that person’s position.</w:t>
      </w:r>
    </w:p>
    <w:p>
      <w:pPr>
        <w:spacing w:after="0" w:line="182" w:lineRule="exact"/>
        <w:rPr>
          <w:sz w:val="20"/>
          <w:szCs w:val="20"/>
          <w:color w:val="auto"/>
        </w:rPr>
      </w:pPr>
    </w:p>
    <w:p>
      <w:pPr>
        <w:ind w:right="600"/>
        <w:spacing w:after="0" w:line="280" w:lineRule="auto"/>
        <w:rPr>
          <w:sz w:val="20"/>
          <w:szCs w:val="20"/>
          <w:color w:val="auto"/>
        </w:rPr>
      </w:pPr>
      <w:r>
        <w:rPr>
          <w:rFonts w:ascii="Arial" w:cs="Arial" w:eastAsia="Arial" w:hAnsi="Arial"/>
          <w:sz w:val="21"/>
          <w:szCs w:val="21"/>
          <w:b w:val="1"/>
          <w:bCs w:val="1"/>
          <w:color w:val="auto"/>
        </w:rPr>
        <w:t>e. Should any member of the Board of Directors hold or have held any management position within THE COMPANY during the financial year covered in the present report, please give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7283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72834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808080"/>
            </w:tcBorders>
          </w:tcPr>
          <w:p>
            <w:pPr>
              <w:spacing w:after="0"/>
              <w:rPr>
                <w:sz w:val="16"/>
                <w:szCs w:val="16"/>
                <w:color w:val="auto"/>
              </w:rPr>
            </w:pPr>
          </w:p>
        </w:tc>
        <w:tc>
          <w:tcPr>
            <w:tcW w:w="5560" w:type="dxa"/>
            <w:vAlign w:val="bottom"/>
            <w:tcBorders>
              <w:top w:val="single" w:sz="8" w:color="2C2C2C"/>
            </w:tcBorders>
          </w:tcPr>
          <w:p>
            <w:pPr>
              <w:spacing w:after="0"/>
              <w:rPr>
                <w:sz w:val="16"/>
                <w:szCs w:val="16"/>
                <w:color w:val="auto"/>
              </w:rPr>
            </w:pPr>
          </w:p>
        </w:tc>
        <w:tc>
          <w:tcPr>
            <w:tcW w:w="2420" w:type="dxa"/>
            <w:vAlign w:val="bottom"/>
            <w:tcBorders>
              <w:top w:val="single" w:sz="8" w:color="2C2C2C"/>
            </w:tcBorders>
          </w:tcPr>
          <w:p>
            <w:pPr>
              <w:jc w:val="center"/>
              <w:ind w:left="626"/>
              <w:spacing w:after="0"/>
              <w:rPr>
                <w:sz w:val="20"/>
                <w:szCs w:val="20"/>
                <w:color w:val="auto"/>
              </w:rPr>
            </w:pPr>
            <w:r>
              <w:rPr>
                <w:rFonts w:ascii="Arial" w:cs="Arial" w:eastAsia="Arial" w:hAnsi="Arial"/>
                <w:sz w:val="15"/>
                <w:szCs w:val="15"/>
                <w:color w:val="auto"/>
              </w:rPr>
              <w:t>MANAGEMENT</w:t>
            </w:r>
          </w:p>
        </w:tc>
        <w:tc>
          <w:tcPr>
            <w:tcW w:w="3400" w:type="dxa"/>
            <w:vAlign w:val="bottom"/>
            <w:tcBorders>
              <w:top w:val="single" w:sz="8" w:color="2C2C2C"/>
            </w:tcBorders>
            <w:gridSpan w:val="2"/>
          </w:tcPr>
          <w:p>
            <w:pPr>
              <w:ind w:left="420"/>
              <w:spacing w:after="0"/>
              <w:rPr>
                <w:sz w:val="20"/>
                <w:szCs w:val="20"/>
                <w:color w:val="auto"/>
              </w:rPr>
            </w:pPr>
            <w:r>
              <w:rPr>
                <w:rFonts w:ascii="Arial" w:cs="Arial" w:eastAsia="Arial" w:hAnsi="Arial"/>
                <w:sz w:val="15"/>
                <w:szCs w:val="15"/>
                <w:color w:val="auto"/>
              </w:rPr>
              <w:t>DATES OF MANAGEMENT POSITION</w:t>
            </w: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560" w:type="dxa"/>
            <w:vAlign w:val="bottom"/>
            <w:vMerge w:val="restart"/>
          </w:tcPr>
          <w:p>
            <w:pPr>
              <w:ind w:left="1520"/>
              <w:spacing w:after="0" w:line="153" w:lineRule="exact"/>
              <w:rPr>
                <w:sz w:val="20"/>
                <w:szCs w:val="20"/>
                <w:color w:val="auto"/>
              </w:rPr>
            </w:pPr>
            <w:r>
              <w:rPr>
                <w:rFonts w:ascii="Arial" w:cs="Arial" w:eastAsia="Arial" w:hAnsi="Arial"/>
                <w:sz w:val="15"/>
                <w:szCs w:val="15"/>
                <w:color w:val="auto"/>
              </w:rPr>
              <w:t>NAMES AND LAST NAMES OF THE DIRECTOR</w:t>
            </w:r>
          </w:p>
        </w:tc>
        <w:tc>
          <w:tcPr>
            <w:tcW w:w="2420" w:type="dxa"/>
            <w:vAlign w:val="bottom"/>
            <w:vMerge w:val="restart"/>
          </w:tcPr>
          <w:p>
            <w:pPr>
              <w:jc w:val="center"/>
              <w:ind w:left="646"/>
              <w:spacing w:after="0" w:line="153" w:lineRule="exact"/>
              <w:rPr>
                <w:sz w:val="20"/>
                <w:szCs w:val="20"/>
                <w:color w:val="auto"/>
              </w:rPr>
            </w:pPr>
            <w:r>
              <w:rPr>
                <w:rFonts w:ascii="Arial" w:cs="Arial" w:eastAsia="Arial" w:hAnsi="Arial"/>
                <w:sz w:val="15"/>
                <w:szCs w:val="15"/>
                <w:color w:val="auto"/>
                <w:w w:val="94"/>
              </w:rPr>
              <w:t>POSITION THAT S/HE</w:t>
            </w:r>
          </w:p>
        </w:tc>
        <w:tc>
          <w:tcPr>
            <w:tcW w:w="17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5560" w:type="dxa"/>
            <w:vAlign w:val="bottom"/>
            <w:vMerge w:val="continue"/>
          </w:tcPr>
          <w:p>
            <w:pPr>
              <w:spacing w:after="0"/>
              <w:rPr>
                <w:sz w:val="5"/>
                <w:szCs w:val="5"/>
                <w:color w:val="auto"/>
              </w:rPr>
            </w:pPr>
          </w:p>
        </w:tc>
        <w:tc>
          <w:tcPr>
            <w:tcW w:w="2420" w:type="dxa"/>
            <w:vAlign w:val="bottom"/>
            <w:vMerge w:val="continue"/>
          </w:tcPr>
          <w:p>
            <w:pPr>
              <w:spacing w:after="0"/>
              <w:rPr>
                <w:sz w:val="5"/>
                <w:szCs w:val="5"/>
                <w:color w:val="auto"/>
              </w:rPr>
            </w:pPr>
          </w:p>
        </w:tc>
        <w:tc>
          <w:tcPr>
            <w:tcW w:w="17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420" w:type="dxa"/>
            <w:vAlign w:val="bottom"/>
          </w:tcPr>
          <w:p>
            <w:pPr>
              <w:jc w:val="center"/>
              <w:ind w:left="606"/>
              <w:spacing w:after="0" w:line="165" w:lineRule="exact"/>
              <w:rPr>
                <w:sz w:val="20"/>
                <w:szCs w:val="20"/>
                <w:color w:val="auto"/>
              </w:rPr>
            </w:pPr>
            <w:r>
              <w:rPr>
                <w:rFonts w:ascii="Arial" w:cs="Arial" w:eastAsia="Arial" w:hAnsi="Arial"/>
                <w:sz w:val="15"/>
                <w:szCs w:val="15"/>
                <w:color w:val="auto"/>
                <w:w w:val="96"/>
              </w:rPr>
              <w:t>HOLDS OR HELD</w:t>
            </w:r>
          </w:p>
        </w:tc>
        <w:tc>
          <w:tcPr>
            <w:tcW w:w="1700" w:type="dxa"/>
            <w:vAlign w:val="bottom"/>
          </w:tcPr>
          <w:p>
            <w:pPr>
              <w:ind w:left="660"/>
              <w:spacing w:after="0" w:line="165" w:lineRule="exact"/>
              <w:rPr>
                <w:sz w:val="20"/>
                <w:szCs w:val="20"/>
                <w:color w:val="auto"/>
              </w:rPr>
            </w:pPr>
            <w:r>
              <w:rPr>
                <w:rFonts w:ascii="Arial" w:cs="Arial" w:eastAsia="Arial" w:hAnsi="Arial"/>
                <w:sz w:val="15"/>
                <w:szCs w:val="15"/>
                <w:color w:val="auto"/>
              </w:rPr>
              <w:t>START</w:t>
            </w:r>
          </w:p>
        </w:tc>
        <w:tc>
          <w:tcPr>
            <w:tcW w:w="1720" w:type="dxa"/>
            <w:vAlign w:val="bottom"/>
            <w:gridSpan w:val="2"/>
          </w:tcPr>
          <w:p>
            <w:pPr>
              <w:ind w:left="600"/>
              <w:spacing w:after="0" w:line="165" w:lineRule="exact"/>
              <w:rPr>
                <w:sz w:val="20"/>
                <w:szCs w:val="20"/>
                <w:color w:val="auto"/>
              </w:rPr>
            </w:pPr>
            <w:r>
              <w:rPr>
                <w:rFonts w:ascii="Arial" w:cs="Arial" w:eastAsia="Arial" w:hAnsi="Arial"/>
                <w:sz w:val="15"/>
                <w:szCs w:val="15"/>
                <w:color w:val="auto"/>
              </w:rPr>
              <w:t>FINISH</w:t>
            </w:r>
          </w:p>
        </w:tc>
        <w:tc>
          <w:tcPr>
            <w:tcW w:w="0" w:type="dxa"/>
            <w:vAlign w:val="bottom"/>
          </w:tcPr>
          <w:p>
            <w:pPr>
              <w:spacing w:after="0"/>
              <w:rPr>
                <w:sz w:val="1"/>
                <w:szCs w:val="1"/>
                <w:color w:val="auto"/>
              </w:rPr>
            </w:pPr>
          </w:p>
        </w:tc>
      </w:tr>
    </w:tbl>
    <w:p>
      <w:pPr>
        <w:spacing w:after="0"/>
        <w:rPr>
          <w:sz w:val="20"/>
          <w:szCs w:val="20"/>
          <w:color w:val="auto"/>
        </w:rPr>
      </w:pPr>
      <w:r>
        <w:rPr>
          <w:sz w:val="1"/>
          <w:szCs w:val="1"/>
          <w:color w:val="auto"/>
        </w:rPr>
        <w:drawing>
          <wp:inline distT="0" distB="0" distL="0" distR="0">
            <wp:extent cx="34290" cy="12382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123825"/>
                    </a:xfrm>
                    <a:prstGeom prst="rect">
                      <a:avLst/>
                    </a:prstGeom>
                    <a:noFill/>
                    <a:ln>
                      <a:noFill/>
                    </a:ln>
                  </pic:spPr>
                </pic:pic>
              </a:graphicData>
            </a:graphic>
          </wp:inline>
        </w:drawing>
      </w: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40"/>
        <w:spacing w:after="0" w:line="243" w:lineRule="auto"/>
        <w:rPr>
          <w:sz w:val="20"/>
          <w:szCs w:val="20"/>
          <w:color w:val="auto"/>
        </w:rPr>
      </w:pPr>
      <w:r>
        <w:rPr>
          <w:rFonts w:ascii="Arial" w:cs="Arial" w:eastAsia="Arial" w:hAnsi="Arial"/>
          <w:sz w:val="22"/>
          <w:szCs w:val="22"/>
          <w:b w:val="1"/>
          <w:bCs w:val="1"/>
          <w:color w:val="auto"/>
        </w:rPr>
        <w:t>f. Should any member of THE COMPANY’s Board of Directors also be or have been a member of the Board of Directors of another company or other companies registered in the Public Stock Market Register during the financial year to which this report refers, please give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42545" cy="11404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545" cy="1140460"/>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125730</wp:posOffset>
            </wp:positionV>
            <wp:extent cx="42545" cy="11233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545" cy="112331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125730</wp:posOffset>
            </wp:positionV>
            <wp:extent cx="42545" cy="11233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545" cy="112331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116840</wp:posOffset>
            </wp:positionV>
            <wp:extent cx="42545" cy="11404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545" cy="114046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3600" w:type="dxa"/>
            <w:vAlign w:val="bottom"/>
            <w:tcBorders>
              <w:top w:val="single" w:sz="8" w:color="2C2C2C"/>
            </w:tcBorders>
          </w:tcPr>
          <w:p>
            <w:pPr>
              <w:ind w:left="20"/>
              <w:spacing w:after="0"/>
              <w:rPr>
                <w:sz w:val="20"/>
                <w:szCs w:val="20"/>
                <w:color w:val="auto"/>
              </w:rPr>
            </w:pPr>
            <w:r>
              <w:rPr>
                <w:rFonts w:ascii="Arial" w:cs="Arial" w:eastAsia="Arial" w:hAnsi="Arial"/>
                <w:sz w:val="15"/>
                <w:szCs w:val="15"/>
                <w:color w:val="auto"/>
              </w:rPr>
              <w:t>NAMES AND LAST NAMES OF THE DIRECTOR</w:t>
            </w:r>
          </w:p>
        </w:tc>
        <w:tc>
          <w:tcPr>
            <w:tcW w:w="4380" w:type="dxa"/>
            <w:vAlign w:val="bottom"/>
            <w:tcBorders>
              <w:top w:val="single" w:sz="8" w:color="2C2C2C"/>
            </w:tcBorders>
          </w:tcPr>
          <w:p>
            <w:pPr>
              <w:ind w:left="1420"/>
              <w:spacing w:after="0"/>
              <w:rPr>
                <w:sz w:val="20"/>
                <w:szCs w:val="20"/>
                <w:color w:val="auto"/>
              </w:rPr>
            </w:pPr>
            <w:r>
              <w:rPr>
                <w:rFonts w:ascii="Arial" w:cs="Arial" w:eastAsia="Arial" w:hAnsi="Arial"/>
                <w:sz w:val="15"/>
                <w:szCs w:val="15"/>
                <w:color w:val="auto"/>
              </w:rPr>
              <w:t>NAME(S) OF THE COMPANY</w:t>
            </w:r>
          </w:p>
        </w:tc>
        <w:tc>
          <w:tcPr>
            <w:tcW w:w="1280" w:type="dxa"/>
            <w:vAlign w:val="bottom"/>
            <w:tcBorders>
              <w:top w:val="single" w:sz="8" w:color="2C2C2C"/>
              <w:bottom w:val="single" w:sz="8" w:color="2C2C2C"/>
            </w:tcBorders>
          </w:tcPr>
          <w:p>
            <w:pPr>
              <w:spacing w:after="0"/>
              <w:rPr>
                <w:sz w:val="17"/>
                <w:szCs w:val="17"/>
                <w:color w:val="auto"/>
              </w:rPr>
            </w:pPr>
          </w:p>
        </w:tc>
        <w:tc>
          <w:tcPr>
            <w:tcW w:w="212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5"/>
                <w:szCs w:val="15"/>
                <w:color w:val="auto"/>
              </w:rPr>
              <w:t>DATE</w:t>
            </w:r>
          </w:p>
        </w:tc>
        <w:tc>
          <w:tcPr>
            <w:tcW w:w="20" w:type="dxa"/>
            <w:vAlign w:val="bottom"/>
            <w:tcBorders>
              <w:top w:val="single" w:sz="8" w:color="808080"/>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3600" w:type="dxa"/>
            <w:vAlign w:val="bottom"/>
            <w:tcBorders>
              <w:bottom w:val="single" w:sz="8" w:color="2C2C2C"/>
            </w:tcBorders>
          </w:tcPr>
          <w:p>
            <w:pPr>
              <w:spacing w:after="0"/>
              <w:rPr>
                <w:sz w:val="14"/>
                <w:szCs w:val="14"/>
                <w:color w:val="auto"/>
              </w:rPr>
            </w:pPr>
          </w:p>
        </w:tc>
        <w:tc>
          <w:tcPr>
            <w:tcW w:w="4380" w:type="dxa"/>
            <w:vAlign w:val="bottom"/>
            <w:tcBorders>
              <w:bottom w:val="single" w:sz="8" w:color="2C2C2C"/>
            </w:tcBorders>
          </w:tcPr>
          <w:p>
            <w:pPr>
              <w:ind w:left="1920"/>
              <w:spacing w:after="0" w:line="161" w:lineRule="exact"/>
              <w:rPr>
                <w:sz w:val="20"/>
                <w:szCs w:val="20"/>
                <w:color w:val="auto"/>
              </w:rPr>
            </w:pPr>
            <w:r>
              <w:rPr>
                <w:rFonts w:ascii="Arial" w:cs="Arial" w:eastAsia="Arial" w:hAnsi="Arial"/>
                <w:sz w:val="15"/>
                <w:szCs w:val="15"/>
                <w:color w:val="auto"/>
              </w:rPr>
              <w:t>(COMPANIES)</w:t>
            </w:r>
          </w:p>
        </w:tc>
        <w:tc>
          <w:tcPr>
            <w:tcW w:w="1280" w:type="dxa"/>
            <w:vAlign w:val="bottom"/>
            <w:tcBorders>
              <w:bottom w:val="single" w:sz="8" w:color="2C2C2C"/>
            </w:tcBorders>
          </w:tcPr>
          <w:p>
            <w:pPr>
              <w:jc w:val="right"/>
              <w:ind w:right="146"/>
              <w:spacing w:after="0" w:line="162" w:lineRule="exact"/>
              <w:rPr>
                <w:sz w:val="20"/>
                <w:szCs w:val="20"/>
                <w:color w:val="auto"/>
              </w:rPr>
            </w:pPr>
            <w:r>
              <w:rPr>
                <w:rFonts w:ascii="Arial" w:cs="Arial" w:eastAsia="Arial" w:hAnsi="Arial"/>
                <w:sz w:val="15"/>
                <w:szCs w:val="15"/>
                <w:color w:val="auto"/>
              </w:rPr>
              <w:t>START</w:t>
            </w:r>
          </w:p>
        </w:tc>
        <w:tc>
          <w:tcPr>
            <w:tcW w:w="2120" w:type="dxa"/>
            <w:vAlign w:val="bottom"/>
            <w:tcBorders>
              <w:bottom w:val="single" w:sz="8" w:color="2C2C2C"/>
            </w:tcBorders>
          </w:tcPr>
          <w:p>
            <w:pPr>
              <w:ind w:left="1020"/>
              <w:spacing w:after="0" w:line="162" w:lineRule="exact"/>
              <w:rPr>
                <w:sz w:val="20"/>
                <w:szCs w:val="20"/>
                <w:color w:val="auto"/>
              </w:rPr>
            </w:pPr>
            <w:r>
              <w:rPr>
                <w:rFonts w:ascii="Arial" w:cs="Arial" w:eastAsia="Arial" w:hAnsi="Arial"/>
                <w:sz w:val="15"/>
                <w:szCs w:val="15"/>
                <w:color w:val="auto"/>
              </w:rPr>
              <w:t>FINISH</w:t>
            </w:r>
          </w:p>
        </w:tc>
        <w:tc>
          <w:tcPr>
            <w:tcW w:w="2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3600" w:type="dxa"/>
            <w:vAlign w:val="bottom"/>
          </w:tcPr>
          <w:p>
            <w:pPr>
              <w:ind w:left="20"/>
              <w:spacing w:after="0" w:line="153" w:lineRule="exact"/>
              <w:rPr>
                <w:sz w:val="20"/>
                <w:szCs w:val="20"/>
                <w:color w:val="auto"/>
              </w:rPr>
            </w:pPr>
            <w:r>
              <w:rPr>
                <w:rFonts w:ascii="Arial" w:cs="Arial" w:eastAsia="Arial" w:hAnsi="Arial"/>
                <w:sz w:val="15"/>
                <w:szCs w:val="15"/>
                <w:color w:val="auto"/>
              </w:rPr>
              <w:t>Dionisio Romero Seminario</w:t>
            </w:r>
          </w:p>
        </w:tc>
        <w:tc>
          <w:tcPr>
            <w:tcW w:w="4380" w:type="dxa"/>
            <w:vAlign w:val="bottom"/>
          </w:tcPr>
          <w:p>
            <w:pPr>
              <w:ind w:left="420"/>
              <w:spacing w:after="0" w:line="153" w:lineRule="exact"/>
              <w:rPr>
                <w:sz w:val="20"/>
                <w:szCs w:val="20"/>
                <w:color w:val="auto"/>
              </w:rPr>
            </w:pPr>
            <w:r>
              <w:rPr>
                <w:rFonts w:ascii="Arial" w:cs="Arial" w:eastAsia="Arial" w:hAnsi="Arial"/>
                <w:sz w:val="15"/>
                <w:szCs w:val="15"/>
                <w:color w:val="auto"/>
              </w:rPr>
              <w:t>Banco de Crédito del Perú</w:t>
            </w:r>
          </w:p>
        </w:tc>
        <w:tc>
          <w:tcPr>
            <w:tcW w:w="1280" w:type="dxa"/>
            <w:vAlign w:val="bottom"/>
          </w:tcPr>
          <w:p>
            <w:pPr>
              <w:jc w:val="right"/>
              <w:ind w:right="886"/>
              <w:spacing w:after="0" w:line="153" w:lineRule="exact"/>
              <w:rPr>
                <w:sz w:val="20"/>
                <w:szCs w:val="20"/>
                <w:color w:val="auto"/>
              </w:rPr>
            </w:pPr>
            <w:r>
              <w:rPr>
                <w:rFonts w:ascii="Arial" w:cs="Arial" w:eastAsia="Arial" w:hAnsi="Arial"/>
                <w:sz w:val="15"/>
                <w:szCs w:val="15"/>
                <w:color w:val="auto"/>
                <w:w w:val="89"/>
              </w:rPr>
              <w:t>1990</w:t>
            </w:r>
          </w:p>
        </w:tc>
        <w:tc>
          <w:tcPr>
            <w:tcW w:w="2120" w:type="dxa"/>
            <w:vAlign w:val="bottom"/>
          </w:tcPr>
          <w:p>
            <w:pPr>
              <w:ind w:left="440"/>
              <w:spacing w:after="0" w:line="153" w:lineRule="exact"/>
              <w:rPr>
                <w:sz w:val="20"/>
                <w:szCs w:val="20"/>
                <w:color w:val="auto"/>
              </w:rPr>
            </w:pPr>
            <w:r>
              <w:rPr>
                <w:rFonts w:ascii="Arial" w:cs="Arial" w:eastAsia="Arial" w:hAnsi="Arial"/>
                <w:sz w:val="15"/>
                <w:szCs w:val="15"/>
                <w:color w:val="auto"/>
              </w:rPr>
              <w:t>Currently</w:t>
            </w: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380" w:type="dxa"/>
            <w:vAlign w:val="bottom"/>
          </w:tcPr>
          <w:p>
            <w:pPr>
              <w:ind w:left="420"/>
              <w:spacing w:after="0" w:line="162" w:lineRule="exact"/>
              <w:rPr>
                <w:sz w:val="20"/>
                <w:szCs w:val="20"/>
                <w:color w:val="auto"/>
              </w:rPr>
            </w:pPr>
            <w:r>
              <w:rPr>
                <w:rFonts w:ascii="Arial" w:cs="Arial" w:eastAsia="Arial" w:hAnsi="Arial"/>
                <w:sz w:val="15"/>
                <w:szCs w:val="15"/>
                <w:color w:val="auto"/>
              </w:rPr>
              <w:t>Credileasing</w:t>
            </w:r>
          </w:p>
        </w:tc>
        <w:tc>
          <w:tcPr>
            <w:tcW w:w="1280" w:type="dxa"/>
            <w:vAlign w:val="bottom"/>
          </w:tcPr>
          <w:p>
            <w:pPr>
              <w:jc w:val="right"/>
              <w:ind w:right="886"/>
              <w:spacing w:after="0" w:line="162" w:lineRule="exact"/>
              <w:rPr>
                <w:sz w:val="20"/>
                <w:szCs w:val="20"/>
                <w:color w:val="auto"/>
              </w:rPr>
            </w:pPr>
            <w:r>
              <w:rPr>
                <w:rFonts w:ascii="Arial" w:cs="Arial" w:eastAsia="Arial" w:hAnsi="Arial"/>
                <w:sz w:val="15"/>
                <w:szCs w:val="15"/>
                <w:color w:val="auto"/>
                <w:w w:val="89"/>
              </w:rPr>
              <w:t>2004</w:t>
            </w:r>
          </w:p>
        </w:tc>
        <w:tc>
          <w:tcPr>
            <w:tcW w:w="2140" w:type="dxa"/>
            <w:vAlign w:val="bottom"/>
            <w:gridSpan w:val="2"/>
          </w:tcPr>
          <w:p>
            <w:pPr>
              <w:ind w:left="440"/>
              <w:spacing w:after="0" w:line="162" w:lineRule="exact"/>
              <w:rPr>
                <w:sz w:val="20"/>
                <w:szCs w:val="20"/>
                <w:color w:val="auto"/>
              </w:rPr>
            </w:pPr>
            <w:r>
              <w:rPr>
                <w:rFonts w:ascii="Arial" w:cs="Arial" w:eastAsia="Arial" w:hAnsi="Arial"/>
                <w:sz w:val="15"/>
                <w:szCs w:val="15"/>
                <w:color w:val="auto"/>
              </w:rPr>
              <w:t>Fecha</w:t>
            </w: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380" w:type="dxa"/>
            <w:vAlign w:val="bottom"/>
          </w:tcPr>
          <w:p>
            <w:pPr>
              <w:ind w:left="420"/>
              <w:spacing w:after="0" w:line="162" w:lineRule="exact"/>
              <w:rPr>
                <w:sz w:val="20"/>
                <w:szCs w:val="20"/>
                <w:color w:val="auto"/>
              </w:rPr>
            </w:pPr>
            <w:r>
              <w:rPr>
                <w:rFonts w:ascii="Arial" w:cs="Arial" w:eastAsia="Arial" w:hAnsi="Arial"/>
                <w:sz w:val="15"/>
                <w:szCs w:val="15"/>
                <w:color w:val="auto"/>
              </w:rPr>
              <w:t>Creditítulos</w:t>
            </w:r>
          </w:p>
        </w:tc>
        <w:tc>
          <w:tcPr>
            <w:tcW w:w="1280" w:type="dxa"/>
            <w:vAlign w:val="bottom"/>
          </w:tcPr>
          <w:p>
            <w:pPr>
              <w:jc w:val="right"/>
              <w:ind w:right="886"/>
              <w:spacing w:after="0" w:line="162" w:lineRule="exact"/>
              <w:rPr>
                <w:sz w:val="20"/>
                <w:szCs w:val="20"/>
                <w:color w:val="auto"/>
              </w:rPr>
            </w:pPr>
            <w:r>
              <w:rPr>
                <w:rFonts w:ascii="Arial" w:cs="Arial" w:eastAsia="Arial" w:hAnsi="Arial"/>
                <w:sz w:val="15"/>
                <w:szCs w:val="15"/>
                <w:color w:val="auto"/>
                <w:w w:val="89"/>
              </w:rPr>
              <w:t>2004</w:t>
            </w:r>
          </w:p>
        </w:tc>
        <w:tc>
          <w:tcPr>
            <w:tcW w:w="2120" w:type="dxa"/>
            <w:vAlign w:val="bottom"/>
          </w:tcPr>
          <w:p>
            <w:pPr>
              <w:ind w:left="440"/>
              <w:spacing w:after="0" w:line="162" w:lineRule="exact"/>
              <w:rPr>
                <w:sz w:val="20"/>
                <w:szCs w:val="20"/>
                <w:color w:val="auto"/>
              </w:rPr>
            </w:pPr>
            <w:r>
              <w:rPr>
                <w:rFonts w:ascii="Arial" w:cs="Arial" w:eastAsia="Arial" w:hAnsi="Arial"/>
                <w:sz w:val="15"/>
                <w:szCs w:val="15"/>
                <w:color w:val="auto"/>
              </w:rPr>
              <w:t>2007</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380" w:type="dxa"/>
            <w:vAlign w:val="bottom"/>
          </w:tcPr>
          <w:p>
            <w:pPr>
              <w:ind w:left="420"/>
              <w:spacing w:after="0" w:line="162" w:lineRule="exact"/>
              <w:rPr>
                <w:sz w:val="20"/>
                <w:szCs w:val="20"/>
                <w:color w:val="auto"/>
              </w:rPr>
            </w:pPr>
            <w:r>
              <w:rPr>
                <w:rFonts w:ascii="Arial" w:cs="Arial" w:eastAsia="Arial" w:hAnsi="Arial"/>
                <w:sz w:val="15"/>
                <w:szCs w:val="15"/>
                <w:color w:val="auto"/>
              </w:rPr>
              <w:t>Credifondo</w:t>
            </w:r>
          </w:p>
        </w:tc>
        <w:tc>
          <w:tcPr>
            <w:tcW w:w="1280" w:type="dxa"/>
            <w:vAlign w:val="bottom"/>
          </w:tcPr>
          <w:p>
            <w:pPr>
              <w:jc w:val="right"/>
              <w:ind w:right="886"/>
              <w:spacing w:after="0" w:line="162" w:lineRule="exact"/>
              <w:rPr>
                <w:sz w:val="20"/>
                <w:szCs w:val="20"/>
                <w:color w:val="auto"/>
              </w:rPr>
            </w:pPr>
            <w:r>
              <w:rPr>
                <w:rFonts w:ascii="Arial" w:cs="Arial" w:eastAsia="Arial" w:hAnsi="Arial"/>
                <w:sz w:val="15"/>
                <w:szCs w:val="15"/>
                <w:color w:val="auto"/>
                <w:w w:val="89"/>
              </w:rPr>
              <w:t>2004</w:t>
            </w:r>
          </w:p>
        </w:tc>
        <w:tc>
          <w:tcPr>
            <w:tcW w:w="2120" w:type="dxa"/>
            <w:vAlign w:val="bottom"/>
          </w:tcPr>
          <w:p>
            <w:pPr>
              <w:ind w:left="440"/>
              <w:spacing w:after="0" w:line="162" w:lineRule="exact"/>
              <w:rPr>
                <w:sz w:val="20"/>
                <w:szCs w:val="20"/>
                <w:color w:val="auto"/>
              </w:rPr>
            </w:pPr>
            <w:r>
              <w:rPr>
                <w:rFonts w:ascii="Arial" w:cs="Arial" w:eastAsia="Arial" w:hAnsi="Arial"/>
                <w:sz w:val="15"/>
                <w:szCs w:val="15"/>
                <w:color w:val="auto"/>
              </w:rPr>
              <w:t>2007</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380" w:type="dxa"/>
            <w:vAlign w:val="bottom"/>
          </w:tcPr>
          <w:p>
            <w:pPr>
              <w:ind w:left="420"/>
              <w:spacing w:after="0" w:line="162" w:lineRule="exact"/>
              <w:rPr>
                <w:sz w:val="20"/>
                <w:szCs w:val="20"/>
                <w:color w:val="auto"/>
              </w:rPr>
            </w:pPr>
            <w:r>
              <w:rPr>
                <w:rFonts w:ascii="Arial" w:cs="Arial" w:eastAsia="Arial" w:hAnsi="Arial"/>
                <w:sz w:val="15"/>
                <w:szCs w:val="15"/>
                <w:color w:val="auto"/>
              </w:rPr>
              <w:t>Pacífico Peruano Suiza</w:t>
            </w:r>
          </w:p>
        </w:tc>
        <w:tc>
          <w:tcPr>
            <w:tcW w:w="1280" w:type="dxa"/>
            <w:vAlign w:val="bottom"/>
          </w:tcPr>
          <w:p>
            <w:pPr>
              <w:jc w:val="right"/>
              <w:ind w:right="886"/>
              <w:spacing w:after="0" w:line="162" w:lineRule="exact"/>
              <w:rPr>
                <w:sz w:val="20"/>
                <w:szCs w:val="20"/>
                <w:color w:val="auto"/>
              </w:rPr>
            </w:pPr>
            <w:r>
              <w:rPr>
                <w:rFonts w:ascii="Arial" w:cs="Arial" w:eastAsia="Arial" w:hAnsi="Arial"/>
                <w:sz w:val="15"/>
                <w:szCs w:val="15"/>
                <w:color w:val="auto"/>
                <w:w w:val="89"/>
              </w:rPr>
              <w:t>2003</w:t>
            </w:r>
          </w:p>
        </w:tc>
        <w:tc>
          <w:tcPr>
            <w:tcW w:w="2120" w:type="dxa"/>
            <w:vAlign w:val="bottom"/>
          </w:tcPr>
          <w:p>
            <w:pPr>
              <w:ind w:left="440"/>
              <w:spacing w:after="0" w:line="162" w:lineRule="exact"/>
              <w:rPr>
                <w:sz w:val="20"/>
                <w:szCs w:val="20"/>
                <w:color w:val="auto"/>
              </w:rPr>
            </w:pPr>
            <w:r>
              <w:rPr>
                <w:rFonts w:ascii="Arial" w:cs="Arial" w:eastAsia="Arial" w:hAnsi="Arial"/>
                <w:sz w:val="15"/>
                <w:szCs w:val="15"/>
                <w:color w:val="auto"/>
              </w:rPr>
              <w:t>2006</w:t>
            </w:r>
          </w:p>
        </w:tc>
        <w:tc>
          <w:tcPr>
            <w:tcW w:w="2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3600" w:type="dxa"/>
            <w:vAlign w:val="bottom"/>
            <w:tcBorders>
              <w:bottom w:val="single" w:sz="8" w:color="2C2C2C"/>
            </w:tcBorders>
          </w:tcPr>
          <w:p>
            <w:pPr>
              <w:spacing w:after="0"/>
              <w:rPr>
                <w:sz w:val="15"/>
                <w:szCs w:val="15"/>
                <w:color w:val="auto"/>
              </w:rPr>
            </w:pPr>
          </w:p>
        </w:tc>
        <w:tc>
          <w:tcPr>
            <w:tcW w:w="4380" w:type="dxa"/>
            <w:vAlign w:val="bottom"/>
            <w:tcBorders>
              <w:bottom w:val="single" w:sz="8" w:color="2C2C2C"/>
            </w:tcBorders>
          </w:tcPr>
          <w:p>
            <w:pPr>
              <w:spacing w:after="0"/>
              <w:rPr>
                <w:sz w:val="15"/>
                <w:szCs w:val="15"/>
                <w:color w:val="auto"/>
              </w:rPr>
            </w:pPr>
          </w:p>
        </w:tc>
        <w:tc>
          <w:tcPr>
            <w:tcW w:w="1280" w:type="dxa"/>
            <w:vAlign w:val="bottom"/>
            <w:tcBorders>
              <w:bottom w:val="single" w:sz="8" w:color="2C2C2C"/>
            </w:tcBorders>
          </w:tcPr>
          <w:p>
            <w:pPr>
              <w:spacing w:after="0"/>
              <w:rPr>
                <w:sz w:val="15"/>
                <w:szCs w:val="15"/>
                <w:color w:val="auto"/>
              </w:rPr>
            </w:pPr>
          </w:p>
        </w:tc>
        <w:tc>
          <w:tcPr>
            <w:tcW w:w="2120" w:type="dxa"/>
            <w:vAlign w:val="bottom"/>
            <w:tcBorders>
              <w:bottom w:val="single" w:sz="8" w:color="2C2C2C"/>
            </w:tcBorders>
          </w:tcPr>
          <w:p>
            <w:pPr>
              <w:ind w:left="440"/>
              <w:spacing w:after="0" w:line="172" w:lineRule="exact"/>
              <w:rPr>
                <w:sz w:val="20"/>
                <w:szCs w:val="20"/>
                <w:color w:val="auto"/>
              </w:rPr>
            </w:pPr>
            <w:r>
              <w:rPr>
                <w:rFonts w:ascii="Arial" w:cs="Arial" w:eastAsia="Arial" w:hAnsi="Arial"/>
                <w:sz w:val="15"/>
                <w:szCs w:val="15"/>
                <w:color w:val="auto"/>
              </w:rPr>
              <w:t>2005</w:t>
            </w:r>
          </w:p>
        </w:tc>
        <w:tc>
          <w:tcPr>
            <w:tcW w:w="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3600" w:type="dxa"/>
            <w:vAlign w:val="bottom"/>
          </w:tcPr>
          <w:p>
            <w:pPr>
              <w:ind w:left="20"/>
              <w:spacing w:after="0" w:line="153" w:lineRule="exact"/>
              <w:rPr>
                <w:sz w:val="20"/>
                <w:szCs w:val="20"/>
                <w:color w:val="auto"/>
              </w:rPr>
            </w:pPr>
            <w:r>
              <w:rPr>
                <w:rFonts w:ascii="Arial" w:cs="Arial" w:eastAsia="Arial" w:hAnsi="Arial"/>
                <w:sz w:val="15"/>
                <w:szCs w:val="15"/>
                <w:color w:val="auto"/>
              </w:rPr>
              <w:t>Luis Nicolini Bernucci</w:t>
            </w:r>
          </w:p>
        </w:tc>
        <w:tc>
          <w:tcPr>
            <w:tcW w:w="4380" w:type="dxa"/>
            <w:vAlign w:val="bottom"/>
          </w:tcPr>
          <w:p>
            <w:pPr>
              <w:ind w:left="420"/>
              <w:spacing w:after="0" w:line="153" w:lineRule="exact"/>
              <w:rPr>
                <w:sz w:val="20"/>
                <w:szCs w:val="20"/>
                <w:color w:val="auto"/>
              </w:rPr>
            </w:pPr>
            <w:r>
              <w:rPr>
                <w:rFonts w:ascii="Arial" w:cs="Arial" w:eastAsia="Arial" w:hAnsi="Arial"/>
                <w:sz w:val="15"/>
                <w:szCs w:val="15"/>
                <w:color w:val="auto"/>
              </w:rPr>
              <w:t>Banco de Crédito del Perú</w:t>
            </w:r>
          </w:p>
        </w:tc>
        <w:tc>
          <w:tcPr>
            <w:tcW w:w="1280" w:type="dxa"/>
            <w:vAlign w:val="bottom"/>
          </w:tcPr>
          <w:p>
            <w:pPr>
              <w:jc w:val="right"/>
              <w:ind w:right="886"/>
              <w:spacing w:after="0" w:line="153" w:lineRule="exact"/>
              <w:rPr>
                <w:sz w:val="20"/>
                <w:szCs w:val="20"/>
                <w:color w:val="auto"/>
              </w:rPr>
            </w:pPr>
            <w:r>
              <w:rPr>
                <w:rFonts w:ascii="Arial" w:cs="Arial" w:eastAsia="Arial" w:hAnsi="Arial"/>
                <w:sz w:val="15"/>
                <w:szCs w:val="15"/>
                <w:color w:val="auto"/>
                <w:w w:val="89"/>
              </w:rPr>
              <w:t>1990</w:t>
            </w:r>
          </w:p>
        </w:tc>
        <w:tc>
          <w:tcPr>
            <w:tcW w:w="2120" w:type="dxa"/>
            <w:vAlign w:val="bottom"/>
          </w:tcPr>
          <w:p>
            <w:pPr>
              <w:ind w:left="440"/>
              <w:spacing w:after="0" w:line="153" w:lineRule="exact"/>
              <w:rPr>
                <w:sz w:val="20"/>
                <w:szCs w:val="20"/>
                <w:color w:val="auto"/>
              </w:rPr>
            </w:pPr>
            <w:r>
              <w:rPr>
                <w:rFonts w:ascii="Arial" w:cs="Arial" w:eastAsia="Arial" w:hAnsi="Arial"/>
                <w:sz w:val="15"/>
                <w:szCs w:val="15"/>
                <w:color w:val="auto"/>
              </w:rPr>
              <w:t>Currently 2007</w:t>
            </w:r>
          </w:p>
        </w:tc>
        <w:tc>
          <w:tcPr>
            <w:tcW w:w="20" w:type="dxa"/>
            <w:vAlign w:val="bottom"/>
          </w:tcPr>
          <w:p>
            <w:pPr>
              <w:spacing w:after="0"/>
              <w:rPr>
                <w:sz w:val="13"/>
                <w:szCs w:val="13"/>
                <w:color w:val="auto"/>
              </w:rPr>
            </w:pPr>
          </w:p>
        </w:tc>
      </w:tr>
      <w:tr>
        <w:trPr>
          <w:trHeight w:val="178"/>
        </w:trPr>
        <w:tc>
          <w:tcPr>
            <w:tcW w:w="20" w:type="dxa"/>
            <w:vAlign w:val="bottom"/>
            <w:tcBorders>
              <w:bottom w:val="single" w:sz="8" w:color="2C2C2C"/>
            </w:tcBorders>
          </w:tcPr>
          <w:p>
            <w:pPr>
              <w:spacing w:after="0"/>
              <w:rPr>
                <w:sz w:val="15"/>
                <w:szCs w:val="15"/>
                <w:color w:val="auto"/>
              </w:rPr>
            </w:pPr>
          </w:p>
        </w:tc>
        <w:tc>
          <w:tcPr>
            <w:tcW w:w="3600" w:type="dxa"/>
            <w:vAlign w:val="bottom"/>
            <w:tcBorders>
              <w:bottom w:val="single" w:sz="8" w:color="2C2C2C"/>
            </w:tcBorders>
          </w:tcPr>
          <w:p>
            <w:pPr>
              <w:spacing w:after="0"/>
              <w:rPr>
                <w:sz w:val="15"/>
                <w:szCs w:val="15"/>
                <w:color w:val="auto"/>
              </w:rPr>
            </w:pPr>
          </w:p>
        </w:tc>
        <w:tc>
          <w:tcPr>
            <w:tcW w:w="4380" w:type="dxa"/>
            <w:vAlign w:val="bottom"/>
            <w:tcBorders>
              <w:bottom w:val="single" w:sz="8" w:color="2C2C2C"/>
            </w:tcBorders>
          </w:tcPr>
          <w:p>
            <w:pPr>
              <w:ind w:left="420"/>
              <w:spacing w:after="0" w:line="172" w:lineRule="exact"/>
              <w:rPr>
                <w:sz w:val="20"/>
                <w:szCs w:val="20"/>
                <w:color w:val="auto"/>
              </w:rPr>
            </w:pPr>
            <w:r>
              <w:rPr>
                <w:rFonts w:ascii="Arial" w:cs="Arial" w:eastAsia="Arial" w:hAnsi="Arial"/>
                <w:sz w:val="15"/>
                <w:szCs w:val="15"/>
                <w:color w:val="auto"/>
              </w:rPr>
              <w:t>Credileasing</w:t>
            </w:r>
          </w:p>
        </w:tc>
        <w:tc>
          <w:tcPr>
            <w:tcW w:w="1280" w:type="dxa"/>
            <w:vAlign w:val="bottom"/>
            <w:tcBorders>
              <w:bottom w:val="single" w:sz="8" w:color="2C2C2C"/>
            </w:tcBorders>
          </w:tcPr>
          <w:p>
            <w:pPr>
              <w:jc w:val="right"/>
              <w:ind w:right="886"/>
              <w:spacing w:after="0" w:line="172" w:lineRule="exact"/>
              <w:rPr>
                <w:sz w:val="20"/>
                <w:szCs w:val="20"/>
                <w:color w:val="auto"/>
              </w:rPr>
            </w:pPr>
            <w:r>
              <w:rPr>
                <w:rFonts w:ascii="Arial" w:cs="Arial" w:eastAsia="Arial" w:hAnsi="Arial"/>
                <w:sz w:val="15"/>
                <w:szCs w:val="15"/>
                <w:color w:val="auto"/>
                <w:w w:val="89"/>
              </w:rPr>
              <w:t>2004</w:t>
            </w:r>
          </w:p>
        </w:tc>
        <w:tc>
          <w:tcPr>
            <w:tcW w:w="2120" w:type="dxa"/>
            <w:vAlign w:val="bottom"/>
            <w:tcBorders>
              <w:bottom w:val="single" w:sz="8" w:color="2C2C2C"/>
            </w:tcBorders>
          </w:tcPr>
          <w:p>
            <w:pPr>
              <w:ind w:left="440"/>
              <w:spacing w:after="0" w:line="172" w:lineRule="exact"/>
              <w:rPr>
                <w:sz w:val="20"/>
                <w:szCs w:val="20"/>
                <w:color w:val="auto"/>
              </w:rPr>
            </w:pPr>
            <w:r>
              <w:rPr>
                <w:rFonts w:ascii="Arial" w:cs="Arial" w:eastAsia="Arial" w:hAnsi="Arial"/>
                <w:sz w:val="15"/>
                <w:szCs w:val="15"/>
                <w:color w:val="auto"/>
              </w:rPr>
              <w:t>2007</w:t>
            </w:r>
          </w:p>
        </w:tc>
        <w:tc>
          <w:tcPr>
            <w:tcW w:w="20" w:type="dxa"/>
            <w:vAlign w:val="bottom"/>
            <w:tcBorders>
              <w:bottom w:val="single" w:sz="8" w:color="2C2C2C"/>
            </w:tcBorders>
          </w:tcPr>
          <w:p>
            <w:pPr>
              <w:spacing w:after="0"/>
              <w:rPr>
                <w:sz w:val="15"/>
                <w:szCs w:val="15"/>
                <w:color w:val="auto"/>
              </w:rPr>
            </w:pPr>
          </w:p>
        </w:tc>
      </w:tr>
      <w:tr>
        <w:trPr>
          <w:trHeight w:val="361"/>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-1240155</wp:posOffset>
            </wp:positionV>
            <wp:extent cx="42545" cy="1003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545" cy="100330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0"/>
        </w:trPr>
        <w:tc>
          <w:tcPr>
            <w:tcW w:w="20" w:type="dxa"/>
            <w:vAlign w:val="bottom"/>
            <w:tcBorders>
              <w:top w:val="single" w:sz="8" w:color="808080"/>
            </w:tcBorders>
          </w:tcPr>
          <w:p>
            <w:pPr>
              <w:spacing w:after="0"/>
              <w:rPr>
                <w:sz w:val="15"/>
                <w:szCs w:val="15"/>
                <w:color w:val="auto"/>
              </w:rPr>
            </w:pPr>
          </w:p>
        </w:tc>
        <w:tc>
          <w:tcPr>
            <w:tcW w:w="2880" w:type="dxa"/>
            <w:vAlign w:val="bottom"/>
            <w:tcBorders>
              <w:top w:val="single" w:sz="8" w:color="2C2C2C"/>
            </w:tcBorders>
          </w:tcPr>
          <w:p>
            <w:pPr>
              <w:spacing w:after="0"/>
              <w:rPr>
                <w:sz w:val="15"/>
                <w:szCs w:val="15"/>
                <w:color w:val="auto"/>
              </w:rPr>
            </w:pPr>
          </w:p>
        </w:tc>
        <w:tc>
          <w:tcPr>
            <w:tcW w:w="3900" w:type="dxa"/>
            <w:vAlign w:val="bottom"/>
            <w:tcBorders>
              <w:top w:val="single" w:sz="8" w:color="2C2C2C"/>
            </w:tcBorders>
          </w:tcPr>
          <w:p>
            <w:pPr>
              <w:ind w:left="1140"/>
              <w:spacing w:after="0"/>
              <w:rPr>
                <w:sz w:val="20"/>
                <w:szCs w:val="20"/>
                <w:color w:val="auto"/>
              </w:rPr>
            </w:pPr>
            <w:r>
              <w:rPr>
                <w:rFonts w:ascii="Arial" w:cs="Arial" w:eastAsia="Arial" w:hAnsi="Arial"/>
                <w:sz w:val="15"/>
                <w:szCs w:val="15"/>
                <w:color w:val="auto"/>
              </w:rPr>
              <w:t>Creditítulos</w:t>
            </w:r>
          </w:p>
        </w:tc>
        <w:tc>
          <w:tcPr>
            <w:tcW w:w="2220" w:type="dxa"/>
            <w:vAlign w:val="bottom"/>
            <w:tcBorders>
              <w:top w:val="single" w:sz="8" w:color="2C2C2C"/>
            </w:tcBorders>
          </w:tcPr>
          <w:p>
            <w:pPr>
              <w:jc w:val="right"/>
              <w:ind w:right="626"/>
              <w:spacing w:after="0"/>
              <w:rPr>
                <w:sz w:val="20"/>
                <w:szCs w:val="20"/>
                <w:color w:val="auto"/>
              </w:rPr>
            </w:pPr>
            <w:r>
              <w:rPr>
                <w:rFonts w:ascii="Arial" w:cs="Arial" w:eastAsia="Arial" w:hAnsi="Arial"/>
                <w:sz w:val="15"/>
                <w:szCs w:val="15"/>
                <w:color w:val="auto"/>
              </w:rPr>
              <w:t>2004</w:t>
            </w:r>
          </w:p>
        </w:tc>
        <w:tc>
          <w:tcPr>
            <w:tcW w:w="2380" w:type="dxa"/>
            <w:vAlign w:val="bottom"/>
            <w:tcBorders>
              <w:top w:val="single" w:sz="8" w:color="2C2C2C"/>
            </w:tcBorders>
          </w:tcPr>
          <w:p>
            <w:pPr>
              <w:ind w:left="700"/>
              <w:spacing w:after="0"/>
              <w:rPr>
                <w:sz w:val="20"/>
                <w:szCs w:val="20"/>
                <w:color w:val="auto"/>
              </w:rPr>
            </w:pPr>
            <w:r>
              <w:rPr>
                <w:rFonts w:ascii="Arial" w:cs="Arial" w:eastAsia="Arial" w:hAnsi="Arial"/>
                <w:sz w:val="15"/>
                <w:szCs w:val="15"/>
                <w:color w:val="auto"/>
              </w:rPr>
              <w:t>2006</w:t>
            </w:r>
          </w:p>
        </w:tc>
        <w:tc>
          <w:tcPr>
            <w:tcW w:w="20" w:type="dxa"/>
            <w:vAlign w:val="bottom"/>
            <w:tcBorders>
              <w:top w:val="single" w:sz="8" w:color="808080"/>
            </w:tcBorders>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Credifondo</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2004</w:t>
            </w:r>
          </w:p>
        </w:tc>
        <w:tc>
          <w:tcPr>
            <w:tcW w:w="2380" w:type="dxa"/>
            <w:vAlign w:val="bottom"/>
          </w:tcPr>
          <w:p>
            <w:pPr>
              <w:ind w:left="700"/>
              <w:spacing w:after="0" w:line="162" w:lineRule="exact"/>
              <w:rPr>
                <w:sz w:val="20"/>
                <w:szCs w:val="20"/>
                <w:color w:val="auto"/>
              </w:rPr>
            </w:pPr>
            <w:r>
              <w:rPr>
                <w:rFonts w:ascii="Arial" w:cs="Arial" w:eastAsia="Arial" w:hAnsi="Arial"/>
                <w:sz w:val="15"/>
                <w:szCs w:val="15"/>
                <w:color w:val="auto"/>
              </w:rPr>
              <w:t>2007</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Alicorp</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2004</w:t>
            </w:r>
          </w:p>
        </w:tc>
        <w:tc>
          <w:tcPr>
            <w:tcW w:w="2380" w:type="dxa"/>
            <w:vAlign w:val="bottom"/>
          </w:tcPr>
          <w:p>
            <w:pPr>
              <w:ind w:left="700"/>
              <w:spacing w:after="0" w:line="162" w:lineRule="exact"/>
              <w:rPr>
                <w:sz w:val="20"/>
                <w:szCs w:val="20"/>
                <w:color w:val="auto"/>
              </w:rPr>
            </w:pPr>
            <w:r>
              <w:rPr>
                <w:rFonts w:ascii="Arial" w:cs="Arial" w:eastAsia="Arial" w:hAnsi="Arial"/>
                <w:sz w:val="15"/>
                <w:szCs w:val="15"/>
                <w:color w:val="auto"/>
              </w:rPr>
              <w:t>2005</w:t>
            </w:r>
          </w:p>
        </w:tc>
        <w:tc>
          <w:tcPr>
            <w:tcW w:w="2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3900" w:type="dxa"/>
            <w:vAlign w:val="bottom"/>
            <w:tcBorders>
              <w:bottom w:val="single" w:sz="8" w:color="2C2C2C"/>
            </w:tcBorders>
          </w:tcPr>
          <w:p>
            <w:pPr>
              <w:ind w:left="1140"/>
              <w:spacing w:after="0" w:line="172" w:lineRule="exact"/>
              <w:rPr>
                <w:sz w:val="20"/>
                <w:szCs w:val="20"/>
                <w:color w:val="auto"/>
              </w:rPr>
            </w:pPr>
            <w:r>
              <w:rPr>
                <w:rFonts w:ascii="Arial" w:cs="Arial" w:eastAsia="Arial" w:hAnsi="Arial"/>
                <w:sz w:val="15"/>
                <w:szCs w:val="15"/>
                <w:color w:val="auto"/>
              </w:rPr>
              <w:t>Pacífico Peruano Suiza</w:t>
            </w:r>
          </w:p>
        </w:tc>
        <w:tc>
          <w:tcPr>
            <w:tcW w:w="2220" w:type="dxa"/>
            <w:vAlign w:val="bottom"/>
            <w:tcBorders>
              <w:bottom w:val="single" w:sz="8" w:color="2C2C2C"/>
            </w:tcBorders>
          </w:tcPr>
          <w:p>
            <w:pPr>
              <w:jc w:val="right"/>
              <w:ind w:right="626"/>
              <w:spacing w:after="0" w:line="172" w:lineRule="exact"/>
              <w:rPr>
                <w:sz w:val="20"/>
                <w:szCs w:val="20"/>
                <w:color w:val="auto"/>
              </w:rPr>
            </w:pPr>
            <w:r>
              <w:rPr>
                <w:rFonts w:ascii="Arial" w:cs="Arial" w:eastAsia="Arial" w:hAnsi="Arial"/>
                <w:sz w:val="15"/>
                <w:szCs w:val="15"/>
                <w:color w:val="auto"/>
              </w:rPr>
              <w:t>2003</w:t>
            </w:r>
          </w:p>
        </w:tc>
        <w:tc>
          <w:tcPr>
            <w:tcW w:w="23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2880" w:type="dxa"/>
            <w:vAlign w:val="bottom"/>
          </w:tcPr>
          <w:p>
            <w:pPr>
              <w:ind w:left="20"/>
              <w:spacing w:after="0" w:line="153" w:lineRule="exact"/>
              <w:rPr>
                <w:sz w:val="20"/>
                <w:szCs w:val="20"/>
                <w:color w:val="auto"/>
              </w:rPr>
            </w:pPr>
            <w:r>
              <w:rPr>
                <w:rFonts w:ascii="Arial" w:cs="Arial" w:eastAsia="Arial" w:hAnsi="Arial"/>
                <w:sz w:val="15"/>
                <w:szCs w:val="15"/>
                <w:color w:val="auto"/>
              </w:rPr>
              <w:t>Fernando Fort Marie</w:t>
            </w:r>
          </w:p>
        </w:tc>
        <w:tc>
          <w:tcPr>
            <w:tcW w:w="3900" w:type="dxa"/>
            <w:vAlign w:val="bottom"/>
          </w:tcPr>
          <w:p>
            <w:pPr>
              <w:ind w:left="1140"/>
              <w:spacing w:after="0" w:line="153" w:lineRule="exact"/>
              <w:rPr>
                <w:sz w:val="20"/>
                <w:szCs w:val="20"/>
                <w:color w:val="auto"/>
              </w:rPr>
            </w:pPr>
            <w:r>
              <w:rPr>
                <w:rFonts w:ascii="Arial" w:cs="Arial" w:eastAsia="Arial" w:hAnsi="Arial"/>
                <w:sz w:val="15"/>
                <w:szCs w:val="15"/>
                <w:color w:val="auto"/>
              </w:rPr>
              <w:t>Banco de Crédito del Perú</w:t>
            </w:r>
          </w:p>
        </w:tc>
        <w:tc>
          <w:tcPr>
            <w:tcW w:w="2220" w:type="dxa"/>
            <w:vAlign w:val="bottom"/>
          </w:tcPr>
          <w:p>
            <w:pPr>
              <w:jc w:val="right"/>
              <w:ind w:right="626"/>
              <w:spacing w:after="0" w:line="153" w:lineRule="exact"/>
              <w:rPr>
                <w:sz w:val="20"/>
                <w:szCs w:val="20"/>
                <w:color w:val="auto"/>
              </w:rPr>
            </w:pPr>
            <w:r>
              <w:rPr>
                <w:rFonts w:ascii="Arial" w:cs="Arial" w:eastAsia="Arial" w:hAnsi="Arial"/>
                <w:sz w:val="15"/>
                <w:szCs w:val="15"/>
                <w:color w:val="auto"/>
              </w:rPr>
              <w:t>1990</w:t>
            </w:r>
          </w:p>
        </w:tc>
        <w:tc>
          <w:tcPr>
            <w:tcW w:w="2380" w:type="dxa"/>
            <w:vAlign w:val="bottom"/>
          </w:tcPr>
          <w:p>
            <w:pPr>
              <w:ind w:left="700"/>
              <w:spacing w:after="0" w:line="153" w:lineRule="exact"/>
              <w:rPr>
                <w:sz w:val="20"/>
                <w:szCs w:val="20"/>
                <w:color w:val="auto"/>
              </w:rPr>
            </w:pPr>
            <w:r>
              <w:rPr>
                <w:rFonts w:ascii="Arial" w:cs="Arial" w:eastAsia="Arial" w:hAnsi="Arial"/>
                <w:sz w:val="15"/>
                <w:szCs w:val="15"/>
                <w:color w:val="auto"/>
              </w:rPr>
              <w:t>Currently 2007</w:t>
            </w: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Credileasing</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2004</w:t>
            </w:r>
          </w:p>
        </w:tc>
        <w:tc>
          <w:tcPr>
            <w:tcW w:w="2380" w:type="dxa"/>
            <w:vAlign w:val="bottom"/>
          </w:tcPr>
          <w:p>
            <w:pPr>
              <w:ind w:left="700"/>
              <w:spacing w:after="0" w:line="162" w:lineRule="exact"/>
              <w:rPr>
                <w:sz w:val="20"/>
                <w:szCs w:val="20"/>
                <w:color w:val="auto"/>
              </w:rPr>
            </w:pPr>
            <w:r>
              <w:rPr>
                <w:rFonts w:ascii="Arial" w:cs="Arial" w:eastAsia="Arial" w:hAnsi="Arial"/>
                <w:sz w:val="15"/>
                <w:szCs w:val="15"/>
                <w:color w:val="auto"/>
              </w:rPr>
              <w:t>2007</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Creditítulos</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2004</w:t>
            </w:r>
          </w:p>
        </w:tc>
        <w:tc>
          <w:tcPr>
            <w:tcW w:w="2380" w:type="dxa"/>
            <w:vAlign w:val="bottom"/>
          </w:tcPr>
          <w:p>
            <w:pPr>
              <w:ind w:left="700"/>
              <w:spacing w:after="0" w:line="162" w:lineRule="exact"/>
              <w:rPr>
                <w:sz w:val="20"/>
                <w:szCs w:val="20"/>
                <w:color w:val="auto"/>
              </w:rPr>
            </w:pPr>
            <w:r>
              <w:rPr>
                <w:rFonts w:ascii="Arial" w:cs="Arial" w:eastAsia="Arial" w:hAnsi="Arial"/>
                <w:sz w:val="15"/>
                <w:szCs w:val="15"/>
                <w:color w:val="auto"/>
              </w:rPr>
              <w:t>2006</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Credifondo</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2004</w:t>
            </w:r>
          </w:p>
        </w:tc>
        <w:tc>
          <w:tcPr>
            <w:tcW w:w="2380" w:type="dxa"/>
            <w:vAlign w:val="bottom"/>
          </w:tcPr>
          <w:p>
            <w:pPr>
              <w:ind w:left="700"/>
              <w:spacing w:after="0" w:line="162" w:lineRule="exact"/>
              <w:rPr>
                <w:sz w:val="20"/>
                <w:szCs w:val="20"/>
                <w:color w:val="auto"/>
              </w:rPr>
            </w:pPr>
            <w:r>
              <w:rPr>
                <w:rFonts w:ascii="Arial" w:cs="Arial" w:eastAsia="Arial" w:hAnsi="Arial"/>
                <w:sz w:val="15"/>
                <w:szCs w:val="15"/>
                <w:color w:val="auto"/>
              </w:rPr>
              <w:t>2006</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Inversiones Centenario</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2003</w:t>
            </w:r>
          </w:p>
        </w:tc>
        <w:tc>
          <w:tcPr>
            <w:tcW w:w="2400" w:type="dxa"/>
            <w:vAlign w:val="bottom"/>
            <w:gridSpan w:val="2"/>
          </w:tcPr>
          <w:p>
            <w:pPr>
              <w:ind w:left="700"/>
              <w:spacing w:after="0" w:line="162" w:lineRule="exact"/>
              <w:rPr>
                <w:sz w:val="20"/>
                <w:szCs w:val="20"/>
                <w:color w:val="auto"/>
              </w:rPr>
            </w:pPr>
            <w:r>
              <w:rPr>
                <w:rFonts w:ascii="Arial" w:cs="Arial" w:eastAsia="Arial" w:hAnsi="Arial"/>
                <w:sz w:val="15"/>
                <w:szCs w:val="15"/>
                <w:color w:val="auto"/>
              </w:rPr>
              <w:t>Currently</w:t>
            </w:r>
          </w:p>
        </w:tc>
      </w:tr>
      <w:tr>
        <w:trPr>
          <w:trHeight w:val="178"/>
        </w:trPr>
        <w:tc>
          <w:tcPr>
            <w:tcW w:w="20" w:type="dxa"/>
            <w:vAlign w:val="bottom"/>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3900" w:type="dxa"/>
            <w:vAlign w:val="bottom"/>
            <w:tcBorders>
              <w:bottom w:val="single" w:sz="8" w:color="2C2C2C"/>
            </w:tcBorders>
          </w:tcPr>
          <w:p>
            <w:pPr>
              <w:ind w:left="1140"/>
              <w:spacing w:after="0" w:line="172" w:lineRule="exact"/>
              <w:rPr>
                <w:sz w:val="20"/>
                <w:szCs w:val="20"/>
                <w:color w:val="auto"/>
              </w:rPr>
            </w:pPr>
            <w:r>
              <w:rPr>
                <w:rFonts w:ascii="Arial" w:cs="Arial" w:eastAsia="Arial" w:hAnsi="Arial"/>
                <w:sz w:val="15"/>
                <w:szCs w:val="15"/>
                <w:color w:val="auto"/>
              </w:rPr>
              <w:t>ETEVENSA</w:t>
            </w:r>
          </w:p>
        </w:tc>
        <w:tc>
          <w:tcPr>
            <w:tcW w:w="2220" w:type="dxa"/>
            <w:vAlign w:val="bottom"/>
            <w:tcBorders>
              <w:bottom w:val="single" w:sz="8" w:color="2C2C2C"/>
            </w:tcBorders>
          </w:tcPr>
          <w:p>
            <w:pPr>
              <w:jc w:val="right"/>
              <w:ind w:right="626"/>
              <w:spacing w:after="0" w:line="172" w:lineRule="exact"/>
              <w:rPr>
                <w:sz w:val="20"/>
                <w:szCs w:val="20"/>
                <w:color w:val="auto"/>
              </w:rPr>
            </w:pPr>
            <w:r>
              <w:rPr>
                <w:rFonts w:ascii="Arial" w:cs="Arial" w:eastAsia="Arial" w:hAnsi="Arial"/>
                <w:sz w:val="15"/>
                <w:szCs w:val="15"/>
                <w:color w:val="auto"/>
              </w:rPr>
              <w:t>2004</w:t>
            </w:r>
          </w:p>
        </w:tc>
        <w:tc>
          <w:tcPr>
            <w:tcW w:w="23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2880" w:type="dxa"/>
            <w:vAlign w:val="bottom"/>
          </w:tcPr>
          <w:p>
            <w:pPr>
              <w:ind w:left="20"/>
              <w:spacing w:after="0" w:line="153" w:lineRule="exact"/>
              <w:rPr>
                <w:sz w:val="20"/>
                <w:szCs w:val="20"/>
                <w:color w:val="auto"/>
              </w:rPr>
            </w:pPr>
            <w:r>
              <w:rPr>
                <w:rFonts w:ascii="Arial" w:cs="Arial" w:eastAsia="Arial" w:hAnsi="Arial"/>
                <w:sz w:val="15"/>
                <w:szCs w:val="15"/>
                <w:color w:val="auto"/>
              </w:rPr>
              <w:t>Reynaldo Llosa Barber</w:t>
            </w:r>
          </w:p>
        </w:tc>
        <w:tc>
          <w:tcPr>
            <w:tcW w:w="3900" w:type="dxa"/>
            <w:vAlign w:val="bottom"/>
          </w:tcPr>
          <w:p>
            <w:pPr>
              <w:ind w:left="1140"/>
              <w:spacing w:after="0" w:line="153" w:lineRule="exact"/>
              <w:rPr>
                <w:sz w:val="20"/>
                <w:szCs w:val="20"/>
                <w:color w:val="auto"/>
              </w:rPr>
            </w:pPr>
            <w:r>
              <w:rPr>
                <w:rFonts w:ascii="Arial" w:cs="Arial" w:eastAsia="Arial" w:hAnsi="Arial"/>
                <w:sz w:val="15"/>
                <w:szCs w:val="15"/>
                <w:color w:val="auto"/>
              </w:rPr>
              <w:t>Banco de Crédito del Perú</w:t>
            </w:r>
          </w:p>
        </w:tc>
        <w:tc>
          <w:tcPr>
            <w:tcW w:w="2220" w:type="dxa"/>
            <w:vAlign w:val="bottom"/>
          </w:tcPr>
          <w:p>
            <w:pPr>
              <w:jc w:val="right"/>
              <w:ind w:right="626"/>
              <w:spacing w:after="0" w:line="153" w:lineRule="exact"/>
              <w:rPr>
                <w:sz w:val="20"/>
                <w:szCs w:val="20"/>
                <w:color w:val="auto"/>
              </w:rPr>
            </w:pPr>
            <w:r>
              <w:rPr>
                <w:rFonts w:ascii="Arial" w:cs="Arial" w:eastAsia="Arial" w:hAnsi="Arial"/>
                <w:sz w:val="15"/>
                <w:szCs w:val="15"/>
                <w:color w:val="auto"/>
              </w:rPr>
              <w:t>1990</w:t>
            </w:r>
          </w:p>
        </w:tc>
        <w:tc>
          <w:tcPr>
            <w:tcW w:w="2380" w:type="dxa"/>
            <w:vAlign w:val="bottom"/>
          </w:tcPr>
          <w:p>
            <w:pPr>
              <w:ind w:left="700"/>
              <w:spacing w:after="0" w:line="153" w:lineRule="exact"/>
              <w:rPr>
                <w:sz w:val="20"/>
                <w:szCs w:val="20"/>
                <w:color w:val="auto"/>
              </w:rPr>
            </w:pPr>
            <w:r>
              <w:rPr>
                <w:rFonts w:ascii="Arial" w:cs="Arial" w:eastAsia="Arial" w:hAnsi="Arial"/>
                <w:sz w:val="15"/>
                <w:szCs w:val="15"/>
                <w:color w:val="auto"/>
              </w:rPr>
              <w:t>Currently 2007</w:t>
            </w: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Credileasing</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2004</w:t>
            </w:r>
          </w:p>
        </w:tc>
        <w:tc>
          <w:tcPr>
            <w:tcW w:w="2380" w:type="dxa"/>
            <w:vAlign w:val="bottom"/>
          </w:tcPr>
          <w:p>
            <w:pPr>
              <w:ind w:left="700"/>
              <w:spacing w:after="0" w:line="162" w:lineRule="exact"/>
              <w:rPr>
                <w:sz w:val="20"/>
                <w:szCs w:val="20"/>
                <w:color w:val="auto"/>
              </w:rPr>
            </w:pPr>
            <w:r>
              <w:rPr>
                <w:rFonts w:ascii="Arial" w:cs="Arial" w:eastAsia="Arial" w:hAnsi="Arial"/>
                <w:sz w:val="15"/>
                <w:szCs w:val="15"/>
                <w:color w:val="auto"/>
              </w:rPr>
              <w:t>2007</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Creditítulos</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2004</w:t>
            </w:r>
          </w:p>
        </w:tc>
        <w:tc>
          <w:tcPr>
            <w:tcW w:w="2380" w:type="dxa"/>
            <w:vAlign w:val="bottom"/>
          </w:tcPr>
          <w:p>
            <w:pPr>
              <w:ind w:left="700"/>
              <w:spacing w:after="0" w:line="162" w:lineRule="exact"/>
              <w:rPr>
                <w:sz w:val="20"/>
                <w:szCs w:val="20"/>
                <w:color w:val="auto"/>
              </w:rPr>
            </w:pPr>
            <w:r>
              <w:rPr>
                <w:rFonts w:ascii="Arial" w:cs="Arial" w:eastAsia="Arial" w:hAnsi="Arial"/>
                <w:sz w:val="15"/>
                <w:szCs w:val="15"/>
                <w:color w:val="auto"/>
              </w:rPr>
              <w:t>2006</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Credifondo</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2004</w:t>
            </w:r>
          </w:p>
        </w:tc>
        <w:tc>
          <w:tcPr>
            <w:tcW w:w="2380" w:type="dxa"/>
            <w:vAlign w:val="bottom"/>
          </w:tcPr>
          <w:p>
            <w:pPr>
              <w:ind w:left="700"/>
              <w:spacing w:after="0" w:line="162" w:lineRule="exact"/>
              <w:rPr>
                <w:sz w:val="20"/>
                <w:szCs w:val="20"/>
                <w:color w:val="auto"/>
              </w:rPr>
            </w:pPr>
            <w:r>
              <w:rPr>
                <w:rFonts w:ascii="Arial" w:cs="Arial" w:eastAsia="Arial" w:hAnsi="Arial"/>
                <w:sz w:val="15"/>
                <w:szCs w:val="15"/>
                <w:color w:val="auto"/>
              </w:rPr>
              <w:t>2006</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Inversiones Centenario</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2003</w:t>
            </w:r>
          </w:p>
        </w:tc>
        <w:tc>
          <w:tcPr>
            <w:tcW w:w="2380" w:type="dxa"/>
            <w:vAlign w:val="bottom"/>
          </w:tcPr>
          <w:p>
            <w:pPr>
              <w:ind w:left="700"/>
              <w:spacing w:after="0" w:line="162" w:lineRule="exact"/>
              <w:rPr>
                <w:sz w:val="20"/>
                <w:szCs w:val="20"/>
                <w:color w:val="auto"/>
              </w:rPr>
            </w:pPr>
            <w:r>
              <w:rPr>
                <w:rFonts w:ascii="Arial" w:cs="Arial" w:eastAsia="Arial" w:hAnsi="Arial"/>
                <w:sz w:val="15"/>
                <w:szCs w:val="15"/>
                <w:color w:val="auto"/>
              </w:rPr>
              <w:t>2005</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Pacífico Peruano Suiza</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2003</w:t>
            </w:r>
          </w:p>
        </w:tc>
        <w:tc>
          <w:tcPr>
            <w:tcW w:w="2400" w:type="dxa"/>
            <w:vAlign w:val="bottom"/>
            <w:gridSpan w:val="2"/>
          </w:tcPr>
          <w:p>
            <w:pPr>
              <w:ind w:left="700"/>
              <w:spacing w:after="0" w:line="162" w:lineRule="exact"/>
              <w:rPr>
                <w:sz w:val="20"/>
                <w:szCs w:val="20"/>
                <w:color w:val="auto"/>
              </w:rPr>
            </w:pPr>
            <w:r>
              <w:rPr>
                <w:rFonts w:ascii="Arial" w:cs="Arial" w:eastAsia="Arial" w:hAnsi="Arial"/>
                <w:sz w:val="15"/>
                <w:szCs w:val="15"/>
                <w:color w:val="auto"/>
              </w:rPr>
              <w:t>Currently</w:t>
            </w:r>
          </w:p>
        </w:tc>
      </w:tr>
      <w:tr>
        <w:trPr>
          <w:trHeight w:val="178"/>
        </w:trPr>
        <w:tc>
          <w:tcPr>
            <w:tcW w:w="20" w:type="dxa"/>
            <w:vAlign w:val="bottom"/>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3900" w:type="dxa"/>
            <w:vAlign w:val="bottom"/>
            <w:tcBorders>
              <w:bottom w:val="single" w:sz="8" w:color="2C2C2C"/>
            </w:tcBorders>
          </w:tcPr>
          <w:p>
            <w:pPr>
              <w:ind w:left="1140"/>
              <w:spacing w:after="0" w:line="172" w:lineRule="exact"/>
              <w:rPr>
                <w:sz w:val="20"/>
                <w:szCs w:val="20"/>
                <w:color w:val="auto"/>
              </w:rPr>
            </w:pPr>
            <w:r>
              <w:rPr>
                <w:rFonts w:ascii="Arial" w:cs="Arial" w:eastAsia="Arial" w:hAnsi="Arial"/>
                <w:sz w:val="15"/>
                <w:szCs w:val="15"/>
                <w:color w:val="auto"/>
              </w:rPr>
              <w:t>ETEVENSA</w:t>
            </w:r>
          </w:p>
        </w:tc>
        <w:tc>
          <w:tcPr>
            <w:tcW w:w="2220" w:type="dxa"/>
            <w:vAlign w:val="bottom"/>
            <w:tcBorders>
              <w:bottom w:val="single" w:sz="8" w:color="2C2C2C"/>
            </w:tcBorders>
          </w:tcPr>
          <w:p>
            <w:pPr>
              <w:jc w:val="right"/>
              <w:ind w:right="626"/>
              <w:spacing w:after="0" w:line="172" w:lineRule="exact"/>
              <w:rPr>
                <w:sz w:val="20"/>
                <w:szCs w:val="20"/>
                <w:color w:val="auto"/>
              </w:rPr>
            </w:pPr>
            <w:r>
              <w:rPr>
                <w:rFonts w:ascii="Arial" w:cs="Arial" w:eastAsia="Arial" w:hAnsi="Arial"/>
                <w:sz w:val="15"/>
                <w:szCs w:val="15"/>
                <w:color w:val="auto"/>
              </w:rPr>
              <w:t>2004</w:t>
            </w:r>
          </w:p>
        </w:tc>
        <w:tc>
          <w:tcPr>
            <w:tcW w:w="23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2880" w:type="dxa"/>
            <w:vAlign w:val="bottom"/>
          </w:tcPr>
          <w:p>
            <w:pPr>
              <w:ind w:left="20"/>
              <w:spacing w:after="0" w:line="153" w:lineRule="exact"/>
              <w:rPr>
                <w:sz w:val="20"/>
                <w:szCs w:val="20"/>
                <w:color w:val="auto"/>
              </w:rPr>
            </w:pPr>
            <w:r>
              <w:rPr>
                <w:rFonts w:ascii="Arial" w:cs="Arial" w:eastAsia="Arial" w:hAnsi="Arial"/>
                <w:sz w:val="15"/>
                <w:szCs w:val="15"/>
                <w:color w:val="auto"/>
              </w:rPr>
              <w:t>Juan Carlos Verme Giannoni</w:t>
            </w:r>
          </w:p>
        </w:tc>
        <w:tc>
          <w:tcPr>
            <w:tcW w:w="3900" w:type="dxa"/>
            <w:vAlign w:val="bottom"/>
          </w:tcPr>
          <w:p>
            <w:pPr>
              <w:ind w:left="1140"/>
              <w:spacing w:after="0" w:line="153" w:lineRule="exact"/>
              <w:rPr>
                <w:sz w:val="20"/>
                <w:szCs w:val="20"/>
                <w:color w:val="auto"/>
              </w:rPr>
            </w:pPr>
            <w:r>
              <w:rPr>
                <w:rFonts w:ascii="Arial" w:cs="Arial" w:eastAsia="Arial" w:hAnsi="Arial"/>
                <w:sz w:val="15"/>
                <w:szCs w:val="15"/>
                <w:color w:val="auto"/>
              </w:rPr>
              <w:t>Banco de Crédito del Perú</w:t>
            </w:r>
          </w:p>
        </w:tc>
        <w:tc>
          <w:tcPr>
            <w:tcW w:w="2220" w:type="dxa"/>
            <w:vAlign w:val="bottom"/>
          </w:tcPr>
          <w:p>
            <w:pPr>
              <w:jc w:val="right"/>
              <w:ind w:right="626"/>
              <w:spacing w:after="0" w:line="153" w:lineRule="exact"/>
              <w:rPr>
                <w:sz w:val="20"/>
                <w:szCs w:val="20"/>
                <w:color w:val="auto"/>
              </w:rPr>
            </w:pPr>
            <w:r>
              <w:rPr>
                <w:rFonts w:ascii="Arial" w:cs="Arial" w:eastAsia="Arial" w:hAnsi="Arial"/>
                <w:sz w:val="15"/>
                <w:szCs w:val="15"/>
                <w:color w:val="auto"/>
              </w:rPr>
              <w:t>1990</w:t>
            </w:r>
          </w:p>
        </w:tc>
        <w:tc>
          <w:tcPr>
            <w:tcW w:w="2380" w:type="dxa"/>
            <w:vAlign w:val="bottom"/>
          </w:tcPr>
          <w:p>
            <w:pPr>
              <w:ind w:left="700"/>
              <w:spacing w:after="0" w:line="153" w:lineRule="exact"/>
              <w:rPr>
                <w:sz w:val="20"/>
                <w:szCs w:val="20"/>
                <w:color w:val="auto"/>
              </w:rPr>
            </w:pPr>
            <w:r>
              <w:rPr>
                <w:rFonts w:ascii="Arial" w:cs="Arial" w:eastAsia="Arial" w:hAnsi="Arial"/>
                <w:sz w:val="15"/>
                <w:szCs w:val="15"/>
                <w:color w:val="auto"/>
              </w:rPr>
              <w:t>Currently 2007</w:t>
            </w: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Credileasing</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2004</w:t>
            </w:r>
          </w:p>
        </w:tc>
        <w:tc>
          <w:tcPr>
            <w:tcW w:w="2380" w:type="dxa"/>
            <w:vAlign w:val="bottom"/>
          </w:tcPr>
          <w:p>
            <w:pPr>
              <w:ind w:left="700"/>
              <w:spacing w:after="0" w:line="162" w:lineRule="exact"/>
              <w:rPr>
                <w:sz w:val="20"/>
                <w:szCs w:val="20"/>
                <w:color w:val="auto"/>
              </w:rPr>
            </w:pPr>
            <w:r>
              <w:rPr>
                <w:rFonts w:ascii="Arial" w:cs="Arial" w:eastAsia="Arial" w:hAnsi="Arial"/>
                <w:sz w:val="15"/>
                <w:szCs w:val="15"/>
                <w:color w:val="auto"/>
              </w:rPr>
              <w:t>2007</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Creditítulos</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2004</w:t>
            </w:r>
          </w:p>
        </w:tc>
        <w:tc>
          <w:tcPr>
            <w:tcW w:w="2380" w:type="dxa"/>
            <w:vAlign w:val="bottom"/>
          </w:tcPr>
          <w:p>
            <w:pPr>
              <w:ind w:left="700"/>
              <w:spacing w:after="0" w:line="162" w:lineRule="exact"/>
              <w:rPr>
                <w:sz w:val="20"/>
                <w:szCs w:val="20"/>
                <w:color w:val="auto"/>
              </w:rPr>
            </w:pPr>
            <w:r>
              <w:rPr>
                <w:rFonts w:ascii="Arial" w:cs="Arial" w:eastAsia="Arial" w:hAnsi="Arial"/>
                <w:sz w:val="15"/>
                <w:szCs w:val="15"/>
                <w:color w:val="auto"/>
              </w:rPr>
              <w:t>2006</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900" w:type="dxa"/>
            <w:vAlign w:val="bottom"/>
          </w:tcPr>
          <w:p>
            <w:pPr>
              <w:ind w:left="1140"/>
              <w:spacing w:after="0" w:line="162" w:lineRule="exact"/>
              <w:rPr>
                <w:sz w:val="20"/>
                <w:szCs w:val="20"/>
                <w:color w:val="auto"/>
              </w:rPr>
            </w:pPr>
            <w:r>
              <w:rPr>
                <w:rFonts w:ascii="Arial" w:cs="Arial" w:eastAsia="Arial" w:hAnsi="Arial"/>
                <w:sz w:val="15"/>
                <w:szCs w:val="15"/>
                <w:color w:val="auto"/>
              </w:rPr>
              <w:t>Credifondo</w:t>
            </w:r>
          </w:p>
        </w:tc>
        <w:tc>
          <w:tcPr>
            <w:tcW w:w="222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2004</w:t>
            </w:r>
          </w:p>
        </w:tc>
        <w:tc>
          <w:tcPr>
            <w:tcW w:w="2380" w:type="dxa"/>
            <w:vAlign w:val="bottom"/>
          </w:tcPr>
          <w:p>
            <w:pPr>
              <w:ind w:left="700"/>
              <w:spacing w:after="0" w:line="162" w:lineRule="exact"/>
              <w:rPr>
                <w:sz w:val="20"/>
                <w:szCs w:val="20"/>
                <w:color w:val="auto"/>
              </w:rPr>
            </w:pPr>
            <w:r>
              <w:rPr>
                <w:rFonts w:ascii="Arial" w:cs="Arial" w:eastAsia="Arial" w:hAnsi="Arial"/>
                <w:sz w:val="15"/>
                <w:szCs w:val="15"/>
                <w:color w:val="auto"/>
              </w:rPr>
              <w:t>2006</w:t>
            </w:r>
          </w:p>
        </w:tc>
        <w:tc>
          <w:tcPr>
            <w:tcW w:w="20" w:type="dxa"/>
            <w:vAlign w:val="bottom"/>
          </w:tcPr>
          <w:p>
            <w:pPr>
              <w:spacing w:after="0"/>
              <w:rPr>
                <w:sz w:val="14"/>
                <w:szCs w:val="14"/>
                <w:color w:val="auto"/>
              </w:rPr>
            </w:pPr>
          </w:p>
        </w:tc>
      </w:tr>
      <w:tr>
        <w:trPr>
          <w:trHeight w:val="178"/>
        </w:trPr>
        <w:tc>
          <w:tcPr>
            <w:tcW w:w="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3900" w:type="dxa"/>
            <w:vAlign w:val="bottom"/>
            <w:tcBorders>
              <w:bottom w:val="single" w:sz="8" w:color="2C2C2C"/>
            </w:tcBorders>
          </w:tcPr>
          <w:p>
            <w:pPr>
              <w:ind w:left="1140"/>
              <w:spacing w:after="0" w:line="172" w:lineRule="exact"/>
              <w:rPr>
                <w:sz w:val="20"/>
                <w:szCs w:val="20"/>
                <w:color w:val="auto"/>
              </w:rPr>
            </w:pPr>
            <w:r>
              <w:rPr>
                <w:rFonts w:ascii="Arial" w:cs="Arial" w:eastAsia="Arial" w:hAnsi="Arial"/>
                <w:sz w:val="15"/>
                <w:szCs w:val="15"/>
                <w:color w:val="auto"/>
              </w:rPr>
              <w:t>Inversiones Centenario</w:t>
            </w:r>
          </w:p>
        </w:tc>
        <w:tc>
          <w:tcPr>
            <w:tcW w:w="2220" w:type="dxa"/>
            <w:vAlign w:val="bottom"/>
            <w:tcBorders>
              <w:bottom w:val="single" w:sz="8" w:color="2C2C2C"/>
            </w:tcBorders>
          </w:tcPr>
          <w:p>
            <w:pPr>
              <w:jc w:val="right"/>
              <w:ind w:right="626"/>
              <w:spacing w:after="0" w:line="172" w:lineRule="exact"/>
              <w:rPr>
                <w:sz w:val="20"/>
                <w:szCs w:val="20"/>
                <w:color w:val="auto"/>
              </w:rPr>
            </w:pPr>
            <w:r>
              <w:rPr>
                <w:rFonts w:ascii="Arial" w:cs="Arial" w:eastAsia="Arial" w:hAnsi="Arial"/>
                <w:sz w:val="15"/>
                <w:szCs w:val="15"/>
                <w:color w:val="auto"/>
              </w:rPr>
              <w:t>2003</w:t>
            </w:r>
          </w:p>
        </w:tc>
        <w:tc>
          <w:tcPr>
            <w:tcW w:w="23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42545" cy="23622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545" cy="2362200"/>
                    </a:xfrm>
                    <a:prstGeom prst="rect">
                      <a:avLst/>
                    </a:prstGeom>
                    <a:noFill/>
                  </pic:spPr>
                </pic:pic>
              </a:graphicData>
            </a:graphic>
          </wp:anchor>
        </w:drawing>
        <w:drawing>
          <wp:anchor simplePos="0" relativeHeight="251657728" behindDoc="1" locked="0" layoutInCell="0" allowOverlap="1">
            <wp:simplePos x="0" y="0"/>
            <wp:positionH relativeFrom="page">
              <wp:posOffset>2683510</wp:posOffset>
            </wp:positionH>
            <wp:positionV relativeFrom="page">
              <wp:posOffset>88900</wp:posOffset>
            </wp:positionV>
            <wp:extent cx="42545" cy="23539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545" cy="2353945"/>
                    </a:xfrm>
                    <a:prstGeom prst="rect">
                      <a:avLst/>
                    </a:prstGeom>
                    <a:noFill/>
                  </pic:spPr>
                </pic:pic>
              </a:graphicData>
            </a:graphic>
          </wp:anchor>
        </w:drawing>
        <w:drawing>
          <wp:anchor simplePos="0" relativeHeight="251657728" behindDoc="1" locked="0" layoutInCell="0" allowOverlap="1">
            <wp:simplePos x="0" y="0"/>
            <wp:positionH relativeFrom="page">
              <wp:posOffset>5213350</wp:posOffset>
            </wp:positionH>
            <wp:positionV relativeFrom="page">
              <wp:posOffset>88900</wp:posOffset>
            </wp:positionV>
            <wp:extent cx="42545" cy="23539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545" cy="2353945"/>
                    </a:xfrm>
                    <a:prstGeom prst="rect">
                      <a:avLst/>
                    </a:prstGeom>
                    <a:noFill/>
                  </pic:spPr>
                </pic:pic>
              </a:graphicData>
            </a:graphic>
          </wp:anchor>
        </w:drawing>
        <w:drawing>
          <wp:anchor simplePos="0" relativeHeight="251657728" behindDoc="1" locked="0" layoutInCell="0" allowOverlap="1">
            <wp:simplePos x="0" y="0"/>
            <wp:positionH relativeFrom="page">
              <wp:posOffset>7374255</wp:posOffset>
            </wp:positionH>
            <wp:positionV relativeFrom="page">
              <wp:posOffset>88900</wp:posOffset>
            </wp:positionV>
            <wp:extent cx="42545" cy="23622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545" cy="2362200"/>
                    </a:xfrm>
                    <a:prstGeom prst="rect">
                      <a:avLst/>
                    </a:prstGeom>
                    <a:noFill/>
                  </pic:spPr>
                </pic:pic>
              </a:graphicData>
            </a:graphic>
          </wp:anchor>
        </w:drawing>
        <w:drawing>
          <wp:anchor simplePos="0" relativeHeight="251657728" behindDoc="1" locked="0" layoutInCell="0" allowOverlap="1">
            <wp:simplePos x="0" y="0"/>
            <wp:positionH relativeFrom="page">
              <wp:posOffset>6293485</wp:posOffset>
            </wp:positionH>
            <wp:positionV relativeFrom="page">
              <wp:posOffset>88900</wp:posOffset>
            </wp:positionV>
            <wp:extent cx="42545" cy="23539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545" cy="23539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TRANSPARENCY OF COMMUNICATION AND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11233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112331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5"/>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560" w:type="dxa"/>
            <w:vAlign w:val="bottom"/>
            <w:tcBorders>
              <w:top w:val="single" w:sz="8" w:color="2C2C2C"/>
              <w:bottom w:val="single" w:sz="8" w:color="2C2C2C"/>
            </w:tcBorders>
          </w:tcPr>
          <w:p>
            <w:pPr>
              <w:spacing w:after="0"/>
              <w:rPr>
                <w:sz w:val="17"/>
                <w:szCs w:val="17"/>
                <w:color w:val="auto"/>
              </w:rPr>
            </w:pPr>
          </w:p>
        </w:tc>
        <w:tc>
          <w:tcPr>
            <w:tcW w:w="240" w:type="dxa"/>
            <w:vAlign w:val="bottom"/>
            <w:tcBorders>
              <w:top w:val="single" w:sz="8" w:color="2C2C2C"/>
              <w:bottom w:val="single" w:sz="8" w:color="2C2C2C"/>
            </w:tcBorders>
          </w:tcPr>
          <w:p>
            <w:pPr>
              <w:spacing w:after="0"/>
              <w:rPr>
                <w:sz w:val="17"/>
                <w:szCs w:val="17"/>
                <w:color w:val="auto"/>
              </w:rPr>
            </w:pPr>
          </w:p>
        </w:tc>
        <w:tc>
          <w:tcPr>
            <w:tcW w:w="80" w:type="dxa"/>
            <w:vAlign w:val="bottom"/>
            <w:tcBorders>
              <w:top w:val="single" w:sz="8" w:color="2C2C2C"/>
              <w:bottom w:val="single" w:sz="8" w:color="2C2C2C"/>
            </w:tcBorders>
          </w:tcPr>
          <w:p>
            <w:pPr>
              <w:spacing w:after="0"/>
              <w:rPr>
                <w:sz w:val="17"/>
                <w:szCs w:val="17"/>
                <w:color w:val="auto"/>
              </w:rPr>
            </w:pPr>
          </w:p>
        </w:tc>
        <w:tc>
          <w:tcPr>
            <w:tcW w:w="24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5"/>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56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3</w:t>
            </w:r>
          </w:p>
        </w:tc>
        <w:tc>
          <w:tcPr>
            <w:tcW w:w="320" w:type="dxa"/>
            <w:vAlign w:val="bottom"/>
            <w:gridSpan w:val="2"/>
            <w:vMerge w:val="restart"/>
          </w:tcPr>
          <w:p>
            <w:pPr>
              <w:ind w:left="240"/>
              <w:spacing w:after="0" w:line="162" w:lineRule="exact"/>
              <w:rPr>
                <w:sz w:val="20"/>
                <w:szCs w:val="20"/>
                <w:color w:val="auto"/>
              </w:rPr>
            </w:pPr>
            <w:r>
              <w:rPr>
                <w:rFonts w:ascii="Arial" w:cs="Arial" w:eastAsia="Arial" w:hAnsi="Arial"/>
                <w:sz w:val="15"/>
                <w:szCs w:val="15"/>
                <w:i w:val="1"/>
                <w:iCs w:val="1"/>
                <w:color w:val="auto"/>
                <w:w w:val="71"/>
              </w:rPr>
              <w:t>4</w:t>
            </w: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top w:val="single" w:sz="8" w:color="auto"/>
              <w:bottom w:val="single" w:sz="8" w:color="2C2C2C"/>
            </w:tcBorders>
          </w:tcPr>
          <w:p>
            <w:pPr>
              <w:spacing w:after="0"/>
              <w:rPr>
                <w:sz w:val="8"/>
                <w:szCs w:val="8"/>
                <w:color w:val="auto"/>
              </w:rPr>
            </w:pPr>
          </w:p>
        </w:tc>
        <w:tc>
          <w:tcPr>
            <w:tcW w:w="400" w:type="dxa"/>
            <w:vAlign w:val="bottom"/>
            <w:tcBorders>
              <w:top w:val="single" w:sz="8" w:color="auto"/>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51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320" w:type="dxa"/>
            <w:vAlign w:val="bottom"/>
            <w:tcBorders>
              <w:bottom w:val="single" w:sz="8" w:color="2C2C2C"/>
            </w:tcBorders>
            <w:gridSpan w:val="2"/>
            <w:vMerge w:val="continue"/>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5"/>
          </w:tcPr>
          <w:p>
            <w:pPr>
              <w:ind w:left="20"/>
              <w:spacing w:after="0" w:line="149" w:lineRule="exact"/>
              <w:rPr>
                <w:sz w:val="20"/>
                <w:szCs w:val="20"/>
                <w:color w:val="auto"/>
              </w:rPr>
            </w:pPr>
            <w:r>
              <w:rPr>
                <w:rFonts w:ascii="Arial" w:cs="Arial" w:eastAsia="Arial" w:hAnsi="Arial"/>
                <w:sz w:val="15"/>
                <w:szCs w:val="15"/>
                <w:i w:val="1"/>
                <w:iCs w:val="1"/>
                <w:color w:val="auto"/>
                <w:w w:val="93"/>
              </w:rPr>
              <w:t>7. Principle (IV.C, second, third and fourth paragraphs).- Although external audits are generally focussed on passing judgment on financial</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3"/>
          </w:tcPr>
          <w:p>
            <w:pPr>
              <w:ind w:left="240"/>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40" w:right="2860"/>
        <w:spacing w:after="0" w:line="226" w:lineRule="auto"/>
        <w:rPr>
          <w:sz w:val="20"/>
          <w:szCs w:val="20"/>
          <w:color w:val="auto"/>
        </w:rPr>
      </w:pPr>
      <w:r>
        <w:rPr>
          <w:rFonts w:ascii="Arial" w:cs="Arial" w:eastAsia="Arial" w:hAnsi="Arial"/>
          <w:sz w:val="15"/>
          <w:szCs w:val="15"/>
          <w:i w:val="1"/>
          <w:iCs w:val="1"/>
          <w:color w:val="auto"/>
        </w:rPr>
        <w:t>information, they may also refer to specialized reports on the following subjects: accounting reports, operational audits, systems audits, project evaluation, costing systems evaluations or implementation, tax audits, asset adjustment valuations, portfolio assessment, inventories or other special services.</w:t>
      </w:r>
    </w:p>
    <w:p>
      <w:pPr>
        <w:spacing w:after="0" w:line="2" w:lineRule="exact"/>
        <w:rPr>
          <w:sz w:val="20"/>
          <w:szCs w:val="20"/>
          <w:color w:val="auto"/>
        </w:rPr>
      </w:pPr>
    </w:p>
    <w:p>
      <w:pPr>
        <w:jc w:val="both"/>
        <w:ind w:left="40" w:right="2860"/>
        <w:spacing w:after="0" w:line="260" w:lineRule="auto"/>
        <w:rPr>
          <w:sz w:val="20"/>
          <w:szCs w:val="20"/>
          <w:color w:val="auto"/>
        </w:rPr>
      </w:pPr>
      <w:r>
        <w:rPr>
          <w:rFonts w:ascii="Arial" w:cs="Arial" w:eastAsia="Arial" w:hAnsi="Arial"/>
          <w:sz w:val="13"/>
          <w:szCs w:val="13"/>
          <w:i w:val="1"/>
          <w:iCs w:val="1"/>
          <w:color w:val="auto"/>
        </w:rPr>
        <w:t>It is recommended that such consultations be carried out by different auditors. Should the same auditor carry out more than one task, his/her judgment should not be affected. The company must give information on all the audits and specialist reports carried out by the auditor.</w:t>
      </w:r>
    </w:p>
    <w:p>
      <w:pPr>
        <w:jc w:val="both"/>
        <w:ind w:left="40" w:right="2860"/>
        <w:spacing w:after="0" w:line="235" w:lineRule="auto"/>
        <w:rPr>
          <w:sz w:val="20"/>
          <w:szCs w:val="20"/>
          <w:color w:val="auto"/>
        </w:rPr>
      </w:pPr>
      <w:r>
        <w:rPr>
          <w:rFonts w:ascii="Arial" w:cs="Arial" w:eastAsia="Arial" w:hAnsi="Arial"/>
          <w:sz w:val="15"/>
          <w:szCs w:val="15"/>
          <w:i w:val="1"/>
          <w:iCs w:val="1"/>
          <w:color w:val="auto"/>
        </w:rPr>
        <w:t>All services rendered to THE COMPANY by the auditing firm or the auditor should be declared, specifying the percentage represented by each of them and the share that represents in the revenues of the auditing firm or auditor.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80"/>
        <w:spacing w:after="0" w:line="256" w:lineRule="auto"/>
        <w:rPr>
          <w:sz w:val="20"/>
          <w:szCs w:val="20"/>
          <w:color w:val="auto"/>
        </w:rPr>
      </w:pPr>
      <w:r>
        <w:rPr>
          <w:rFonts w:ascii="Arial" w:cs="Arial" w:eastAsia="Arial" w:hAnsi="Arial"/>
          <w:sz w:val="22"/>
          <w:szCs w:val="22"/>
          <w:b w:val="1"/>
          <w:bCs w:val="1"/>
          <w:color w:val="auto"/>
        </w:rPr>
        <w:t>a. Provide the following information on the auditing firms that have provided services to THE COMPANY in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42545" cy="522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545" cy="52260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116840</wp:posOffset>
            </wp:positionV>
            <wp:extent cx="42545" cy="5054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116840</wp:posOffset>
            </wp:positionV>
            <wp:extent cx="42545" cy="5054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107950</wp:posOffset>
            </wp:positionV>
            <wp:extent cx="42545" cy="522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545" cy="52260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116840</wp:posOffset>
            </wp:positionV>
            <wp:extent cx="42545" cy="5054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545" cy="50546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45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15"/>
                <w:szCs w:val="15"/>
                <w:color w:val="auto"/>
              </w:rPr>
              <w:t>NAME OF THE AUDITING FIRM</w:t>
            </w:r>
          </w:p>
        </w:tc>
        <w:tc>
          <w:tcPr>
            <w:tcW w:w="3560" w:type="dxa"/>
            <w:vAlign w:val="bottom"/>
            <w:tcBorders>
              <w:top w:val="single" w:sz="8" w:color="2C2C2C"/>
              <w:bottom w:val="single" w:sz="8" w:color="2C2C2C"/>
            </w:tcBorders>
          </w:tcPr>
          <w:p>
            <w:pPr>
              <w:jc w:val="center"/>
              <w:ind w:left="1566"/>
              <w:spacing w:after="0"/>
              <w:rPr>
                <w:sz w:val="20"/>
                <w:szCs w:val="20"/>
                <w:color w:val="auto"/>
              </w:rPr>
            </w:pPr>
            <w:r>
              <w:rPr>
                <w:rFonts w:ascii="Arial" w:cs="Arial" w:eastAsia="Arial" w:hAnsi="Arial"/>
                <w:sz w:val="15"/>
                <w:szCs w:val="15"/>
                <w:color w:val="auto"/>
                <w:w w:val="94"/>
              </w:rPr>
              <w:t>SERVICE*</w:t>
            </w:r>
          </w:p>
        </w:tc>
        <w:tc>
          <w:tcPr>
            <w:tcW w:w="15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3"/>
              </w:rPr>
              <w:t>PERIOD</w:t>
            </w:r>
          </w:p>
        </w:tc>
        <w:tc>
          <w:tcPr>
            <w:tcW w:w="17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9"/>
              </w:rPr>
              <w:t>PAYMENT**</w:t>
            </w:r>
          </w:p>
        </w:tc>
        <w:tc>
          <w:tcPr>
            <w:tcW w:w="20" w:type="dxa"/>
            <w:vAlign w:val="bottom"/>
            <w:tcBorders>
              <w:top w:val="single" w:sz="8" w:color="808080"/>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45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Medina, Zaldivar, Paredes y Asociados</w:t>
            </w:r>
          </w:p>
        </w:tc>
        <w:tc>
          <w:tcPr>
            <w:tcW w:w="3560" w:type="dxa"/>
            <w:vAlign w:val="bottom"/>
            <w:tcBorders>
              <w:bottom w:val="single" w:sz="8" w:color="2C2C2C"/>
            </w:tcBorders>
          </w:tcPr>
          <w:p>
            <w:pPr>
              <w:jc w:val="center"/>
              <w:ind w:left="1586"/>
              <w:spacing w:after="0" w:line="162" w:lineRule="exact"/>
              <w:rPr>
                <w:sz w:val="20"/>
                <w:szCs w:val="20"/>
                <w:color w:val="auto"/>
              </w:rPr>
            </w:pPr>
            <w:r>
              <w:rPr>
                <w:rFonts w:ascii="Arial" w:cs="Arial" w:eastAsia="Arial" w:hAnsi="Arial"/>
                <w:sz w:val="15"/>
                <w:szCs w:val="15"/>
                <w:color w:val="auto"/>
                <w:w w:val="95"/>
              </w:rPr>
              <w:t>Financial Audit</w:t>
            </w:r>
          </w:p>
        </w:tc>
        <w:tc>
          <w:tcPr>
            <w:tcW w:w="154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89"/>
              </w:rPr>
              <w:t>2005</w:t>
            </w:r>
          </w:p>
        </w:tc>
        <w:tc>
          <w:tcPr>
            <w:tcW w:w="178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93"/>
              </w:rPr>
              <w:t>100%</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5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Medina, Zaldivar, Paredes y Asociados</w:t>
            </w:r>
          </w:p>
        </w:tc>
        <w:tc>
          <w:tcPr>
            <w:tcW w:w="3560" w:type="dxa"/>
            <w:vAlign w:val="bottom"/>
            <w:tcBorders>
              <w:bottom w:val="single" w:sz="8" w:color="2C2C2C"/>
            </w:tcBorders>
          </w:tcPr>
          <w:p>
            <w:pPr>
              <w:jc w:val="center"/>
              <w:ind w:left="1586"/>
              <w:spacing w:after="0" w:line="162" w:lineRule="exact"/>
              <w:rPr>
                <w:sz w:val="20"/>
                <w:szCs w:val="20"/>
                <w:color w:val="auto"/>
              </w:rPr>
            </w:pPr>
            <w:r>
              <w:rPr>
                <w:rFonts w:ascii="Arial" w:cs="Arial" w:eastAsia="Arial" w:hAnsi="Arial"/>
                <w:sz w:val="15"/>
                <w:szCs w:val="15"/>
                <w:color w:val="auto"/>
                <w:w w:val="95"/>
              </w:rPr>
              <w:t>Financial Audit</w:t>
            </w:r>
          </w:p>
        </w:tc>
        <w:tc>
          <w:tcPr>
            <w:tcW w:w="154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89"/>
              </w:rPr>
              <w:t>2004</w:t>
            </w:r>
          </w:p>
        </w:tc>
        <w:tc>
          <w:tcPr>
            <w:tcW w:w="178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93"/>
              </w:rPr>
              <w:t>100%</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45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Medina, Zaldivar, Paredes y Asociados</w:t>
            </w:r>
          </w:p>
        </w:tc>
        <w:tc>
          <w:tcPr>
            <w:tcW w:w="3560" w:type="dxa"/>
            <w:vAlign w:val="bottom"/>
            <w:tcBorders>
              <w:bottom w:val="single" w:sz="8" w:color="2C2C2C"/>
            </w:tcBorders>
          </w:tcPr>
          <w:p>
            <w:pPr>
              <w:jc w:val="center"/>
              <w:ind w:left="1586"/>
              <w:spacing w:after="0" w:line="162" w:lineRule="exact"/>
              <w:rPr>
                <w:sz w:val="20"/>
                <w:szCs w:val="20"/>
                <w:color w:val="auto"/>
              </w:rPr>
            </w:pPr>
            <w:r>
              <w:rPr>
                <w:rFonts w:ascii="Arial" w:cs="Arial" w:eastAsia="Arial" w:hAnsi="Arial"/>
                <w:sz w:val="15"/>
                <w:szCs w:val="15"/>
                <w:color w:val="auto"/>
                <w:w w:val="95"/>
              </w:rPr>
              <w:t>Financial Audit</w:t>
            </w:r>
          </w:p>
        </w:tc>
        <w:tc>
          <w:tcPr>
            <w:tcW w:w="154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89"/>
              </w:rPr>
              <w:t>2003</w:t>
            </w:r>
          </w:p>
        </w:tc>
        <w:tc>
          <w:tcPr>
            <w:tcW w:w="178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93"/>
              </w:rPr>
              <w:t>100%</w:t>
            </w:r>
          </w:p>
        </w:tc>
        <w:tc>
          <w:tcPr>
            <w:tcW w:w="20" w:type="dxa"/>
            <w:vAlign w:val="bottom"/>
            <w:tcBorders>
              <w:bottom w:val="single" w:sz="8" w:color="2C2C2C"/>
            </w:tcBorders>
          </w:tcPr>
          <w:p>
            <w:pPr>
              <w:spacing w:after="0"/>
              <w:rPr>
                <w:sz w:val="14"/>
                <w:szCs w:val="14"/>
                <w:color w:val="auto"/>
              </w:rPr>
            </w:pPr>
          </w:p>
        </w:tc>
      </w:tr>
      <w:tr>
        <w:trPr>
          <w:trHeight w:val="250"/>
        </w:trPr>
        <w:tc>
          <w:tcPr>
            <w:tcW w:w="20" w:type="dxa"/>
            <w:vAlign w:val="bottom"/>
            <w:tcBorders>
              <w:bottom w:val="single" w:sz="8" w:color="808080"/>
            </w:tcBorders>
          </w:tcPr>
          <w:p>
            <w:pPr>
              <w:spacing w:after="0"/>
              <w:rPr>
                <w:sz w:val="21"/>
                <w:szCs w:val="21"/>
                <w:color w:val="auto"/>
              </w:rPr>
            </w:pPr>
          </w:p>
        </w:tc>
        <w:tc>
          <w:tcPr>
            <w:tcW w:w="4500" w:type="dxa"/>
            <w:vAlign w:val="bottom"/>
            <w:tcBorders>
              <w:bottom w:val="single" w:sz="8" w:color="2C2C2C"/>
            </w:tcBorders>
          </w:tcPr>
          <w:p>
            <w:pPr>
              <w:spacing w:after="0"/>
              <w:rPr>
                <w:sz w:val="21"/>
                <w:szCs w:val="21"/>
                <w:color w:val="auto"/>
              </w:rPr>
            </w:pPr>
          </w:p>
        </w:tc>
        <w:tc>
          <w:tcPr>
            <w:tcW w:w="3560" w:type="dxa"/>
            <w:vAlign w:val="bottom"/>
            <w:tcBorders>
              <w:bottom w:val="single" w:sz="8" w:color="2C2C2C"/>
            </w:tcBorders>
          </w:tcPr>
          <w:p>
            <w:pPr>
              <w:spacing w:after="0"/>
              <w:rPr>
                <w:sz w:val="21"/>
                <w:szCs w:val="21"/>
                <w:color w:val="auto"/>
              </w:rPr>
            </w:pPr>
          </w:p>
        </w:tc>
        <w:tc>
          <w:tcPr>
            <w:tcW w:w="1540" w:type="dxa"/>
            <w:vAlign w:val="bottom"/>
            <w:tcBorders>
              <w:bottom w:val="single" w:sz="8" w:color="2C2C2C"/>
            </w:tcBorders>
          </w:tcPr>
          <w:p>
            <w:pPr>
              <w:spacing w:after="0"/>
              <w:rPr>
                <w:sz w:val="21"/>
                <w:szCs w:val="21"/>
                <w:color w:val="auto"/>
              </w:rPr>
            </w:pPr>
          </w:p>
        </w:tc>
        <w:tc>
          <w:tcPr>
            <w:tcW w:w="1780" w:type="dxa"/>
            <w:vAlign w:val="bottom"/>
            <w:tcBorders>
              <w:bottom w:val="single" w:sz="8" w:color="2C2C2C"/>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r>
      <w:tr>
        <w:trPr>
          <w:trHeight w:val="169"/>
        </w:trPr>
        <w:tc>
          <w:tcPr>
            <w:tcW w:w="20" w:type="dxa"/>
            <w:vAlign w:val="bottom"/>
          </w:tcPr>
          <w:p>
            <w:pPr>
              <w:spacing w:after="0"/>
              <w:rPr>
                <w:sz w:val="14"/>
                <w:szCs w:val="14"/>
                <w:color w:val="auto"/>
              </w:rPr>
            </w:pPr>
          </w:p>
        </w:tc>
        <w:tc>
          <w:tcPr>
            <w:tcW w:w="45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Dongo – Soria Gaveglio y Asociados</w:t>
            </w:r>
          </w:p>
        </w:tc>
        <w:tc>
          <w:tcPr>
            <w:tcW w:w="3560" w:type="dxa"/>
            <w:vAlign w:val="bottom"/>
            <w:tcBorders>
              <w:bottom w:val="single" w:sz="8" w:color="2C2C2C"/>
            </w:tcBorders>
          </w:tcPr>
          <w:p>
            <w:pPr>
              <w:jc w:val="center"/>
              <w:ind w:left="1586"/>
              <w:spacing w:after="0" w:line="162" w:lineRule="exact"/>
              <w:rPr>
                <w:sz w:val="20"/>
                <w:szCs w:val="20"/>
                <w:color w:val="auto"/>
              </w:rPr>
            </w:pPr>
            <w:r>
              <w:rPr>
                <w:rFonts w:ascii="Arial" w:cs="Arial" w:eastAsia="Arial" w:hAnsi="Arial"/>
                <w:sz w:val="15"/>
                <w:szCs w:val="15"/>
                <w:color w:val="auto"/>
                <w:w w:val="95"/>
              </w:rPr>
              <w:t>Financial Audit</w:t>
            </w:r>
          </w:p>
        </w:tc>
        <w:tc>
          <w:tcPr>
            <w:tcW w:w="154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89"/>
              </w:rPr>
              <w:t>2002</w:t>
            </w:r>
          </w:p>
        </w:tc>
        <w:tc>
          <w:tcPr>
            <w:tcW w:w="178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93"/>
              </w:rPr>
              <w:t>100%</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5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Dongo – Soria Gaveglio y Asociados</w:t>
            </w:r>
          </w:p>
        </w:tc>
        <w:tc>
          <w:tcPr>
            <w:tcW w:w="3560" w:type="dxa"/>
            <w:vAlign w:val="bottom"/>
            <w:tcBorders>
              <w:bottom w:val="single" w:sz="8" w:color="2C2C2C"/>
            </w:tcBorders>
          </w:tcPr>
          <w:p>
            <w:pPr>
              <w:jc w:val="center"/>
              <w:ind w:left="1586"/>
              <w:spacing w:after="0" w:line="162" w:lineRule="exact"/>
              <w:rPr>
                <w:sz w:val="20"/>
                <w:szCs w:val="20"/>
                <w:color w:val="auto"/>
              </w:rPr>
            </w:pPr>
            <w:r>
              <w:rPr>
                <w:rFonts w:ascii="Arial" w:cs="Arial" w:eastAsia="Arial" w:hAnsi="Arial"/>
                <w:sz w:val="15"/>
                <w:szCs w:val="15"/>
                <w:color w:val="auto"/>
                <w:w w:val="95"/>
              </w:rPr>
              <w:t>Financial Audit</w:t>
            </w:r>
          </w:p>
        </w:tc>
        <w:tc>
          <w:tcPr>
            <w:tcW w:w="154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89"/>
              </w:rPr>
              <w:t>2001</w:t>
            </w:r>
          </w:p>
        </w:tc>
        <w:tc>
          <w:tcPr>
            <w:tcW w:w="178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color w:val="auto"/>
                <w:w w:val="93"/>
              </w:rPr>
              <w:t>100%</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4500" w:type="dxa"/>
            <w:vAlign w:val="bottom"/>
            <w:tcBorders>
              <w:bottom w:val="single" w:sz="8" w:color="2C2C2C"/>
            </w:tcBorders>
          </w:tcPr>
          <w:p>
            <w:pPr>
              <w:spacing w:after="0"/>
              <w:rPr>
                <w:sz w:val="14"/>
                <w:szCs w:val="14"/>
                <w:color w:val="auto"/>
              </w:rPr>
            </w:pPr>
          </w:p>
        </w:tc>
        <w:tc>
          <w:tcPr>
            <w:tcW w:w="3560" w:type="dxa"/>
            <w:vAlign w:val="bottom"/>
            <w:tcBorders>
              <w:bottom w:val="single" w:sz="8" w:color="2C2C2C"/>
            </w:tcBorders>
          </w:tcPr>
          <w:p>
            <w:pPr>
              <w:spacing w:after="0"/>
              <w:rPr>
                <w:sz w:val="14"/>
                <w:szCs w:val="14"/>
                <w:color w:val="auto"/>
              </w:rPr>
            </w:pPr>
          </w:p>
        </w:tc>
        <w:tc>
          <w:tcPr>
            <w:tcW w:w="1540" w:type="dxa"/>
            <w:vAlign w:val="bottom"/>
            <w:tcBorders>
              <w:bottom w:val="single" w:sz="8" w:color="2C2C2C"/>
            </w:tcBorders>
          </w:tcPr>
          <w:p>
            <w:pPr>
              <w:spacing w:after="0"/>
              <w:rPr>
                <w:sz w:val="14"/>
                <w:szCs w:val="14"/>
                <w:color w:val="auto"/>
              </w:rPr>
            </w:pPr>
          </w:p>
        </w:tc>
        <w:tc>
          <w:tcPr>
            <w:tcW w:w="17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-389255</wp:posOffset>
            </wp:positionV>
            <wp:extent cx="42545" cy="402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-381000</wp:posOffset>
            </wp:positionV>
            <wp:extent cx="42545" cy="3854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545" cy="38544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-381000</wp:posOffset>
            </wp:positionV>
            <wp:extent cx="42545" cy="3854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545" cy="38544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-389255</wp:posOffset>
            </wp:positionV>
            <wp:extent cx="42545" cy="402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-381000</wp:posOffset>
            </wp:positionV>
            <wp:extent cx="42545" cy="3854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545" cy="385445"/>
                    </a:xfrm>
                    <a:prstGeom prst="rect">
                      <a:avLst/>
                    </a:prstGeom>
                    <a:noFill/>
                  </pic:spPr>
                </pic:pic>
              </a:graphicData>
            </a:graphic>
          </wp:anchor>
        </w:drawing>
      </w:r>
    </w:p>
    <w:p>
      <w:pPr>
        <w:spacing w:after="0" w:line="202" w:lineRule="exact"/>
        <w:rPr>
          <w:sz w:val="20"/>
          <w:szCs w:val="20"/>
          <w:color w:val="auto"/>
        </w:rPr>
      </w:pPr>
    </w:p>
    <w:p>
      <w:pPr>
        <w:ind w:right="40" w:firstLine="8"/>
        <w:spacing w:after="0" w:line="239" w:lineRule="auto"/>
        <w:tabs>
          <w:tab w:leader="none" w:pos="162"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Include all types of services, such as financial information reports, accounting reports, operational audits, systems audits, taxation audits or other special services.</w:t>
      </w:r>
    </w:p>
    <w:p>
      <w:pPr>
        <w:ind w:right="140"/>
        <w:spacing w:after="0" w:line="237" w:lineRule="auto"/>
        <w:rPr>
          <w:rFonts w:ascii="Arial" w:cs="Arial" w:eastAsia="Arial" w:hAnsi="Arial"/>
          <w:sz w:val="22"/>
          <w:szCs w:val="22"/>
          <w:color w:val="auto"/>
        </w:rPr>
      </w:pPr>
      <w:r>
        <w:rPr>
          <w:rFonts w:ascii="Arial" w:cs="Arial" w:eastAsia="Arial" w:hAnsi="Arial"/>
          <w:sz w:val="22"/>
          <w:szCs w:val="22"/>
          <w:color w:val="auto"/>
        </w:rPr>
        <w:t>** Of the total amount paid to the auditing firm for the whole concept, indicate the percentage that corresponds to the payment for financial auditing services.</w:t>
      </w:r>
    </w:p>
    <w:p>
      <w:pPr>
        <w:spacing w:after="0" w:line="179" w:lineRule="exact"/>
        <w:rPr>
          <w:sz w:val="20"/>
          <w:szCs w:val="20"/>
          <w:color w:val="auto"/>
        </w:rPr>
      </w:pPr>
    </w:p>
    <w:p>
      <w:pPr>
        <w:spacing w:after="0" w:line="335" w:lineRule="auto"/>
        <w:rPr>
          <w:sz w:val="20"/>
          <w:szCs w:val="20"/>
          <w:color w:val="auto"/>
        </w:rPr>
      </w:pPr>
      <w:r>
        <w:rPr>
          <w:rFonts w:ascii="Arial" w:cs="Arial" w:eastAsia="Arial" w:hAnsi="Arial"/>
          <w:sz w:val="19"/>
          <w:szCs w:val="19"/>
          <w:b w:val="1"/>
          <w:bCs w:val="1"/>
          <w:color w:val="auto"/>
        </w:rPr>
        <w:t>b. Describe the pre-established mechanisms for contracting the auditing firm responsible for examining the annual financial statements (including the identification of the entity within THE COMPANY responsible for choosing the auditing firm).</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Upon receipt of a report from the Auditing Committee, the Board of Directors proposes the hiring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3" w:name="page44"/>
    <w:bookmarkEnd w:id="43"/>
    <w:p>
      <w:pPr>
        <w:jc w:val="both"/>
        <w:ind w:right="80"/>
        <w:spacing w:after="0" w:line="298" w:lineRule="auto"/>
        <w:rPr>
          <w:sz w:val="20"/>
          <w:szCs w:val="20"/>
          <w:color w:val="auto"/>
        </w:rPr>
      </w:pPr>
      <w:r>
        <w:rPr>
          <w:rFonts w:ascii="Arial" w:cs="Arial" w:eastAsia="Arial" w:hAnsi="Arial"/>
          <w:sz w:val="19"/>
          <w:szCs w:val="19"/>
          <w:color w:val="auto"/>
        </w:rPr>
        <w:t>External Auditors at the shareholders’ meeting. The selection of Auditing Firm is the responsibility of the Auditing Committee and is ratified at the General Shareholders’ Meeting. The Auditing Firms that are invited to present their proposed fees are chosen from among those that are represented internationally and are of recognised prestige nationally. The Auditing Firm is then selected.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THERE ARE NO PRE-ESTABLISHED MECHANISMS</w:t>
      </w:r>
    </w:p>
    <w:p>
      <w:pPr>
        <w:spacing w:after="0" w:line="206" w:lineRule="exact"/>
        <w:rPr>
          <w:sz w:val="20"/>
          <w:szCs w:val="20"/>
          <w:color w:val="auto"/>
        </w:rPr>
      </w:pPr>
    </w:p>
    <w:p>
      <w:pPr>
        <w:ind w:right="300"/>
        <w:spacing w:after="0" w:line="256" w:lineRule="auto"/>
        <w:rPr>
          <w:sz w:val="20"/>
          <w:szCs w:val="20"/>
          <w:color w:val="auto"/>
        </w:rPr>
      </w:pPr>
      <w:r>
        <w:rPr>
          <w:rFonts w:ascii="Arial" w:cs="Arial" w:eastAsia="Arial" w:hAnsi="Arial"/>
          <w:sz w:val="22"/>
          <w:szCs w:val="22"/>
          <w:b w:val="1"/>
          <w:bCs w:val="1"/>
          <w:color w:val="auto"/>
        </w:rPr>
        <w:t>c. Indicate whether the mechanisms described in the previous question are contained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4883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8831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20" w:type="dxa"/>
            <w:vAlign w:val="bottom"/>
            <w:tcBorders>
              <w:top w:val="single" w:sz="8" w:color="2C2C2C"/>
              <w:bottom w:val="single" w:sz="8" w:color="2C2C2C"/>
            </w:tcBorders>
          </w:tcPr>
          <w:p>
            <w:pPr>
              <w:jc w:val="center"/>
              <w:ind w:left="326"/>
              <w:spacing w:after="0"/>
              <w:rPr>
                <w:sz w:val="20"/>
                <w:szCs w:val="20"/>
                <w:color w:val="auto"/>
              </w:rPr>
            </w:pPr>
            <w:r>
              <w:rPr>
                <w:rFonts w:ascii="Arial" w:cs="Arial" w:eastAsia="Arial" w:hAnsi="Arial"/>
                <w:sz w:val="15"/>
                <w:szCs w:val="15"/>
                <w:color w:val="auto"/>
                <w:w w:val="95"/>
              </w:rPr>
              <w:t>OTHER</w:t>
            </w:r>
          </w:p>
        </w:tc>
        <w:tc>
          <w:tcPr>
            <w:tcW w:w="270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700" w:type="dxa"/>
            <w:vAlign w:val="bottom"/>
          </w:tcPr>
          <w:p>
            <w:pPr>
              <w:ind w:left="460"/>
              <w:spacing w:after="0" w:line="153" w:lineRule="exact"/>
              <w:rPr>
                <w:sz w:val="20"/>
                <w:szCs w:val="20"/>
                <w:color w:val="auto"/>
              </w:rPr>
            </w:pPr>
            <w:r>
              <w:rPr>
                <w:rFonts w:ascii="Arial" w:cs="Arial" w:eastAsia="Arial" w:hAnsi="Arial"/>
                <w:sz w:val="15"/>
                <w:szCs w:val="15"/>
                <w:color w:val="auto"/>
              </w:rPr>
              <w:t>Normative System - Corporate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jc w:val="right"/>
              <w:ind w:right="686"/>
              <w:spacing w:after="0"/>
              <w:rPr>
                <w:sz w:val="20"/>
                <w:szCs w:val="20"/>
                <w:color w:val="auto"/>
              </w:rPr>
            </w:pPr>
            <w:r>
              <w:rPr>
                <w:rFonts w:ascii="Arial" w:cs="Arial" w:eastAsia="Arial" w:hAnsi="Arial"/>
                <w:sz w:val="15"/>
                <w:szCs w:val="15"/>
                <w:b w:val="1"/>
                <w:bCs w:val="1"/>
                <w:color w:val="auto"/>
              </w:rPr>
              <w:t>(...)</w:t>
            </w:r>
          </w:p>
        </w:tc>
        <w:tc>
          <w:tcPr>
            <w:tcW w:w="28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(.X.)</w:t>
            </w:r>
          </w:p>
        </w:tc>
        <w:tc>
          <w:tcPr>
            <w:tcW w:w="2040" w:type="dxa"/>
            <w:vAlign w:val="bottom"/>
            <w:vMerge w:val="restart"/>
          </w:tcPr>
          <w:p>
            <w:pPr>
              <w:jc w:val="right"/>
              <w:ind w:right="966"/>
              <w:spacing w:after="0"/>
              <w:rPr>
                <w:sz w:val="20"/>
                <w:szCs w:val="20"/>
                <w:color w:val="auto"/>
              </w:rPr>
            </w:pPr>
            <w:r>
              <w:rPr>
                <w:rFonts w:ascii="Arial" w:cs="Arial" w:eastAsia="Arial" w:hAnsi="Arial"/>
                <w:sz w:val="15"/>
                <w:szCs w:val="15"/>
                <w:b w:val="1"/>
                <w:bCs w:val="1"/>
                <w:color w:val="auto"/>
              </w:rPr>
              <w:t>(...)</w:t>
            </w:r>
          </w:p>
        </w:tc>
        <w:tc>
          <w:tcPr>
            <w:tcW w:w="1820" w:type="dxa"/>
            <w:vAlign w:val="bottom"/>
            <w:vMerge w:val="restart"/>
          </w:tcPr>
          <w:p>
            <w:pPr>
              <w:jc w:val="right"/>
              <w:ind w:right="526"/>
              <w:spacing w:after="0"/>
              <w:rPr>
                <w:sz w:val="20"/>
                <w:szCs w:val="20"/>
                <w:color w:val="auto"/>
              </w:rPr>
            </w:pPr>
            <w:r>
              <w:rPr>
                <w:rFonts w:ascii="Arial" w:cs="Arial" w:eastAsia="Arial" w:hAnsi="Arial"/>
                <w:sz w:val="15"/>
                <w:szCs w:val="15"/>
                <w:b w:val="1"/>
                <w:bCs w:val="1"/>
                <w:color w:val="auto"/>
              </w:rPr>
              <w:t>(...)</w:t>
            </w:r>
          </w:p>
        </w:tc>
        <w:tc>
          <w:tcPr>
            <w:tcW w:w="27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Policies -</w:t>
            </w:r>
          </w:p>
        </w:tc>
        <w:tc>
          <w:tcPr>
            <w:tcW w:w="0" w:type="dxa"/>
            <w:vAlign w:val="bottom"/>
          </w:tcPr>
          <w:p>
            <w:pPr>
              <w:spacing w:after="0"/>
              <w:rPr>
                <w:sz w:val="1"/>
                <w:szCs w:val="1"/>
                <w:color w:val="auto"/>
              </w:rPr>
            </w:pPr>
          </w:p>
        </w:tc>
      </w:tr>
      <w:tr>
        <w:trPr>
          <w:trHeight w:val="188"/>
        </w:trPr>
        <w:tc>
          <w:tcPr>
            <w:tcW w:w="202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2720" w:type="dxa"/>
            <w:vAlign w:val="bottom"/>
            <w:gridSpan w:val="2"/>
          </w:tcPr>
          <w:p>
            <w:pPr>
              <w:ind w:left="460"/>
              <w:spacing w:after="0"/>
              <w:rPr>
                <w:sz w:val="20"/>
                <w:szCs w:val="20"/>
                <w:color w:val="auto"/>
              </w:rPr>
            </w:pPr>
            <w:r>
              <w:rPr>
                <w:rFonts w:ascii="Arial" w:cs="Arial" w:eastAsia="Arial" w:hAnsi="Arial"/>
                <w:sz w:val="15"/>
                <w:szCs w:val="15"/>
                <w:color w:val="auto"/>
              </w:rPr>
              <w:t>Auditing Comittee</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Specify the name of the document, if not THE COMPANY’s statutes.</w:t>
      </w:r>
    </w:p>
    <w:p>
      <w:pPr>
        <w:spacing w:after="0" w:line="188"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THEY ARE NOT CURRENTLY REGULATED</w:t>
      </w:r>
    </w:p>
    <w:p>
      <w:pPr>
        <w:spacing w:after="0" w:line="206" w:lineRule="exact"/>
        <w:rPr>
          <w:sz w:val="20"/>
          <w:szCs w:val="20"/>
          <w:color w:val="auto"/>
        </w:rPr>
      </w:pPr>
    </w:p>
    <w:p>
      <w:pPr>
        <w:jc w:val="both"/>
        <w:ind w:right="440"/>
        <w:spacing w:after="0" w:line="243" w:lineRule="auto"/>
        <w:rPr>
          <w:sz w:val="20"/>
          <w:szCs w:val="20"/>
          <w:color w:val="auto"/>
        </w:rPr>
      </w:pPr>
      <w:r>
        <w:rPr>
          <w:rFonts w:ascii="Arial" w:cs="Arial" w:eastAsia="Arial" w:hAnsi="Arial"/>
          <w:sz w:val="22"/>
          <w:szCs w:val="22"/>
          <w:b w:val="1"/>
          <w:bCs w:val="1"/>
          <w:color w:val="auto"/>
        </w:rPr>
        <w:t>d. Indicate whether the auditing firm hired to report on the financial statements of THE COMPANY from the financial year to which this report refers also reported on the financial statements of other companies within the same economic group for the same financial year.</w:t>
      </w:r>
    </w:p>
    <w:p>
      <w:pPr>
        <w:spacing w:after="0" w:line="177"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b w:val="1"/>
          <w:bCs w:val="1"/>
          <w:color w:val="auto"/>
        </w:rPr>
        <w:t>(.X.) YES</w:t>
      </w:r>
      <w:r>
        <w:rPr>
          <w:sz w:val="20"/>
          <w:szCs w:val="20"/>
          <w:color w:val="auto"/>
        </w:rPr>
        <w:tab/>
      </w:r>
      <w:r>
        <w:rPr>
          <w:rFonts w:ascii="Arial" w:cs="Arial" w:eastAsia="Arial" w:hAnsi="Arial"/>
          <w:sz w:val="19"/>
          <w:szCs w:val="19"/>
          <w:b w:val="1"/>
          <w:bCs w:val="1"/>
          <w:color w:val="auto"/>
        </w:rPr>
        <w: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NAME OF THE COMPANY/COMPANIES WITHIN THE ECONOMIC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Banco de Crédito</w:t>
      </w:r>
    </w:p>
    <w:p>
      <w:pPr>
        <w:spacing w:after="0" w:line="227" w:lineRule="auto"/>
        <w:rPr>
          <w:sz w:val="20"/>
          <w:szCs w:val="20"/>
          <w:color w:val="auto"/>
        </w:rPr>
      </w:pPr>
      <w:r>
        <w:rPr>
          <w:rFonts w:ascii="Arial" w:cs="Arial" w:eastAsia="Arial" w:hAnsi="Arial"/>
          <w:sz w:val="15"/>
          <w:szCs w:val="15"/>
          <w:color w:val="auto"/>
        </w:rPr>
        <w:t>Credibolsa – Sociedad Agente de Bolsa</w:t>
      </w:r>
    </w:p>
    <w:p>
      <w:pPr>
        <w:spacing w:after="0" w:line="226" w:lineRule="auto"/>
        <w:rPr>
          <w:sz w:val="20"/>
          <w:szCs w:val="20"/>
          <w:color w:val="auto"/>
        </w:rPr>
      </w:pPr>
      <w:r>
        <w:rPr>
          <w:rFonts w:ascii="Arial" w:cs="Arial" w:eastAsia="Arial" w:hAnsi="Arial"/>
          <w:sz w:val="15"/>
          <w:szCs w:val="15"/>
          <w:color w:val="auto"/>
        </w:rPr>
        <w:t>Credileasing</w:t>
      </w:r>
    </w:p>
    <w:p>
      <w:pPr>
        <w:spacing w:after="0" w:line="225" w:lineRule="auto"/>
        <w:rPr>
          <w:sz w:val="20"/>
          <w:szCs w:val="20"/>
          <w:color w:val="auto"/>
        </w:rPr>
      </w:pPr>
      <w:r>
        <w:rPr>
          <w:rFonts w:ascii="Arial" w:cs="Arial" w:eastAsia="Arial" w:hAnsi="Arial"/>
          <w:sz w:val="15"/>
          <w:szCs w:val="15"/>
          <w:color w:val="auto"/>
        </w:rPr>
        <w:t>Credifondo y Fondos</w:t>
      </w:r>
    </w:p>
    <w:p>
      <w:pPr>
        <w:spacing w:after="0" w:line="226" w:lineRule="auto"/>
        <w:rPr>
          <w:sz w:val="20"/>
          <w:szCs w:val="20"/>
          <w:color w:val="auto"/>
        </w:rPr>
      </w:pPr>
      <w:r>
        <w:rPr>
          <w:rFonts w:ascii="Arial" w:cs="Arial" w:eastAsia="Arial" w:hAnsi="Arial"/>
          <w:sz w:val="15"/>
          <w:szCs w:val="15"/>
          <w:color w:val="auto"/>
        </w:rPr>
        <w:t>Banco de Crédito de Bolivia</w:t>
      </w:r>
    </w:p>
    <w:p>
      <w:pPr>
        <w:spacing w:after="0" w:line="225" w:lineRule="auto"/>
        <w:rPr>
          <w:sz w:val="20"/>
          <w:szCs w:val="20"/>
          <w:color w:val="auto"/>
        </w:rPr>
      </w:pPr>
      <w:r>
        <w:rPr>
          <w:rFonts w:ascii="Arial" w:cs="Arial" w:eastAsia="Arial" w:hAnsi="Arial"/>
          <w:sz w:val="15"/>
          <w:szCs w:val="15"/>
          <w:color w:val="auto"/>
        </w:rPr>
        <w:t>Solución Financiera de Crédito</w:t>
      </w:r>
    </w:p>
    <w:p>
      <w:pPr>
        <w:spacing w:after="0" w:line="226" w:lineRule="auto"/>
        <w:rPr>
          <w:sz w:val="20"/>
          <w:szCs w:val="20"/>
          <w:color w:val="auto"/>
        </w:rPr>
      </w:pPr>
      <w:r>
        <w:rPr>
          <w:rFonts w:ascii="Arial" w:cs="Arial" w:eastAsia="Arial" w:hAnsi="Arial"/>
          <w:sz w:val="15"/>
          <w:szCs w:val="15"/>
          <w:color w:val="auto"/>
        </w:rPr>
        <w:t>Creditítulos</w:t>
      </w:r>
    </w:p>
    <w:p>
      <w:pPr>
        <w:spacing w:after="0" w:line="225" w:lineRule="auto"/>
        <w:rPr>
          <w:sz w:val="20"/>
          <w:szCs w:val="20"/>
          <w:color w:val="auto"/>
        </w:rPr>
      </w:pPr>
      <w:r>
        <w:rPr>
          <w:rFonts w:ascii="Arial" w:cs="Arial" w:eastAsia="Arial" w:hAnsi="Arial"/>
          <w:sz w:val="15"/>
          <w:szCs w:val="15"/>
          <w:color w:val="auto"/>
        </w:rPr>
        <w:t>Inmobiliaria BCP</w:t>
      </w:r>
    </w:p>
    <w:p>
      <w:pPr>
        <w:spacing w:after="0" w:line="226" w:lineRule="auto"/>
        <w:rPr>
          <w:sz w:val="20"/>
          <w:szCs w:val="20"/>
          <w:color w:val="auto"/>
        </w:rPr>
      </w:pPr>
      <w:r>
        <w:rPr>
          <w:rFonts w:ascii="Arial" w:cs="Arial" w:eastAsia="Arial" w:hAnsi="Arial"/>
          <w:sz w:val="15"/>
          <w:szCs w:val="15"/>
          <w:color w:val="auto"/>
        </w:rPr>
        <w:t>Inversiones Conexas e Inmobiliarias</w:t>
      </w:r>
    </w:p>
    <w:p>
      <w:pPr>
        <w:spacing w:after="0" w:line="225" w:lineRule="auto"/>
        <w:rPr>
          <w:sz w:val="20"/>
          <w:szCs w:val="20"/>
          <w:color w:val="auto"/>
        </w:rPr>
      </w:pPr>
      <w:r>
        <w:rPr>
          <w:rFonts w:ascii="Arial" w:cs="Arial" w:eastAsia="Arial" w:hAnsi="Arial"/>
          <w:sz w:val="15"/>
          <w:szCs w:val="15"/>
          <w:color w:val="auto"/>
        </w:rPr>
        <w:t>Atlantic Security Holding Corp.</w:t>
      </w:r>
    </w:p>
    <w:p>
      <w:pPr>
        <w:spacing w:after="0" w:line="226" w:lineRule="auto"/>
        <w:rPr>
          <w:sz w:val="20"/>
          <w:szCs w:val="20"/>
          <w:color w:val="auto"/>
        </w:rPr>
      </w:pPr>
      <w:r>
        <w:rPr>
          <w:rFonts w:ascii="Arial" w:cs="Arial" w:eastAsia="Arial" w:hAnsi="Arial"/>
          <w:sz w:val="15"/>
          <w:szCs w:val="15"/>
          <w:color w:val="auto"/>
        </w:rPr>
        <w:t>Atlantic Security Bank</w:t>
      </w:r>
    </w:p>
    <w:p>
      <w:pPr>
        <w:spacing w:after="0" w:line="225" w:lineRule="auto"/>
        <w:rPr>
          <w:sz w:val="20"/>
          <w:szCs w:val="20"/>
          <w:color w:val="auto"/>
        </w:rPr>
      </w:pPr>
      <w:r>
        <w:rPr>
          <w:rFonts w:ascii="Arial" w:cs="Arial" w:eastAsia="Arial" w:hAnsi="Arial"/>
          <w:sz w:val="15"/>
          <w:szCs w:val="15"/>
          <w:color w:val="auto"/>
        </w:rPr>
        <w:t>Pacifico Peruano Suiza Cía de Seguros y Reaseguros</w:t>
      </w:r>
    </w:p>
    <w:p>
      <w:pPr>
        <w:spacing w:after="0" w:line="226" w:lineRule="auto"/>
        <w:rPr>
          <w:sz w:val="20"/>
          <w:szCs w:val="20"/>
          <w:color w:val="auto"/>
        </w:rPr>
      </w:pPr>
      <w:r>
        <w:rPr>
          <w:rFonts w:ascii="Arial" w:cs="Arial" w:eastAsia="Arial" w:hAnsi="Arial"/>
          <w:sz w:val="15"/>
          <w:szCs w:val="15"/>
          <w:color w:val="auto"/>
        </w:rPr>
        <w:t>Pacifico Vida</w:t>
      </w:r>
    </w:p>
    <w:p>
      <w:pPr>
        <w:spacing w:after="0" w:line="225" w:lineRule="auto"/>
        <w:rPr>
          <w:sz w:val="20"/>
          <w:szCs w:val="20"/>
          <w:color w:val="auto"/>
        </w:rPr>
      </w:pPr>
      <w:r>
        <w:rPr>
          <w:rFonts w:ascii="Arial" w:cs="Arial" w:eastAsia="Arial" w:hAnsi="Arial"/>
          <w:sz w:val="15"/>
          <w:szCs w:val="15"/>
          <w:color w:val="auto"/>
        </w:rPr>
        <w:t>Pacifico EPS</w:t>
      </w:r>
    </w:p>
    <w:p>
      <w:pPr>
        <w:spacing w:after="0" w:line="226" w:lineRule="auto"/>
        <w:rPr>
          <w:sz w:val="20"/>
          <w:szCs w:val="20"/>
          <w:color w:val="auto"/>
        </w:rPr>
      </w:pPr>
      <w:r>
        <w:rPr>
          <w:rFonts w:ascii="Arial" w:cs="Arial" w:eastAsia="Arial" w:hAnsi="Arial"/>
          <w:sz w:val="15"/>
          <w:szCs w:val="15"/>
          <w:color w:val="auto"/>
        </w:rPr>
        <w:t>Grupo Crédito</w:t>
      </w:r>
    </w:p>
    <w:p>
      <w:pPr>
        <w:spacing w:after="0" w:line="225" w:lineRule="auto"/>
        <w:rPr>
          <w:sz w:val="20"/>
          <w:szCs w:val="20"/>
          <w:color w:val="auto"/>
        </w:rPr>
      </w:pPr>
      <w:r>
        <w:rPr>
          <w:rFonts w:ascii="Arial" w:cs="Arial" w:eastAsia="Arial" w:hAnsi="Arial"/>
          <w:sz w:val="15"/>
          <w:szCs w:val="15"/>
          <w:color w:val="auto"/>
        </w:rPr>
        <w:t>Servicorp</w:t>
      </w:r>
    </w:p>
    <w:p>
      <w:pPr>
        <w:spacing w:after="0" w:line="226" w:lineRule="auto"/>
        <w:rPr>
          <w:sz w:val="20"/>
          <w:szCs w:val="20"/>
          <w:color w:val="auto"/>
        </w:rPr>
      </w:pPr>
      <w:r>
        <w:rPr>
          <w:rFonts w:ascii="Arial" w:cs="Arial" w:eastAsia="Arial" w:hAnsi="Arial"/>
          <w:sz w:val="15"/>
          <w:szCs w:val="15"/>
          <w:color w:val="auto"/>
        </w:rPr>
        <w:t>Prima AFP</w:t>
      </w:r>
    </w:p>
    <w:p>
      <w:pPr>
        <w:spacing w:after="0"/>
        <w:rPr>
          <w:sz w:val="20"/>
          <w:szCs w:val="20"/>
          <w:color w:val="auto"/>
        </w:rPr>
      </w:pPr>
      <w:r>
        <w:rPr>
          <w:rFonts w:ascii="Arial" w:cs="Arial" w:eastAsia="Arial" w:hAnsi="Arial"/>
          <w:sz w:val="15"/>
          <w:szCs w:val="15"/>
          <w:color w:val="auto"/>
        </w:rPr>
        <w:t>Credicorp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right="540"/>
        <w:spacing w:after="0" w:line="256" w:lineRule="auto"/>
        <w:rPr>
          <w:sz w:val="20"/>
          <w:szCs w:val="20"/>
          <w:color w:val="auto"/>
        </w:rPr>
      </w:pPr>
      <w:r>
        <w:rPr>
          <w:rFonts w:ascii="Arial" w:cs="Arial" w:eastAsia="Arial" w:hAnsi="Arial"/>
          <w:sz w:val="22"/>
          <w:szCs w:val="22"/>
          <w:b w:val="1"/>
          <w:bCs w:val="1"/>
          <w:color w:val="auto"/>
        </w:rPr>
        <w:t>e. Specify the number of meetings that were held between the hired auditing firm and the area responsible for internal auditing in the financial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5054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505460"/>
                    </a:xfrm>
                    <a:prstGeom prst="rect">
                      <a:avLst/>
                    </a:prstGeom>
                    <a:noFill/>
                  </pic:spPr>
                </pic:pic>
              </a:graphicData>
            </a:graphic>
          </wp:anchor>
        </w:drawing>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NUMBER OF MEETINGS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180" w:type="dxa"/>
            <w:vAlign w:val="bottom"/>
            <w:tcBorders>
              <w:top w:val="single" w:sz="8" w:color="2C2C2C"/>
            </w:tcBorders>
            <w:gridSpan w:val="4"/>
          </w:tcPr>
          <w:p>
            <w:pPr>
              <w:ind w:left="580"/>
              <w:spacing w:after="0" w:line="160" w:lineRule="exact"/>
              <w:rPr>
                <w:sz w:val="20"/>
                <w:szCs w:val="20"/>
                <w:color w:val="auto"/>
              </w:rPr>
            </w:pPr>
            <w:r>
              <w:rPr>
                <w:rFonts w:ascii="Arial" w:cs="Arial" w:eastAsia="Arial" w:hAnsi="Arial"/>
                <w:sz w:val="15"/>
                <w:szCs w:val="15"/>
                <w:color w:val="auto"/>
              </w:rPr>
              <w:t>0</w:t>
            </w:r>
          </w:p>
        </w:tc>
        <w:tc>
          <w:tcPr>
            <w:tcW w:w="1460" w:type="dxa"/>
            <w:vAlign w:val="bottom"/>
            <w:tcBorders>
              <w:top w:val="single" w:sz="8" w:color="2C2C2C"/>
            </w:tcBorders>
          </w:tcPr>
          <w:p>
            <w:pPr>
              <w:ind w:left="720"/>
              <w:spacing w:after="0" w:line="160" w:lineRule="exact"/>
              <w:rPr>
                <w:sz w:val="20"/>
                <w:szCs w:val="20"/>
                <w:color w:val="auto"/>
              </w:rPr>
            </w:pPr>
            <w:r>
              <w:rPr>
                <w:rFonts w:ascii="Arial" w:cs="Arial" w:eastAsia="Arial" w:hAnsi="Arial"/>
                <w:sz w:val="15"/>
                <w:szCs w:val="15"/>
                <w:color w:val="auto"/>
              </w:rPr>
              <w:t>1</w:t>
            </w:r>
          </w:p>
        </w:tc>
        <w:tc>
          <w:tcPr>
            <w:tcW w:w="1400" w:type="dxa"/>
            <w:vAlign w:val="bottom"/>
            <w:tcBorders>
              <w:top w:val="single" w:sz="8" w:color="2C2C2C"/>
            </w:tcBorders>
          </w:tcPr>
          <w:p>
            <w:pPr>
              <w:ind w:left="620"/>
              <w:spacing w:after="0" w:line="160" w:lineRule="exact"/>
              <w:rPr>
                <w:sz w:val="20"/>
                <w:szCs w:val="20"/>
                <w:color w:val="auto"/>
              </w:rPr>
            </w:pPr>
            <w:r>
              <w:rPr>
                <w:rFonts w:ascii="Arial" w:cs="Arial" w:eastAsia="Arial" w:hAnsi="Arial"/>
                <w:sz w:val="15"/>
                <w:szCs w:val="15"/>
                <w:color w:val="auto"/>
              </w:rPr>
              <w:t>2</w:t>
            </w:r>
          </w:p>
        </w:tc>
        <w:tc>
          <w:tcPr>
            <w:tcW w:w="1460" w:type="dxa"/>
            <w:vAlign w:val="bottom"/>
            <w:tcBorders>
              <w:top w:val="single" w:sz="8" w:color="2C2C2C"/>
            </w:tcBorders>
          </w:tcPr>
          <w:p>
            <w:pPr>
              <w:ind w:left="660"/>
              <w:spacing w:after="0" w:line="160" w:lineRule="exact"/>
              <w:rPr>
                <w:sz w:val="20"/>
                <w:szCs w:val="20"/>
                <w:color w:val="auto"/>
              </w:rPr>
            </w:pPr>
            <w:r>
              <w:rPr>
                <w:rFonts w:ascii="Arial" w:cs="Arial" w:eastAsia="Arial" w:hAnsi="Arial"/>
                <w:sz w:val="15"/>
                <w:szCs w:val="15"/>
                <w:color w:val="auto"/>
              </w:rPr>
              <w:t>3</w:t>
            </w:r>
          </w:p>
        </w:tc>
        <w:tc>
          <w:tcPr>
            <w:tcW w:w="1900" w:type="dxa"/>
            <w:vAlign w:val="bottom"/>
            <w:tcBorders>
              <w:top w:val="single" w:sz="8" w:color="2C2C2C"/>
            </w:tcBorders>
          </w:tcPr>
          <w:p>
            <w:pPr>
              <w:ind w:left="680"/>
              <w:spacing w:after="0" w:line="160" w:lineRule="exact"/>
              <w:rPr>
                <w:sz w:val="20"/>
                <w:szCs w:val="20"/>
                <w:color w:val="auto"/>
              </w:rPr>
            </w:pPr>
            <w:r>
              <w:rPr>
                <w:rFonts w:ascii="Arial" w:cs="Arial" w:eastAsia="Arial" w:hAnsi="Arial"/>
                <w:sz w:val="15"/>
                <w:szCs w:val="15"/>
                <w:color w:val="auto"/>
              </w:rPr>
              <w:t>4</w:t>
            </w:r>
          </w:p>
        </w:tc>
        <w:tc>
          <w:tcPr>
            <w:tcW w:w="1160" w:type="dxa"/>
            <w:vAlign w:val="bottom"/>
            <w:tcBorders>
              <w:top w:val="single" w:sz="8" w:color="2C2C2C"/>
            </w:tcBorders>
          </w:tcPr>
          <w:p>
            <w:pPr>
              <w:ind w:left="260"/>
              <w:spacing w:after="0" w:line="160" w:lineRule="exact"/>
              <w:rPr>
                <w:sz w:val="20"/>
                <w:szCs w:val="20"/>
                <w:color w:val="auto"/>
              </w:rPr>
            </w:pPr>
            <w:r>
              <w:rPr>
                <w:rFonts w:ascii="Arial" w:cs="Arial" w:eastAsia="Arial" w:hAnsi="Arial"/>
                <w:sz w:val="15"/>
                <w:szCs w:val="15"/>
                <w:color w:val="auto"/>
              </w:rPr>
              <w:t>5</w:t>
            </w:r>
          </w:p>
        </w:tc>
        <w:tc>
          <w:tcPr>
            <w:tcW w:w="1240" w:type="dxa"/>
            <w:vAlign w:val="bottom"/>
            <w:tcBorders>
              <w:top w:val="single" w:sz="8" w:color="2C2C2C"/>
            </w:tcBorders>
            <w:gridSpan w:val="2"/>
          </w:tcPr>
          <w:p>
            <w:pPr>
              <w:jc w:val="center"/>
              <w:spacing w:after="0" w:line="160" w:lineRule="exact"/>
              <w:rPr>
                <w:sz w:val="20"/>
                <w:szCs w:val="20"/>
                <w:color w:val="auto"/>
              </w:rPr>
            </w:pPr>
            <w:r>
              <w:rPr>
                <w:rFonts w:ascii="Arial" w:cs="Arial" w:eastAsia="Arial" w:hAnsi="Arial"/>
                <w:sz w:val="15"/>
                <w:szCs w:val="15"/>
                <w:color w:val="auto"/>
                <w:w w:val="97"/>
              </w:rPr>
              <w:t>MORE THAN 5</w:t>
            </w:r>
          </w:p>
        </w:tc>
        <w:tc>
          <w:tcPr>
            <w:tcW w:w="30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ind w:left="400"/>
              <w:spacing w:after="0" w:line="160" w:lineRule="exact"/>
              <w:rPr>
                <w:sz w:val="20"/>
                <w:szCs w:val="20"/>
                <w:color w:val="auto"/>
              </w:rPr>
            </w:pPr>
            <w:r>
              <w:rPr>
                <w:rFonts w:ascii="Arial" w:cs="Arial" w:eastAsia="Arial" w:hAnsi="Arial"/>
                <w:sz w:val="15"/>
                <w:szCs w:val="15"/>
                <w:color w:val="auto"/>
              </w:rPr>
              <w:t>NOT</w:t>
            </w:r>
          </w:p>
        </w:tc>
        <w:tc>
          <w:tcPr>
            <w:tcW w:w="440" w:type="dxa"/>
            <w:vAlign w:val="bottom"/>
            <w:tcBorders>
              <w:top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3"/>
          </w:tcPr>
          <w:p>
            <w:pPr>
              <w:jc w:val="center"/>
              <w:ind w:right="240"/>
              <w:spacing w:after="0" w:line="172" w:lineRule="exact"/>
              <w:rPr>
                <w:sz w:val="20"/>
                <w:szCs w:val="20"/>
                <w:color w:val="auto"/>
              </w:rPr>
            </w:pPr>
            <w:r>
              <w:rPr>
                <w:rFonts w:ascii="Arial" w:cs="Arial" w:eastAsia="Arial" w:hAnsi="Arial"/>
                <w:sz w:val="15"/>
                <w:szCs w:val="15"/>
                <w:color w:val="auto"/>
                <w:w w:val="98"/>
              </w:rPr>
              <w:t>APPLICABLE</w:t>
            </w:r>
          </w:p>
        </w:tc>
        <w:tc>
          <w:tcPr>
            <w:tcW w:w="0" w:type="dxa"/>
            <w:vAlign w:val="bottom"/>
          </w:tcPr>
          <w:p>
            <w:pPr>
              <w:spacing w:after="0"/>
              <w:rPr>
                <w:sz w:val="1"/>
                <w:szCs w:val="1"/>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1180" w:type="dxa"/>
            <w:vAlign w:val="bottom"/>
            <w:tcBorders>
              <w:top w:val="single" w:sz="8" w:color="2C2C2C"/>
              <w:bottom w:val="single" w:sz="8" w:color="2C2C2C"/>
            </w:tcBorders>
            <w:gridSpan w:val="4"/>
          </w:tcPr>
          <w:p>
            <w:pPr>
              <w:ind w:left="560"/>
              <w:spacing w:after="0" w:line="162" w:lineRule="exact"/>
              <w:rPr>
                <w:sz w:val="20"/>
                <w:szCs w:val="20"/>
                <w:color w:val="auto"/>
              </w:rPr>
            </w:pPr>
            <w:r>
              <w:rPr>
                <w:rFonts w:ascii="Arial" w:cs="Arial" w:eastAsia="Arial" w:hAnsi="Arial"/>
                <w:sz w:val="15"/>
                <w:szCs w:val="15"/>
                <w:b w:val="1"/>
                <w:bCs w:val="1"/>
                <w:color w:val="auto"/>
              </w:rPr>
              <w:t>( )</w:t>
            </w:r>
          </w:p>
        </w:tc>
        <w:tc>
          <w:tcPr>
            <w:tcW w:w="1460" w:type="dxa"/>
            <w:vAlign w:val="bottom"/>
            <w:tcBorders>
              <w:top w:val="single" w:sz="8" w:color="2C2C2C"/>
              <w:bottom w:val="single" w:sz="8" w:color="2C2C2C"/>
            </w:tcBorders>
          </w:tcPr>
          <w:p>
            <w:pPr>
              <w:ind w:left="700"/>
              <w:spacing w:after="0" w:line="162" w:lineRule="exact"/>
              <w:rPr>
                <w:sz w:val="20"/>
                <w:szCs w:val="20"/>
                <w:color w:val="auto"/>
              </w:rPr>
            </w:pPr>
            <w:r>
              <w:rPr>
                <w:rFonts w:ascii="Arial" w:cs="Arial" w:eastAsia="Arial" w:hAnsi="Arial"/>
                <w:sz w:val="15"/>
                <w:szCs w:val="15"/>
                <w:b w:val="1"/>
                <w:bCs w:val="1"/>
                <w:color w:val="auto"/>
              </w:rPr>
              <w:t>( )</w:t>
            </w:r>
          </w:p>
        </w:tc>
        <w:tc>
          <w:tcPr>
            <w:tcW w:w="1400" w:type="dxa"/>
            <w:vAlign w:val="bottom"/>
            <w:tcBorders>
              <w:top w:val="single" w:sz="8" w:color="2C2C2C"/>
              <w:bottom w:val="single" w:sz="8" w:color="2C2C2C"/>
            </w:tcBorders>
          </w:tcPr>
          <w:p>
            <w:pPr>
              <w:ind w:left="620"/>
              <w:spacing w:after="0" w:line="162" w:lineRule="exact"/>
              <w:rPr>
                <w:sz w:val="20"/>
                <w:szCs w:val="20"/>
                <w:color w:val="auto"/>
              </w:rPr>
            </w:pPr>
            <w:r>
              <w:rPr>
                <w:rFonts w:ascii="Arial" w:cs="Arial" w:eastAsia="Arial" w:hAnsi="Arial"/>
                <w:sz w:val="15"/>
                <w:szCs w:val="15"/>
                <w:b w:val="1"/>
                <w:bCs w:val="1"/>
                <w:color w:val="auto"/>
              </w:rPr>
              <w:t>( )</w:t>
            </w:r>
          </w:p>
        </w:tc>
        <w:tc>
          <w:tcPr>
            <w:tcW w:w="1460" w:type="dxa"/>
            <w:vAlign w:val="bottom"/>
            <w:tcBorders>
              <w:top w:val="single" w:sz="8" w:color="2C2C2C"/>
              <w:bottom w:val="single" w:sz="8" w:color="2C2C2C"/>
            </w:tcBorders>
          </w:tcPr>
          <w:p>
            <w:pPr>
              <w:ind w:left="640"/>
              <w:spacing w:after="0" w:line="162" w:lineRule="exact"/>
              <w:rPr>
                <w:sz w:val="20"/>
                <w:szCs w:val="20"/>
                <w:color w:val="auto"/>
              </w:rPr>
            </w:pPr>
            <w:r>
              <w:rPr>
                <w:rFonts w:ascii="Arial" w:cs="Arial" w:eastAsia="Arial" w:hAnsi="Arial"/>
                <w:sz w:val="15"/>
                <w:szCs w:val="15"/>
                <w:b w:val="1"/>
                <w:bCs w:val="1"/>
                <w:color w:val="auto"/>
              </w:rPr>
              <w:t>( )</w:t>
            </w:r>
          </w:p>
        </w:tc>
        <w:tc>
          <w:tcPr>
            <w:tcW w:w="1900" w:type="dxa"/>
            <w:vAlign w:val="bottom"/>
            <w:tcBorders>
              <w:top w:val="single" w:sz="8" w:color="2C2C2C"/>
              <w:bottom w:val="single" w:sz="8" w:color="2C2C2C"/>
            </w:tcBorders>
          </w:tcPr>
          <w:p>
            <w:pPr>
              <w:ind w:left="660"/>
              <w:spacing w:after="0" w:line="162" w:lineRule="exact"/>
              <w:rPr>
                <w:sz w:val="20"/>
                <w:szCs w:val="20"/>
                <w:color w:val="auto"/>
              </w:rPr>
            </w:pPr>
            <w:r>
              <w:rPr>
                <w:rFonts w:ascii="Arial" w:cs="Arial" w:eastAsia="Arial" w:hAnsi="Arial"/>
                <w:sz w:val="15"/>
                <w:szCs w:val="15"/>
                <w:b w:val="1"/>
                <w:bCs w:val="1"/>
                <w:color w:val="auto"/>
              </w:rPr>
              <w:t>( )</w:t>
            </w:r>
          </w:p>
        </w:tc>
        <w:tc>
          <w:tcPr>
            <w:tcW w:w="1160" w:type="dxa"/>
            <w:vAlign w:val="bottom"/>
            <w:tcBorders>
              <w:top w:val="single" w:sz="8" w:color="2C2C2C"/>
              <w:bottom w:val="single" w:sz="8" w:color="2C2C2C"/>
            </w:tcBorders>
          </w:tcPr>
          <w:p>
            <w:pPr>
              <w:ind w:left="240"/>
              <w:spacing w:after="0" w:line="162" w:lineRule="exact"/>
              <w:rPr>
                <w:sz w:val="20"/>
                <w:szCs w:val="20"/>
                <w:color w:val="auto"/>
              </w:rPr>
            </w:pPr>
            <w:r>
              <w:rPr>
                <w:rFonts w:ascii="Arial" w:cs="Arial" w:eastAsia="Arial" w:hAnsi="Arial"/>
                <w:sz w:val="15"/>
                <w:szCs w:val="15"/>
                <w:b w:val="1"/>
                <w:bCs w:val="1"/>
                <w:color w:val="auto"/>
              </w:rPr>
              <w:t>( )</w:t>
            </w:r>
          </w:p>
        </w:tc>
        <w:tc>
          <w:tcPr>
            <w:tcW w:w="780" w:type="dxa"/>
            <w:vAlign w:val="bottom"/>
            <w:tcBorders>
              <w:top w:val="single" w:sz="8" w:color="2C2C2C"/>
              <w:bottom w:val="single" w:sz="8" w:color="2C2C2C"/>
            </w:tcBorders>
          </w:tcPr>
          <w:p>
            <w:pPr>
              <w:jc w:val="center"/>
              <w:ind w:left="386"/>
              <w:spacing w:after="0" w:line="162" w:lineRule="exact"/>
              <w:rPr>
                <w:sz w:val="20"/>
                <w:szCs w:val="20"/>
                <w:color w:val="auto"/>
              </w:rPr>
            </w:pPr>
            <w:r>
              <w:rPr>
                <w:rFonts w:ascii="Arial" w:cs="Arial" w:eastAsia="Arial" w:hAnsi="Arial"/>
                <w:sz w:val="15"/>
                <w:szCs w:val="15"/>
                <w:b w:val="1"/>
                <w:bCs w:val="1"/>
                <w:color w:val="auto"/>
                <w:w w:val="98"/>
              </w:rPr>
              <w:t>(.X )</w:t>
            </w:r>
          </w:p>
        </w:tc>
        <w:tc>
          <w:tcPr>
            <w:tcW w:w="460" w:type="dxa"/>
            <w:vAlign w:val="bottom"/>
            <w:tcBorders>
              <w:top w:val="single" w:sz="8" w:color="2C2C2C"/>
              <w:bottom w:val="single" w:sz="8" w:color="2C2C2C"/>
            </w:tcBorders>
          </w:tcPr>
          <w:p>
            <w:pPr>
              <w:spacing w:after="0"/>
              <w:rPr>
                <w:sz w:val="14"/>
                <w:szCs w:val="14"/>
                <w:color w:val="auto"/>
              </w:rPr>
            </w:pPr>
          </w:p>
        </w:tc>
        <w:tc>
          <w:tcPr>
            <w:tcW w:w="300" w:type="dxa"/>
            <w:vAlign w:val="bottom"/>
            <w:tcBorders>
              <w:top w:val="single" w:sz="8" w:color="2C2C2C"/>
              <w:bottom w:val="single" w:sz="8" w:color="2C2C2C"/>
            </w:tcBorders>
          </w:tcPr>
          <w:p>
            <w:pPr>
              <w:spacing w:after="0"/>
              <w:rPr>
                <w:sz w:val="14"/>
                <w:szCs w:val="14"/>
                <w:color w:val="auto"/>
              </w:rPr>
            </w:pPr>
          </w:p>
        </w:tc>
        <w:tc>
          <w:tcPr>
            <w:tcW w:w="840" w:type="dxa"/>
            <w:vAlign w:val="bottom"/>
            <w:tcBorders>
              <w:top w:val="single" w:sz="8" w:color="2C2C2C"/>
              <w:bottom w:val="single" w:sz="8" w:color="2C2C2C"/>
            </w:tcBorders>
          </w:tcPr>
          <w:p>
            <w:pPr>
              <w:jc w:val="right"/>
              <w:ind w:right="146"/>
              <w:spacing w:after="0" w:line="162" w:lineRule="exact"/>
              <w:rPr>
                <w:sz w:val="20"/>
                <w:szCs w:val="20"/>
                <w:color w:val="auto"/>
              </w:rPr>
            </w:pPr>
            <w:r>
              <w:rPr>
                <w:rFonts w:ascii="Arial" w:cs="Arial" w:eastAsia="Arial" w:hAnsi="Arial"/>
                <w:sz w:val="15"/>
                <w:szCs w:val="15"/>
                <w:b w:val="1"/>
                <w:bCs w:val="1"/>
                <w:color w:val="auto"/>
              </w:rPr>
              <w:t>( )</w:t>
            </w:r>
          </w:p>
        </w:tc>
        <w:tc>
          <w:tcPr>
            <w:tcW w:w="440" w:type="dxa"/>
            <w:vAlign w:val="bottom"/>
            <w:tcBorders>
              <w:top w:val="single" w:sz="8" w:color="2C2C2C"/>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82"/>
        </w:trPr>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Borders>
              <w:bottom w:val="single" w:sz="8" w:color="2C2C2C"/>
            </w:tcBorders>
          </w:tcPr>
          <w:p>
            <w:pPr>
              <w:jc w:val="right"/>
              <w:ind w:right="46"/>
              <w:spacing w:after="0" w:line="162" w:lineRule="exact"/>
              <w:rPr>
                <w:sz w:val="20"/>
                <w:szCs w:val="20"/>
                <w:color w:val="auto"/>
              </w:rPr>
            </w:pPr>
            <w:r>
              <w:rPr>
                <w:rFonts w:ascii="Arial" w:cs="Arial" w:eastAsia="Arial" w:hAnsi="Arial"/>
                <w:sz w:val="15"/>
                <w:szCs w:val="15"/>
                <w:i w:val="1"/>
                <w:iCs w:val="1"/>
                <w:color w:val="auto"/>
                <w:w w:val="93"/>
              </w:rPr>
              <w:t>Fulfillment</w:t>
            </w:r>
          </w:p>
        </w:tc>
        <w:tc>
          <w:tcPr>
            <w:tcW w:w="4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14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vMerge w:val="restart"/>
          </w:tcPr>
          <w:p>
            <w:pPr>
              <w:jc w:val="right"/>
              <w:ind w:right="386"/>
              <w:spacing w:after="0" w:line="162" w:lineRule="exact"/>
              <w:rPr>
                <w:sz w:val="20"/>
                <w:szCs w:val="20"/>
                <w:color w:val="auto"/>
              </w:rPr>
            </w:pPr>
            <w:r>
              <w:rPr>
                <w:rFonts w:ascii="Arial" w:cs="Arial" w:eastAsia="Arial" w:hAnsi="Arial"/>
                <w:sz w:val="15"/>
                <w:szCs w:val="15"/>
                <w:i w:val="1"/>
                <w:iCs w:val="1"/>
                <w:color w:val="auto"/>
              </w:rPr>
              <w:t>0</w:t>
            </w:r>
          </w:p>
        </w:tc>
        <w:tc>
          <w:tcPr>
            <w:tcW w:w="460" w:type="dxa"/>
            <w:vAlign w:val="bottom"/>
            <w:vMerge w:val="restart"/>
          </w:tcPr>
          <w:p>
            <w:pPr>
              <w:jc w:val="right"/>
              <w:ind w:right="286"/>
              <w:spacing w:after="0" w:line="162" w:lineRule="exact"/>
              <w:rPr>
                <w:sz w:val="20"/>
                <w:szCs w:val="20"/>
                <w:color w:val="auto"/>
              </w:rPr>
            </w:pPr>
            <w:r>
              <w:rPr>
                <w:rFonts w:ascii="Arial" w:cs="Arial" w:eastAsia="Arial" w:hAnsi="Arial"/>
                <w:sz w:val="15"/>
                <w:szCs w:val="15"/>
                <w:i w:val="1"/>
                <w:iCs w:val="1"/>
                <w:color w:val="auto"/>
                <w:w w:val="95"/>
              </w:rPr>
              <w:t>1</w:t>
            </w:r>
          </w:p>
        </w:tc>
        <w:tc>
          <w:tcPr>
            <w:tcW w:w="300" w:type="dxa"/>
            <w:vAlign w:val="bottom"/>
            <w:vMerge w:val="restart"/>
          </w:tcPr>
          <w:p>
            <w:pPr>
              <w:jc w:val="right"/>
              <w:ind w:right="26"/>
              <w:spacing w:after="0" w:line="162" w:lineRule="exact"/>
              <w:rPr>
                <w:sz w:val="20"/>
                <w:szCs w:val="20"/>
                <w:color w:val="auto"/>
              </w:rPr>
            </w:pPr>
            <w:r>
              <w:rPr>
                <w:rFonts w:ascii="Arial" w:cs="Arial" w:eastAsia="Arial" w:hAnsi="Arial"/>
                <w:sz w:val="15"/>
                <w:szCs w:val="15"/>
                <w:i w:val="1"/>
                <w:iCs w:val="1"/>
                <w:color w:val="auto"/>
              </w:rPr>
              <w:t>2</w:t>
            </w:r>
          </w:p>
        </w:tc>
        <w:tc>
          <w:tcPr>
            <w:tcW w:w="840" w:type="dxa"/>
            <w:vAlign w:val="bottom"/>
            <w:vMerge w:val="restart"/>
          </w:tcPr>
          <w:p>
            <w:pPr>
              <w:ind w:left="400"/>
              <w:spacing w:after="0" w:line="162" w:lineRule="exact"/>
              <w:rPr>
                <w:sz w:val="20"/>
                <w:szCs w:val="20"/>
                <w:color w:val="auto"/>
              </w:rPr>
            </w:pPr>
            <w:r>
              <w:rPr>
                <w:rFonts w:ascii="Arial" w:cs="Arial" w:eastAsia="Arial" w:hAnsi="Arial"/>
                <w:sz w:val="15"/>
                <w:szCs w:val="15"/>
                <w:i w:val="1"/>
                <w:iCs w:val="1"/>
                <w:color w:val="auto"/>
              </w:rPr>
              <w:t>3</w:t>
            </w:r>
          </w:p>
        </w:tc>
        <w:tc>
          <w:tcPr>
            <w:tcW w:w="44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4</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top w:val="single" w:sz="8" w:color="auto"/>
              <w:bottom w:val="single" w:sz="8" w:color="2C2C2C"/>
            </w:tcBorders>
          </w:tcPr>
          <w:p>
            <w:pPr>
              <w:spacing w:after="0"/>
              <w:rPr>
                <w:sz w:val="8"/>
                <w:szCs w:val="8"/>
                <w:color w:val="auto"/>
              </w:rPr>
            </w:pPr>
          </w:p>
        </w:tc>
        <w:tc>
          <w:tcPr>
            <w:tcW w:w="400" w:type="dxa"/>
            <w:vAlign w:val="bottom"/>
            <w:tcBorders>
              <w:top w:val="single" w:sz="8" w:color="auto"/>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vMerge w:val="continue"/>
          </w:tcPr>
          <w:p>
            <w:pPr>
              <w:spacing w:after="0"/>
              <w:rPr>
                <w:sz w:val="8"/>
                <w:szCs w:val="8"/>
                <w:color w:val="auto"/>
              </w:rPr>
            </w:pPr>
          </w:p>
        </w:tc>
        <w:tc>
          <w:tcPr>
            <w:tcW w:w="460" w:type="dxa"/>
            <w:vAlign w:val="bottom"/>
            <w:tcBorders>
              <w:bottom w:val="single" w:sz="8" w:color="2C2C2C"/>
            </w:tcBorders>
            <w:vMerge w:val="continue"/>
          </w:tcPr>
          <w:p>
            <w:pPr>
              <w:spacing w:after="0"/>
              <w:rPr>
                <w:sz w:val="8"/>
                <w:szCs w:val="8"/>
                <w:color w:val="auto"/>
              </w:rPr>
            </w:pPr>
          </w:p>
        </w:tc>
        <w:tc>
          <w:tcPr>
            <w:tcW w:w="300" w:type="dxa"/>
            <w:vAlign w:val="bottom"/>
            <w:tcBorders>
              <w:bottom w:val="single" w:sz="8" w:color="2C2C2C"/>
            </w:tcBorders>
            <w:vMerge w:val="continue"/>
          </w:tcPr>
          <w:p>
            <w:pPr>
              <w:spacing w:after="0"/>
              <w:rPr>
                <w:sz w:val="8"/>
                <w:szCs w:val="8"/>
                <w:color w:val="auto"/>
              </w:rPr>
            </w:pPr>
          </w:p>
        </w:tc>
        <w:tc>
          <w:tcPr>
            <w:tcW w:w="840" w:type="dxa"/>
            <w:vAlign w:val="bottom"/>
            <w:tcBorders>
              <w:bottom w:val="single" w:sz="8" w:color="2C2C2C"/>
            </w:tcBorders>
            <w:vMerge w:val="continue"/>
          </w:tcPr>
          <w:p>
            <w:pPr>
              <w:spacing w:after="0"/>
              <w:rPr>
                <w:sz w:val="8"/>
                <w:szCs w:val="8"/>
                <w:color w:val="auto"/>
              </w:rPr>
            </w:pPr>
          </w:p>
        </w:tc>
        <w:tc>
          <w:tcPr>
            <w:tcW w:w="440" w:type="dxa"/>
            <w:vAlign w:val="bottom"/>
            <w:tcBorders>
              <w:bottom w:val="single" w:sz="8" w:color="2C2C2C"/>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9"/>
          </w:tcPr>
          <w:p>
            <w:pPr>
              <w:ind w:left="20"/>
              <w:spacing w:after="0" w:line="149" w:lineRule="exact"/>
              <w:rPr>
                <w:sz w:val="20"/>
                <w:szCs w:val="20"/>
                <w:color w:val="auto"/>
              </w:rPr>
            </w:pPr>
            <w:r>
              <w:rPr>
                <w:rFonts w:ascii="Arial" w:cs="Arial" w:eastAsia="Arial" w:hAnsi="Arial"/>
                <w:sz w:val="15"/>
                <w:szCs w:val="15"/>
                <w:i w:val="1"/>
                <w:iCs w:val="1"/>
                <w:color w:val="auto"/>
                <w:w w:val="91"/>
              </w:rPr>
              <w:t>8. Principle (IV.D.2).- Attention to particular requests for information made by the shareholders, investors in general or interest groups related</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400"/>
              <w:spacing w:after="0" w:line="149" w:lineRule="exact"/>
              <w:rPr>
                <w:sz w:val="20"/>
                <w:szCs w:val="20"/>
                <w:color w:val="auto"/>
              </w:rPr>
            </w:pPr>
            <w:r>
              <w:rPr>
                <w:rFonts w:ascii="Arial" w:cs="Arial" w:eastAsia="Arial" w:hAnsi="Arial"/>
                <w:sz w:val="15"/>
                <w:szCs w:val="15"/>
                <w:i w:val="1"/>
                <w:iCs w:val="1"/>
                <w:color w:val="auto"/>
              </w:rPr>
              <w:t>X</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gridSpan w:val="2"/>
          </w:tcPr>
          <w:p>
            <w:pPr>
              <w:ind w:left="20"/>
              <w:spacing w:after="0" w:line="156" w:lineRule="exact"/>
              <w:rPr>
                <w:sz w:val="20"/>
                <w:szCs w:val="20"/>
                <w:color w:val="auto"/>
              </w:rPr>
            </w:pPr>
            <w:r>
              <w:rPr>
                <w:rFonts w:ascii="Arial" w:cs="Arial" w:eastAsia="Arial" w:hAnsi="Arial"/>
                <w:sz w:val="15"/>
                <w:szCs w:val="15"/>
                <w:i w:val="1"/>
                <w:iCs w:val="1"/>
                <w:color w:val="auto"/>
                <w:w w:val="95"/>
              </w:rPr>
              <w:t>to</w:t>
            </w:r>
          </w:p>
        </w:tc>
        <w:tc>
          <w:tcPr>
            <w:tcW w:w="1020" w:type="dxa"/>
            <w:vAlign w:val="bottom"/>
            <w:tcBorders>
              <w:top w:val="single" w:sz="8" w:color="auto"/>
              <w:bottom w:val="single" w:sz="8" w:color="2C2C2C"/>
            </w:tcBorders>
            <w:gridSpan w:val="2"/>
          </w:tcPr>
          <w:p>
            <w:pPr>
              <w:spacing w:after="0" w:line="156" w:lineRule="exact"/>
              <w:rPr>
                <w:sz w:val="20"/>
                <w:szCs w:val="20"/>
                <w:color w:val="auto"/>
              </w:rPr>
            </w:pPr>
            <w:r>
              <w:rPr>
                <w:rFonts w:ascii="Arial" w:cs="Arial" w:eastAsia="Arial" w:hAnsi="Arial"/>
                <w:sz w:val="15"/>
                <w:szCs w:val="15"/>
                <w:i w:val="1"/>
                <w:iCs w:val="1"/>
                <w:color w:val="auto"/>
                <w:w w:val="87"/>
              </w:rPr>
              <w:t>THE COMPANY,</w:t>
            </w:r>
          </w:p>
        </w:tc>
        <w:tc>
          <w:tcPr>
            <w:tcW w:w="6220" w:type="dxa"/>
            <w:vAlign w:val="bottom"/>
            <w:tcBorders>
              <w:bottom w:val="single" w:sz="8" w:color="2C2C2C"/>
            </w:tcBorders>
            <w:gridSpan w:val="4"/>
          </w:tcPr>
          <w:p>
            <w:pPr>
              <w:ind w:left="40"/>
              <w:spacing w:after="0" w:line="156" w:lineRule="exact"/>
              <w:rPr>
                <w:sz w:val="20"/>
                <w:szCs w:val="20"/>
                <w:color w:val="auto"/>
              </w:rPr>
            </w:pPr>
            <w:r>
              <w:rPr>
                <w:rFonts w:ascii="Arial" w:cs="Arial" w:eastAsia="Arial" w:hAnsi="Arial"/>
                <w:sz w:val="15"/>
                <w:szCs w:val="15"/>
                <w:i w:val="1"/>
                <w:iCs w:val="1"/>
                <w:color w:val="auto"/>
                <w:w w:val="92"/>
              </w:rPr>
              <w:t>should be dealt with through the use of a form and/or responsible employees designated to that role.</w:t>
            </w:r>
          </w:p>
        </w:tc>
        <w:tc>
          <w:tcPr>
            <w:tcW w:w="11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42545" cy="5054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-725805</wp:posOffset>
            </wp:positionV>
            <wp:extent cx="42545" cy="4883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545" cy="48831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-605790</wp:posOffset>
            </wp:positionV>
            <wp:extent cx="42545" cy="368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-605790</wp:posOffset>
            </wp:positionV>
            <wp:extent cx="42545" cy="3683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-605790</wp:posOffset>
            </wp:positionV>
            <wp:extent cx="42545" cy="3683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-734695</wp:posOffset>
            </wp:positionV>
            <wp:extent cx="42545" cy="5054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-605790</wp:posOffset>
            </wp:positionV>
            <wp:extent cx="42545" cy="3683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ind w:right="320"/>
        <w:spacing w:after="0" w:line="256" w:lineRule="auto"/>
        <w:rPr>
          <w:sz w:val="20"/>
          <w:szCs w:val="20"/>
          <w:color w:val="auto"/>
        </w:rPr>
      </w:pPr>
      <w:r>
        <w:rPr>
          <w:rFonts w:ascii="Arial" w:cs="Arial" w:eastAsia="Arial" w:hAnsi="Arial"/>
          <w:sz w:val="22"/>
          <w:szCs w:val="22"/>
          <w:b w:val="1"/>
          <w:bCs w:val="1"/>
          <w:color w:val="auto"/>
        </w:rPr>
        <w:t>a. Indicate how the interest groups or shareholders of THE COMPANY can request information in such a way that their request is dealt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42545" cy="8832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545" cy="88328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116840</wp:posOffset>
            </wp:positionV>
            <wp:extent cx="42545" cy="8661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545" cy="86614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107950</wp:posOffset>
            </wp:positionV>
            <wp:extent cx="42545" cy="8832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545" cy="88328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116840</wp:posOffset>
            </wp:positionV>
            <wp:extent cx="42545" cy="8661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545" cy="86614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5400" w:type="dxa"/>
            <w:vAlign w:val="bottom"/>
            <w:tcBorders>
              <w:top w:val="single" w:sz="8" w:color="2C2C2C"/>
              <w:bottom w:val="single" w:sz="8" w:color="2C2C2C"/>
            </w:tcBorders>
          </w:tcPr>
          <w:p>
            <w:pPr>
              <w:spacing w:after="0"/>
              <w:rPr>
                <w:sz w:val="17"/>
                <w:szCs w:val="17"/>
                <w:color w:val="auto"/>
              </w:rPr>
            </w:pPr>
          </w:p>
        </w:tc>
        <w:tc>
          <w:tcPr>
            <w:tcW w:w="4220" w:type="dxa"/>
            <w:vAlign w:val="bottom"/>
            <w:tcBorders>
              <w:top w:val="single" w:sz="8" w:color="2C2C2C"/>
              <w:bottom w:val="single" w:sz="8" w:color="2C2C2C"/>
            </w:tcBorders>
          </w:tcPr>
          <w:p>
            <w:pPr>
              <w:jc w:val="center"/>
              <w:ind w:left="2526"/>
              <w:spacing w:after="0"/>
              <w:rPr>
                <w:sz w:val="20"/>
                <w:szCs w:val="20"/>
                <w:color w:val="auto"/>
              </w:rPr>
            </w:pPr>
            <w:r>
              <w:rPr>
                <w:rFonts w:ascii="Arial" w:cs="Arial" w:eastAsia="Arial" w:hAnsi="Arial"/>
                <w:sz w:val="15"/>
                <w:szCs w:val="15"/>
                <w:color w:val="auto"/>
                <w:w w:val="94"/>
              </w:rPr>
              <w:t>SHAREHOLDERS</w:t>
            </w:r>
          </w:p>
        </w:tc>
        <w:tc>
          <w:tcPr>
            <w:tcW w:w="17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2"/>
              </w:rPr>
              <w:t>INTEREST GROUPS</w:t>
            </w:r>
          </w:p>
        </w:tc>
        <w:tc>
          <w:tcPr>
            <w:tcW w:w="20" w:type="dxa"/>
            <w:vAlign w:val="bottom"/>
            <w:tcBorders>
              <w:top w:val="single" w:sz="8" w:color="808080"/>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54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ELECTRONIC MAIL</w:t>
            </w:r>
          </w:p>
        </w:tc>
        <w:tc>
          <w:tcPr>
            <w:tcW w:w="4220" w:type="dxa"/>
            <w:vAlign w:val="bottom"/>
            <w:tcBorders>
              <w:bottom w:val="single" w:sz="8" w:color="2C2C2C"/>
            </w:tcBorders>
          </w:tcPr>
          <w:p>
            <w:pPr>
              <w:jc w:val="center"/>
              <w:ind w:left="2586"/>
              <w:spacing w:after="0" w:line="162" w:lineRule="exact"/>
              <w:rPr>
                <w:sz w:val="20"/>
                <w:szCs w:val="20"/>
                <w:color w:val="auto"/>
              </w:rPr>
            </w:pPr>
            <w:r>
              <w:rPr>
                <w:rFonts w:ascii="Arial" w:cs="Arial" w:eastAsia="Arial" w:hAnsi="Arial"/>
                <w:sz w:val="15"/>
                <w:szCs w:val="15"/>
                <w:b w:val="1"/>
                <w:bCs w:val="1"/>
                <w:color w:val="auto"/>
                <w:w w:val="89"/>
              </w:rPr>
              <w:t>(.x )</w:t>
            </w:r>
          </w:p>
        </w:tc>
        <w:tc>
          <w:tcPr>
            <w:tcW w:w="1760" w:type="dxa"/>
            <w:vAlign w:val="bottom"/>
            <w:tcBorders>
              <w:bottom w:val="single" w:sz="8" w:color="2C2C2C"/>
            </w:tcBorders>
          </w:tcPr>
          <w:p>
            <w:pPr>
              <w:jc w:val="center"/>
              <w:ind w:left="6"/>
              <w:spacing w:after="0" w:line="162" w:lineRule="exact"/>
              <w:rPr>
                <w:sz w:val="20"/>
                <w:szCs w:val="20"/>
                <w:color w:val="auto"/>
              </w:rPr>
            </w:pPr>
            <w:r>
              <w:rPr>
                <w:rFonts w:ascii="Arial" w:cs="Arial" w:eastAsia="Arial" w:hAnsi="Arial"/>
                <w:sz w:val="15"/>
                <w:szCs w:val="15"/>
                <w:b w:val="1"/>
                <w:bCs w:val="1"/>
                <w:color w:val="auto"/>
                <w:w w:val="89"/>
              </w:rPr>
              <w:t>(.x )</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4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DIRECTLY WITHIN THE COMPANY</w:t>
            </w:r>
          </w:p>
        </w:tc>
        <w:tc>
          <w:tcPr>
            <w:tcW w:w="4220" w:type="dxa"/>
            <w:vAlign w:val="bottom"/>
            <w:tcBorders>
              <w:bottom w:val="single" w:sz="8" w:color="2C2C2C"/>
            </w:tcBorders>
          </w:tcPr>
          <w:p>
            <w:pPr>
              <w:jc w:val="center"/>
              <w:ind w:left="2586"/>
              <w:spacing w:after="0" w:line="162" w:lineRule="exact"/>
              <w:rPr>
                <w:sz w:val="20"/>
                <w:szCs w:val="20"/>
                <w:color w:val="auto"/>
              </w:rPr>
            </w:pPr>
            <w:r>
              <w:rPr>
                <w:rFonts w:ascii="Arial" w:cs="Arial" w:eastAsia="Arial" w:hAnsi="Arial"/>
                <w:sz w:val="15"/>
                <w:szCs w:val="15"/>
                <w:b w:val="1"/>
                <w:bCs w:val="1"/>
                <w:color w:val="auto"/>
                <w:w w:val="89"/>
              </w:rPr>
              <w:t>(.x )</w:t>
            </w:r>
          </w:p>
        </w:tc>
        <w:tc>
          <w:tcPr>
            <w:tcW w:w="1760" w:type="dxa"/>
            <w:vAlign w:val="bottom"/>
            <w:tcBorders>
              <w:bottom w:val="single" w:sz="8" w:color="2C2C2C"/>
            </w:tcBorders>
          </w:tcPr>
          <w:p>
            <w:pPr>
              <w:jc w:val="center"/>
              <w:ind w:left="6"/>
              <w:spacing w:after="0" w:line="162" w:lineRule="exact"/>
              <w:rPr>
                <w:sz w:val="20"/>
                <w:szCs w:val="20"/>
                <w:color w:val="auto"/>
              </w:rPr>
            </w:pPr>
            <w:r>
              <w:rPr>
                <w:rFonts w:ascii="Arial" w:cs="Arial" w:eastAsia="Arial" w:hAnsi="Arial"/>
                <w:sz w:val="15"/>
                <w:szCs w:val="15"/>
                <w:b w:val="1"/>
                <w:bCs w:val="1"/>
                <w:color w:val="auto"/>
                <w:w w:val="89"/>
              </w:rPr>
              <w:t>(.x )</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4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BY TELEPHONE</w:t>
            </w:r>
          </w:p>
        </w:tc>
        <w:tc>
          <w:tcPr>
            <w:tcW w:w="4220" w:type="dxa"/>
            <w:vAlign w:val="bottom"/>
            <w:tcBorders>
              <w:bottom w:val="single" w:sz="8" w:color="2C2C2C"/>
            </w:tcBorders>
          </w:tcPr>
          <w:p>
            <w:pPr>
              <w:jc w:val="center"/>
              <w:ind w:left="2586"/>
              <w:spacing w:after="0" w:line="162" w:lineRule="exact"/>
              <w:rPr>
                <w:sz w:val="20"/>
                <w:szCs w:val="20"/>
                <w:color w:val="auto"/>
              </w:rPr>
            </w:pPr>
            <w:r>
              <w:rPr>
                <w:rFonts w:ascii="Arial" w:cs="Arial" w:eastAsia="Arial" w:hAnsi="Arial"/>
                <w:sz w:val="15"/>
                <w:szCs w:val="15"/>
                <w:b w:val="1"/>
                <w:bCs w:val="1"/>
                <w:color w:val="auto"/>
                <w:w w:val="98"/>
              </w:rPr>
              <w:t>(.X )</w:t>
            </w:r>
          </w:p>
        </w:tc>
        <w:tc>
          <w:tcPr>
            <w:tcW w:w="1760" w:type="dxa"/>
            <w:vAlign w:val="bottom"/>
            <w:tcBorders>
              <w:bottom w:val="single" w:sz="8" w:color="2C2C2C"/>
            </w:tcBorders>
          </w:tcPr>
          <w:p>
            <w:pPr>
              <w:jc w:val="center"/>
              <w:ind w:left="6"/>
              <w:spacing w:after="0" w:line="162" w:lineRule="exact"/>
              <w:rPr>
                <w:sz w:val="20"/>
                <w:szCs w:val="20"/>
                <w:color w:val="auto"/>
              </w:rPr>
            </w:pPr>
            <w:r>
              <w:rPr>
                <w:rFonts w:ascii="Arial" w:cs="Arial" w:eastAsia="Arial" w:hAnsi="Arial"/>
                <w:sz w:val="15"/>
                <w:szCs w:val="15"/>
                <w:b w:val="1"/>
                <w:bCs w:val="1"/>
                <w:color w:val="auto"/>
                <w:w w:val="98"/>
              </w:rPr>
              <w:t>(.X )</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4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WEB PAGE</w:t>
            </w:r>
          </w:p>
        </w:tc>
        <w:tc>
          <w:tcPr>
            <w:tcW w:w="4220" w:type="dxa"/>
            <w:vAlign w:val="bottom"/>
            <w:tcBorders>
              <w:bottom w:val="single" w:sz="8" w:color="2C2C2C"/>
            </w:tcBorders>
          </w:tcPr>
          <w:p>
            <w:pPr>
              <w:jc w:val="center"/>
              <w:ind w:left="2586"/>
              <w:spacing w:after="0" w:line="162" w:lineRule="exact"/>
              <w:rPr>
                <w:sz w:val="20"/>
                <w:szCs w:val="20"/>
                <w:color w:val="auto"/>
              </w:rPr>
            </w:pPr>
            <w:r>
              <w:rPr>
                <w:rFonts w:ascii="Arial" w:cs="Arial" w:eastAsia="Arial" w:hAnsi="Arial"/>
                <w:sz w:val="15"/>
                <w:szCs w:val="15"/>
                <w:b w:val="1"/>
                <w:bCs w:val="1"/>
                <w:color w:val="auto"/>
                <w:w w:val="89"/>
              </w:rPr>
              <w:t>(.x )</w:t>
            </w:r>
          </w:p>
        </w:tc>
        <w:tc>
          <w:tcPr>
            <w:tcW w:w="1760" w:type="dxa"/>
            <w:vAlign w:val="bottom"/>
            <w:tcBorders>
              <w:bottom w:val="single" w:sz="8" w:color="2C2C2C"/>
            </w:tcBorders>
          </w:tcPr>
          <w:p>
            <w:pPr>
              <w:jc w:val="center"/>
              <w:ind w:left="6"/>
              <w:spacing w:after="0" w:line="162" w:lineRule="exact"/>
              <w:rPr>
                <w:sz w:val="20"/>
                <w:szCs w:val="20"/>
                <w:color w:val="auto"/>
              </w:rPr>
            </w:pPr>
            <w:r>
              <w:rPr>
                <w:rFonts w:ascii="Arial" w:cs="Arial" w:eastAsia="Arial" w:hAnsi="Arial"/>
                <w:sz w:val="15"/>
                <w:szCs w:val="15"/>
                <w:b w:val="1"/>
                <w:bCs w:val="1"/>
                <w:color w:val="auto"/>
                <w:w w:val="89"/>
              </w:rPr>
              <w:t>(.x )</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4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MAIL</w:t>
            </w:r>
          </w:p>
        </w:tc>
        <w:tc>
          <w:tcPr>
            <w:tcW w:w="4220" w:type="dxa"/>
            <w:vAlign w:val="bottom"/>
            <w:tcBorders>
              <w:bottom w:val="single" w:sz="8" w:color="2C2C2C"/>
            </w:tcBorders>
          </w:tcPr>
          <w:p>
            <w:pPr>
              <w:jc w:val="center"/>
              <w:ind w:left="2586"/>
              <w:spacing w:after="0" w:line="162" w:lineRule="exact"/>
              <w:rPr>
                <w:sz w:val="20"/>
                <w:szCs w:val="20"/>
                <w:color w:val="auto"/>
              </w:rPr>
            </w:pPr>
            <w:r>
              <w:rPr>
                <w:rFonts w:ascii="Arial" w:cs="Arial" w:eastAsia="Arial" w:hAnsi="Arial"/>
                <w:sz w:val="15"/>
                <w:szCs w:val="15"/>
                <w:b w:val="1"/>
                <w:bCs w:val="1"/>
                <w:color w:val="auto"/>
                <w:w w:val="89"/>
              </w:rPr>
              <w:t>(.x )</w:t>
            </w:r>
          </w:p>
        </w:tc>
        <w:tc>
          <w:tcPr>
            <w:tcW w:w="1760" w:type="dxa"/>
            <w:vAlign w:val="bottom"/>
            <w:tcBorders>
              <w:bottom w:val="single" w:sz="8" w:color="2C2C2C"/>
            </w:tcBorders>
          </w:tcPr>
          <w:p>
            <w:pPr>
              <w:jc w:val="center"/>
              <w:ind w:left="6"/>
              <w:spacing w:after="0" w:line="162" w:lineRule="exact"/>
              <w:rPr>
                <w:sz w:val="20"/>
                <w:szCs w:val="20"/>
                <w:color w:val="auto"/>
              </w:rPr>
            </w:pPr>
            <w:r>
              <w:rPr>
                <w:rFonts w:ascii="Arial" w:cs="Arial" w:eastAsia="Arial" w:hAnsi="Arial"/>
                <w:sz w:val="15"/>
                <w:szCs w:val="15"/>
                <w:b w:val="1"/>
                <w:bCs w:val="1"/>
                <w:color w:val="auto"/>
                <w:w w:val="89"/>
              </w:rPr>
              <w:t>(.x )</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54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Other. Specify.</w:t>
            </w:r>
          </w:p>
        </w:tc>
        <w:tc>
          <w:tcPr>
            <w:tcW w:w="4220" w:type="dxa"/>
            <w:vAlign w:val="bottom"/>
            <w:tcBorders>
              <w:bottom w:val="single" w:sz="8" w:color="2C2C2C"/>
            </w:tcBorders>
          </w:tcPr>
          <w:p>
            <w:pPr>
              <w:jc w:val="center"/>
              <w:ind w:left="2566"/>
              <w:spacing w:after="0" w:line="162" w:lineRule="exact"/>
              <w:rPr>
                <w:sz w:val="20"/>
                <w:szCs w:val="20"/>
                <w:color w:val="auto"/>
              </w:rPr>
            </w:pPr>
            <w:r>
              <w:rPr>
                <w:rFonts w:ascii="Arial" w:cs="Arial" w:eastAsia="Arial" w:hAnsi="Arial"/>
                <w:sz w:val="15"/>
                <w:szCs w:val="15"/>
                <w:b w:val="1"/>
                <w:bCs w:val="1"/>
                <w:color w:val="auto"/>
                <w:w w:val="98"/>
              </w:rPr>
              <w:t>( )</w:t>
            </w:r>
          </w:p>
        </w:tc>
        <w:tc>
          <w:tcPr>
            <w:tcW w:w="176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b w:val="1"/>
                <w:bCs w:val="1"/>
                <w:color w:val="auto"/>
                <w:w w:val="98"/>
              </w:rPr>
              <w:t>( )</w:t>
            </w:r>
          </w:p>
        </w:tc>
        <w:tc>
          <w:tcPr>
            <w:tcW w:w="20" w:type="dxa"/>
            <w:vAlign w:val="bottom"/>
            <w:tcBorders>
              <w:bottom w:val="single" w:sz="8" w:color="2C2C2C"/>
            </w:tcBorders>
          </w:tcPr>
          <w:p>
            <w:pPr>
              <w:spacing w:after="0"/>
              <w:rPr>
                <w:sz w:val="14"/>
                <w:szCs w:val="14"/>
                <w:color w:val="auto"/>
              </w:rPr>
            </w:pPr>
          </w:p>
        </w:tc>
      </w:tr>
    </w:tbl>
    <w:p>
      <w:pPr>
        <w:spacing w:after="0" w:line="200" w:lineRule="exact"/>
        <w:rPr>
          <w:sz w:val="20"/>
          <w:szCs w:val="20"/>
          <w:color w:val="auto"/>
        </w:rPr>
      </w:pPr>
    </w:p>
    <w:p>
      <w:pPr>
        <w:spacing w:after="0" w:line="232" w:lineRule="exact"/>
        <w:rPr>
          <w:sz w:val="20"/>
          <w:szCs w:val="20"/>
          <w:color w:val="auto"/>
        </w:rPr>
      </w:pPr>
    </w:p>
    <w:p>
      <w:pPr>
        <w:ind w:right="120"/>
        <w:spacing w:after="0" w:line="301" w:lineRule="auto"/>
        <w:rPr>
          <w:sz w:val="20"/>
          <w:szCs w:val="20"/>
          <w:color w:val="auto"/>
        </w:rPr>
      </w:pPr>
      <w:r>
        <w:rPr>
          <w:rFonts w:ascii="Arial" w:cs="Arial" w:eastAsia="Arial" w:hAnsi="Arial"/>
          <w:sz w:val="19"/>
          <w:szCs w:val="19"/>
          <w:b w:val="1"/>
          <w:bCs w:val="1"/>
          <w:color w:val="auto"/>
        </w:rPr>
        <w:t>b. Without compromising the CEO’s responsibilities towards handling information in accordance with article 190 of the General Companies Law, please specify the area or person in charge of receiving and processing shareholders’ requests for information. If it is a person, please include his/her position and the area in which he/she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72020"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162560"/>
                    </a:xfrm>
                    <a:prstGeom prst="rect">
                      <a:avLst/>
                    </a:prstGeom>
                    <a:noFill/>
                  </pic:spPr>
                </pic:pic>
              </a:graphicData>
            </a:graphic>
          </wp:anchor>
        </w:drawing>
      </w:r>
    </w:p>
    <w:p>
      <w:pPr>
        <w:spacing w:after="0" w:line="92" w:lineRule="exact"/>
        <w:rPr>
          <w:sz w:val="20"/>
          <w:szCs w:val="20"/>
          <w:color w:val="auto"/>
        </w:rPr>
      </w:pPr>
    </w:p>
    <w:p>
      <w:pPr>
        <w:ind w:left="720"/>
        <w:spacing w:after="0"/>
        <w:rPr>
          <w:sz w:val="20"/>
          <w:szCs w:val="20"/>
          <w:color w:val="auto"/>
        </w:rPr>
      </w:pPr>
      <w:r>
        <w:rPr>
          <w:rFonts w:ascii="Arial" w:cs="Arial" w:eastAsia="Arial" w:hAnsi="Arial"/>
          <w:sz w:val="15"/>
          <w:szCs w:val="15"/>
          <w:color w:val="auto"/>
        </w:rPr>
        <w:t xml:space="preserve">AREA RESPONSIBLE          </w:t>
      </w:r>
      <w:r>
        <w:rPr>
          <w:sz w:val="1"/>
          <w:szCs w:val="1"/>
          <w:color w:val="auto"/>
        </w:rPr>
        <w:drawing>
          <wp:inline distT="0" distB="0" distL="0" distR="0">
            <wp:extent cx="42545" cy="14541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545" cy="145415"/>
                    </a:xfrm>
                    <a:prstGeom prst="rect">
                      <a:avLst/>
                    </a:prstGeom>
                    <a:noFill/>
                    <a:ln>
                      <a:noFill/>
                    </a:ln>
                  </pic:spPr>
                </pic:pic>
              </a:graphicData>
            </a:graphic>
          </wp:inline>
        </w:drawing>
      </w:r>
      <w:r>
        <w:rPr>
          <w:rFonts w:ascii="Arial" w:cs="Arial" w:eastAsia="Arial" w:hAnsi="Arial"/>
          <w:sz w:val="15"/>
          <w:szCs w:val="15"/>
          <w:color w:val="auto"/>
        </w:rPr>
        <w:t xml:space="preserve">                                                Investor Relations Area</w:t>
      </w:r>
    </w:p>
    <w:p>
      <w:pPr>
        <w:spacing w:after="0" w:line="188"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The Investor Relations Area deals with particular requests for information from shareholders, investors and the general public. This work is carried out in collaboration with other areas that are familiar with the subjects asked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402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02590"/>
                    </a:xfrm>
                    <a:prstGeom prst="rect">
                      <a:avLst/>
                    </a:prstGeom>
                    <a:noFill/>
                  </pic:spPr>
                </pic:pic>
              </a:graphicData>
            </a:graphic>
          </wp:anchor>
        </w:drawing>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PERSON RESPONSIBLE</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860" w:type="dxa"/>
            <w:vAlign w:val="bottom"/>
            <w:tcBorders>
              <w:top w:val="single" w:sz="8" w:color="2C2C2C"/>
              <w:bottom w:val="single" w:sz="8" w:color="2C2C2C"/>
            </w:tcBorders>
          </w:tcPr>
          <w:p>
            <w:pPr>
              <w:jc w:val="center"/>
              <w:ind w:right="966"/>
              <w:spacing w:after="0" w:line="169" w:lineRule="exact"/>
              <w:rPr>
                <w:sz w:val="20"/>
                <w:szCs w:val="20"/>
                <w:color w:val="auto"/>
              </w:rPr>
            </w:pPr>
            <w:r>
              <w:rPr>
                <w:rFonts w:ascii="Arial" w:cs="Arial" w:eastAsia="Arial" w:hAnsi="Arial"/>
                <w:sz w:val="15"/>
                <w:szCs w:val="15"/>
                <w:color w:val="auto"/>
                <w:w w:val="98"/>
              </w:rPr>
              <w:t>NAMES AND LAST NAMES</w:t>
            </w:r>
          </w:p>
        </w:tc>
        <w:tc>
          <w:tcPr>
            <w:tcW w:w="3900" w:type="dxa"/>
            <w:vAlign w:val="bottom"/>
            <w:tcBorders>
              <w:top w:val="single" w:sz="8" w:color="2C2C2C"/>
              <w:bottom w:val="single" w:sz="8" w:color="2C2C2C"/>
            </w:tcBorders>
          </w:tcPr>
          <w:p>
            <w:pPr>
              <w:jc w:val="center"/>
              <w:ind w:right="66"/>
              <w:spacing w:after="0" w:line="169" w:lineRule="exact"/>
              <w:rPr>
                <w:sz w:val="20"/>
                <w:szCs w:val="20"/>
                <w:color w:val="auto"/>
              </w:rPr>
            </w:pPr>
            <w:r>
              <w:rPr>
                <w:rFonts w:ascii="Arial" w:cs="Arial" w:eastAsia="Arial" w:hAnsi="Arial"/>
                <w:sz w:val="15"/>
                <w:szCs w:val="15"/>
                <w:color w:val="auto"/>
                <w:w w:val="94"/>
              </w:rPr>
              <w:t>POSITION</w:t>
            </w:r>
          </w:p>
        </w:tc>
        <w:tc>
          <w:tcPr>
            <w:tcW w:w="3620" w:type="dxa"/>
            <w:vAlign w:val="bottom"/>
            <w:tcBorders>
              <w:top w:val="single" w:sz="8" w:color="2C2C2C"/>
              <w:bottom w:val="single" w:sz="8" w:color="2C2C2C"/>
            </w:tcBorders>
          </w:tcPr>
          <w:p>
            <w:pPr>
              <w:jc w:val="center"/>
              <w:ind w:left="806"/>
              <w:spacing w:after="0" w:line="169" w:lineRule="exact"/>
              <w:rPr>
                <w:sz w:val="20"/>
                <w:szCs w:val="20"/>
                <w:color w:val="auto"/>
              </w:rPr>
            </w:pPr>
            <w:r>
              <w:rPr>
                <w:rFonts w:ascii="Arial" w:cs="Arial" w:eastAsia="Arial" w:hAnsi="Arial"/>
                <w:sz w:val="15"/>
                <w:szCs w:val="15"/>
                <w:color w:val="auto"/>
              </w:rPr>
              <w:t>AREA</w:t>
            </w:r>
          </w:p>
        </w:tc>
        <w:tc>
          <w:tcPr>
            <w:tcW w:w="20" w:type="dxa"/>
            <w:vAlign w:val="bottom"/>
          </w:tcPr>
          <w:p>
            <w:pPr>
              <w:spacing w:after="0"/>
              <w:rPr>
                <w:sz w:val="15"/>
                <w:szCs w:val="15"/>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3860" w:type="dxa"/>
            <w:vAlign w:val="bottom"/>
            <w:tcBorders>
              <w:bottom w:val="single" w:sz="8" w:color="2C2C2C"/>
            </w:tcBorders>
          </w:tcPr>
          <w:p>
            <w:pPr>
              <w:jc w:val="center"/>
              <w:ind w:right="986"/>
              <w:spacing w:after="0" w:line="162" w:lineRule="exact"/>
              <w:rPr>
                <w:sz w:val="20"/>
                <w:szCs w:val="20"/>
                <w:color w:val="auto"/>
              </w:rPr>
            </w:pPr>
            <w:r>
              <w:rPr>
                <w:rFonts w:ascii="Arial" w:cs="Arial" w:eastAsia="Arial" w:hAnsi="Arial"/>
                <w:sz w:val="15"/>
                <w:szCs w:val="15"/>
                <w:color w:val="auto"/>
                <w:w w:val="92"/>
              </w:rPr>
              <w:t>Sra. Aida Kleffmann</w:t>
            </w:r>
          </w:p>
        </w:tc>
        <w:tc>
          <w:tcPr>
            <w:tcW w:w="3900" w:type="dxa"/>
            <w:vAlign w:val="bottom"/>
            <w:tcBorders>
              <w:bottom w:val="single" w:sz="8" w:color="2C2C2C"/>
            </w:tcBorders>
          </w:tcPr>
          <w:p>
            <w:pPr>
              <w:jc w:val="center"/>
              <w:ind w:right="66"/>
              <w:spacing w:after="0" w:line="162" w:lineRule="exact"/>
              <w:rPr>
                <w:sz w:val="20"/>
                <w:szCs w:val="20"/>
                <w:color w:val="auto"/>
              </w:rPr>
            </w:pPr>
            <w:r>
              <w:rPr>
                <w:rFonts w:ascii="Arial" w:cs="Arial" w:eastAsia="Arial" w:hAnsi="Arial"/>
                <w:sz w:val="15"/>
                <w:szCs w:val="15"/>
                <w:color w:val="auto"/>
                <w:w w:val="87"/>
              </w:rPr>
              <w:t>Manager</w:t>
            </w:r>
          </w:p>
        </w:tc>
        <w:tc>
          <w:tcPr>
            <w:tcW w:w="3620" w:type="dxa"/>
            <w:vAlign w:val="bottom"/>
            <w:tcBorders>
              <w:bottom w:val="single" w:sz="8" w:color="2C2C2C"/>
            </w:tcBorders>
          </w:tcPr>
          <w:p>
            <w:pPr>
              <w:jc w:val="center"/>
              <w:ind w:left="786"/>
              <w:spacing w:after="0" w:line="162" w:lineRule="exact"/>
              <w:rPr>
                <w:sz w:val="20"/>
                <w:szCs w:val="20"/>
                <w:color w:val="auto"/>
              </w:rPr>
            </w:pPr>
            <w:r>
              <w:rPr>
                <w:rFonts w:ascii="Arial" w:cs="Arial" w:eastAsia="Arial" w:hAnsi="Arial"/>
                <w:sz w:val="15"/>
                <w:szCs w:val="15"/>
                <w:color w:val="auto"/>
                <w:w w:val="89"/>
              </w:rPr>
              <w:t>Investor Relations</w:t>
            </w:r>
          </w:p>
        </w:tc>
        <w:tc>
          <w:tcPr>
            <w:tcW w:w="20" w:type="dxa"/>
            <w:vAlign w:val="bottom"/>
            <w:tcBorders>
              <w:bottom w:val="single" w:sz="8" w:color="2C2C2C"/>
            </w:tcBorders>
          </w:tcPr>
          <w:p>
            <w:pPr>
              <w:spacing w:after="0"/>
              <w:rPr>
                <w:sz w:val="14"/>
                <w:szCs w:val="14"/>
                <w:color w:val="auto"/>
              </w:rPr>
            </w:pPr>
          </w:p>
        </w:tc>
      </w:tr>
    </w:tbl>
    <w:p>
      <w:pPr>
        <w:spacing w:after="0" w:line="200" w:lineRule="exact"/>
        <w:rPr>
          <w:sz w:val="20"/>
          <w:szCs w:val="20"/>
          <w:color w:val="auto"/>
        </w:rPr>
      </w:pPr>
    </w:p>
    <w:p>
      <w:pPr>
        <w:spacing w:after="0" w:line="232" w:lineRule="exact"/>
        <w:rPr>
          <w:sz w:val="20"/>
          <w:szCs w:val="20"/>
          <w:color w:val="auto"/>
        </w:rPr>
      </w:pPr>
    </w:p>
    <w:p>
      <w:pPr>
        <w:ind w:right="500"/>
        <w:spacing w:after="0" w:line="256" w:lineRule="auto"/>
        <w:rPr>
          <w:sz w:val="20"/>
          <w:szCs w:val="20"/>
          <w:color w:val="auto"/>
        </w:rPr>
      </w:pPr>
      <w:r>
        <w:rPr>
          <w:rFonts w:ascii="Arial" w:cs="Arial" w:eastAsia="Arial" w:hAnsi="Arial"/>
          <w:sz w:val="22"/>
          <w:szCs w:val="22"/>
          <w:b w:val="1"/>
          <w:bCs w:val="1"/>
          <w:color w:val="auto"/>
        </w:rPr>
        <w:t>c. Indicate whether the THE COMPANY’s procedure for processing shareholders’ and/or interest groups’ requests for information is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2825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28257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4520" w:type="dxa"/>
            <w:vAlign w:val="bottom"/>
            <w:tcBorders>
              <w:top w:val="single" w:sz="8" w:color="2C2C2C"/>
              <w:bottom w:val="single" w:sz="8" w:color="2C2C2C"/>
            </w:tcBorders>
          </w:tcPr>
          <w:p>
            <w:pPr>
              <w:jc w:val="center"/>
              <w:ind w:right="2226"/>
              <w:spacing w:after="0"/>
              <w:rPr>
                <w:sz w:val="20"/>
                <w:szCs w:val="20"/>
                <w:color w:val="auto"/>
              </w:rPr>
            </w:pPr>
            <w:r>
              <w:rPr>
                <w:rFonts w:ascii="Arial" w:cs="Arial" w:eastAsia="Arial" w:hAnsi="Arial"/>
                <w:sz w:val="15"/>
                <w:szCs w:val="15"/>
                <w:color w:val="auto"/>
                <w:w w:val="95"/>
              </w:rPr>
              <w:t>OTHER</w:t>
            </w:r>
          </w:p>
        </w:tc>
        <w:tc>
          <w:tcPr>
            <w:tcW w:w="20" w:type="dxa"/>
            <w:vAlign w:val="bottom"/>
            <w:tcBorders>
              <w:top w:val="single" w:sz="8" w:color="808080"/>
            </w:tcBorders>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2000" w:type="dxa"/>
            <w:vAlign w:val="bottom"/>
          </w:tcPr>
          <w:p>
            <w:pPr>
              <w:jc w:val="right"/>
              <w:ind w:right="686"/>
              <w:spacing w:after="0"/>
              <w:rPr>
                <w:sz w:val="20"/>
                <w:szCs w:val="20"/>
                <w:color w:val="auto"/>
              </w:rPr>
            </w:pPr>
            <w:r>
              <w:rPr>
                <w:rFonts w:ascii="Arial" w:cs="Arial" w:eastAsia="Arial" w:hAnsi="Arial"/>
                <w:sz w:val="15"/>
                <w:szCs w:val="15"/>
                <w:b w:val="1"/>
                <w:bCs w:val="1"/>
                <w:color w:val="auto"/>
              </w:rPr>
              <w:t>(...)</w:t>
            </w:r>
          </w:p>
        </w:tc>
        <w:tc>
          <w:tcPr>
            <w:tcW w:w="2820" w:type="dxa"/>
            <w:vAlign w:val="bottom"/>
          </w:tcPr>
          <w:p>
            <w:pPr>
              <w:jc w:val="right"/>
              <w:ind w:right="1206"/>
              <w:spacing w:after="0"/>
              <w:rPr>
                <w:sz w:val="20"/>
                <w:szCs w:val="20"/>
                <w:color w:val="auto"/>
              </w:rPr>
            </w:pPr>
            <w:r>
              <w:rPr>
                <w:rFonts w:ascii="Arial" w:cs="Arial" w:eastAsia="Arial" w:hAnsi="Arial"/>
                <w:sz w:val="15"/>
                <w:szCs w:val="15"/>
                <w:b w:val="1"/>
                <w:bCs w:val="1"/>
                <w:color w:val="auto"/>
              </w:rPr>
              <w:t>(...)</w:t>
            </w:r>
          </w:p>
        </w:tc>
        <w:tc>
          <w:tcPr>
            <w:tcW w:w="2040" w:type="dxa"/>
            <w:vAlign w:val="bottom"/>
          </w:tcPr>
          <w:p>
            <w:pPr>
              <w:jc w:val="right"/>
              <w:ind w:right="966"/>
              <w:spacing w:after="0"/>
              <w:rPr>
                <w:sz w:val="20"/>
                <w:szCs w:val="20"/>
                <w:color w:val="auto"/>
              </w:rPr>
            </w:pPr>
            <w:r>
              <w:rPr>
                <w:rFonts w:ascii="Arial" w:cs="Arial" w:eastAsia="Arial" w:hAnsi="Arial"/>
                <w:sz w:val="15"/>
                <w:szCs w:val="15"/>
                <w:b w:val="1"/>
                <w:bCs w:val="1"/>
                <w:color w:val="auto"/>
              </w:rPr>
              <w:t>(...)</w:t>
            </w:r>
          </w:p>
        </w:tc>
        <w:tc>
          <w:tcPr>
            <w:tcW w:w="4520" w:type="dxa"/>
            <w:vAlign w:val="bottom"/>
          </w:tcPr>
          <w:p>
            <w:pPr>
              <w:jc w:val="right"/>
              <w:ind w:right="3226"/>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22"/>
          <w:szCs w:val="22"/>
          <w:b w:val="1"/>
          <w:bCs w:val="1"/>
          <w:color w:val="auto"/>
        </w:rPr>
        <w:t>* Specify the name of the document, if not THE COMPANY’s statutes.</w:t>
      </w:r>
    </w:p>
    <w:p>
      <w:pPr>
        <w:spacing w:after="0" w:line="182" w:lineRule="exact"/>
        <w:rPr>
          <w:sz w:val="20"/>
          <w:szCs w:val="20"/>
          <w:color w:val="auto"/>
        </w:rPr>
      </w:pPr>
    </w:p>
    <w:p>
      <w:pPr>
        <w:ind w:right="4040" w:firstLine="8"/>
        <w:spacing w:after="0" w:line="280" w:lineRule="auto"/>
        <w:tabs>
          <w:tab w:leader="none" w:pos="414" w:val="left"/>
        </w:tabs>
        <w:numPr>
          <w:ilvl w:val="0"/>
          <w:numId w:val="19"/>
        </w:numPr>
        <w:rPr>
          <w:rFonts w:ascii="Arial" w:cs="Arial" w:eastAsia="Arial" w:hAnsi="Arial"/>
          <w:sz w:val="21"/>
          <w:szCs w:val="21"/>
          <w:b w:val="1"/>
          <w:bCs w:val="1"/>
          <w:color w:val="auto"/>
        </w:rPr>
      </w:pPr>
      <w:r>
        <w:rPr>
          <w:rFonts w:ascii="Arial" w:cs="Arial" w:eastAsia="Arial" w:hAnsi="Arial"/>
          <w:sz w:val="21"/>
          <w:szCs w:val="21"/>
          <w:b w:val="1"/>
          <w:bCs w:val="1"/>
          <w:color w:val="auto"/>
        </w:rPr>
        <w:t>THE COMPANY HAS A PROCEDURE BUT IT IS NOT REGULATED. (.x.) NOT APPLICABLE. THERE IS NO PRE-ESTABLISEHD PROCEDURE.</w:t>
      </w:r>
    </w:p>
    <w:p>
      <w:pPr>
        <w:spacing w:after="0" w:line="139" w:lineRule="exact"/>
        <w:rPr>
          <w:sz w:val="20"/>
          <w:szCs w:val="20"/>
          <w:color w:val="auto"/>
        </w:rPr>
      </w:pPr>
    </w:p>
    <w:p>
      <w:pPr>
        <w:ind w:right="360"/>
        <w:spacing w:after="0" w:line="256" w:lineRule="auto"/>
        <w:rPr>
          <w:sz w:val="20"/>
          <w:szCs w:val="20"/>
          <w:color w:val="auto"/>
        </w:rPr>
      </w:pPr>
      <w:r>
        <w:rPr>
          <w:rFonts w:ascii="Arial" w:cs="Arial" w:eastAsia="Arial" w:hAnsi="Arial"/>
          <w:sz w:val="22"/>
          <w:szCs w:val="22"/>
          <w:b w:val="1"/>
          <w:bCs w:val="1"/>
          <w:color w:val="auto"/>
        </w:rPr>
        <w:t>d. Indicate the number of requests for information presented by THE COMPANY’s shareholders and/or interest groups during the financial year to which this report refers.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402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02590"/>
                    </a:xfrm>
                    <a:prstGeom prst="rect">
                      <a:avLst/>
                    </a:prstGeom>
                    <a:noFill/>
                  </pic:spPr>
                </pic:pic>
              </a:graphicData>
            </a:graphic>
          </wp:anchor>
        </w:drawing>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NUMBER OF REQUESTS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760" w:type="dxa"/>
            <w:vAlign w:val="bottom"/>
            <w:tcBorders>
              <w:top w:val="single" w:sz="8" w:color="2C2C2C"/>
              <w:bottom w:val="single" w:sz="8" w:color="2C2C2C"/>
            </w:tcBorders>
          </w:tcPr>
          <w:p>
            <w:pPr>
              <w:ind w:left="1500"/>
              <w:spacing w:after="0" w:line="169" w:lineRule="exact"/>
              <w:rPr>
                <w:sz w:val="20"/>
                <w:szCs w:val="20"/>
                <w:color w:val="auto"/>
              </w:rPr>
            </w:pPr>
            <w:r>
              <w:rPr>
                <w:rFonts w:ascii="Arial" w:cs="Arial" w:eastAsia="Arial" w:hAnsi="Arial"/>
                <w:sz w:val="15"/>
                <w:szCs w:val="15"/>
                <w:color w:val="auto"/>
              </w:rPr>
              <w:t>RECEIVED</w:t>
            </w:r>
          </w:p>
        </w:tc>
        <w:tc>
          <w:tcPr>
            <w:tcW w:w="3840" w:type="dxa"/>
            <w:vAlign w:val="bottom"/>
            <w:tcBorders>
              <w:top w:val="single" w:sz="8" w:color="2C2C2C"/>
              <w:bottom w:val="single" w:sz="8" w:color="2C2C2C"/>
            </w:tcBorders>
          </w:tcPr>
          <w:p>
            <w:pPr>
              <w:ind w:left="1540"/>
              <w:spacing w:after="0" w:line="169" w:lineRule="exact"/>
              <w:rPr>
                <w:sz w:val="20"/>
                <w:szCs w:val="20"/>
                <w:color w:val="auto"/>
              </w:rPr>
            </w:pPr>
            <w:r>
              <w:rPr>
                <w:rFonts w:ascii="Arial" w:cs="Arial" w:eastAsia="Arial" w:hAnsi="Arial"/>
                <w:sz w:val="15"/>
                <w:szCs w:val="15"/>
                <w:color w:val="auto"/>
              </w:rPr>
              <w:t>ACCEPTED</w:t>
            </w:r>
          </w:p>
        </w:tc>
        <w:tc>
          <w:tcPr>
            <w:tcW w:w="3780" w:type="dxa"/>
            <w:vAlign w:val="bottom"/>
            <w:tcBorders>
              <w:top w:val="single" w:sz="8" w:color="2C2C2C"/>
              <w:bottom w:val="single" w:sz="8" w:color="2C2C2C"/>
            </w:tcBorders>
          </w:tcPr>
          <w:p>
            <w:pPr>
              <w:ind w:left="1520"/>
              <w:spacing w:after="0" w:line="169" w:lineRule="exact"/>
              <w:rPr>
                <w:sz w:val="20"/>
                <w:szCs w:val="20"/>
                <w:color w:val="auto"/>
              </w:rPr>
            </w:pPr>
            <w:r>
              <w:rPr>
                <w:rFonts w:ascii="Arial" w:cs="Arial" w:eastAsia="Arial" w:hAnsi="Arial"/>
                <w:sz w:val="15"/>
                <w:szCs w:val="15"/>
                <w:color w:val="auto"/>
              </w:rPr>
              <w:t>REJECTED</w:t>
            </w:r>
          </w:p>
        </w:tc>
        <w:tc>
          <w:tcPr>
            <w:tcW w:w="20" w:type="dxa"/>
            <w:vAlign w:val="bottom"/>
          </w:tcPr>
          <w:p>
            <w:pPr>
              <w:spacing w:after="0"/>
              <w:rPr>
                <w:sz w:val="15"/>
                <w:szCs w:val="15"/>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376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Information not available.</w:t>
            </w:r>
          </w:p>
        </w:tc>
        <w:tc>
          <w:tcPr>
            <w:tcW w:w="3840" w:type="dxa"/>
            <w:vAlign w:val="bottom"/>
            <w:tcBorders>
              <w:bottom w:val="single" w:sz="8" w:color="2C2C2C"/>
            </w:tcBorders>
          </w:tcPr>
          <w:p>
            <w:pPr>
              <w:spacing w:after="0"/>
              <w:rPr>
                <w:sz w:val="14"/>
                <w:szCs w:val="14"/>
                <w:color w:val="auto"/>
              </w:rPr>
            </w:pPr>
          </w:p>
        </w:tc>
        <w:tc>
          <w:tcPr>
            <w:tcW w:w="37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bl>
    <w:p>
      <w:pPr>
        <w:spacing w:after="0" w:line="200" w:lineRule="exact"/>
        <w:rPr>
          <w:sz w:val="20"/>
          <w:szCs w:val="20"/>
          <w:color w:val="auto"/>
        </w:rPr>
      </w:pPr>
    </w:p>
    <w:p>
      <w:pPr>
        <w:spacing w:after="0" w:line="232" w:lineRule="exact"/>
        <w:rPr>
          <w:sz w:val="20"/>
          <w:szCs w:val="20"/>
          <w:color w:val="auto"/>
        </w:rPr>
      </w:pPr>
    </w:p>
    <w:p>
      <w:pPr>
        <w:ind w:right="260"/>
        <w:spacing w:after="0" w:line="256" w:lineRule="auto"/>
        <w:rPr>
          <w:sz w:val="20"/>
          <w:szCs w:val="20"/>
          <w:color w:val="auto"/>
        </w:rPr>
      </w:pPr>
      <w:r>
        <w:rPr>
          <w:rFonts w:ascii="Arial" w:cs="Arial" w:eastAsia="Arial" w:hAnsi="Arial"/>
          <w:sz w:val="22"/>
          <w:szCs w:val="22"/>
          <w:b w:val="1"/>
          <w:bCs w:val="1"/>
          <w:color w:val="auto"/>
        </w:rPr>
        <w:t>e. If THE COMPANY has a corporate web page, does it include a special section on corporate governance or shareholder and investor relations?</w:t>
      </w:r>
    </w:p>
    <w:p>
      <w:pPr>
        <w:spacing w:after="0" w:line="163" w:lineRule="exact"/>
        <w:rPr>
          <w:sz w:val="20"/>
          <w:szCs w:val="20"/>
          <w:color w:val="auto"/>
        </w:rPr>
      </w:pPr>
    </w:p>
    <w:p>
      <w:pPr>
        <w:spacing w:after="0"/>
        <w:tabs>
          <w:tab w:leader="none" w:pos="1360" w:val="left"/>
          <w:tab w:leader="none" w:pos="2580" w:val="left"/>
        </w:tabs>
        <w:rPr>
          <w:sz w:val="20"/>
          <w:szCs w:val="20"/>
          <w:color w:val="auto"/>
        </w:rPr>
      </w:pPr>
      <w:r>
        <w:rPr>
          <w:rFonts w:ascii="Arial" w:cs="Arial" w:eastAsia="Arial" w:hAnsi="Arial"/>
          <w:sz w:val="22"/>
          <w:szCs w:val="22"/>
          <w:b w:val="1"/>
          <w:bCs w:val="1"/>
          <w:color w:val="auto"/>
        </w:rPr>
        <w:t>(.X.) YES</w:t>
      </w:r>
      <w:r>
        <w:rPr>
          <w:sz w:val="20"/>
          <w:szCs w:val="20"/>
          <w:color w:val="auto"/>
        </w:rPr>
        <w:tab/>
      </w:r>
      <w:r>
        <w:rPr>
          <w:rFonts w:ascii="Arial" w:cs="Arial" w:eastAsia="Arial" w:hAnsi="Arial"/>
          <w:sz w:val="22"/>
          <w:szCs w:val="22"/>
          <w:b w:val="1"/>
          <w:bCs w:val="1"/>
          <w:color w:val="auto"/>
        </w:rPr>
        <w:t>(...) NO</w:t>
      </w:r>
      <w:r>
        <w:rPr>
          <w:sz w:val="20"/>
          <w:szCs w:val="20"/>
          <w:color w:val="auto"/>
        </w:rPr>
        <w:tab/>
      </w:r>
      <w:r>
        <w:rPr>
          <w:rFonts w:ascii="Arial" w:cs="Arial" w:eastAsia="Arial" w:hAnsi="Arial"/>
          <w:sz w:val="19"/>
          <w:szCs w:val="19"/>
          <w:b w:val="1"/>
          <w:bCs w:val="1"/>
          <w:color w:val="auto"/>
        </w:rPr>
        <w:t>(...) NO WEB PAGE</w:t>
      </w:r>
    </w:p>
    <w:p>
      <w:pPr>
        <w:spacing w:after="0" w:line="206" w:lineRule="exact"/>
        <w:rPr>
          <w:sz w:val="20"/>
          <w:szCs w:val="20"/>
          <w:color w:val="auto"/>
        </w:rPr>
      </w:pPr>
    </w:p>
    <w:p>
      <w:pPr>
        <w:ind w:right="480"/>
        <w:spacing w:after="0" w:line="256" w:lineRule="auto"/>
        <w:rPr>
          <w:sz w:val="20"/>
          <w:szCs w:val="20"/>
          <w:color w:val="auto"/>
        </w:rPr>
      </w:pPr>
      <w:r>
        <w:rPr>
          <w:rFonts w:ascii="Arial" w:cs="Arial" w:eastAsia="Arial" w:hAnsi="Arial"/>
          <w:sz w:val="22"/>
          <w:szCs w:val="22"/>
          <w:b w:val="1"/>
          <w:bCs w:val="1"/>
          <w:color w:val="auto"/>
        </w:rPr>
        <w:t>f. During the financial year to which this report refers, indicate whether THE COMPANY has received any complaints from shareholders about its limiting access to information.</w:t>
      </w:r>
    </w:p>
    <w:p>
      <w:pPr>
        <w:spacing w:after="0" w:line="163"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 YES</w:t>
      </w:r>
      <w:r>
        <w:rPr>
          <w:sz w:val="20"/>
          <w:szCs w:val="20"/>
          <w:color w:val="auto"/>
        </w:rPr>
        <w:tab/>
      </w:r>
      <w:r>
        <w:rPr>
          <w:rFonts w:ascii="Arial" w:cs="Arial" w:eastAsia="Arial" w:hAnsi="Arial"/>
          <w:sz w:val="21"/>
          <w:szCs w:val="21"/>
          <w:b w:val="1"/>
          <w:bCs w:val="1"/>
          <w:color w:val="auto"/>
        </w:rPr>
        <w:t>(.X.)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5"/>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560" w:type="dxa"/>
            <w:vAlign w:val="bottom"/>
            <w:tcBorders>
              <w:top w:val="single" w:sz="8" w:color="2C2C2C"/>
              <w:bottom w:val="single" w:sz="8" w:color="2C2C2C"/>
            </w:tcBorders>
          </w:tcPr>
          <w:p>
            <w:pPr>
              <w:spacing w:after="0"/>
              <w:rPr>
                <w:sz w:val="17"/>
                <w:szCs w:val="17"/>
                <w:color w:val="auto"/>
              </w:rPr>
            </w:pPr>
          </w:p>
        </w:tc>
        <w:tc>
          <w:tcPr>
            <w:tcW w:w="260" w:type="dxa"/>
            <w:vAlign w:val="bottom"/>
            <w:tcBorders>
              <w:top w:val="single" w:sz="8" w:color="2C2C2C"/>
              <w:bottom w:val="single" w:sz="8" w:color="2C2C2C"/>
            </w:tcBorders>
          </w:tcPr>
          <w:p>
            <w:pPr>
              <w:spacing w:after="0"/>
              <w:rPr>
                <w:sz w:val="17"/>
                <w:szCs w:val="17"/>
                <w:color w:val="auto"/>
              </w:rPr>
            </w:pPr>
          </w:p>
        </w:tc>
        <w:tc>
          <w:tcPr>
            <w:tcW w:w="80" w:type="dxa"/>
            <w:vAlign w:val="bottom"/>
            <w:tcBorders>
              <w:top w:val="single" w:sz="8" w:color="2C2C2C"/>
              <w:bottom w:val="single" w:sz="8" w:color="2C2C2C"/>
            </w:tcBorders>
          </w:tcPr>
          <w:p>
            <w:pPr>
              <w:spacing w:after="0"/>
              <w:rPr>
                <w:sz w:val="17"/>
                <w:szCs w:val="17"/>
                <w:color w:val="auto"/>
              </w:rPr>
            </w:pPr>
          </w:p>
        </w:tc>
        <w:tc>
          <w:tcPr>
            <w:tcW w:w="22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5"/>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56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3</w:t>
            </w:r>
          </w:p>
        </w:tc>
        <w:tc>
          <w:tcPr>
            <w:tcW w:w="340" w:type="dxa"/>
            <w:vAlign w:val="bottom"/>
            <w:gridSpan w:val="2"/>
            <w:vMerge w:val="restart"/>
          </w:tcPr>
          <w:p>
            <w:pPr>
              <w:ind w:left="240"/>
              <w:spacing w:after="0" w:line="162" w:lineRule="exact"/>
              <w:rPr>
                <w:sz w:val="20"/>
                <w:szCs w:val="20"/>
                <w:color w:val="auto"/>
              </w:rPr>
            </w:pPr>
            <w:r>
              <w:rPr>
                <w:rFonts w:ascii="Arial" w:cs="Arial" w:eastAsia="Arial" w:hAnsi="Arial"/>
                <w:sz w:val="15"/>
                <w:szCs w:val="15"/>
                <w:i w:val="1"/>
                <w:iCs w:val="1"/>
                <w:color w:val="auto"/>
                <w:w w:val="95"/>
              </w:rPr>
              <w:t>4</w:t>
            </w: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top w:val="single" w:sz="8" w:color="auto"/>
              <w:bottom w:val="single" w:sz="8" w:color="2C2C2C"/>
            </w:tcBorders>
          </w:tcPr>
          <w:p>
            <w:pPr>
              <w:spacing w:after="0"/>
              <w:rPr>
                <w:sz w:val="8"/>
                <w:szCs w:val="8"/>
                <w:color w:val="auto"/>
              </w:rPr>
            </w:pPr>
          </w:p>
        </w:tc>
        <w:tc>
          <w:tcPr>
            <w:tcW w:w="400" w:type="dxa"/>
            <w:vAlign w:val="bottom"/>
            <w:tcBorders>
              <w:top w:val="single" w:sz="8" w:color="auto"/>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340" w:type="dxa"/>
            <w:vAlign w:val="bottom"/>
            <w:tcBorders>
              <w:bottom w:val="single" w:sz="8" w:color="2C2C2C"/>
            </w:tcBorders>
            <w:gridSpan w:val="2"/>
            <w:vMerge w:val="continue"/>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5"/>
          </w:tcPr>
          <w:p>
            <w:pPr>
              <w:ind w:left="20"/>
              <w:spacing w:after="0" w:line="149" w:lineRule="exact"/>
              <w:rPr>
                <w:sz w:val="20"/>
                <w:szCs w:val="20"/>
                <w:color w:val="auto"/>
              </w:rPr>
            </w:pPr>
            <w:r>
              <w:rPr>
                <w:rFonts w:ascii="Arial" w:cs="Arial" w:eastAsia="Arial" w:hAnsi="Arial"/>
                <w:sz w:val="15"/>
                <w:szCs w:val="15"/>
                <w:i w:val="1"/>
                <w:iCs w:val="1"/>
                <w:color w:val="auto"/>
                <w:w w:val="90"/>
              </w:rPr>
              <w:t>9. Principle IV.D.3.).- Cases where there are doubts about the confidentiality of the information requested by shareholders or groups of interest</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3"/>
          </w:tcPr>
          <w:p>
            <w:pPr>
              <w:ind w:left="260"/>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8560" w:type="dxa"/>
            <w:vAlign w:val="bottom"/>
            <w:gridSpan w:val="5"/>
          </w:tcPr>
          <w:p>
            <w:pPr>
              <w:ind w:left="20"/>
              <w:spacing w:after="0" w:line="146" w:lineRule="exact"/>
              <w:rPr>
                <w:sz w:val="20"/>
                <w:szCs w:val="20"/>
                <w:color w:val="auto"/>
              </w:rPr>
            </w:pPr>
            <w:r>
              <w:rPr>
                <w:rFonts w:ascii="Arial" w:cs="Arial" w:eastAsia="Arial" w:hAnsi="Arial"/>
                <w:sz w:val="15"/>
                <w:szCs w:val="15"/>
                <w:i w:val="1"/>
                <w:iCs w:val="1"/>
                <w:color w:val="auto"/>
                <w:w w:val="92"/>
              </w:rPr>
              <w:t>related to the company should be resolved. The criteria must be adopted by the Board of Directors and ratified by the General Shareholder</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560" w:type="dxa"/>
            <w:vAlign w:val="bottom"/>
            <w:gridSpan w:val="5"/>
          </w:tcPr>
          <w:p>
            <w:pPr>
              <w:ind w:left="20"/>
              <w:spacing w:after="0" w:line="162" w:lineRule="exact"/>
              <w:rPr>
                <w:sz w:val="20"/>
                <w:szCs w:val="20"/>
                <w:color w:val="auto"/>
              </w:rPr>
            </w:pPr>
            <w:r>
              <w:rPr>
                <w:rFonts w:ascii="Arial" w:cs="Arial" w:eastAsia="Arial" w:hAnsi="Arial"/>
                <w:sz w:val="15"/>
                <w:szCs w:val="15"/>
                <w:i w:val="1"/>
                <w:iCs w:val="1"/>
                <w:color w:val="auto"/>
                <w:w w:val="93"/>
              </w:rPr>
              <w:t>Meeting, and then included in the Statutes or internal regulation of the company. In any case, the disclosure of information should not put</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2C2C2C"/>
            </w:tcBorders>
          </w:tcPr>
          <w:p>
            <w:pPr>
              <w:spacing w:after="0"/>
              <w:rPr>
                <w:sz w:val="15"/>
                <w:szCs w:val="15"/>
                <w:color w:val="auto"/>
              </w:rPr>
            </w:pPr>
          </w:p>
        </w:tc>
        <w:tc>
          <w:tcPr>
            <w:tcW w:w="8560" w:type="dxa"/>
            <w:vAlign w:val="bottom"/>
            <w:tcBorders>
              <w:bottom w:val="single" w:sz="8" w:color="2C2C2C"/>
            </w:tcBorders>
            <w:gridSpan w:val="5"/>
          </w:tcPr>
          <w:p>
            <w:pPr>
              <w:ind w:left="20"/>
              <w:spacing w:after="0" w:line="172" w:lineRule="exact"/>
              <w:rPr>
                <w:sz w:val="20"/>
                <w:szCs w:val="20"/>
                <w:color w:val="auto"/>
              </w:rPr>
            </w:pPr>
            <w:r>
              <w:rPr>
                <w:rFonts w:ascii="Arial" w:cs="Arial" w:eastAsia="Arial" w:hAnsi="Arial"/>
                <w:sz w:val="15"/>
                <w:szCs w:val="15"/>
                <w:i w:val="1"/>
                <w:iCs w:val="1"/>
                <w:color w:val="auto"/>
              </w:rPr>
              <w:t>the competitive position of the company at risk or affect the normal development of the company’s activities.</w:t>
            </w:r>
          </w:p>
        </w:tc>
        <w:tc>
          <w:tcPr>
            <w:tcW w:w="7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42545" cy="6985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545" cy="698500"/>
                    </a:xfrm>
                    <a:prstGeom prst="rect">
                      <a:avLst/>
                    </a:prstGeom>
                    <a:noFill/>
                  </pic:spPr>
                </pic:pic>
              </a:graphicData>
            </a:graphic>
          </wp:anchor>
        </w:drawing>
        <w:drawing>
          <wp:anchor simplePos="0" relativeHeight="251657728" behindDoc="1" locked="0" layoutInCell="0" allowOverlap="1">
            <wp:simplePos x="0" y="0"/>
            <wp:positionH relativeFrom="page">
              <wp:posOffset>5573395</wp:posOffset>
            </wp:positionH>
            <wp:positionV relativeFrom="page">
              <wp:posOffset>88900</wp:posOffset>
            </wp:positionV>
            <wp:extent cx="42545" cy="690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545" cy="690245"/>
                    </a:xfrm>
                    <a:prstGeom prst="rect">
                      <a:avLst/>
                    </a:prstGeom>
                    <a:noFill/>
                  </pic:spPr>
                </pic:pic>
              </a:graphicData>
            </a:graphic>
          </wp:anchor>
        </w:drawing>
        <w:drawing>
          <wp:anchor simplePos="0" relativeHeight="251657728" behindDoc="1" locked="0" layoutInCell="0" allowOverlap="1">
            <wp:simplePos x="0" y="0"/>
            <wp:positionH relativeFrom="page">
              <wp:posOffset>7374255</wp:posOffset>
            </wp:positionH>
            <wp:positionV relativeFrom="page">
              <wp:posOffset>88900</wp:posOffset>
            </wp:positionV>
            <wp:extent cx="42545" cy="6985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545" cy="69850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-569595</wp:posOffset>
            </wp:positionV>
            <wp:extent cx="42545" cy="5740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545" cy="57404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-569595</wp:posOffset>
            </wp:positionV>
            <wp:extent cx="42545" cy="5740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545" cy="57404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-569595</wp:posOffset>
            </wp:positionV>
            <wp:extent cx="42545" cy="5740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545" cy="57404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-569595</wp:posOffset>
            </wp:positionV>
            <wp:extent cx="42545" cy="5740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545" cy="5740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Who decides on the confidentiality of a specific piece of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(.X.) THE BOARD OF DIRECTORS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 THE CEO</w:t>
      </w:r>
    </w:p>
    <w:p>
      <w:pPr>
        <w:spacing w:after="0"/>
        <w:rPr>
          <w:sz w:val="20"/>
          <w:szCs w:val="20"/>
          <w:color w:val="auto"/>
        </w:rPr>
      </w:pPr>
      <w:r>
        <w:rPr>
          <w:rFonts w:ascii="Arial" w:cs="Arial" w:eastAsia="Arial" w:hAnsi="Arial"/>
          <w:sz w:val="22"/>
          <w:szCs w:val="22"/>
          <w:b w:val="1"/>
          <w:bCs w:val="1"/>
          <w:color w:val="auto"/>
        </w:rPr>
        <w:t>( ) OTHER. Please specify .................................................................................................</w:t>
      </w:r>
    </w:p>
    <w:p>
      <w:pPr>
        <w:spacing w:after="0" w:line="182" w:lineRule="exact"/>
        <w:rPr>
          <w:sz w:val="20"/>
          <w:szCs w:val="20"/>
          <w:color w:val="auto"/>
        </w:rPr>
      </w:pPr>
    </w:p>
    <w:p>
      <w:pPr>
        <w:ind w:right="460"/>
        <w:spacing w:after="0" w:line="301" w:lineRule="auto"/>
        <w:rPr>
          <w:sz w:val="20"/>
          <w:szCs w:val="20"/>
          <w:color w:val="auto"/>
        </w:rPr>
      </w:pPr>
      <w:r>
        <w:rPr>
          <w:rFonts w:ascii="Arial" w:cs="Arial" w:eastAsia="Arial" w:hAnsi="Arial"/>
          <w:sz w:val="19"/>
          <w:szCs w:val="19"/>
          <w:b w:val="1"/>
          <w:bCs w:val="1"/>
          <w:color w:val="auto"/>
        </w:rPr>
        <w:t>b. Describe the pre-established objective criteria that lead to certain information being considered confidential. Additionally, please indicate the number of requests for information presented by the shareholders during the financial year to which this report refers which were rejected due the confidentiality of the information.</w:t>
      </w:r>
    </w:p>
    <w:p>
      <w:pPr>
        <w:spacing w:after="0" w:line="123" w:lineRule="exact"/>
        <w:rPr>
          <w:sz w:val="20"/>
          <w:szCs w:val="20"/>
          <w:color w:val="auto"/>
        </w:rPr>
      </w:pPr>
    </w:p>
    <w:p>
      <w:pPr>
        <w:ind w:right="60"/>
        <w:spacing w:after="0" w:line="284" w:lineRule="auto"/>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color w:val="auto"/>
        </w:rPr>
        <w:t>The criteria applied are in line with current legal requirements, including the Law of Banking and Insurance and the Regulation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Important Facts. Confidential information includes: operations, results, strategies and projections of the corporation; commercial plans, business processes and client relations. Information about the corporation’s personnel, such as medical or labor records. Information received by the personnel of the corporation during the carrying out of their functions from clients and suppliers and technological systems and exclusive products of the corporation. There were no requests for confidential information during 2005.</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THERE ARE NO PRE-ESTABLISHED CRITERIA</w:t>
      </w:r>
    </w:p>
    <w:p>
      <w:pPr>
        <w:spacing w:after="0" w:line="206" w:lineRule="exact"/>
        <w:rPr>
          <w:sz w:val="20"/>
          <w:szCs w:val="20"/>
          <w:color w:val="auto"/>
        </w:rPr>
      </w:pPr>
    </w:p>
    <w:p>
      <w:pPr>
        <w:ind w:right="720"/>
        <w:spacing w:after="0" w:line="256" w:lineRule="auto"/>
        <w:rPr>
          <w:sz w:val="20"/>
          <w:szCs w:val="20"/>
          <w:color w:val="auto"/>
        </w:rPr>
      </w:pPr>
      <w:r>
        <w:rPr>
          <w:rFonts w:ascii="Arial" w:cs="Arial" w:eastAsia="Arial" w:hAnsi="Arial"/>
          <w:sz w:val="22"/>
          <w:szCs w:val="22"/>
          <w:b w:val="1"/>
          <w:bCs w:val="1"/>
          <w:color w:val="auto"/>
        </w:rPr>
        <w:t>d. Indicate whether the criteria described in the previous question are contained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42545" cy="2825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545" cy="282575"/>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116840</wp:posOffset>
            </wp:positionV>
            <wp:extent cx="42545" cy="265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545" cy="26543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116840</wp:posOffset>
            </wp:positionV>
            <wp:extent cx="42545" cy="265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545" cy="26543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116840</wp:posOffset>
            </wp:positionV>
            <wp:extent cx="42545" cy="265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545" cy="26543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107950</wp:posOffset>
            </wp:positionV>
            <wp:extent cx="42545" cy="2825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545" cy="28257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116840</wp:posOffset>
            </wp:positionV>
            <wp:extent cx="42545" cy="265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545" cy="26543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260" w:type="dxa"/>
            <w:vAlign w:val="bottom"/>
            <w:tcBorders>
              <w:top w:val="single" w:sz="8" w:color="2C2C2C"/>
              <w:bottom w:val="single" w:sz="8" w:color="2C2C2C"/>
            </w:tcBorders>
          </w:tcPr>
          <w:p>
            <w:pPr>
              <w:spacing w:after="0"/>
              <w:rPr>
                <w:sz w:val="17"/>
                <w:szCs w:val="17"/>
                <w:color w:val="auto"/>
              </w:rPr>
            </w:pPr>
          </w:p>
        </w:tc>
        <w:tc>
          <w:tcPr>
            <w:tcW w:w="280" w:type="dxa"/>
            <w:vAlign w:val="bottom"/>
            <w:tcBorders>
              <w:top w:val="single" w:sz="8" w:color="2C2C2C"/>
              <w:bottom w:val="single" w:sz="8" w:color="2C2C2C"/>
            </w:tcBorders>
          </w:tcPr>
          <w:p>
            <w:pPr>
              <w:spacing w:after="0"/>
              <w:rPr>
                <w:sz w:val="17"/>
                <w:szCs w:val="17"/>
                <w:color w:val="auto"/>
              </w:rPr>
            </w:pPr>
          </w:p>
        </w:tc>
        <w:tc>
          <w:tcPr>
            <w:tcW w:w="1740" w:type="dxa"/>
            <w:vAlign w:val="bottom"/>
            <w:tcBorders>
              <w:top w:val="single" w:sz="8" w:color="2C2C2C"/>
              <w:bottom w:val="single" w:sz="8" w:color="2C2C2C"/>
            </w:tcBorders>
          </w:tcPr>
          <w:p>
            <w:pPr>
              <w:jc w:val="center"/>
              <w:ind w:right="546"/>
              <w:spacing w:after="0"/>
              <w:rPr>
                <w:sz w:val="20"/>
                <w:szCs w:val="20"/>
                <w:color w:val="auto"/>
              </w:rPr>
            </w:pPr>
            <w:r>
              <w:rPr>
                <w:rFonts w:ascii="Arial" w:cs="Arial" w:eastAsia="Arial" w:hAnsi="Arial"/>
                <w:sz w:val="15"/>
                <w:szCs w:val="15"/>
                <w:color w:val="auto"/>
                <w:w w:val="93"/>
              </w:rPr>
              <w:t>STATUTE</w:t>
            </w:r>
          </w:p>
        </w:tc>
        <w:tc>
          <w:tcPr>
            <w:tcW w:w="2520" w:type="dxa"/>
            <w:vAlign w:val="bottom"/>
            <w:tcBorders>
              <w:top w:val="single" w:sz="8" w:color="2C2C2C"/>
              <w:bottom w:val="single" w:sz="8" w:color="2C2C2C"/>
            </w:tcBorders>
          </w:tcPr>
          <w:p>
            <w:pPr>
              <w:jc w:val="center"/>
              <w:ind w:right="206"/>
              <w:spacing w:after="0"/>
              <w:rPr>
                <w:sz w:val="20"/>
                <w:szCs w:val="20"/>
                <w:color w:val="auto"/>
              </w:rPr>
            </w:pPr>
            <w:r>
              <w:rPr>
                <w:rFonts w:ascii="Arial" w:cs="Arial" w:eastAsia="Arial" w:hAnsi="Arial"/>
                <w:sz w:val="15"/>
                <w:szCs w:val="15"/>
                <w:color w:val="auto"/>
                <w:w w:val="97"/>
              </w:rPr>
              <w:t>INTERNAL REGULATION</w:t>
            </w:r>
          </w:p>
        </w:tc>
        <w:tc>
          <w:tcPr>
            <w:tcW w:w="2280" w:type="dxa"/>
            <w:vAlign w:val="bottom"/>
            <w:tcBorders>
              <w:top w:val="single" w:sz="8" w:color="2C2C2C"/>
              <w:bottom w:val="single" w:sz="8" w:color="2C2C2C"/>
            </w:tcBorders>
          </w:tcPr>
          <w:p>
            <w:pPr>
              <w:jc w:val="center"/>
              <w:ind w:right="466"/>
              <w:spacing w:after="0"/>
              <w:rPr>
                <w:sz w:val="20"/>
                <w:szCs w:val="20"/>
                <w:color w:val="auto"/>
              </w:rPr>
            </w:pPr>
            <w:r>
              <w:rPr>
                <w:rFonts w:ascii="Arial" w:cs="Arial" w:eastAsia="Arial" w:hAnsi="Arial"/>
                <w:sz w:val="15"/>
                <w:szCs w:val="15"/>
                <w:color w:val="auto"/>
              </w:rPr>
              <w:t>MANUAL</w:t>
            </w:r>
          </w:p>
        </w:tc>
        <w:tc>
          <w:tcPr>
            <w:tcW w:w="1900" w:type="dxa"/>
            <w:vAlign w:val="bottom"/>
            <w:tcBorders>
              <w:top w:val="single" w:sz="8" w:color="2C2C2C"/>
              <w:bottom w:val="single" w:sz="8" w:color="2C2C2C"/>
            </w:tcBorders>
            <w:gridSpan w:val="2"/>
          </w:tcPr>
          <w:p>
            <w:pPr>
              <w:jc w:val="center"/>
              <w:ind w:right="86"/>
              <w:spacing w:after="0"/>
              <w:rPr>
                <w:sz w:val="20"/>
                <w:szCs w:val="20"/>
                <w:color w:val="auto"/>
              </w:rPr>
            </w:pPr>
            <w:r>
              <w:rPr>
                <w:rFonts w:ascii="Arial" w:cs="Arial" w:eastAsia="Arial" w:hAnsi="Arial"/>
                <w:sz w:val="15"/>
                <w:szCs w:val="15"/>
                <w:color w:val="auto"/>
                <w:w w:val="95"/>
              </w:rPr>
              <w:t>OTHER</w:t>
            </w:r>
          </w:p>
        </w:tc>
        <w:tc>
          <w:tcPr>
            <w:tcW w:w="2380" w:type="dxa"/>
            <w:vAlign w:val="bottom"/>
            <w:tcBorders>
              <w:top w:val="single" w:sz="8" w:color="2C2C2C"/>
              <w:bottom w:val="single" w:sz="8" w:color="2C2C2C"/>
            </w:tcBorders>
            <w:gridSpan w:val="5"/>
          </w:tcPr>
          <w:p>
            <w:pPr>
              <w:ind w:left="22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gridSpan w:val="2"/>
          </w:tcPr>
          <w:p>
            <w:pPr>
              <w:spacing w:after="0"/>
              <w:rPr>
                <w:sz w:val="14"/>
                <w:szCs w:val="14"/>
                <w:color w:val="auto"/>
              </w:rPr>
            </w:pPr>
          </w:p>
        </w:tc>
        <w:tc>
          <w:tcPr>
            <w:tcW w:w="2280" w:type="dxa"/>
            <w:vAlign w:val="bottom"/>
            <w:gridSpan w:val="3"/>
          </w:tcPr>
          <w:p>
            <w:pPr>
              <w:jc w:val="right"/>
              <w:ind w:right="986"/>
              <w:spacing w:after="0" w:line="162" w:lineRule="exact"/>
              <w:rPr>
                <w:sz w:val="20"/>
                <w:szCs w:val="20"/>
                <w:color w:val="auto"/>
              </w:rPr>
            </w:pPr>
            <w:r>
              <w:rPr>
                <w:rFonts w:ascii="Arial" w:cs="Arial" w:eastAsia="Arial" w:hAnsi="Arial"/>
                <w:sz w:val="15"/>
                <w:szCs w:val="15"/>
                <w:b w:val="1"/>
                <w:bCs w:val="1"/>
                <w:color w:val="auto"/>
              </w:rPr>
              <w:t>(...)</w:t>
            </w:r>
          </w:p>
        </w:tc>
        <w:tc>
          <w:tcPr>
            <w:tcW w:w="2520" w:type="dxa"/>
            <w:vAlign w:val="bottom"/>
          </w:tcPr>
          <w:p>
            <w:pPr>
              <w:jc w:val="center"/>
              <w:ind w:right="206"/>
              <w:spacing w:after="0" w:line="162" w:lineRule="exact"/>
              <w:rPr>
                <w:sz w:val="20"/>
                <w:szCs w:val="20"/>
                <w:color w:val="auto"/>
              </w:rPr>
            </w:pPr>
            <w:r>
              <w:rPr>
                <w:rFonts w:ascii="Arial" w:cs="Arial" w:eastAsia="Arial" w:hAnsi="Arial"/>
                <w:sz w:val="15"/>
                <w:szCs w:val="15"/>
                <w:b w:val="1"/>
                <w:bCs w:val="1"/>
                <w:color w:val="auto"/>
                <w:w w:val="99"/>
              </w:rPr>
              <w:t>(.X)</w:t>
            </w:r>
          </w:p>
        </w:tc>
        <w:tc>
          <w:tcPr>
            <w:tcW w:w="2280" w:type="dxa"/>
            <w:vAlign w:val="bottom"/>
          </w:tcPr>
          <w:p>
            <w:pPr>
              <w:jc w:val="right"/>
              <w:ind w:right="1206"/>
              <w:spacing w:after="0" w:line="162" w:lineRule="exact"/>
              <w:rPr>
                <w:sz w:val="20"/>
                <w:szCs w:val="20"/>
                <w:color w:val="auto"/>
              </w:rPr>
            </w:pPr>
            <w:r>
              <w:rPr>
                <w:rFonts w:ascii="Arial" w:cs="Arial" w:eastAsia="Arial" w:hAnsi="Arial"/>
                <w:sz w:val="15"/>
                <w:szCs w:val="15"/>
                <w:b w:val="1"/>
                <w:bCs w:val="1"/>
                <w:color w:val="auto"/>
              </w:rPr>
              <w:t>(...)</w:t>
            </w:r>
          </w:p>
        </w:tc>
        <w:tc>
          <w:tcPr>
            <w:tcW w:w="1460" w:type="dxa"/>
            <w:vAlign w:val="bottom"/>
          </w:tcPr>
          <w:p>
            <w:pPr>
              <w:jc w:val="right"/>
              <w:ind w:right="406"/>
              <w:spacing w:after="0" w:line="162" w:lineRule="exact"/>
              <w:rPr>
                <w:sz w:val="20"/>
                <w:szCs w:val="20"/>
                <w:color w:val="auto"/>
              </w:rPr>
            </w:pPr>
            <w:r>
              <w:rPr>
                <w:rFonts w:ascii="Arial" w:cs="Arial" w:eastAsia="Arial" w:hAnsi="Arial"/>
                <w:sz w:val="15"/>
                <w:szCs w:val="15"/>
                <w:b w:val="1"/>
                <w:bCs w:val="1"/>
                <w:color w:val="auto"/>
              </w:rPr>
              <w:t>(...)</w:t>
            </w:r>
          </w:p>
        </w:tc>
        <w:tc>
          <w:tcPr>
            <w:tcW w:w="440" w:type="dxa"/>
            <w:vAlign w:val="bottom"/>
          </w:tcPr>
          <w:p>
            <w:pPr>
              <w:spacing w:after="0"/>
              <w:rPr>
                <w:sz w:val="14"/>
                <w:szCs w:val="14"/>
                <w:color w:val="auto"/>
              </w:rPr>
            </w:pPr>
          </w:p>
        </w:tc>
        <w:tc>
          <w:tcPr>
            <w:tcW w:w="2380" w:type="dxa"/>
            <w:vAlign w:val="bottom"/>
            <w:gridSpan w:val="5"/>
          </w:tcPr>
          <w:p>
            <w:pPr>
              <w:ind w:left="140"/>
              <w:spacing w:after="0" w:line="162" w:lineRule="exact"/>
              <w:rPr>
                <w:sz w:val="20"/>
                <w:szCs w:val="20"/>
                <w:color w:val="auto"/>
              </w:rPr>
            </w:pPr>
            <w:r>
              <w:rPr>
                <w:rFonts w:ascii="Arial" w:cs="Arial" w:eastAsia="Arial" w:hAnsi="Arial"/>
                <w:sz w:val="15"/>
                <w:szCs w:val="15"/>
                <w:color w:val="auto"/>
                <w:w w:val="93"/>
              </w:rPr>
              <w:t>Corporate Policies – Code of Ethics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7100" w:type="dxa"/>
            <w:vAlign w:val="bottom"/>
            <w:tcBorders>
              <w:top w:val="single" w:sz="8" w:color="2C2C2C"/>
            </w:tcBorders>
            <w:gridSpan w:val="6"/>
          </w:tcPr>
          <w:p>
            <w:pPr>
              <w:spacing w:after="0"/>
              <w:rPr>
                <w:sz w:val="20"/>
                <w:szCs w:val="20"/>
                <w:color w:val="auto"/>
              </w:rPr>
            </w:pPr>
            <w:r>
              <w:rPr>
                <w:rFonts w:ascii="Arial" w:cs="Arial" w:eastAsia="Arial" w:hAnsi="Arial"/>
                <w:sz w:val="22"/>
                <w:szCs w:val="22"/>
                <w:b w:val="1"/>
                <w:bCs w:val="1"/>
                <w:color w:val="auto"/>
                <w:w w:val="97"/>
              </w:rPr>
              <w:t>* Specify the name of the document, if not THE COMPANY’s statutes.</w:t>
            </w:r>
          </w:p>
        </w:tc>
        <w:tc>
          <w:tcPr>
            <w:tcW w:w="1460" w:type="dxa"/>
            <w:vAlign w:val="bottom"/>
            <w:tcBorders>
              <w:top w:val="single" w:sz="8" w:color="2C2C2C"/>
            </w:tcBorders>
          </w:tcPr>
          <w:p>
            <w:pPr>
              <w:spacing w:after="0"/>
              <w:rPr>
                <w:sz w:val="24"/>
                <w:szCs w:val="24"/>
                <w:color w:val="auto"/>
              </w:rPr>
            </w:pPr>
          </w:p>
        </w:tc>
        <w:tc>
          <w:tcPr>
            <w:tcW w:w="440" w:type="dxa"/>
            <w:vAlign w:val="bottom"/>
            <w:tcBorders>
              <w:top w:val="single" w:sz="8" w:color="2C2C2C"/>
            </w:tcBorders>
          </w:tcPr>
          <w:p>
            <w:pPr>
              <w:spacing w:after="0"/>
              <w:rPr>
                <w:sz w:val="24"/>
                <w:szCs w:val="24"/>
                <w:color w:val="auto"/>
              </w:rPr>
            </w:pPr>
          </w:p>
        </w:tc>
        <w:tc>
          <w:tcPr>
            <w:tcW w:w="680" w:type="dxa"/>
            <w:vAlign w:val="bottom"/>
            <w:tcBorders>
              <w:top w:val="single" w:sz="8" w:color="2C2C2C"/>
            </w:tcBorders>
          </w:tcPr>
          <w:p>
            <w:pPr>
              <w:spacing w:after="0"/>
              <w:rPr>
                <w:sz w:val="24"/>
                <w:szCs w:val="24"/>
                <w:color w:val="auto"/>
              </w:rPr>
            </w:pPr>
          </w:p>
        </w:tc>
        <w:tc>
          <w:tcPr>
            <w:tcW w:w="580" w:type="dxa"/>
            <w:vAlign w:val="bottom"/>
            <w:tcBorders>
              <w:top w:val="single" w:sz="8" w:color="2C2C2C"/>
            </w:tcBorders>
          </w:tcPr>
          <w:p>
            <w:pPr>
              <w:spacing w:after="0"/>
              <w:rPr>
                <w:sz w:val="24"/>
                <w:szCs w:val="24"/>
                <w:color w:val="auto"/>
              </w:rPr>
            </w:pPr>
          </w:p>
        </w:tc>
        <w:tc>
          <w:tcPr>
            <w:tcW w:w="78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220" w:type="dxa"/>
            <w:vAlign w:val="bottom"/>
            <w:tcBorders>
              <w:top w:val="single" w:sz="8" w:color="2C2C2C"/>
            </w:tcBorders>
          </w:tcPr>
          <w:p>
            <w:pPr>
              <w:spacing w:after="0"/>
              <w:rPr>
                <w:sz w:val="24"/>
                <w:szCs w:val="24"/>
                <w:color w:val="auto"/>
              </w:rPr>
            </w:pPr>
          </w:p>
        </w:tc>
        <w:tc>
          <w:tcPr>
            <w:tcW w:w="20" w:type="dxa"/>
            <w:vAlign w:val="bottom"/>
            <w:tcBorders>
              <w:top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gridSpan w:val="6"/>
          </w:tcPr>
          <w:p>
            <w:pPr>
              <w:spacing w:after="0"/>
              <w:rPr>
                <w:sz w:val="20"/>
                <w:szCs w:val="20"/>
                <w:color w:val="auto"/>
              </w:rPr>
            </w:pPr>
            <w:r>
              <w:rPr>
                <w:rFonts w:ascii="Arial" w:cs="Arial" w:eastAsia="Arial" w:hAnsi="Arial"/>
                <w:sz w:val="22"/>
                <w:szCs w:val="22"/>
                <w:b w:val="1"/>
                <w:bCs w:val="1"/>
                <w:color w:val="auto"/>
              </w:rPr>
              <w:t>(...) THEY ARE NOT REGULATED</w:t>
            </w:r>
          </w:p>
        </w:tc>
        <w:tc>
          <w:tcPr>
            <w:tcW w:w="2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740" w:type="dxa"/>
            <w:vAlign w:val="bottom"/>
            <w:tcBorders>
              <w:bottom w:val="single" w:sz="8" w:color="2C2C2C"/>
            </w:tcBorders>
          </w:tcPr>
          <w:p>
            <w:pPr>
              <w:spacing w:after="0"/>
              <w:rPr>
                <w:sz w:val="18"/>
                <w:szCs w:val="18"/>
                <w:color w:val="auto"/>
              </w:rPr>
            </w:pPr>
          </w:p>
        </w:tc>
        <w:tc>
          <w:tcPr>
            <w:tcW w:w="2520" w:type="dxa"/>
            <w:vAlign w:val="bottom"/>
            <w:tcBorders>
              <w:bottom w:val="single" w:sz="8" w:color="2C2C2C"/>
            </w:tcBorders>
          </w:tcPr>
          <w:p>
            <w:pPr>
              <w:spacing w:after="0"/>
              <w:rPr>
                <w:sz w:val="18"/>
                <w:szCs w:val="18"/>
                <w:color w:val="auto"/>
              </w:rPr>
            </w:pPr>
          </w:p>
        </w:tc>
        <w:tc>
          <w:tcPr>
            <w:tcW w:w="2280" w:type="dxa"/>
            <w:vAlign w:val="bottom"/>
            <w:tcBorders>
              <w:bottom w:val="single" w:sz="8" w:color="2C2C2C"/>
            </w:tcBorders>
          </w:tcPr>
          <w:p>
            <w:pPr>
              <w:spacing w:after="0"/>
              <w:rPr>
                <w:sz w:val="18"/>
                <w:szCs w:val="18"/>
                <w:color w:val="auto"/>
              </w:rPr>
            </w:pPr>
          </w:p>
        </w:tc>
        <w:tc>
          <w:tcPr>
            <w:tcW w:w="146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gridSpan w:val="2"/>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3"/>
            <w:vMerge w:val="restart"/>
          </w:tcPr>
          <w:p>
            <w:pPr>
              <w:spacing w:after="0"/>
              <w:rPr>
                <w:sz w:val="20"/>
                <w:szCs w:val="20"/>
                <w:color w:val="auto"/>
              </w:rPr>
            </w:pPr>
            <w:r>
              <w:rPr>
                <w:rFonts w:ascii="Arial" w:cs="Arial" w:eastAsia="Arial" w:hAnsi="Arial"/>
                <w:sz w:val="15"/>
                <w:szCs w:val="15"/>
                <w:i w:val="1"/>
                <w:iCs w:val="1"/>
                <w:color w:val="auto"/>
              </w:rPr>
              <w:t>Principle</w:t>
            </w:r>
          </w:p>
        </w:tc>
        <w:tc>
          <w:tcPr>
            <w:tcW w:w="25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Borders>
              <w:bottom w:val="single" w:sz="8" w:color="2C2C2C"/>
            </w:tcBorders>
            <w:gridSpan w:val="2"/>
          </w:tcPr>
          <w:p>
            <w:pPr>
              <w:jc w:val="right"/>
              <w:ind w:right="386"/>
              <w:spacing w:after="0" w:line="162" w:lineRule="exact"/>
              <w:rPr>
                <w:sz w:val="20"/>
                <w:szCs w:val="20"/>
                <w:color w:val="auto"/>
              </w:rPr>
            </w:pPr>
            <w:r>
              <w:rPr>
                <w:rFonts w:ascii="Arial" w:cs="Arial" w:eastAsia="Arial" w:hAnsi="Arial"/>
                <w:sz w:val="15"/>
                <w:szCs w:val="15"/>
                <w:i w:val="1"/>
                <w:iCs w:val="1"/>
                <w:color w:val="auto"/>
                <w:w w:val="93"/>
              </w:rPr>
              <w:t>Fulfillment</w:t>
            </w:r>
          </w:p>
        </w:tc>
        <w:tc>
          <w:tcPr>
            <w:tcW w:w="5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gridSpan w:val="3"/>
            <w:vMerge w:val="continue"/>
          </w:tcPr>
          <w:p>
            <w:pPr>
              <w:spacing w:after="0"/>
              <w:rPr>
                <w:sz w:val="4"/>
                <w:szCs w:val="4"/>
                <w:color w:val="auto"/>
              </w:rPr>
            </w:pPr>
          </w:p>
        </w:tc>
        <w:tc>
          <w:tcPr>
            <w:tcW w:w="25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900" w:type="dxa"/>
            <w:vAlign w:val="bottom"/>
            <w:gridSpan w:val="2"/>
            <w:vMerge w:val="restart"/>
          </w:tcPr>
          <w:p>
            <w:pPr>
              <w:jc w:val="right"/>
              <w:ind w:right="46"/>
              <w:spacing w:after="0" w:line="162" w:lineRule="exact"/>
              <w:rPr>
                <w:sz w:val="20"/>
                <w:szCs w:val="20"/>
                <w:color w:val="auto"/>
              </w:rPr>
            </w:pPr>
            <w:r>
              <w:rPr>
                <w:rFonts w:ascii="Arial" w:cs="Arial" w:eastAsia="Arial" w:hAnsi="Arial"/>
                <w:sz w:val="15"/>
                <w:szCs w:val="15"/>
                <w:i w:val="1"/>
                <w:iCs w:val="1"/>
                <w:color w:val="auto"/>
              </w:rPr>
              <w:t>0</w:t>
            </w:r>
          </w:p>
        </w:tc>
        <w:tc>
          <w:tcPr>
            <w:tcW w:w="6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780" w:type="dxa"/>
            <w:vAlign w:val="bottom"/>
            <w:vMerge w:val="restart"/>
          </w:tcPr>
          <w:p>
            <w:pPr>
              <w:jc w:val="right"/>
              <w:ind w:right="386"/>
              <w:spacing w:after="0" w:line="162" w:lineRule="exact"/>
              <w:rPr>
                <w:sz w:val="20"/>
                <w:szCs w:val="20"/>
                <w:color w:val="auto"/>
              </w:rPr>
            </w:pPr>
            <w:r>
              <w:rPr>
                <w:rFonts w:ascii="Arial" w:cs="Arial" w:eastAsia="Arial" w:hAnsi="Arial"/>
                <w:sz w:val="15"/>
                <w:szCs w:val="15"/>
                <w:i w:val="1"/>
                <w:iCs w:val="1"/>
                <w:color w:val="auto"/>
              </w:rPr>
              <w:t>3</w:t>
            </w:r>
          </w:p>
        </w:tc>
        <w:tc>
          <w:tcPr>
            <w:tcW w:w="120" w:type="dxa"/>
            <w:vAlign w:val="bottom"/>
            <w:vMerge w:val="restart"/>
          </w:tcPr>
          <w:p>
            <w:pPr>
              <w:ind w:left="20"/>
              <w:spacing w:after="0" w:line="162" w:lineRule="exact"/>
              <w:rPr>
                <w:sz w:val="20"/>
                <w:szCs w:val="20"/>
                <w:color w:val="auto"/>
              </w:rPr>
            </w:pPr>
            <w:r>
              <w:rPr>
                <w:rFonts w:ascii="Arial" w:cs="Arial" w:eastAsia="Arial" w:hAnsi="Arial"/>
                <w:sz w:val="15"/>
                <w:szCs w:val="15"/>
                <w:i w:val="1"/>
                <w:iCs w:val="1"/>
                <w:color w:val="auto"/>
                <w:w w:val="95"/>
              </w:rPr>
              <w:t>4</w:t>
            </w: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auto"/>
              <w:bottom w:val="single" w:sz="8" w:color="2C2C2C"/>
            </w:tcBorders>
          </w:tcPr>
          <w:p>
            <w:pPr>
              <w:spacing w:after="0"/>
              <w:rPr>
                <w:sz w:val="8"/>
                <w:szCs w:val="8"/>
                <w:color w:val="auto"/>
              </w:rPr>
            </w:pPr>
          </w:p>
        </w:tc>
        <w:tc>
          <w:tcPr>
            <w:tcW w:w="280" w:type="dxa"/>
            <w:vAlign w:val="bottom"/>
            <w:tcBorders>
              <w:top w:val="single" w:sz="8" w:color="auto"/>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2"/>
            <w:vMerge w:val="continue"/>
          </w:tcPr>
          <w:p>
            <w:pPr>
              <w:spacing w:after="0"/>
              <w:rPr>
                <w:sz w:val="8"/>
                <w:szCs w:val="8"/>
                <w:color w:val="auto"/>
              </w:rPr>
            </w:pPr>
          </w:p>
        </w:tc>
        <w:tc>
          <w:tcPr>
            <w:tcW w:w="6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780" w:type="dxa"/>
            <w:vAlign w:val="bottom"/>
            <w:tcBorders>
              <w:bottom w:val="single" w:sz="8" w:color="2C2C2C"/>
            </w:tcBorders>
            <w:vMerge w:val="continue"/>
          </w:tcPr>
          <w:p>
            <w:pPr>
              <w:spacing w:after="0"/>
              <w:rPr>
                <w:sz w:val="8"/>
                <w:szCs w:val="8"/>
                <w:color w:val="auto"/>
              </w:rPr>
            </w:pPr>
          </w:p>
        </w:tc>
        <w:tc>
          <w:tcPr>
            <w:tcW w:w="120" w:type="dxa"/>
            <w:vAlign w:val="bottom"/>
            <w:tcBorders>
              <w:bottom w:val="single" w:sz="8" w:color="2C2C2C"/>
            </w:tcBorders>
            <w:vMerge w:val="continue"/>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80" w:type="dxa"/>
            <w:vAlign w:val="bottom"/>
            <w:gridSpan w:val="7"/>
          </w:tcPr>
          <w:p>
            <w:pPr>
              <w:spacing w:after="0" w:line="149" w:lineRule="exact"/>
              <w:rPr>
                <w:sz w:val="20"/>
                <w:szCs w:val="20"/>
                <w:color w:val="auto"/>
              </w:rPr>
            </w:pPr>
            <w:r>
              <w:rPr>
                <w:rFonts w:ascii="Arial" w:cs="Arial" w:eastAsia="Arial" w:hAnsi="Arial"/>
                <w:sz w:val="15"/>
                <w:szCs w:val="15"/>
                <w:i w:val="1"/>
                <w:iCs w:val="1"/>
                <w:color w:val="auto"/>
              </w:rPr>
              <w:t>10. Principle (IV.F, first paragraph).- The company must have internal audits. The internal auditor must maintain a relationship of</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gridSpan w:val="2"/>
          </w:tcPr>
          <w:p>
            <w:pPr>
              <w:ind w:left="40"/>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67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80" w:type="dxa"/>
            <w:vAlign w:val="bottom"/>
            <w:gridSpan w:val="7"/>
          </w:tcPr>
          <w:p>
            <w:pPr>
              <w:spacing w:after="0" w:line="146" w:lineRule="exact"/>
              <w:rPr>
                <w:sz w:val="20"/>
                <w:szCs w:val="20"/>
                <w:color w:val="auto"/>
              </w:rPr>
            </w:pPr>
            <w:r>
              <w:rPr>
                <w:rFonts w:ascii="Arial" w:cs="Arial" w:eastAsia="Arial" w:hAnsi="Arial"/>
                <w:sz w:val="15"/>
                <w:szCs w:val="15"/>
                <w:i w:val="1"/>
                <w:iCs w:val="1"/>
                <w:color w:val="auto"/>
                <w:w w:val="95"/>
              </w:rPr>
              <w:t>professional independence with the company that hires him/her in the exercising of his/her functions. The same principles of diligence, loyalty</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7080" w:type="dxa"/>
            <w:vAlign w:val="bottom"/>
            <w:tcBorders>
              <w:bottom w:val="single" w:sz="8" w:color="2C2C2C"/>
            </w:tcBorders>
            <w:gridSpan w:val="5"/>
          </w:tcPr>
          <w:p>
            <w:pPr>
              <w:spacing w:after="0" w:line="172" w:lineRule="exact"/>
              <w:rPr>
                <w:sz w:val="20"/>
                <w:szCs w:val="20"/>
                <w:color w:val="auto"/>
              </w:rPr>
            </w:pPr>
            <w:r>
              <w:rPr>
                <w:rFonts w:ascii="Arial" w:cs="Arial" w:eastAsia="Arial" w:hAnsi="Arial"/>
                <w:sz w:val="15"/>
                <w:szCs w:val="15"/>
                <w:i w:val="1"/>
                <w:iCs w:val="1"/>
                <w:color w:val="auto"/>
              </w:rPr>
              <w:t>and reserve that are required of the Board of Directors and the Management must be observed.</w:t>
            </w:r>
          </w:p>
        </w:tc>
        <w:tc>
          <w:tcPr>
            <w:tcW w:w="14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42545" cy="6083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545" cy="60833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-586740</wp:posOffset>
            </wp:positionV>
            <wp:extent cx="42545" cy="5911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-466725</wp:posOffset>
            </wp:positionV>
            <wp:extent cx="42545" cy="4711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-466725</wp:posOffset>
            </wp:positionV>
            <wp:extent cx="42545" cy="4711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-466725</wp:posOffset>
            </wp:positionV>
            <wp:extent cx="42545" cy="4711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-594995</wp:posOffset>
            </wp:positionV>
            <wp:extent cx="42545" cy="6083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545" cy="60833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-466725</wp:posOffset>
            </wp:positionV>
            <wp:extent cx="42545" cy="4711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545" cy="471170"/>
                    </a:xfrm>
                    <a:prstGeom prst="rect">
                      <a:avLst/>
                    </a:prstGeom>
                    <a:noFill/>
                  </pic:spPr>
                </pic:pic>
              </a:graphicData>
            </a:graphic>
          </wp:anchor>
        </w:drawing>
      </w:r>
    </w:p>
    <w:p>
      <w:pPr>
        <w:spacing w:after="0" w:line="169" w:lineRule="exact"/>
        <w:rPr>
          <w:sz w:val="20"/>
          <w:szCs w:val="20"/>
          <w:color w:val="auto"/>
        </w:rPr>
      </w:pPr>
    </w:p>
    <w:p>
      <w:pPr>
        <w:ind w:right="1940"/>
        <w:spacing w:after="0" w:line="435" w:lineRule="auto"/>
        <w:rPr>
          <w:sz w:val="20"/>
          <w:szCs w:val="20"/>
          <w:color w:val="auto"/>
        </w:rPr>
      </w:pPr>
      <w:r>
        <w:rPr>
          <w:rFonts w:ascii="Arial" w:cs="Arial" w:eastAsia="Arial" w:hAnsi="Arial"/>
          <w:sz w:val="22"/>
          <w:szCs w:val="22"/>
          <w:b w:val="1"/>
          <w:bCs w:val="1"/>
          <w:color w:val="auto"/>
        </w:rPr>
        <w:t>a. Indicate whether THE COMPANY has an independent area that is responsible for internal auditing. (.x.) YES (...) NO</w:t>
      </w:r>
    </w:p>
    <w:p>
      <w:pPr>
        <w:spacing w:after="0" w:line="1" w:lineRule="exact"/>
        <w:rPr>
          <w:sz w:val="20"/>
          <w:szCs w:val="20"/>
          <w:color w:val="auto"/>
        </w:rPr>
      </w:pPr>
    </w:p>
    <w:p>
      <w:pPr>
        <w:ind w:right="180"/>
        <w:spacing w:after="0" w:line="256" w:lineRule="auto"/>
        <w:rPr>
          <w:sz w:val="20"/>
          <w:szCs w:val="20"/>
          <w:color w:val="auto"/>
        </w:rPr>
      </w:pPr>
      <w:r>
        <w:rPr>
          <w:rFonts w:ascii="Arial" w:cs="Arial" w:eastAsia="Arial" w:hAnsi="Arial"/>
          <w:sz w:val="22"/>
          <w:szCs w:val="22"/>
          <w:b w:val="1"/>
          <w:bCs w:val="1"/>
          <w:color w:val="auto"/>
        </w:rPr>
        <w:t>b. If the answer to the previous question is affirmative, indicate who, within the organic structure of THE COMPANY, the internal audit depends on in terms of hierarchy and who this person must report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136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15"/>
                <w:szCs w:val="15"/>
                <w:color w:val="auto"/>
              </w:rPr>
              <w:t>DEPENDS ON:</w:t>
            </w:r>
          </w:p>
        </w:tc>
        <w:tc>
          <w:tcPr>
            <w:tcW w:w="10020" w:type="dxa"/>
            <w:vAlign w:val="bottom"/>
            <w:tcBorders>
              <w:top w:val="single" w:sz="8" w:color="2C2C2C"/>
              <w:bottom w:val="single" w:sz="8" w:color="2C2C2C"/>
            </w:tcBorders>
          </w:tcPr>
          <w:p>
            <w:pPr>
              <w:ind w:left="380"/>
              <w:spacing w:after="0"/>
              <w:rPr>
                <w:sz w:val="20"/>
                <w:szCs w:val="20"/>
                <w:color w:val="auto"/>
              </w:rPr>
            </w:pPr>
            <w:r>
              <w:rPr>
                <w:rFonts w:ascii="Arial" w:cs="Arial" w:eastAsia="Arial" w:hAnsi="Arial"/>
                <w:sz w:val="15"/>
                <w:szCs w:val="15"/>
                <w:color w:val="auto"/>
              </w:rPr>
              <w:t>Board of Directors</w:t>
            </w:r>
          </w:p>
        </w:tc>
        <w:tc>
          <w:tcPr>
            <w:tcW w:w="20" w:type="dxa"/>
            <w:vAlign w:val="bottom"/>
            <w:tcBorders>
              <w:top w:val="single" w:sz="8" w:color="808080"/>
            </w:tcBorders>
          </w:tcPr>
          <w:p>
            <w:pPr>
              <w:spacing w:after="0"/>
              <w:rPr>
                <w:sz w:val="17"/>
                <w:szCs w:val="17"/>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136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REPORTS TO:</w:t>
            </w:r>
          </w:p>
        </w:tc>
        <w:tc>
          <w:tcPr>
            <w:tcW w:w="10020" w:type="dxa"/>
            <w:vAlign w:val="bottom"/>
            <w:tcBorders>
              <w:bottom w:val="single" w:sz="8" w:color="2C2C2C"/>
            </w:tcBorders>
          </w:tcPr>
          <w:p>
            <w:pPr>
              <w:ind w:left="380"/>
              <w:spacing w:after="0" w:line="162" w:lineRule="exact"/>
              <w:rPr>
                <w:sz w:val="20"/>
                <w:szCs w:val="20"/>
                <w:color w:val="auto"/>
              </w:rPr>
            </w:pPr>
            <w:r>
              <w:rPr>
                <w:rFonts w:ascii="Arial" w:cs="Arial" w:eastAsia="Arial" w:hAnsi="Arial"/>
                <w:sz w:val="15"/>
                <w:szCs w:val="15"/>
                <w:color w:val="auto"/>
              </w:rPr>
              <w:t>Auditing Committee</w:t>
            </w:r>
          </w:p>
        </w:tc>
        <w:tc>
          <w:tcPr>
            <w:tcW w:w="20" w:type="dxa"/>
            <w:vAlign w:val="bottom"/>
            <w:tcBorders>
              <w:bottom w:val="single" w:sz="8" w:color="2C2C2C"/>
            </w:tcBorders>
          </w:tcPr>
          <w:p>
            <w:pPr>
              <w:spacing w:after="0"/>
              <w:rPr>
                <w:sz w:val="14"/>
                <w:szCs w:val="1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42545" cy="269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545" cy="269875"/>
                    </a:xfrm>
                    <a:prstGeom prst="rect">
                      <a:avLst/>
                    </a:prstGeom>
                    <a:noFill/>
                  </pic:spPr>
                </pic:pic>
              </a:graphicData>
            </a:graphic>
          </wp:anchor>
        </w:drawing>
        <w:drawing>
          <wp:anchor simplePos="0" relativeHeight="251657728" behindDoc="1" locked="0" layoutInCell="0" allowOverlap="1">
            <wp:simplePos x="0" y="0"/>
            <wp:positionH relativeFrom="page">
              <wp:posOffset>7374255</wp:posOffset>
            </wp:positionH>
            <wp:positionV relativeFrom="page">
              <wp:posOffset>88900</wp:posOffset>
            </wp:positionV>
            <wp:extent cx="42545" cy="269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545" cy="269875"/>
                    </a:xfrm>
                    <a:prstGeom prst="rect">
                      <a:avLst/>
                    </a:prstGeom>
                    <a:noFill/>
                  </pic:spPr>
                </pic:pic>
              </a:graphicData>
            </a:graphic>
          </wp:anchor>
        </w:drawing>
        <w:drawing>
          <wp:anchor simplePos="0" relativeHeight="251657728" behindDoc="1" locked="0" layoutInCell="0" allowOverlap="1">
            <wp:simplePos x="0" y="0"/>
            <wp:positionH relativeFrom="page">
              <wp:posOffset>1233805</wp:posOffset>
            </wp:positionH>
            <wp:positionV relativeFrom="page">
              <wp:posOffset>88900</wp:posOffset>
            </wp:positionV>
            <wp:extent cx="42545" cy="261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545" cy="261620"/>
                    </a:xfrm>
                    <a:prstGeom prst="rect">
                      <a:avLst/>
                    </a:prstGeom>
                    <a:noFill/>
                  </pic:spPr>
                </pic:pic>
              </a:graphicData>
            </a:graphic>
          </wp:anchor>
        </w:drawing>
      </w:r>
    </w:p>
    <w:p>
      <w:pPr>
        <w:spacing w:after="0" w:line="232"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b w:val="1"/>
          <w:bCs w:val="1"/>
          <w:color w:val="auto"/>
        </w:rPr>
        <w:t>Describe the main responsibilities of the person in charge of internal auditing and indicate whether this person has other functions apart from the internal audit.</w:t>
      </w:r>
    </w:p>
    <w:p>
      <w:pPr>
        <w:spacing w:after="0" w:line="169" w:lineRule="exact"/>
        <w:rPr>
          <w:sz w:val="20"/>
          <w:szCs w:val="20"/>
          <w:color w:val="auto"/>
        </w:rPr>
      </w:pPr>
    </w:p>
    <w:p>
      <w:pPr>
        <w:ind w:right="440" w:firstLine="8"/>
        <w:spacing w:after="0" w:line="236" w:lineRule="auto"/>
        <w:tabs>
          <w:tab w:leader="none" w:pos="222" w:val="left"/>
        </w:tabs>
        <w:numPr>
          <w:ilvl w:val="0"/>
          <w:numId w:val="20"/>
        </w:numPr>
        <w:rPr>
          <w:rFonts w:ascii="Arial" w:cs="Arial" w:eastAsia="Arial" w:hAnsi="Arial"/>
          <w:sz w:val="22"/>
          <w:szCs w:val="22"/>
          <w:color w:val="auto"/>
        </w:rPr>
      </w:pPr>
      <w:r>
        <w:rPr>
          <w:rFonts w:ascii="Arial" w:cs="Arial" w:eastAsia="Arial" w:hAnsi="Arial"/>
          <w:sz w:val="22"/>
          <w:szCs w:val="22"/>
          <w:color w:val="auto"/>
        </w:rPr>
        <w:t>Carrying out periodic audits in accordance with the Annual Work Plan approved by the Auditing Committee of the Board of Directors; also, carrying out extraordinary audits when requested by the Auditing Committee of the Board of Directors, the Managers of the Corporation or its subsidiaries, or on his/her own initative.</w:t>
      </w:r>
    </w:p>
    <w:p>
      <w:pPr>
        <w:spacing w:after="0" w:line="1" w:lineRule="exact"/>
        <w:rPr>
          <w:rFonts w:ascii="Arial" w:cs="Arial" w:eastAsia="Arial" w:hAnsi="Arial"/>
          <w:sz w:val="22"/>
          <w:szCs w:val="22"/>
          <w:color w:val="auto"/>
        </w:rPr>
      </w:pPr>
    </w:p>
    <w:p>
      <w:pPr>
        <w:ind w:right="140" w:firstLine="8"/>
        <w:spacing w:after="0" w:line="230" w:lineRule="auto"/>
        <w:tabs>
          <w:tab w:leader="none" w:pos="234" w:val="left"/>
        </w:tabs>
        <w:numPr>
          <w:ilvl w:val="0"/>
          <w:numId w:val="20"/>
        </w:numPr>
        <w:rPr>
          <w:rFonts w:ascii="Arial" w:cs="Arial" w:eastAsia="Arial" w:hAnsi="Arial"/>
          <w:sz w:val="22"/>
          <w:szCs w:val="22"/>
          <w:color w:val="auto"/>
        </w:rPr>
      </w:pPr>
      <w:r>
        <w:rPr>
          <w:rFonts w:ascii="Arial" w:cs="Arial" w:eastAsia="Arial" w:hAnsi="Arial"/>
          <w:sz w:val="22"/>
          <w:szCs w:val="22"/>
          <w:color w:val="auto"/>
        </w:rPr>
        <w:t>Carrying out the audits totally independently, fulfilling a role that is fundamentally preventive and corrective. In the audit examinations, Generally Accepted Auditing Standards will be applied, and the respective scope of each evaluation will be determined. In the carrying out of these activities he/she will have free access to the accounting, files and documents of the subsidiaries or audited units of the Corporation, as well as other sources of information relating to them, the inspection of which is deemed necessary.</w:t>
      </w:r>
    </w:p>
    <w:p>
      <w:pPr>
        <w:spacing w:after="0" w:line="3" w:lineRule="exact"/>
        <w:rPr>
          <w:rFonts w:ascii="Arial" w:cs="Arial" w:eastAsia="Arial" w:hAnsi="Arial"/>
          <w:sz w:val="22"/>
          <w:szCs w:val="22"/>
          <w:color w:val="auto"/>
        </w:rPr>
      </w:pPr>
    </w:p>
    <w:p>
      <w:pPr>
        <w:ind w:right="120" w:firstLine="8"/>
        <w:spacing w:after="0" w:line="230" w:lineRule="auto"/>
        <w:tabs>
          <w:tab w:leader="none" w:pos="222" w:val="left"/>
        </w:tabs>
        <w:numPr>
          <w:ilvl w:val="0"/>
          <w:numId w:val="20"/>
        </w:numPr>
        <w:rPr>
          <w:rFonts w:ascii="Arial" w:cs="Arial" w:eastAsia="Arial" w:hAnsi="Arial"/>
          <w:sz w:val="22"/>
          <w:szCs w:val="22"/>
          <w:color w:val="auto"/>
        </w:rPr>
      </w:pPr>
      <w:r>
        <w:rPr>
          <w:rFonts w:ascii="Arial" w:cs="Arial" w:eastAsia="Arial" w:hAnsi="Arial"/>
          <w:sz w:val="22"/>
          <w:szCs w:val="22"/>
          <w:color w:val="auto"/>
        </w:rPr>
        <w:t>Ensuring that the requirements contained in the General Law of Banking, Financial and Insurance Institutions are fulfilled, and the standards issued by the competing authorities in each country in which the subsidiary or audited unit of the Corporation carries out activities and in its own Normative System.</w:t>
      </w:r>
    </w:p>
    <w:p>
      <w:pPr>
        <w:spacing w:after="0" w:line="2" w:lineRule="exact"/>
        <w:rPr>
          <w:rFonts w:ascii="Arial" w:cs="Arial" w:eastAsia="Arial" w:hAnsi="Arial"/>
          <w:sz w:val="22"/>
          <w:szCs w:val="22"/>
          <w:color w:val="auto"/>
        </w:rPr>
      </w:pPr>
    </w:p>
    <w:p>
      <w:pPr>
        <w:ind w:right="600" w:firstLine="8"/>
        <w:spacing w:after="0" w:line="230" w:lineRule="auto"/>
        <w:tabs>
          <w:tab w:leader="none" w:pos="234" w:val="left"/>
        </w:tabs>
        <w:numPr>
          <w:ilvl w:val="0"/>
          <w:numId w:val="20"/>
        </w:numPr>
        <w:rPr>
          <w:rFonts w:ascii="Arial" w:cs="Arial" w:eastAsia="Arial" w:hAnsi="Arial"/>
          <w:sz w:val="22"/>
          <w:szCs w:val="22"/>
          <w:color w:val="auto"/>
        </w:rPr>
      </w:pPr>
      <w:r>
        <w:rPr>
          <w:rFonts w:ascii="Arial" w:cs="Arial" w:eastAsia="Arial" w:hAnsi="Arial"/>
          <w:sz w:val="22"/>
          <w:szCs w:val="22"/>
          <w:color w:val="auto"/>
        </w:rPr>
        <w:t>Presenting the result of the completed audits to the Presidency of the Board of Directors with copies to the management in charge of the subsidiaries or audited units.</w:t>
      </w:r>
    </w:p>
    <w:p>
      <w:pPr>
        <w:spacing w:after="0" w:line="1" w:lineRule="exact"/>
        <w:rPr>
          <w:rFonts w:ascii="Arial" w:cs="Arial" w:eastAsia="Arial" w:hAnsi="Arial"/>
          <w:sz w:val="22"/>
          <w:szCs w:val="22"/>
          <w:color w:val="auto"/>
        </w:rPr>
      </w:pPr>
    </w:p>
    <w:p>
      <w:pPr>
        <w:ind w:left="240" w:hanging="232"/>
        <w:spacing w:after="0" w:line="230" w:lineRule="auto"/>
        <w:tabs>
          <w:tab w:leader="none" w:pos="2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Carrying out the follow up to the observations and recommendations made as a consequence of the tests applied.</w:t>
      </w:r>
    </w:p>
    <w:p>
      <w:pPr>
        <w:ind w:right="320" w:firstLine="8"/>
        <w:spacing w:after="0" w:line="308" w:lineRule="auto"/>
        <w:tabs>
          <w:tab w:leader="none" w:pos="198"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Analyzing the processes and proposing, when relevant, modifications to procedures and the incorporation of controls that will minimize risks, raise the quality of customer service and increase the efficiency and effectiveness of the Corporation.</w:t>
      </w:r>
    </w:p>
    <w:p>
      <w:pPr>
        <w:spacing w:after="0" w:line="123"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 xml:space="preserve">The Auditing Division exists </w:t>
      </w:r>
      <w:r>
        <w:rPr>
          <w:rFonts w:ascii="Arial" w:cs="Arial" w:eastAsia="Arial" w:hAnsi="Arial"/>
          <w:sz w:val="22"/>
          <w:szCs w:val="22"/>
          <w:u w:val="single" w:color="auto"/>
          <w:color w:val="auto"/>
        </w:rPr>
        <w:t>exclusively</w:t>
      </w:r>
      <w:r>
        <w:rPr>
          <w:rFonts w:ascii="Arial" w:cs="Arial" w:eastAsia="Arial" w:hAnsi="Arial"/>
          <w:sz w:val="22"/>
          <w:szCs w:val="22"/>
          <w:color w:val="auto"/>
        </w:rPr>
        <w:t xml:space="preserve"> to carry out the Internal Auditing. It does not have any other responsibilities assigned to it.</w:t>
      </w:r>
    </w:p>
    <w:p>
      <w:pPr>
        <w:spacing w:after="0" w:line="167" w:lineRule="exact"/>
        <w:rPr>
          <w:sz w:val="20"/>
          <w:szCs w:val="20"/>
          <w:color w:val="auto"/>
        </w:rPr>
      </w:pPr>
    </w:p>
    <w:p>
      <w:pPr>
        <w:ind w:right="1300"/>
        <w:spacing w:after="0" w:line="256" w:lineRule="auto"/>
        <w:rPr>
          <w:sz w:val="20"/>
          <w:szCs w:val="20"/>
          <w:color w:val="auto"/>
        </w:rPr>
      </w:pPr>
      <w:r>
        <w:rPr>
          <w:rFonts w:ascii="Arial" w:cs="Arial" w:eastAsia="Arial" w:hAnsi="Arial"/>
          <w:sz w:val="22"/>
          <w:szCs w:val="22"/>
          <w:b w:val="1"/>
          <w:bCs w:val="1"/>
          <w:color w:val="auto"/>
        </w:rPr>
        <w:t>c. Indicate whether the responsibilities described in the previous questions are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3854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3854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ind w:left="800"/>
              <w:spacing w:after="0"/>
              <w:rPr>
                <w:sz w:val="20"/>
                <w:szCs w:val="20"/>
                <w:color w:val="auto"/>
              </w:rPr>
            </w:pPr>
            <w:r>
              <w:rPr>
                <w:rFonts w:ascii="Arial" w:cs="Arial" w:eastAsia="Arial" w:hAnsi="Arial"/>
                <w:sz w:val="15"/>
                <w:szCs w:val="15"/>
                <w:color w:val="auto"/>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20" w:type="dxa"/>
            <w:vAlign w:val="bottom"/>
            <w:tcBorders>
              <w:top w:val="single" w:sz="8" w:color="2C2C2C"/>
              <w:bottom w:val="single" w:sz="8" w:color="2C2C2C"/>
            </w:tcBorders>
          </w:tcPr>
          <w:p>
            <w:pPr>
              <w:jc w:val="center"/>
              <w:ind w:left="326"/>
              <w:spacing w:after="0"/>
              <w:rPr>
                <w:sz w:val="20"/>
                <w:szCs w:val="20"/>
                <w:color w:val="auto"/>
              </w:rPr>
            </w:pPr>
            <w:r>
              <w:rPr>
                <w:rFonts w:ascii="Arial" w:cs="Arial" w:eastAsia="Arial" w:hAnsi="Arial"/>
                <w:sz w:val="15"/>
                <w:szCs w:val="15"/>
                <w:color w:val="auto"/>
                <w:w w:val="95"/>
              </w:rPr>
              <w:t>OTHER</w:t>
            </w:r>
          </w:p>
        </w:tc>
        <w:tc>
          <w:tcPr>
            <w:tcW w:w="2700" w:type="dxa"/>
            <w:vAlign w:val="bottom"/>
            <w:tcBorders>
              <w:top w:val="single" w:sz="8" w:color="2C2C2C"/>
              <w:bottom w:val="single" w:sz="8" w:color="2C2C2C"/>
            </w:tcBorders>
          </w:tcPr>
          <w:p>
            <w:pPr>
              <w:ind w:left="54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20" w:type="dxa"/>
            <w:vAlign w:val="bottom"/>
            <w:gridSpan w:val="2"/>
            <w:vMerge w:val="restart"/>
          </w:tcPr>
          <w:p>
            <w:pPr>
              <w:jc w:val="right"/>
              <w:ind w:right="686"/>
              <w:spacing w:after="0"/>
              <w:rPr>
                <w:sz w:val="20"/>
                <w:szCs w:val="20"/>
                <w:color w:val="auto"/>
              </w:rPr>
            </w:pPr>
            <w:r>
              <w:rPr>
                <w:rFonts w:ascii="Arial" w:cs="Arial" w:eastAsia="Arial" w:hAnsi="Arial"/>
                <w:sz w:val="15"/>
                <w:szCs w:val="15"/>
                <w:b w:val="1"/>
                <w:bCs w:val="1"/>
                <w:color w:val="auto"/>
              </w:rPr>
              <w:t>(  )</w:t>
            </w:r>
          </w:p>
        </w:tc>
        <w:tc>
          <w:tcPr>
            <w:tcW w:w="28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(.X)</w:t>
            </w:r>
          </w:p>
        </w:tc>
        <w:tc>
          <w:tcPr>
            <w:tcW w:w="2040" w:type="dxa"/>
            <w:vAlign w:val="bottom"/>
            <w:vMerge w:val="restart"/>
          </w:tcPr>
          <w:p>
            <w:pPr>
              <w:jc w:val="right"/>
              <w:ind w:right="966"/>
              <w:spacing w:after="0"/>
              <w:rPr>
                <w:sz w:val="20"/>
                <w:szCs w:val="20"/>
                <w:color w:val="auto"/>
              </w:rPr>
            </w:pPr>
            <w:r>
              <w:rPr>
                <w:rFonts w:ascii="Arial" w:cs="Arial" w:eastAsia="Arial" w:hAnsi="Arial"/>
                <w:sz w:val="15"/>
                <w:szCs w:val="15"/>
                <w:b w:val="1"/>
                <w:bCs w:val="1"/>
                <w:color w:val="auto"/>
              </w:rPr>
              <w:t>(...)</w:t>
            </w:r>
          </w:p>
        </w:tc>
        <w:tc>
          <w:tcPr>
            <w:tcW w:w="1820" w:type="dxa"/>
            <w:vAlign w:val="bottom"/>
            <w:vMerge w:val="restart"/>
          </w:tcPr>
          <w:p>
            <w:pPr>
              <w:jc w:val="right"/>
              <w:ind w:right="526"/>
              <w:spacing w:after="0"/>
              <w:rPr>
                <w:sz w:val="20"/>
                <w:szCs w:val="20"/>
                <w:color w:val="auto"/>
              </w:rPr>
            </w:pPr>
            <w:r>
              <w:rPr>
                <w:rFonts w:ascii="Arial" w:cs="Arial" w:eastAsia="Arial" w:hAnsi="Arial"/>
                <w:sz w:val="15"/>
                <w:szCs w:val="15"/>
                <w:b w:val="1"/>
                <w:bCs w:val="1"/>
                <w:color w:val="auto"/>
              </w:rPr>
              <w:t>(...)</w:t>
            </w:r>
          </w:p>
        </w:tc>
        <w:tc>
          <w:tcPr>
            <w:tcW w:w="2700" w:type="dxa"/>
            <w:vAlign w:val="bottom"/>
          </w:tcPr>
          <w:p>
            <w:pPr>
              <w:ind w:left="460"/>
              <w:spacing w:after="0" w:line="153" w:lineRule="exact"/>
              <w:rPr>
                <w:sz w:val="20"/>
                <w:szCs w:val="20"/>
                <w:color w:val="auto"/>
              </w:rPr>
            </w:pPr>
            <w:r>
              <w:rPr>
                <w:rFonts w:ascii="Arial" w:cs="Arial" w:eastAsia="Arial" w:hAnsi="Arial"/>
                <w:sz w:val="15"/>
                <w:szCs w:val="15"/>
                <w:color w:val="auto"/>
                <w:w w:val="96"/>
              </w:rPr>
              <w:t>Normative System – Structure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20" w:type="dxa"/>
            <w:vAlign w:val="bottom"/>
            <w:gridSpan w:val="2"/>
            <w:vMerge w:val="continue"/>
          </w:tcPr>
          <w:p>
            <w:pPr>
              <w:jc w:val="right"/>
              <w:ind w:right="726"/>
              <w:spacing w:after="0" w:line="144" w:lineRule="exact"/>
              <w:rPr>
                <w:sz w:val="20"/>
                <w:szCs w:val="20"/>
                <w:color w:val="auto"/>
              </w:rPr>
            </w:pPr>
            <w:r>
              <w:rPr>
                <w:rFonts w:ascii="Arial" w:cs="Arial" w:eastAsia="Arial" w:hAnsi="Arial"/>
                <w:sz w:val="15"/>
                <w:szCs w:val="15"/>
                <w:b w:val="1"/>
                <w:bCs w:val="1"/>
                <w:color w:val="auto"/>
              </w:rPr>
              <w:t>...</w:t>
            </w:r>
          </w:p>
        </w:tc>
        <w:tc>
          <w:tcPr>
            <w:tcW w:w="282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2720" w:type="dxa"/>
            <w:vAlign w:val="bottom"/>
            <w:gridSpan w:val="2"/>
          </w:tcPr>
          <w:p>
            <w:pPr>
              <w:ind w:left="460"/>
              <w:spacing w:after="0"/>
              <w:rPr>
                <w:sz w:val="20"/>
                <w:szCs w:val="20"/>
                <w:color w:val="auto"/>
              </w:rPr>
            </w:pPr>
            <w:r>
              <w:rPr>
                <w:rFonts w:ascii="Arial" w:cs="Arial" w:eastAsia="Arial" w:hAnsi="Arial"/>
                <w:sz w:val="15"/>
                <w:szCs w:val="15"/>
                <w:color w:val="auto"/>
              </w:rPr>
              <w:t>Functions of the Auditing Division</w:t>
            </w:r>
          </w:p>
        </w:tc>
        <w:tc>
          <w:tcPr>
            <w:tcW w:w="0" w:type="dxa"/>
            <w:vAlign w:val="bottom"/>
          </w:tcPr>
          <w:p>
            <w:pPr>
              <w:spacing w:after="0"/>
              <w:rPr>
                <w:sz w:val="1"/>
                <w:szCs w:val="1"/>
                <w:color w:val="auto"/>
              </w:rPr>
            </w:pPr>
          </w:p>
        </w:tc>
      </w:tr>
    </w:tbl>
    <w:p>
      <w:pPr>
        <w:ind w:right="4900" w:firstLine="8"/>
        <w:spacing w:after="0" w:line="430" w:lineRule="auto"/>
        <w:tabs>
          <w:tab w:leader="none" w:pos="162"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Specify the name of the document, if not THE COMPANY’s statutes. (...) THEY ARE NOT REGULATED</w:t>
      </w:r>
    </w:p>
    <w:p>
      <w:pPr>
        <w:spacing w:after="0"/>
        <w:rPr>
          <w:sz w:val="20"/>
          <w:szCs w:val="20"/>
          <w:color w:val="auto"/>
        </w:rPr>
      </w:pPr>
      <w:r>
        <w:rPr>
          <w:rFonts w:ascii="Arial" w:cs="Arial" w:eastAsia="Arial" w:hAnsi="Arial"/>
          <w:sz w:val="22"/>
          <w:szCs w:val="22"/>
          <w:u w:val="single" w:color="auto"/>
          <w:color w:val="auto"/>
        </w:rPr>
        <w:t>THE RESPONSIBILITIES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42545" cy="7112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545" cy="71120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140335</wp:posOffset>
            </wp:positionV>
            <wp:extent cx="42545" cy="6940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545" cy="69405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132080</wp:posOffset>
            </wp:positionV>
            <wp:extent cx="42545" cy="7112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545" cy="71120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5"/>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780" w:type="dxa"/>
            <w:vAlign w:val="bottom"/>
            <w:tcBorders>
              <w:top w:val="single" w:sz="8" w:color="2C2C2C"/>
              <w:bottom w:val="single" w:sz="8" w:color="2C2C2C"/>
            </w:tcBorders>
          </w:tcPr>
          <w:p>
            <w:pPr>
              <w:spacing w:after="0"/>
              <w:rPr>
                <w:sz w:val="17"/>
                <w:szCs w:val="17"/>
                <w:color w:val="auto"/>
              </w:rPr>
            </w:pPr>
          </w:p>
        </w:tc>
        <w:tc>
          <w:tcPr>
            <w:tcW w:w="120" w:type="dxa"/>
            <w:vAlign w:val="bottom"/>
            <w:tcBorders>
              <w:top w:val="single" w:sz="8" w:color="2C2C2C"/>
              <w:bottom w:val="single" w:sz="8" w:color="2C2C2C"/>
            </w:tcBorders>
          </w:tcPr>
          <w:p>
            <w:pPr>
              <w:spacing w:after="0"/>
              <w:rPr>
                <w:sz w:val="17"/>
                <w:szCs w:val="17"/>
                <w:color w:val="auto"/>
              </w:rPr>
            </w:pPr>
          </w:p>
        </w:tc>
        <w:tc>
          <w:tcPr>
            <w:tcW w:w="22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5"/>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780" w:type="dxa"/>
            <w:vAlign w:val="bottom"/>
            <w:vMerge w:val="restart"/>
          </w:tcPr>
          <w:p>
            <w:pPr>
              <w:jc w:val="right"/>
              <w:ind w:right="386"/>
              <w:spacing w:after="0" w:line="162" w:lineRule="exact"/>
              <w:rPr>
                <w:sz w:val="20"/>
                <w:szCs w:val="20"/>
                <w:color w:val="auto"/>
              </w:rPr>
            </w:pPr>
            <w:r>
              <w:rPr>
                <w:rFonts w:ascii="Arial" w:cs="Arial" w:eastAsia="Arial" w:hAnsi="Arial"/>
                <w:sz w:val="15"/>
                <w:szCs w:val="15"/>
                <w:i w:val="1"/>
                <w:iCs w:val="1"/>
                <w:color w:val="auto"/>
              </w:rPr>
              <w:t>3</w:t>
            </w:r>
          </w:p>
        </w:tc>
        <w:tc>
          <w:tcPr>
            <w:tcW w:w="120" w:type="dxa"/>
            <w:vAlign w:val="bottom"/>
            <w:vMerge w:val="restart"/>
          </w:tcPr>
          <w:p>
            <w:pPr>
              <w:ind w:left="20"/>
              <w:spacing w:after="0" w:line="162" w:lineRule="exact"/>
              <w:rPr>
                <w:sz w:val="20"/>
                <w:szCs w:val="20"/>
                <w:color w:val="auto"/>
              </w:rPr>
            </w:pPr>
            <w:r>
              <w:rPr>
                <w:rFonts w:ascii="Arial" w:cs="Arial" w:eastAsia="Arial" w:hAnsi="Arial"/>
                <w:sz w:val="15"/>
                <w:szCs w:val="15"/>
                <w:i w:val="1"/>
                <w:iCs w:val="1"/>
                <w:color w:val="auto"/>
                <w:w w:val="95"/>
              </w:rPr>
              <w:t>4</w:t>
            </w: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top w:val="single" w:sz="8" w:color="auto"/>
              <w:bottom w:val="single" w:sz="8" w:color="2C2C2C"/>
            </w:tcBorders>
          </w:tcPr>
          <w:p>
            <w:pPr>
              <w:spacing w:after="0"/>
              <w:rPr>
                <w:sz w:val="8"/>
                <w:szCs w:val="8"/>
                <w:color w:val="auto"/>
              </w:rPr>
            </w:pPr>
          </w:p>
        </w:tc>
        <w:tc>
          <w:tcPr>
            <w:tcW w:w="340" w:type="dxa"/>
            <w:vAlign w:val="bottom"/>
            <w:tcBorders>
              <w:top w:val="single" w:sz="8" w:color="auto"/>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3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780" w:type="dxa"/>
            <w:vAlign w:val="bottom"/>
            <w:tcBorders>
              <w:bottom w:val="single" w:sz="8" w:color="2C2C2C"/>
            </w:tcBorders>
            <w:vMerge w:val="continue"/>
          </w:tcPr>
          <w:p>
            <w:pPr>
              <w:spacing w:after="0"/>
              <w:rPr>
                <w:sz w:val="8"/>
                <w:szCs w:val="8"/>
                <w:color w:val="auto"/>
              </w:rPr>
            </w:pPr>
          </w:p>
        </w:tc>
        <w:tc>
          <w:tcPr>
            <w:tcW w:w="120" w:type="dxa"/>
            <w:vAlign w:val="bottom"/>
            <w:tcBorders>
              <w:bottom w:val="single" w:sz="8" w:color="2C2C2C"/>
            </w:tcBorders>
            <w:vMerge w:val="continue"/>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5"/>
          </w:tcPr>
          <w:p>
            <w:pPr>
              <w:ind w:left="20"/>
              <w:spacing w:after="0" w:line="149" w:lineRule="exact"/>
              <w:rPr>
                <w:sz w:val="20"/>
                <w:szCs w:val="20"/>
                <w:color w:val="auto"/>
              </w:rPr>
            </w:pPr>
            <w:r>
              <w:rPr>
                <w:rFonts w:ascii="Arial" w:cs="Arial" w:eastAsia="Arial" w:hAnsi="Arial"/>
                <w:sz w:val="15"/>
                <w:szCs w:val="15"/>
                <w:i w:val="1"/>
                <w:iCs w:val="1"/>
                <w:color w:val="auto"/>
              </w:rPr>
              <w:t>11. Principle (V.D.1).- The Board of Directors must carry out certain key functions, namely:</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gridSpan w:val="2"/>
          </w:tcPr>
          <w:p>
            <w:pPr>
              <w:ind w:left="40"/>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8560" w:type="dxa"/>
            <w:vAlign w:val="bottom"/>
            <w:gridSpan w:val="5"/>
          </w:tcPr>
          <w:p>
            <w:pPr>
              <w:ind w:left="20"/>
              <w:spacing w:after="0" w:line="146" w:lineRule="exact"/>
              <w:rPr>
                <w:sz w:val="20"/>
                <w:szCs w:val="20"/>
                <w:color w:val="auto"/>
              </w:rPr>
            </w:pPr>
            <w:r>
              <w:rPr>
                <w:rFonts w:ascii="Arial" w:cs="Arial" w:eastAsia="Arial" w:hAnsi="Arial"/>
                <w:sz w:val="15"/>
                <w:szCs w:val="15"/>
                <w:i w:val="1"/>
                <w:iCs w:val="1"/>
                <w:color w:val="auto"/>
                <w:w w:val="91"/>
              </w:rPr>
              <w:t>Evaluate, approve and direct the corporate strategy; establish the objectives and goals as well as the main action plans, the policy for follow-</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560" w:type="dxa"/>
            <w:vAlign w:val="bottom"/>
            <w:gridSpan w:val="5"/>
          </w:tcPr>
          <w:p>
            <w:pPr>
              <w:ind w:left="20"/>
              <w:spacing w:after="0" w:line="162" w:lineRule="exact"/>
              <w:rPr>
                <w:sz w:val="20"/>
                <w:szCs w:val="20"/>
                <w:color w:val="auto"/>
              </w:rPr>
            </w:pPr>
            <w:r>
              <w:rPr>
                <w:rFonts w:ascii="Arial" w:cs="Arial" w:eastAsia="Arial" w:hAnsi="Arial"/>
                <w:sz w:val="15"/>
                <w:szCs w:val="15"/>
                <w:i w:val="1"/>
                <w:iCs w:val="1"/>
                <w:color w:val="auto"/>
                <w:w w:val="92"/>
              </w:rPr>
              <w:t>up, control and risk management, the annual budgets and the business plans; control the implementation of the afore-mentioned plans and</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2C2C2C"/>
            </w:tcBorders>
          </w:tcPr>
          <w:p>
            <w:pPr>
              <w:spacing w:after="0"/>
              <w:rPr>
                <w:sz w:val="15"/>
                <w:szCs w:val="15"/>
                <w:color w:val="auto"/>
              </w:rPr>
            </w:pPr>
          </w:p>
        </w:tc>
        <w:tc>
          <w:tcPr>
            <w:tcW w:w="8560" w:type="dxa"/>
            <w:vAlign w:val="bottom"/>
            <w:tcBorders>
              <w:bottom w:val="single" w:sz="8" w:color="2C2C2C"/>
            </w:tcBorders>
            <w:gridSpan w:val="5"/>
          </w:tcPr>
          <w:p>
            <w:pPr>
              <w:ind w:left="20"/>
              <w:spacing w:after="0" w:line="172" w:lineRule="exact"/>
              <w:rPr>
                <w:sz w:val="20"/>
                <w:szCs w:val="20"/>
                <w:color w:val="auto"/>
              </w:rPr>
            </w:pPr>
            <w:r>
              <w:rPr>
                <w:rFonts w:ascii="Arial" w:cs="Arial" w:eastAsia="Arial" w:hAnsi="Arial"/>
                <w:sz w:val="15"/>
                <w:szCs w:val="15"/>
                <w:i w:val="1"/>
                <w:iCs w:val="1"/>
                <w:color w:val="auto"/>
              </w:rPr>
              <w:t>budgets; and supervise the main expenditure, investments, acquisitions and transfers.</w:t>
            </w:r>
          </w:p>
        </w:tc>
        <w:tc>
          <w:tcPr>
            <w:tcW w:w="7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86"/>
        </w:trPr>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-1017270</wp:posOffset>
            </wp:positionV>
            <wp:extent cx="42545" cy="5740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545" cy="57404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-1017270</wp:posOffset>
            </wp:positionV>
            <wp:extent cx="42545" cy="5740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545" cy="57404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-1017270</wp:posOffset>
            </wp:positionV>
            <wp:extent cx="42545" cy="5740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545" cy="57404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-1017270</wp:posOffset>
            </wp:positionV>
            <wp:extent cx="42545" cy="5740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545" cy="5740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7" w:name="page48"/>
    <w:bookmarkEnd w:id="47"/>
    <w:p>
      <w:pPr>
        <w:ind w:right="320"/>
        <w:spacing w:after="0" w:line="335" w:lineRule="auto"/>
        <w:rPr>
          <w:sz w:val="20"/>
          <w:szCs w:val="20"/>
          <w:color w:val="auto"/>
        </w:rPr>
      </w:pPr>
      <w:r>
        <w:rPr>
          <w:rFonts w:ascii="Arial" w:cs="Arial" w:eastAsia="Arial" w:hAnsi="Arial"/>
          <w:sz w:val="19"/>
          <w:szCs w:val="19"/>
          <w:b w:val="1"/>
          <w:bCs w:val="1"/>
          <w:color w:val="auto"/>
        </w:rPr>
        <w:t>a. If the Board of Directors of THE COMPANY is responsible for the function described in this principle, please indicate whether this function of the Board of Directors is contained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2825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2020" cy="28257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60" w:type="dxa"/>
            <w:vAlign w:val="bottom"/>
            <w:tcBorders>
              <w:top w:val="single" w:sz="8" w:color="2C2C2C"/>
              <w:bottom w:val="single" w:sz="8" w:color="2C2C2C"/>
            </w:tcBorders>
          </w:tcPr>
          <w:p>
            <w:pPr>
              <w:jc w:val="center"/>
              <w:ind w:left="286"/>
              <w:spacing w:after="0"/>
              <w:rPr>
                <w:sz w:val="20"/>
                <w:szCs w:val="20"/>
                <w:color w:val="auto"/>
              </w:rPr>
            </w:pPr>
            <w:r>
              <w:rPr>
                <w:rFonts w:ascii="Arial" w:cs="Arial" w:eastAsia="Arial" w:hAnsi="Arial"/>
                <w:sz w:val="15"/>
                <w:szCs w:val="15"/>
                <w:color w:val="auto"/>
                <w:w w:val="95"/>
              </w:rPr>
              <w:t>OTHER</w:t>
            </w:r>
          </w:p>
        </w:tc>
        <w:tc>
          <w:tcPr>
            <w:tcW w:w="2660" w:type="dxa"/>
            <w:vAlign w:val="bottom"/>
            <w:tcBorders>
              <w:top w:val="single" w:sz="8" w:color="2C2C2C"/>
              <w:bottom w:val="single" w:sz="8" w:color="2C2C2C"/>
            </w:tcBorders>
          </w:tcPr>
          <w:p>
            <w:pPr>
              <w:ind w:left="50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2000" w:type="dxa"/>
            <w:vAlign w:val="bottom"/>
          </w:tcPr>
          <w:p>
            <w:pPr>
              <w:jc w:val="center"/>
              <w:ind w:left="206"/>
              <w:spacing w:after="0"/>
              <w:rPr>
                <w:sz w:val="20"/>
                <w:szCs w:val="20"/>
                <w:color w:val="auto"/>
              </w:rPr>
            </w:pPr>
            <w:r>
              <w:rPr>
                <w:rFonts w:ascii="Arial" w:cs="Arial" w:eastAsia="Arial" w:hAnsi="Arial"/>
                <w:sz w:val="15"/>
                <w:szCs w:val="15"/>
                <w:b w:val="1"/>
                <w:bCs w:val="1"/>
                <w:color w:val="auto"/>
                <w:w w:val="99"/>
              </w:rPr>
              <w:t>(X.)</w:t>
            </w:r>
          </w:p>
        </w:tc>
        <w:tc>
          <w:tcPr>
            <w:tcW w:w="2820" w:type="dxa"/>
            <w:vAlign w:val="bottom"/>
          </w:tcPr>
          <w:p>
            <w:pPr>
              <w:jc w:val="right"/>
              <w:ind w:right="1206"/>
              <w:spacing w:after="0"/>
              <w:rPr>
                <w:sz w:val="20"/>
                <w:szCs w:val="20"/>
                <w:color w:val="auto"/>
              </w:rPr>
            </w:pPr>
            <w:r>
              <w:rPr>
                <w:rFonts w:ascii="Arial" w:cs="Arial" w:eastAsia="Arial" w:hAnsi="Arial"/>
                <w:sz w:val="15"/>
                <w:szCs w:val="15"/>
                <w:b w:val="1"/>
                <w:bCs w:val="1"/>
                <w:color w:val="auto"/>
              </w:rPr>
              <w:t>(...)</w:t>
            </w:r>
          </w:p>
        </w:tc>
        <w:tc>
          <w:tcPr>
            <w:tcW w:w="2040" w:type="dxa"/>
            <w:vAlign w:val="bottom"/>
          </w:tcPr>
          <w:p>
            <w:pPr>
              <w:jc w:val="right"/>
              <w:ind w:right="966"/>
              <w:spacing w:after="0"/>
              <w:rPr>
                <w:sz w:val="20"/>
                <w:szCs w:val="20"/>
                <w:color w:val="auto"/>
              </w:rPr>
            </w:pPr>
            <w:r>
              <w:rPr>
                <w:rFonts w:ascii="Arial" w:cs="Arial" w:eastAsia="Arial" w:hAnsi="Arial"/>
                <w:sz w:val="15"/>
                <w:szCs w:val="15"/>
                <w:b w:val="1"/>
                <w:bCs w:val="1"/>
                <w:color w:val="auto"/>
              </w:rPr>
              <w:t>(...)</w:t>
            </w:r>
          </w:p>
        </w:tc>
        <w:tc>
          <w:tcPr>
            <w:tcW w:w="1860" w:type="dxa"/>
            <w:vAlign w:val="bottom"/>
          </w:tcPr>
          <w:p>
            <w:pPr>
              <w:jc w:val="right"/>
              <w:ind w:right="5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22"/>
          <w:szCs w:val="22"/>
          <w:b w:val="1"/>
          <w:bCs w:val="1"/>
          <w:color w:val="auto"/>
        </w:rPr>
        <w:t>* Specify the name of the document, if not THE COMPANY’s statutes.</w:t>
      </w:r>
    </w:p>
    <w:p>
      <w:pPr>
        <w:spacing w:after="0" w:line="182" w:lineRule="exact"/>
        <w:rPr>
          <w:sz w:val="20"/>
          <w:szCs w:val="20"/>
          <w:color w:val="auto"/>
        </w:rPr>
      </w:pPr>
    </w:p>
    <w:p>
      <w:pPr>
        <w:ind w:right="1140"/>
        <w:spacing w:after="0" w:line="242" w:lineRule="auto"/>
        <w:rPr>
          <w:sz w:val="20"/>
          <w:szCs w:val="20"/>
          <w:color w:val="auto"/>
        </w:rPr>
      </w:pPr>
      <w:r>
        <w:rPr>
          <w:rFonts w:ascii="Arial" w:cs="Arial" w:eastAsia="Arial" w:hAnsi="Arial"/>
          <w:sz w:val="22"/>
          <w:szCs w:val="22"/>
          <w:b w:val="1"/>
          <w:bCs w:val="1"/>
          <w:color w:val="auto"/>
        </w:rPr>
        <w:t>(...) THE BOARD OF DIRECTORS IS RESPONSIBLE FOR THE DESCRIBED FUNCTION BUT IT IS NOT REGULATED</w:t>
      </w:r>
    </w:p>
    <w:p>
      <w:pPr>
        <w:spacing w:after="0"/>
        <w:rPr>
          <w:sz w:val="20"/>
          <w:szCs w:val="20"/>
          <w:color w:val="auto"/>
        </w:rPr>
      </w:pPr>
      <w:r>
        <w:rPr>
          <w:rFonts w:ascii="Arial" w:cs="Arial" w:eastAsia="Arial" w:hAnsi="Arial"/>
          <w:sz w:val="22"/>
          <w:szCs w:val="22"/>
          <w:b w:val="1"/>
          <w:bCs w:val="1"/>
          <w:color w:val="auto"/>
        </w:rPr>
        <w:t>(...) NOT APPLICABLE. THE BOARD OF DIRECTORS IS NOT RESPONSIBLE FOR THIS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5420995</wp:posOffset>
            </wp:positionH>
            <wp:positionV relativeFrom="paragraph">
              <wp:posOffset>420370</wp:posOffset>
            </wp:positionV>
            <wp:extent cx="42545" cy="265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545" cy="2654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412115</wp:posOffset>
            </wp:positionV>
            <wp:extent cx="42545" cy="8489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545" cy="84899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412115</wp:posOffset>
            </wp:positionV>
            <wp:extent cx="42545" cy="8489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54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6"/>
            <w:vMerge w:val="restart"/>
          </w:tcPr>
          <w:p>
            <w:pPr>
              <w:ind w:left="20"/>
              <w:spacing w:after="0"/>
              <w:rPr>
                <w:sz w:val="20"/>
                <w:szCs w:val="20"/>
                <w:color w:val="auto"/>
              </w:rPr>
            </w:pPr>
            <w:r>
              <w:rPr>
                <w:rFonts w:ascii="Arial" w:cs="Arial" w:eastAsia="Arial" w:hAnsi="Arial"/>
                <w:sz w:val="15"/>
                <w:szCs w:val="15"/>
                <w:i w:val="1"/>
                <w:iCs w:val="1"/>
                <w:color w:val="auto"/>
              </w:rPr>
              <w:t>Principles</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780" w:type="dxa"/>
            <w:vAlign w:val="bottom"/>
            <w:tcBorders>
              <w:top w:val="single" w:sz="8" w:color="2C2C2C"/>
              <w:bottom w:val="single" w:sz="8" w:color="2C2C2C"/>
            </w:tcBorders>
          </w:tcPr>
          <w:p>
            <w:pPr>
              <w:spacing w:after="0"/>
              <w:rPr>
                <w:sz w:val="17"/>
                <w:szCs w:val="17"/>
                <w:color w:val="auto"/>
              </w:rPr>
            </w:pPr>
          </w:p>
        </w:tc>
        <w:tc>
          <w:tcPr>
            <w:tcW w:w="120" w:type="dxa"/>
            <w:vAlign w:val="bottom"/>
            <w:tcBorders>
              <w:top w:val="single" w:sz="8" w:color="2C2C2C"/>
              <w:bottom w:val="single" w:sz="8" w:color="2C2C2C"/>
            </w:tcBorders>
          </w:tcPr>
          <w:p>
            <w:pPr>
              <w:spacing w:after="0"/>
              <w:rPr>
                <w:sz w:val="17"/>
                <w:szCs w:val="17"/>
                <w:color w:val="auto"/>
              </w:rPr>
            </w:pPr>
          </w:p>
        </w:tc>
        <w:tc>
          <w:tcPr>
            <w:tcW w:w="22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6"/>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780" w:type="dxa"/>
            <w:vAlign w:val="bottom"/>
            <w:vMerge w:val="restart"/>
          </w:tcPr>
          <w:p>
            <w:pPr>
              <w:jc w:val="right"/>
              <w:ind w:right="386"/>
              <w:spacing w:after="0" w:line="162" w:lineRule="exact"/>
              <w:rPr>
                <w:sz w:val="20"/>
                <w:szCs w:val="20"/>
                <w:color w:val="auto"/>
              </w:rPr>
            </w:pPr>
            <w:r>
              <w:rPr>
                <w:rFonts w:ascii="Arial" w:cs="Arial" w:eastAsia="Arial" w:hAnsi="Arial"/>
                <w:sz w:val="15"/>
                <w:szCs w:val="15"/>
                <w:i w:val="1"/>
                <w:iCs w:val="1"/>
                <w:color w:val="auto"/>
              </w:rPr>
              <w:t>3</w:t>
            </w:r>
          </w:p>
        </w:tc>
        <w:tc>
          <w:tcPr>
            <w:tcW w:w="120" w:type="dxa"/>
            <w:vAlign w:val="bottom"/>
            <w:vMerge w:val="restart"/>
          </w:tcPr>
          <w:p>
            <w:pPr>
              <w:ind w:left="20"/>
              <w:spacing w:after="0" w:line="162" w:lineRule="exact"/>
              <w:rPr>
                <w:sz w:val="20"/>
                <w:szCs w:val="20"/>
                <w:color w:val="auto"/>
              </w:rPr>
            </w:pPr>
            <w:r>
              <w:rPr>
                <w:rFonts w:ascii="Arial" w:cs="Arial" w:eastAsia="Arial" w:hAnsi="Arial"/>
                <w:sz w:val="15"/>
                <w:szCs w:val="15"/>
                <w:i w:val="1"/>
                <w:iCs w:val="1"/>
                <w:color w:val="auto"/>
                <w:w w:val="95"/>
              </w:rPr>
              <w:t>4</w:t>
            </w: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0" w:type="dxa"/>
            <w:vAlign w:val="bottom"/>
            <w:tcBorders>
              <w:top w:val="single" w:sz="8" w:color="auto"/>
              <w:bottom w:val="single" w:sz="8" w:color="2C2C2C"/>
            </w:tcBorders>
          </w:tcPr>
          <w:p>
            <w:pPr>
              <w:spacing w:after="0"/>
              <w:rPr>
                <w:sz w:val="8"/>
                <w:szCs w:val="8"/>
                <w:color w:val="auto"/>
              </w:rPr>
            </w:pPr>
          </w:p>
        </w:tc>
        <w:tc>
          <w:tcPr>
            <w:tcW w:w="360" w:type="dxa"/>
            <w:vAlign w:val="bottom"/>
            <w:tcBorders>
              <w:top w:val="single" w:sz="8" w:color="auto"/>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780" w:type="dxa"/>
            <w:vAlign w:val="bottom"/>
            <w:tcBorders>
              <w:bottom w:val="single" w:sz="8" w:color="2C2C2C"/>
            </w:tcBorders>
            <w:vMerge w:val="continue"/>
          </w:tcPr>
          <w:p>
            <w:pPr>
              <w:spacing w:after="0"/>
              <w:rPr>
                <w:sz w:val="8"/>
                <w:szCs w:val="8"/>
                <w:color w:val="auto"/>
              </w:rPr>
            </w:pPr>
          </w:p>
        </w:tc>
        <w:tc>
          <w:tcPr>
            <w:tcW w:w="120" w:type="dxa"/>
            <w:vAlign w:val="bottom"/>
            <w:tcBorders>
              <w:bottom w:val="single" w:sz="8" w:color="2C2C2C"/>
            </w:tcBorders>
            <w:vMerge w:val="continue"/>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560" w:type="dxa"/>
            <w:vAlign w:val="bottom"/>
            <w:tcBorders>
              <w:bottom w:val="single" w:sz="8" w:color="2C2C2C"/>
            </w:tcBorders>
            <w:gridSpan w:val="6"/>
          </w:tcPr>
          <w:p>
            <w:pPr>
              <w:ind w:left="20"/>
              <w:spacing w:after="0" w:line="162" w:lineRule="exact"/>
              <w:rPr>
                <w:sz w:val="20"/>
                <w:szCs w:val="20"/>
                <w:color w:val="auto"/>
              </w:rPr>
            </w:pPr>
            <w:r>
              <w:rPr>
                <w:rFonts w:ascii="Arial" w:cs="Arial" w:eastAsia="Arial" w:hAnsi="Arial"/>
                <w:sz w:val="15"/>
                <w:szCs w:val="15"/>
                <w:i w:val="1"/>
                <w:iCs w:val="1"/>
                <w:color w:val="auto"/>
              </w:rPr>
              <w:t>The Board of Directors must carry out certain key functions, namely:</w:t>
            </w:r>
          </w:p>
        </w:tc>
        <w:tc>
          <w:tcPr>
            <w:tcW w:w="7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6"/>
          </w:tcPr>
          <w:p>
            <w:pPr>
              <w:ind w:left="20"/>
              <w:spacing w:after="0" w:line="149" w:lineRule="exact"/>
              <w:rPr>
                <w:sz w:val="20"/>
                <w:szCs w:val="20"/>
                <w:color w:val="auto"/>
              </w:rPr>
            </w:pPr>
            <w:r>
              <w:rPr>
                <w:rFonts w:ascii="Arial" w:cs="Arial" w:eastAsia="Arial" w:hAnsi="Arial"/>
                <w:sz w:val="15"/>
                <w:szCs w:val="15"/>
                <w:i w:val="1"/>
                <w:iCs w:val="1"/>
                <w:color w:val="auto"/>
                <w:w w:val="92"/>
              </w:rPr>
              <w:t>12. Principle (V.D.2).- To select, supervise and, when necessary, replace the principal executives, as well as establishing how much to pay</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gridSpan w:val="2"/>
          </w:tcPr>
          <w:p>
            <w:pPr>
              <w:ind w:left="40"/>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6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80" w:type="dxa"/>
            <w:vAlign w:val="bottom"/>
            <w:tcBorders>
              <w:bottom w:val="single" w:sz="8" w:color="2C2C2C"/>
            </w:tcBorders>
            <w:gridSpan w:val="4"/>
          </w:tcPr>
          <w:p>
            <w:pPr>
              <w:ind w:left="20"/>
              <w:spacing w:after="0" w:line="156" w:lineRule="exact"/>
              <w:rPr>
                <w:sz w:val="20"/>
                <w:szCs w:val="20"/>
                <w:color w:val="auto"/>
              </w:rPr>
            </w:pPr>
            <w:r>
              <w:rPr>
                <w:rFonts w:ascii="Arial" w:cs="Arial" w:eastAsia="Arial" w:hAnsi="Arial"/>
                <w:sz w:val="15"/>
                <w:szCs w:val="15"/>
                <w:i w:val="1"/>
                <w:iCs w:val="1"/>
                <w:color w:val="auto"/>
              </w:rPr>
              <w:t>them.</w:t>
            </w:r>
          </w:p>
        </w:tc>
        <w:tc>
          <w:tcPr>
            <w:tcW w:w="20" w:type="dxa"/>
            <w:vAlign w:val="bottom"/>
            <w:tcBorders>
              <w:bottom w:val="single" w:sz="8" w:color="2C2C2C"/>
            </w:tcBorders>
            <w:vMerge w:val="continue"/>
          </w:tcPr>
          <w:p>
            <w:pPr>
              <w:spacing w:after="0"/>
              <w:rPr>
                <w:sz w:val="14"/>
                <w:szCs w:val="14"/>
                <w:color w:val="auto"/>
              </w:rPr>
            </w:pPr>
          </w:p>
        </w:tc>
        <w:tc>
          <w:tcPr>
            <w:tcW w:w="7260" w:type="dxa"/>
            <w:vAlign w:val="bottom"/>
            <w:tcBorders>
              <w:bottom w:val="single" w:sz="8" w:color="2C2C2C"/>
            </w:tcBorders>
            <w:vMerge w:val="continue"/>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6"/>
          </w:tcPr>
          <w:p>
            <w:pPr>
              <w:ind w:left="20"/>
              <w:spacing w:after="0" w:line="149" w:lineRule="exact"/>
              <w:rPr>
                <w:sz w:val="20"/>
                <w:szCs w:val="20"/>
                <w:color w:val="auto"/>
              </w:rPr>
            </w:pPr>
            <w:r>
              <w:rPr>
                <w:rFonts w:ascii="Arial" w:cs="Arial" w:eastAsia="Arial" w:hAnsi="Arial"/>
                <w:sz w:val="15"/>
                <w:szCs w:val="15"/>
                <w:i w:val="1"/>
                <w:iCs w:val="1"/>
                <w:color w:val="auto"/>
                <w:w w:val="94"/>
              </w:rPr>
              <w:t>13. Principle (V.D.3).- To evaluate the remuneration of the principal executives and the members of the Board of Directors, ensuring that</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gridSpan w:val="2"/>
          </w:tcPr>
          <w:p>
            <w:pPr>
              <w:ind w:left="40"/>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2C2C2C"/>
            </w:tcBorders>
          </w:tcPr>
          <w:p>
            <w:pPr>
              <w:spacing w:after="0"/>
              <w:rPr>
                <w:sz w:val="14"/>
                <w:szCs w:val="14"/>
                <w:color w:val="auto"/>
              </w:rPr>
            </w:pPr>
          </w:p>
        </w:tc>
        <w:tc>
          <w:tcPr>
            <w:tcW w:w="8560" w:type="dxa"/>
            <w:vAlign w:val="bottom"/>
            <w:tcBorders>
              <w:bottom w:val="single" w:sz="8" w:color="2C2C2C"/>
            </w:tcBorders>
            <w:gridSpan w:val="6"/>
          </w:tcPr>
          <w:p>
            <w:pPr>
              <w:ind w:left="20"/>
              <w:spacing w:after="0" w:line="156" w:lineRule="exact"/>
              <w:rPr>
                <w:sz w:val="20"/>
                <w:szCs w:val="20"/>
                <w:color w:val="auto"/>
              </w:rPr>
            </w:pPr>
            <w:r>
              <w:rPr>
                <w:rFonts w:ascii="Arial" w:cs="Arial" w:eastAsia="Arial" w:hAnsi="Arial"/>
                <w:sz w:val="15"/>
                <w:szCs w:val="15"/>
                <w:i w:val="1"/>
                <w:iCs w:val="1"/>
                <w:color w:val="auto"/>
              </w:rPr>
              <w:t>procedures for selecting the directors are formal and transparent.</w:t>
            </w:r>
          </w:p>
        </w:tc>
        <w:tc>
          <w:tcPr>
            <w:tcW w:w="7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-706755</wp:posOffset>
            </wp:positionV>
            <wp:extent cx="42545"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2545" cy="14541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-706755</wp:posOffset>
            </wp:positionV>
            <wp:extent cx="42545"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545" cy="145415"/>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-706755</wp:posOffset>
            </wp:positionV>
            <wp:extent cx="42545"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545" cy="145415"/>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-706755</wp:posOffset>
            </wp:positionV>
            <wp:extent cx="42545"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2545" cy="145415"/>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-466725</wp:posOffset>
            </wp:positionV>
            <wp:extent cx="42545" cy="4711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-466725</wp:posOffset>
            </wp:positionV>
            <wp:extent cx="42545" cy="4711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-466725</wp:posOffset>
            </wp:positionV>
            <wp:extent cx="42545" cy="4711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-466725</wp:posOffset>
            </wp:positionV>
            <wp:extent cx="42545" cy="4711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-466725</wp:posOffset>
            </wp:positionV>
            <wp:extent cx="42545" cy="4711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2545" cy="47117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20"/>
        <w:spacing w:after="0" w:line="256" w:lineRule="auto"/>
        <w:rPr>
          <w:sz w:val="20"/>
          <w:szCs w:val="20"/>
          <w:color w:val="auto"/>
        </w:rPr>
      </w:pPr>
      <w:r>
        <w:rPr>
          <w:rFonts w:ascii="Arial" w:cs="Arial" w:eastAsia="Arial" w:hAnsi="Arial"/>
          <w:sz w:val="22"/>
          <w:szCs w:val="22"/>
          <w:b w:val="1"/>
          <w:bCs w:val="1"/>
          <w:color w:val="auto"/>
        </w:rPr>
        <w:t>a. If the Board of Directors of THE COMPANY is responsible for the functions described in this principle, please indicate whether they are regulated in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2825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2020" cy="28257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60" w:type="dxa"/>
            <w:vAlign w:val="bottom"/>
            <w:tcBorders>
              <w:top w:val="single" w:sz="8" w:color="2C2C2C"/>
              <w:bottom w:val="single" w:sz="8" w:color="2C2C2C"/>
            </w:tcBorders>
          </w:tcPr>
          <w:p>
            <w:pPr>
              <w:jc w:val="center"/>
              <w:ind w:left="286"/>
              <w:spacing w:after="0"/>
              <w:rPr>
                <w:sz w:val="20"/>
                <w:szCs w:val="20"/>
                <w:color w:val="auto"/>
              </w:rPr>
            </w:pPr>
            <w:r>
              <w:rPr>
                <w:rFonts w:ascii="Arial" w:cs="Arial" w:eastAsia="Arial" w:hAnsi="Arial"/>
                <w:sz w:val="15"/>
                <w:szCs w:val="15"/>
                <w:color w:val="auto"/>
                <w:w w:val="95"/>
              </w:rPr>
              <w:t>OTHER</w:t>
            </w:r>
          </w:p>
        </w:tc>
        <w:tc>
          <w:tcPr>
            <w:tcW w:w="2660" w:type="dxa"/>
            <w:vAlign w:val="bottom"/>
            <w:tcBorders>
              <w:top w:val="single" w:sz="8" w:color="2C2C2C"/>
              <w:bottom w:val="single" w:sz="8" w:color="2C2C2C"/>
            </w:tcBorders>
          </w:tcPr>
          <w:p>
            <w:pPr>
              <w:ind w:left="50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2000" w:type="dxa"/>
            <w:vAlign w:val="bottom"/>
          </w:tcPr>
          <w:p>
            <w:pPr>
              <w:jc w:val="center"/>
              <w:ind w:left="206"/>
              <w:spacing w:after="0"/>
              <w:rPr>
                <w:sz w:val="20"/>
                <w:szCs w:val="20"/>
                <w:color w:val="auto"/>
              </w:rPr>
            </w:pPr>
            <w:r>
              <w:rPr>
                <w:rFonts w:ascii="Arial" w:cs="Arial" w:eastAsia="Arial" w:hAnsi="Arial"/>
                <w:sz w:val="15"/>
                <w:szCs w:val="15"/>
                <w:b w:val="1"/>
                <w:bCs w:val="1"/>
                <w:color w:val="auto"/>
                <w:w w:val="99"/>
              </w:rPr>
              <w:t>(X.)</w:t>
            </w:r>
          </w:p>
        </w:tc>
        <w:tc>
          <w:tcPr>
            <w:tcW w:w="2820" w:type="dxa"/>
            <w:vAlign w:val="bottom"/>
          </w:tcPr>
          <w:p>
            <w:pPr>
              <w:jc w:val="right"/>
              <w:ind w:right="1206"/>
              <w:spacing w:after="0"/>
              <w:rPr>
                <w:sz w:val="20"/>
                <w:szCs w:val="20"/>
                <w:color w:val="auto"/>
              </w:rPr>
            </w:pPr>
            <w:r>
              <w:rPr>
                <w:rFonts w:ascii="Arial" w:cs="Arial" w:eastAsia="Arial" w:hAnsi="Arial"/>
                <w:sz w:val="15"/>
                <w:szCs w:val="15"/>
                <w:b w:val="1"/>
                <w:bCs w:val="1"/>
                <w:color w:val="auto"/>
              </w:rPr>
              <w:t>(...)</w:t>
            </w:r>
          </w:p>
        </w:tc>
        <w:tc>
          <w:tcPr>
            <w:tcW w:w="2040" w:type="dxa"/>
            <w:vAlign w:val="bottom"/>
          </w:tcPr>
          <w:p>
            <w:pPr>
              <w:jc w:val="right"/>
              <w:ind w:right="966"/>
              <w:spacing w:after="0"/>
              <w:rPr>
                <w:sz w:val="20"/>
                <w:szCs w:val="20"/>
                <w:color w:val="auto"/>
              </w:rPr>
            </w:pPr>
            <w:r>
              <w:rPr>
                <w:rFonts w:ascii="Arial" w:cs="Arial" w:eastAsia="Arial" w:hAnsi="Arial"/>
                <w:sz w:val="15"/>
                <w:szCs w:val="15"/>
                <w:b w:val="1"/>
                <w:bCs w:val="1"/>
                <w:color w:val="auto"/>
              </w:rPr>
              <w:t>(...)</w:t>
            </w:r>
          </w:p>
        </w:tc>
        <w:tc>
          <w:tcPr>
            <w:tcW w:w="1860" w:type="dxa"/>
            <w:vAlign w:val="bottom"/>
          </w:tcPr>
          <w:p>
            <w:pPr>
              <w:jc w:val="right"/>
              <w:ind w:right="5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22"/>
          <w:szCs w:val="22"/>
          <w:b w:val="1"/>
          <w:bCs w:val="1"/>
          <w:color w:val="auto"/>
        </w:rPr>
        <w:t>* Specify the name of the document, if not THE COMPANY’s statutes.</w:t>
      </w:r>
    </w:p>
    <w:p>
      <w:pPr>
        <w:spacing w:after="0" w:line="182" w:lineRule="exact"/>
        <w:rPr>
          <w:sz w:val="20"/>
          <w:szCs w:val="20"/>
          <w:color w:val="auto"/>
        </w:rPr>
      </w:pPr>
    </w:p>
    <w:p>
      <w:pPr>
        <w:ind w:right="380"/>
        <w:spacing w:after="0" w:line="242" w:lineRule="auto"/>
        <w:rPr>
          <w:sz w:val="20"/>
          <w:szCs w:val="20"/>
          <w:color w:val="auto"/>
        </w:rPr>
      </w:pPr>
      <w:r>
        <w:rPr>
          <w:rFonts w:ascii="Arial" w:cs="Arial" w:eastAsia="Arial" w:hAnsi="Arial"/>
          <w:sz w:val="22"/>
          <w:szCs w:val="22"/>
          <w:b w:val="1"/>
          <w:bCs w:val="1"/>
          <w:color w:val="auto"/>
        </w:rPr>
        <w:t>(...) THE BOARD OF DIRECTORS IS RESPONSIBLE FOR THE FUNCTIONS DESCRIBED BUT THEY ARE NOT REGULATED</w:t>
      </w:r>
    </w:p>
    <w:p>
      <w:pPr>
        <w:ind w:right="1100"/>
        <w:spacing w:after="0" w:line="437" w:lineRule="auto"/>
        <w:rPr>
          <w:sz w:val="20"/>
          <w:szCs w:val="20"/>
          <w:color w:val="auto"/>
        </w:rPr>
      </w:pPr>
      <w:r>
        <w:rPr>
          <w:rFonts w:ascii="Arial" w:cs="Arial" w:eastAsia="Arial" w:hAnsi="Arial"/>
          <w:sz w:val="22"/>
          <w:szCs w:val="22"/>
          <w:b w:val="1"/>
          <w:bCs w:val="1"/>
          <w:color w:val="auto"/>
        </w:rPr>
        <w:t>(...) NOT APPLICABLE. THE BOARD OF DIRECTORS IS NOT RESPONSIBLE FOR THESE FUNCTIONS b. Specify the entity which is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42545" cy="8661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545" cy="86614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-3175</wp:posOffset>
            </wp:positionV>
            <wp:extent cx="42545" cy="8489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545" cy="84899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-3175</wp:posOffset>
            </wp:positionV>
            <wp:extent cx="42545" cy="8489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2545" cy="84899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-11430</wp:posOffset>
            </wp:positionV>
            <wp:extent cx="42545" cy="8661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545" cy="86614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-3175</wp:posOffset>
            </wp:positionV>
            <wp:extent cx="42545" cy="8489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545" cy="848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20" w:type="dxa"/>
            <w:vAlign w:val="bottom"/>
            <w:tcBorders>
              <w:top w:val="single" w:sz="8" w:color="808080"/>
            </w:tcBorders>
          </w:tcPr>
          <w:p>
            <w:pPr>
              <w:spacing w:after="0"/>
              <w:rPr>
                <w:sz w:val="13"/>
                <w:szCs w:val="13"/>
                <w:color w:val="auto"/>
              </w:rPr>
            </w:pPr>
          </w:p>
        </w:tc>
        <w:tc>
          <w:tcPr>
            <w:tcW w:w="5700" w:type="dxa"/>
            <w:vAlign w:val="bottom"/>
            <w:tcBorders>
              <w:top w:val="single" w:sz="8" w:color="2C2C2C"/>
            </w:tcBorders>
            <w:vMerge w:val="restart"/>
          </w:tcPr>
          <w:p>
            <w:pPr>
              <w:ind w:left="20"/>
              <w:spacing w:after="0"/>
              <w:rPr>
                <w:sz w:val="20"/>
                <w:szCs w:val="20"/>
                <w:color w:val="auto"/>
              </w:rPr>
            </w:pPr>
            <w:r>
              <w:rPr>
                <w:rFonts w:ascii="Arial" w:cs="Arial" w:eastAsia="Arial" w:hAnsi="Arial"/>
                <w:sz w:val="15"/>
                <w:szCs w:val="15"/>
                <w:color w:val="auto"/>
              </w:rPr>
              <w:t>FUNCTION</w:t>
            </w:r>
          </w:p>
        </w:tc>
        <w:tc>
          <w:tcPr>
            <w:tcW w:w="2400" w:type="dxa"/>
            <w:vAlign w:val="bottom"/>
            <w:tcBorders>
              <w:top w:val="single" w:sz="8" w:color="2C2C2C"/>
            </w:tcBorders>
          </w:tcPr>
          <w:p>
            <w:pPr>
              <w:jc w:val="center"/>
              <w:ind w:left="346"/>
              <w:spacing w:after="0" w:line="161" w:lineRule="exact"/>
              <w:rPr>
                <w:sz w:val="20"/>
                <w:szCs w:val="20"/>
                <w:color w:val="auto"/>
              </w:rPr>
            </w:pPr>
            <w:r>
              <w:rPr>
                <w:rFonts w:ascii="Arial" w:cs="Arial" w:eastAsia="Arial" w:hAnsi="Arial"/>
                <w:sz w:val="15"/>
                <w:szCs w:val="15"/>
                <w:color w:val="auto"/>
                <w:w w:val="94"/>
              </w:rPr>
              <w:t>BOARD OF</w:t>
            </w:r>
          </w:p>
        </w:tc>
        <w:tc>
          <w:tcPr>
            <w:tcW w:w="1520" w:type="dxa"/>
            <w:vAlign w:val="bottom"/>
            <w:tcBorders>
              <w:top w:val="single" w:sz="8" w:color="2C2C2C"/>
            </w:tcBorders>
            <w:vMerge w:val="restart"/>
          </w:tcPr>
          <w:p>
            <w:pPr>
              <w:jc w:val="center"/>
              <w:ind w:right="26"/>
              <w:spacing w:after="0"/>
              <w:rPr>
                <w:sz w:val="20"/>
                <w:szCs w:val="20"/>
                <w:color w:val="auto"/>
              </w:rPr>
            </w:pPr>
            <w:r>
              <w:rPr>
                <w:rFonts w:ascii="Arial" w:cs="Arial" w:eastAsia="Arial" w:hAnsi="Arial"/>
                <w:sz w:val="15"/>
                <w:szCs w:val="15"/>
                <w:color w:val="auto"/>
                <w:w w:val="92"/>
              </w:rPr>
              <w:t>CEO</w:t>
            </w:r>
          </w:p>
        </w:tc>
        <w:tc>
          <w:tcPr>
            <w:tcW w:w="1760" w:type="dxa"/>
            <w:vAlign w:val="bottom"/>
            <w:tcBorders>
              <w:top w:val="single" w:sz="8" w:color="2C2C2C"/>
            </w:tcBorders>
          </w:tcPr>
          <w:p>
            <w:pPr>
              <w:ind w:left="640"/>
              <w:spacing w:after="0" w:line="161" w:lineRule="exact"/>
              <w:rPr>
                <w:sz w:val="20"/>
                <w:szCs w:val="20"/>
                <w:color w:val="auto"/>
              </w:rPr>
            </w:pPr>
            <w:r>
              <w:rPr>
                <w:rFonts w:ascii="Arial" w:cs="Arial" w:eastAsia="Arial" w:hAnsi="Arial"/>
                <w:sz w:val="15"/>
                <w:szCs w:val="15"/>
                <w:color w:val="auto"/>
              </w:rPr>
              <w:t>OTHER</w:t>
            </w: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00" w:type="dxa"/>
            <w:vAlign w:val="bottom"/>
            <w:vMerge w:val="continue"/>
          </w:tcPr>
          <w:p>
            <w:pPr>
              <w:spacing w:after="0"/>
              <w:rPr>
                <w:sz w:val="9"/>
                <w:szCs w:val="9"/>
                <w:color w:val="auto"/>
              </w:rPr>
            </w:pPr>
          </w:p>
        </w:tc>
        <w:tc>
          <w:tcPr>
            <w:tcW w:w="2400" w:type="dxa"/>
            <w:vAlign w:val="bottom"/>
            <w:vMerge w:val="restart"/>
          </w:tcPr>
          <w:p>
            <w:pPr>
              <w:jc w:val="center"/>
              <w:ind w:left="346"/>
              <w:spacing w:after="0" w:line="172" w:lineRule="exact"/>
              <w:rPr>
                <w:sz w:val="20"/>
                <w:szCs w:val="20"/>
                <w:color w:val="auto"/>
              </w:rPr>
            </w:pPr>
            <w:r>
              <w:rPr>
                <w:rFonts w:ascii="Arial" w:cs="Arial" w:eastAsia="Arial" w:hAnsi="Arial"/>
                <w:sz w:val="15"/>
                <w:szCs w:val="15"/>
                <w:color w:val="auto"/>
                <w:w w:val="92"/>
              </w:rPr>
              <w:t>DIRECTORS</w:t>
            </w:r>
          </w:p>
        </w:tc>
        <w:tc>
          <w:tcPr>
            <w:tcW w:w="1520" w:type="dxa"/>
            <w:vAlign w:val="bottom"/>
            <w:vMerge w:val="continue"/>
          </w:tcPr>
          <w:p>
            <w:pPr>
              <w:spacing w:after="0"/>
              <w:rPr>
                <w:sz w:val="9"/>
                <w:szCs w:val="9"/>
                <w:color w:val="auto"/>
              </w:rPr>
            </w:pPr>
          </w:p>
        </w:tc>
        <w:tc>
          <w:tcPr>
            <w:tcW w:w="1780" w:type="dxa"/>
            <w:vAlign w:val="bottom"/>
            <w:gridSpan w:val="2"/>
            <w:vMerge w:val="restart"/>
          </w:tcPr>
          <w:p>
            <w:pPr>
              <w:ind w:left="640"/>
              <w:spacing w:after="0" w:line="172" w:lineRule="exact"/>
              <w:rPr>
                <w:sz w:val="20"/>
                <w:szCs w:val="20"/>
                <w:color w:val="auto"/>
              </w:rPr>
            </w:pPr>
            <w:r>
              <w:rPr>
                <w:rFonts w:ascii="Arial" w:cs="Arial" w:eastAsia="Arial" w:hAnsi="Arial"/>
                <w:sz w:val="15"/>
                <w:szCs w:val="15"/>
                <w:color w:val="auto"/>
              </w:rPr>
              <w:t>(Specify)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70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00" w:type="dxa"/>
            <w:vAlign w:val="bottom"/>
            <w:tcBorders>
              <w:top w:val="single" w:sz="8" w:color="2C2C2C"/>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HIRING AND REPLACING THE CEO</w:t>
            </w:r>
          </w:p>
        </w:tc>
        <w:tc>
          <w:tcPr>
            <w:tcW w:w="2400" w:type="dxa"/>
            <w:vAlign w:val="bottom"/>
            <w:tcBorders>
              <w:top w:val="single" w:sz="8" w:color="2C2C2C"/>
              <w:bottom w:val="single" w:sz="8" w:color="2C2C2C"/>
            </w:tcBorders>
          </w:tcPr>
          <w:p>
            <w:pPr>
              <w:jc w:val="center"/>
              <w:ind w:left="366"/>
              <w:spacing w:after="0" w:line="162" w:lineRule="exact"/>
              <w:rPr>
                <w:sz w:val="20"/>
                <w:szCs w:val="20"/>
                <w:color w:val="auto"/>
              </w:rPr>
            </w:pPr>
            <w:r>
              <w:rPr>
                <w:rFonts w:ascii="Arial" w:cs="Arial" w:eastAsia="Arial" w:hAnsi="Arial"/>
                <w:sz w:val="15"/>
                <w:szCs w:val="15"/>
                <w:b w:val="1"/>
                <w:bCs w:val="1"/>
                <w:color w:val="auto"/>
                <w:w w:val="98"/>
              </w:rPr>
              <w:t>( X.)</w:t>
            </w:r>
          </w:p>
        </w:tc>
        <w:tc>
          <w:tcPr>
            <w:tcW w:w="1520" w:type="dxa"/>
            <w:vAlign w:val="bottom"/>
            <w:tcBorders>
              <w:top w:val="single" w:sz="8" w:color="2C2C2C"/>
              <w:bottom w:val="single" w:sz="8" w:color="2C2C2C"/>
            </w:tcBorders>
          </w:tcPr>
          <w:p>
            <w:pPr>
              <w:jc w:val="center"/>
              <w:spacing w:after="0" w:line="162" w:lineRule="exact"/>
              <w:rPr>
                <w:sz w:val="20"/>
                <w:szCs w:val="20"/>
                <w:color w:val="auto"/>
              </w:rPr>
            </w:pPr>
            <w:r>
              <w:rPr>
                <w:rFonts w:ascii="Arial" w:cs="Arial" w:eastAsia="Arial" w:hAnsi="Arial"/>
                <w:sz w:val="15"/>
                <w:szCs w:val="15"/>
                <w:b w:val="1"/>
                <w:bCs w:val="1"/>
                <w:color w:val="auto"/>
                <w:w w:val="97"/>
              </w:rPr>
              <w:t>(...)</w:t>
            </w:r>
          </w:p>
        </w:tc>
        <w:tc>
          <w:tcPr>
            <w:tcW w:w="1760" w:type="dxa"/>
            <w:vAlign w:val="bottom"/>
            <w:tcBorders>
              <w:top w:val="single" w:sz="8" w:color="2C2C2C"/>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HIRING AND REPLACING THE MANAGEMENT STAFF</w:t>
            </w:r>
          </w:p>
        </w:tc>
        <w:tc>
          <w:tcPr>
            <w:tcW w:w="2400" w:type="dxa"/>
            <w:vAlign w:val="bottom"/>
            <w:tcBorders>
              <w:bottom w:val="single" w:sz="8" w:color="2C2C2C"/>
            </w:tcBorders>
          </w:tcPr>
          <w:p>
            <w:pPr>
              <w:jc w:val="center"/>
              <w:ind w:left="386"/>
              <w:spacing w:after="0" w:line="162" w:lineRule="exact"/>
              <w:rPr>
                <w:sz w:val="20"/>
                <w:szCs w:val="20"/>
                <w:color w:val="auto"/>
              </w:rPr>
            </w:pPr>
            <w:r>
              <w:rPr>
                <w:rFonts w:ascii="Arial" w:cs="Arial" w:eastAsia="Arial" w:hAnsi="Arial"/>
                <w:sz w:val="15"/>
                <w:szCs w:val="15"/>
                <w:b w:val="1"/>
                <w:bCs w:val="1"/>
                <w:color w:val="auto"/>
                <w:w w:val="97"/>
              </w:rPr>
              <w:t>(...)</w:t>
            </w:r>
          </w:p>
        </w:tc>
        <w:tc>
          <w:tcPr>
            <w:tcW w:w="152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b w:val="1"/>
                <w:bCs w:val="1"/>
                <w:color w:val="auto"/>
                <w:w w:val="98"/>
              </w:rPr>
              <w:t>(.X )</w:t>
            </w:r>
          </w:p>
        </w:tc>
        <w:tc>
          <w:tcPr>
            <w:tcW w:w="17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ESTABLISHING THE SALARIES OF THE PRINCIPAL EXECUTIVES</w:t>
            </w:r>
          </w:p>
        </w:tc>
        <w:tc>
          <w:tcPr>
            <w:tcW w:w="2400" w:type="dxa"/>
            <w:vAlign w:val="bottom"/>
            <w:tcBorders>
              <w:bottom w:val="single" w:sz="8" w:color="2C2C2C"/>
            </w:tcBorders>
          </w:tcPr>
          <w:p>
            <w:pPr>
              <w:jc w:val="center"/>
              <w:ind w:left="366"/>
              <w:spacing w:after="0" w:line="162" w:lineRule="exact"/>
              <w:rPr>
                <w:sz w:val="20"/>
                <w:szCs w:val="20"/>
                <w:color w:val="auto"/>
              </w:rPr>
            </w:pPr>
            <w:r>
              <w:rPr>
                <w:rFonts w:ascii="Arial" w:cs="Arial" w:eastAsia="Arial" w:hAnsi="Arial"/>
                <w:sz w:val="15"/>
                <w:szCs w:val="15"/>
                <w:b w:val="1"/>
                <w:bCs w:val="1"/>
                <w:color w:val="auto"/>
                <w:w w:val="98"/>
              </w:rPr>
              <w:t>(.X.)</w:t>
            </w:r>
          </w:p>
        </w:tc>
        <w:tc>
          <w:tcPr>
            <w:tcW w:w="152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b w:val="1"/>
                <w:bCs w:val="1"/>
                <w:color w:val="auto"/>
                <w:w w:val="97"/>
              </w:rPr>
              <w:t>(...)</w:t>
            </w:r>
          </w:p>
        </w:tc>
        <w:tc>
          <w:tcPr>
            <w:tcW w:w="17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EVALUATING THE SALARIES OF THE PRINCIPAL EXECUTIVES</w:t>
            </w:r>
          </w:p>
        </w:tc>
        <w:tc>
          <w:tcPr>
            <w:tcW w:w="2400" w:type="dxa"/>
            <w:vAlign w:val="bottom"/>
            <w:tcBorders>
              <w:bottom w:val="single" w:sz="8" w:color="2C2C2C"/>
            </w:tcBorders>
          </w:tcPr>
          <w:p>
            <w:pPr>
              <w:jc w:val="center"/>
              <w:ind w:left="386"/>
              <w:spacing w:after="0" w:line="162" w:lineRule="exact"/>
              <w:rPr>
                <w:sz w:val="20"/>
                <w:szCs w:val="20"/>
                <w:color w:val="auto"/>
              </w:rPr>
            </w:pPr>
            <w:r>
              <w:rPr>
                <w:rFonts w:ascii="Arial" w:cs="Arial" w:eastAsia="Arial" w:hAnsi="Arial"/>
                <w:sz w:val="15"/>
                <w:szCs w:val="15"/>
                <w:b w:val="1"/>
                <w:bCs w:val="1"/>
                <w:color w:val="auto"/>
                <w:w w:val="97"/>
              </w:rPr>
              <w:t>(...)</w:t>
            </w:r>
          </w:p>
        </w:tc>
        <w:tc>
          <w:tcPr>
            <w:tcW w:w="152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b w:val="1"/>
                <w:bCs w:val="1"/>
                <w:color w:val="auto"/>
                <w:w w:val="98"/>
              </w:rPr>
              <w:t>(.X.)</w:t>
            </w:r>
          </w:p>
        </w:tc>
        <w:tc>
          <w:tcPr>
            <w:tcW w:w="17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57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EVALUATING THE SALARIES OF THE DIRECTORS</w:t>
            </w:r>
          </w:p>
        </w:tc>
        <w:tc>
          <w:tcPr>
            <w:tcW w:w="2400" w:type="dxa"/>
            <w:vAlign w:val="bottom"/>
            <w:tcBorders>
              <w:bottom w:val="single" w:sz="8" w:color="2C2C2C"/>
            </w:tcBorders>
          </w:tcPr>
          <w:p>
            <w:pPr>
              <w:jc w:val="center"/>
              <w:ind w:left="366"/>
              <w:spacing w:after="0" w:line="162" w:lineRule="exact"/>
              <w:rPr>
                <w:sz w:val="20"/>
                <w:szCs w:val="20"/>
                <w:color w:val="auto"/>
              </w:rPr>
            </w:pPr>
            <w:r>
              <w:rPr>
                <w:rFonts w:ascii="Arial" w:cs="Arial" w:eastAsia="Arial" w:hAnsi="Arial"/>
                <w:sz w:val="15"/>
                <w:szCs w:val="15"/>
                <w:b w:val="1"/>
                <w:bCs w:val="1"/>
                <w:color w:val="auto"/>
                <w:w w:val="98"/>
              </w:rPr>
              <w:t>(.X.)</w:t>
            </w:r>
          </w:p>
        </w:tc>
        <w:tc>
          <w:tcPr>
            <w:tcW w:w="152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b w:val="1"/>
                <w:bCs w:val="1"/>
                <w:color w:val="auto"/>
                <w:w w:val="97"/>
              </w:rPr>
              <w:t>(...)</w:t>
            </w:r>
          </w:p>
        </w:tc>
        <w:tc>
          <w:tcPr>
            <w:tcW w:w="17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Indicate whether THE COMPANY has internal policies or defined policies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42545" cy="7626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545" cy="76263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144145</wp:posOffset>
            </wp:positionV>
            <wp:extent cx="42545" cy="7454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2545" cy="7454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135890</wp:posOffset>
            </wp:positionV>
            <wp:extent cx="42545" cy="7626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2545" cy="76263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144145</wp:posOffset>
            </wp:positionV>
            <wp:extent cx="42545" cy="7454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545" cy="7454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67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15"/>
                <w:szCs w:val="15"/>
                <w:color w:val="auto"/>
              </w:rPr>
              <w:t>POLICIES FOR :</w:t>
            </w:r>
          </w:p>
        </w:tc>
        <w:tc>
          <w:tcPr>
            <w:tcW w:w="3000" w:type="dxa"/>
            <w:vAlign w:val="bottom"/>
            <w:tcBorders>
              <w:top w:val="single" w:sz="8" w:color="2C2C2C"/>
              <w:bottom w:val="single" w:sz="8" w:color="2C2C2C"/>
            </w:tcBorders>
          </w:tcPr>
          <w:p>
            <w:pPr>
              <w:jc w:val="center"/>
              <w:ind w:left="1166"/>
              <w:spacing w:after="0"/>
              <w:rPr>
                <w:sz w:val="20"/>
                <w:szCs w:val="20"/>
                <w:color w:val="auto"/>
              </w:rPr>
            </w:pPr>
            <w:r>
              <w:rPr>
                <w:rFonts w:ascii="Arial" w:cs="Arial" w:eastAsia="Arial" w:hAnsi="Arial"/>
                <w:sz w:val="15"/>
                <w:szCs w:val="15"/>
                <w:color w:val="auto"/>
                <w:w w:val="93"/>
              </w:rPr>
              <w:t>YES</w:t>
            </w:r>
          </w:p>
        </w:tc>
        <w:tc>
          <w:tcPr>
            <w:tcW w:w="1680" w:type="dxa"/>
            <w:vAlign w:val="bottom"/>
            <w:tcBorders>
              <w:top w:val="single" w:sz="8" w:color="2C2C2C"/>
              <w:bottom w:val="single" w:sz="8" w:color="2C2C2C"/>
            </w:tcBorders>
          </w:tcPr>
          <w:p>
            <w:pPr>
              <w:ind w:left="700"/>
              <w:spacing w:after="0"/>
              <w:rPr>
                <w:sz w:val="20"/>
                <w:szCs w:val="20"/>
                <w:color w:val="auto"/>
              </w:rPr>
            </w:pPr>
            <w:r>
              <w:rPr>
                <w:rFonts w:ascii="Arial" w:cs="Arial" w:eastAsia="Arial" w:hAnsi="Arial"/>
                <w:sz w:val="15"/>
                <w:szCs w:val="15"/>
                <w:color w:val="auto"/>
              </w:rPr>
              <w:t>NO</w:t>
            </w:r>
          </w:p>
        </w:tc>
        <w:tc>
          <w:tcPr>
            <w:tcW w:w="20" w:type="dxa"/>
            <w:vAlign w:val="bottom"/>
            <w:tcBorders>
              <w:top w:val="single" w:sz="8" w:color="808080"/>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67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HIRING AND REPLACING THE PRINCIPAL EXECUTIVES</w:t>
            </w:r>
          </w:p>
        </w:tc>
        <w:tc>
          <w:tcPr>
            <w:tcW w:w="3000" w:type="dxa"/>
            <w:vAlign w:val="bottom"/>
            <w:tcBorders>
              <w:bottom w:val="single" w:sz="8" w:color="2C2C2C"/>
            </w:tcBorders>
          </w:tcPr>
          <w:p>
            <w:pPr>
              <w:jc w:val="center"/>
              <w:ind w:left="1206"/>
              <w:spacing w:after="0" w:line="162" w:lineRule="exact"/>
              <w:rPr>
                <w:sz w:val="20"/>
                <w:szCs w:val="20"/>
                <w:color w:val="auto"/>
              </w:rPr>
            </w:pPr>
            <w:r>
              <w:rPr>
                <w:rFonts w:ascii="Arial" w:cs="Arial" w:eastAsia="Arial" w:hAnsi="Arial"/>
                <w:sz w:val="15"/>
                <w:szCs w:val="15"/>
                <w:b w:val="1"/>
                <w:bCs w:val="1"/>
                <w:color w:val="auto"/>
                <w:w w:val="89"/>
              </w:rPr>
              <w:t>(.x.)</w:t>
            </w:r>
          </w:p>
        </w:tc>
        <w:tc>
          <w:tcPr>
            <w:tcW w:w="1680" w:type="dxa"/>
            <w:vAlign w:val="bottom"/>
            <w:tcBorders>
              <w:bottom w:val="single" w:sz="8" w:color="2C2C2C"/>
            </w:tcBorders>
          </w:tcPr>
          <w:p>
            <w:pPr>
              <w:ind w:left="740"/>
              <w:spacing w:after="0" w:line="162"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7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ESTABLISHING THE SALARIES OF THE PRINCIPAL EXECUTIVES</w:t>
            </w:r>
          </w:p>
        </w:tc>
        <w:tc>
          <w:tcPr>
            <w:tcW w:w="3000" w:type="dxa"/>
            <w:vAlign w:val="bottom"/>
            <w:tcBorders>
              <w:bottom w:val="single" w:sz="8" w:color="2C2C2C"/>
            </w:tcBorders>
          </w:tcPr>
          <w:p>
            <w:pPr>
              <w:jc w:val="center"/>
              <w:ind w:left="1206"/>
              <w:spacing w:after="0" w:line="162" w:lineRule="exact"/>
              <w:rPr>
                <w:sz w:val="20"/>
                <w:szCs w:val="20"/>
                <w:color w:val="auto"/>
              </w:rPr>
            </w:pPr>
            <w:r>
              <w:rPr>
                <w:rFonts w:ascii="Arial" w:cs="Arial" w:eastAsia="Arial" w:hAnsi="Arial"/>
                <w:sz w:val="15"/>
                <w:szCs w:val="15"/>
                <w:b w:val="1"/>
                <w:bCs w:val="1"/>
                <w:color w:val="auto"/>
                <w:w w:val="90"/>
              </w:rPr>
              <w:t>(.x..)</w:t>
            </w:r>
          </w:p>
        </w:tc>
        <w:tc>
          <w:tcPr>
            <w:tcW w:w="1680" w:type="dxa"/>
            <w:vAlign w:val="bottom"/>
            <w:tcBorders>
              <w:bottom w:val="single" w:sz="8" w:color="2C2C2C"/>
            </w:tcBorders>
          </w:tcPr>
          <w:p>
            <w:pPr>
              <w:ind w:left="740"/>
              <w:spacing w:after="0" w:line="162"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7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EVALUATING THE SALARIES OF THE PRINCIPAL EXECUTIVES</w:t>
            </w:r>
          </w:p>
        </w:tc>
        <w:tc>
          <w:tcPr>
            <w:tcW w:w="3000" w:type="dxa"/>
            <w:vAlign w:val="bottom"/>
            <w:tcBorders>
              <w:bottom w:val="single" w:sz="8" w:color="2C2C2C"/>
            </w:tcBorders>
          </w:tcPr>
          <w:p>
            <w:pPr>
              <w:jc w:val="center"/>
              <w:ind w:left="1206"/>
              <w:spacing w:after="0" w:line="162" w:lineRule="exact"/>
              <w:rPr>
                <w:sz w:val="20"/>
                <w:szCs w:val="20"/>
                <w:color w:val="auto"/>
              </w:rPr>
            </w:pPr>
            <w:r>
              <w:rPr>
                <w:rFonts w:ascii="Arial" w:cs="Arial" w:eastAsia="Arial" w:hAnsi="Arial"/>
                <w:sz w:val="15"/>
                <w:szCs w:val="15"/>
                <w:b w:val="1"/>
                <w:bCs w:val="1"/>
                <w:color w:val="auto"/>
                <w:w w:val="90"/>
              </w:rPr>
              <w:t>(.x..</w:t>
            </w:r>
            <w:r>
              <w:rPr>
                <w:rFonts w:ascii="Arial" w:cs="Arial" w:eastAsia="Arial" w:hAnsi="Arial"/>
                <w:sz w:val="15"/>
                <w:szCs w:val="15"/>
                <w:color w:val="auto"/>
                <w:w w:val="90"/>
              </w:rPr>
              <w:t>)</w:t>
            </w:r>
          </w:p>
        </w:tc>
        <w:tc>
          <w:tcPr>
            <w:tcW w:w="1680" w:type="dxa"/>
            <w:vAlign w:val="bottom"/>
            <w:tcBorders>
              <w:bottom w:val="single" w:sz="8" w:color="2C2C2C"/>
            </w:tcBorders>
          </w:tcPr>
          <w:p>
            <w:pPr>
              <w:ind w:left="740"/>
              <w:spacing w:after="0" w:line="162"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7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EVALUATING THE SALARIES OF THE DIRECTORS</w:t>
            </w:r>
          </w:p>
        </w:tc>
        <w:tc>
          <w:tcPr>
            <w:tcW w:w="3000" w:type="dxa"/>
            <w:vAlign w:val="bottom"/>
            <w:tcBorders>
              <w:bottom w:val="single" w:sz="8" w:color="2C2C2C"/>
            </w:tcBorders>
          </w:tcPr>
          <w:p>
            <w:pPr>
              <w:jc w:val="center"/>
              <w:ind w:left="1206"/>
              <w:spacing w:after="0" w:line="162" w:lineRule="exact"/>
              <w:rPr>
                <w:sz w:val="20"/>
                <w:szCs w:val="20"/>
                <w:color w:val="auto"/>
              </w:rPr>
            </w:pPr>
            <w:r>
              <w:rPr>
                <w:rFonts w:ascii="Arial" w:cs="Arial" w:eastAsia="Arial" w:hAnsi="Arial"/>
                <w:sz w:val="15"/>
                <w:szCs w:val="15"/>
                <w:b w:val="1"/>
                <w:bCs w:val="1"/>
                <w:color w:val="auto"/>
                <w:w w:val="90"/>
              </w:rPr>
              <w:t>(.x..)</w:t>
            </w:r>
          </w:p>
        </w:tc>
        <w:tc>
          <w:tcPr>
            <w:tcW w:w="1680" w:type="dxa"/>
            <w:vAlign w:val="bottom"/>
            <w:tcBorders>
              <w:bottom w:val="single" w:sz="8" w:color="2C2C2C"/>
            </w:tcBorders>
          </w:tcPr>
          <w:p>
            <w:pPr>
              <w:ind w:left="740"/>
              <w:spacing w:after="0" w:line="162"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670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SELECTING THE DIRECTORS</w:t>
            </w:r>
          </w:p>
        </w:tc>
        <w:tc>
          <w:tcPr>
            <w:tcW w:w="3000" w:type="dxa"/>
            <w:vAlign w:val="bottom"/>
            <w:tcBorders>
              <w:bottom w:val="single" w:sz="8" w:color="2C2C2C"/>
            </w:tcBorders>
          </w:tcPr>
          <w:p>
            <w:pPr>
              <w:jc w:val="center"/>
              <w:ind w:left="1206"/>
              <w:spacing w:after="0" w:line="162" w:lineRule="exact"/>
              <w:rPr>
                <w:sz w:val="20"/>
                <w:szCs w:val="20"/>
                <w:color w:val="auto"/>
              </w:rPr>
            </w:pPr>
            <w:r>
              <w:rPr>
                <w:rFonts w:ascii="Arial" w:cs="Arial" w:eastAsia="Arial" w:hAnsi="Arial"/>
                <w:sz w:val="15"/>
                <w:szCs w:val="15"/>
                <w:b w:val="1"/>
                <w:bCs w:val="1"/>
                <w:color w:val="auto"/>
                <w:w w:val="89"/>
              </w:rPr>
              <w:t>(.x.)</w:t>
            </w:r>
          </w:p>
        </w:tc>
        <w:tc>
          <w:tcPr>
            <w:tcW w:w="1680" w:type="dxa"/>
            <w:vAlign w:val="bottom"/>
            <w:tcBorders>
              <w:bottom w:val="single" w:sz="8" w:color="2C2C2C"/>
            </w:tcBorders>
          </w:tcPr>
          <w:p>
            <w:pPr>
              <w:ind w:left="740"/>
              <w:spacing w:after="0" w:line="162" w:lineRule="exact"/>
              <w:rPr>
                <w:sz w:val="20"/>
                <w:szCs w:val="20"/>
                <w:color w:val="auto"/>
              </w:rPr>
            </w:pPr>
            <w:r>
              <w:rPr>
                <w:rFonts w:ascii="Arial" w:cs="Arial" w:eastAsia="Arial" w:hAnsi="Arial"/>
                <w:sz w:val="15"/>
                <w:szCs w:val="15"/>
                <w:b w:val="1"/>
                <w:bCs w:val="1"/>
                <w:color w:val="auto"/>
              </w:rPr>
              <w:t>(...)</w:t>
            </w:r>
          </w:p>
        </w:tc>
        <w:tc>
          <w:tcPr>
            <w:tcW w:w="20" w:type="dxa"/>
            <w:vAlign w:val="bottom"/>
            <w:tcBorders>
              <w:bottom w:val="single" w:sz="8" w:color="2C2C2C"/>
            </w:tcBorders>
          </w:tcPr>
          <w:p>
            <w:pPr>
              <w:spacing w:after="0"/>
              <w:rPr>
                <w:sz w:val="14"/>
                <w:szCs w:val="14"/>
                <w:color w:val="auto"/>
              </w:rPr>
            </w:pPr>
          </w:p>
        </w:tc>
      </w:tr>
      <w:tr>
        <w:trPr>
          <w:trHeight w:val="361"/>
        </w:trPr>
        <w:tc>
          <w:tcPr>
            <w:tcW w:w="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p>
      <w:pPr>
        <w:ind w:left="20" w:right="340"/>
        <w:spacing w:after="0" w:line="256" w:lineRule="auto"/>
        <w:rPr>
          <w:sz w:val="20"/>
          <w:szCs w:val="20"/>
          <w:color w:val="auto"/>
        </w:rPr>
      </w:pPr>
      <w:r>
        <w:rPr>
          <w:rFonts w:ascii="Arial" w:cs="Arial" w:eastAsia="Arial" w:hAnsi="Arial"/>
          <w:sz w:val="22"/>
          <w:szCs w:val="22"/>
          <w:b w:val="1"/>
          <w:bCs w:val="1"/>
          <w:color w:val="auto"/>
        </w:rPr>
        <w:t>d. If the answer to the previous question is affirmative for one or more of the procedures outlined, indicate whether such procedures are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72020" cy="6940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2020" cy="694055"/>
                    </a:xfrm>
                    <a:prstGeom prst="rect">
                      <a:avLst/>
                    </a:prstGeom>
                    <a:noFill/>
                  </pic:spPr>
                </pic:pic>
              </a:graphicData>
            </a:graphic>
          </wp:anchor>
        </w:drawing>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20" w:type="dxa"/>
            <w:vAlign w:val="bottom"/>
            <w:tcBorders>
              <w:top w:val="single" w:sz="8" w:color="2C2C2C"/>
              <w:bottom w:val="single" w:sz="8" w:color="2C2C2C"/>
            </w:tcBorders>
          </w:tcPr>
          <w:p>
            <w:pPr>
              <w:jc w:val="center"/>
              <w:ind w:left="326"/>
              <w:spacing w:after="0"/>
              <w:rPr>
                <w:sz w:val="20"/>
                <w:szCs w:val="20"/>
                <w:color w:val="auto"/>
              </w:rPr>
            </w:pPr>
            <w:r>
              <w:rPr>
                <w:rFonts w:ascii="Arial" w:cs="Arial" w:eastAsia="Arial" w:hAnsi="Arial"/>
                <w:sz w:val="15"/>
                <w:szCs w:val="15"/>
                <w:color w:val="auto"/>
                <w:w w:val="95"/>
              </w:rPr>
              <w:t>OTHER</w:t>
            </w:r>
          </w:p>
        </w:tc>
        <w:tc>
          <w:tcPr>
            <w:tcW w:w="2700" w:type="dxa"/>
            <w:vAlign w:val="bottom"/>
            <w:tcBorders>
              <w:top w:val="single" w:sz="8" w:color="2C2C2C"/>
              <w:bottom w:val="single" w:sz="8" w:color="2C2C2C"/>
            </w:tcBorders>
            <w:gridSpan w:val="3"/>
          </w:tcPr>
          <w:p>
            <w:pPr>
              <w:ind w:left="54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2000" w:type="dxa"/>
            <w:vAlign w:val="bottom"/>
          </w:tcPr>
          <w:p>
            <w:pPr>
              <w:jc w:val="center"/>
              <w:ind w:left="206"/>
              <w:spacing w:after="0" w:line="153" w:lineRule="exact"/>
              <w:rPr>
                <w:sz w:val="20"/>
                <w:szCs w:val="20"/>
                <w:color w:val="auto"/>
              </w:rPr>
            </w:pPr>
            <w:r>
              <w:rPr>
                <w:rFonts w:ascii="Arial" w:cs="Arial" w:eastAsia="Arial" w:hAnsi="Arial"/>
                <w:sz w:val="15"/>
                <w:szCs w:val="15"/>
                <w:b w:val="1"/>
                <w:bCs w:val="1"/>
                <w:color w:val="auto"/>
                <w:w w:val="99"/>
              </w:rPr>
              <w:t>(X.)</w:t>
            </w:r>
          </w:p>
        </w:tc>
        <w:tc>
          <w:tcPr>
            <w:tcW w:w="2820" w:type="dxa"/>
            <w:vAlign w:val="bottom"/>
          </w:tcPr>
          <w:p>
            <w:pPr>
              <w:jc w:val="center"/>
              <w:spacing w:after="0" w:line="153" w:lineRule="exact"/>
              <w:rPr>
                <w:sz w:val="20"/>
                <w:szCs w:val="20"/>
                <w:color w:val="auto"/>
              </w:rPr>
            </w:pPr>
            <w:r>
              <w:rPr>
                <w:rFonts w:ascii="Arial" w:cs="Arial" w:eastAsia="Arial" w:hAnsi="Arial"/>
                <w:sz w:val="15"/>
                <w:szCs w:val="15"/>
                <w:b w:val="1"/>
                <w:bCs w:val="1"/>
                <w:color w:val="auto"/>
                <w:w w:val="99"/>
              </w:rPr>
              <w:t>(X.)</w:t>
            </w:r>
          </w:p>
        </w:tc>
        <w:tc>
          <w:tcPr>
            <w:tcW w:w="2040" w:type="dxa"/>
            <w:vAlign w:val="bottom"/>
          </w:tcPr>
          <w:p>
            <w:pPr>
              <w:jc w:val="right"/>
              <w:ind w:right="966"/>
              <w:spacing w:after="0" w:line="153" w:lineRule="exact"/>
              <w:rPr>
                <w:sz w:val="20"/>
                <w:szCs w:val="20"/>
                <w:color w:val="auto"/>
              </w:rPr>
            </w:pPr>
            <w:r>
              <w:rPr>
                <w:rFonts w:ascii="Arial" w:cs="Arial" w:eastAsia="Arial" w:hAnsi="Arial"/>
                <w:sz w:val="15"/>
                <w:szCs w:val="15"/>
                <w:b w:val="1"/>
                <w:bCs w:val="1"/>
                <w:color w:val="auto"/>
              </w:rPr>
              <w:t>(...)</w:t>
            </w:r>
          </w:p>
        </w:tc>
        <w:tc>
          <w:tcPr>
            <w:tcW w:w="1820" w:type="dxa"/>
            <w:vAlign w:val="bottom"/>
          </w:tcPr>
          <w:p>
            <w:pPr>
              <w:jc w:val="right"/>
              <w:ind w:right="526"/>
              <w:spacing w:after="0" w:line="153" w:lineRule="exact"/>
              <w:rPr>
                <w:sz w:val="20"/>
                <w:szCs w:val="20"/>
                <w:color w:val="auto"/>
              </w:rPr>
            </w:pPr>
            <w:r>
              <w:rPr>
                <w:rFonts w:ascii="Arial" w:cs="Arial" w:eastAsia="Arial" w:hAnsi="Arial"/>
                <w:sz w:val="15"/>
                <w:szCs w:val="15"/>
                <w:b w:val="1"/>
                <w:bCs w:val="1"/>
                <w:color w:val="auto"/>
              </w:rPr>
              <w:t>(...)</w:t>
            </w:r>
          </w:p>
        </w:tc>
        <w:tc>
          <w:tcPr>
            <w:tcW w:w="700" w:type="dxa"/>
            <w:vAlign w:val="bottom"/>
          </w:tcPr>
          <w:p>
            <w:pPr>
              <w:ind w:left="460"/>
              <w:spacing w:after="0" w:line="153" w:lineRule="exact"/>
              <w:rPr>
                <w:sz w:val="20"/>
                <w:szCs w:val="20"/>
                <w:color w:val="auto"/>
              </w:rPr>
            </w:pPr>
            <w:r>
              <w:rPr>
                <w:rFonts w:ascii="Arial" w:cs="Arial" w:eastAsia="Arial" w:hAnsi="Arial"/>
                <w:sz w:val="15"/>
                <w:szCs w:val="15"/>
                <w:color w:val="auto"/>
                <w:w w:val="84"/>
              </w:rPr>
              <w:t>The</w:t>
            </w:r>
          </w:p>
        </w:tc>
        <w:tc>
          <w:tcPr>
            <w:tcW w:w="1420" w:type="dxa"/>
            <w:vAlign w:val="bottom"/>
          </w:tcPr>
          <w:p>
            <w:pPr>
              <w:ind w:left="320"/>
              <w:spacing w:after="0" w:line="153" w:lineRule="exact"/>
              <w:rPr>
                <w:sz w:val="20"/>
                <w:szCs w:val="20"/>
                <w:color w:val="auto"/>
              </w:rPr>
            </w:pPr>
            <w:r>
              <w:rPr>
                <w:rFonts w:ascii="Arial" w:cs="Arial" w:eastAsia="Arial" w:hAnsi="Arial"/>
                <w:sz w:val="15"/>
                <w:szCs w:val="15"/>
                <w:color w:val="auto"/>
              </w:rPr>
              <w:t>Shareholders’</w:t>
            </w:r>
          </w:p>
        </w:tc>
        <w:tc>
          <w:tcPr>
            <w:tcW w:w="580" w:type="dxa"/>
            <w:vAlign w:val="bottom"/>
          </w:tcPr>
          <w:p>
            <w:pPr>
              <w:jc w:val="right"/>
              <w:spacing w:after="0" w:line="153" w:lineRule="exact"/>
              <w:rPr>
                <w:sz w:val="20"/>
                <w:szCs w:val="20"/>
                <w:color w:val="auto"/>
              </w:rPr>
            </w:pPr>
            <w:r>
              <w:rPr>
                <w:rFonts w:ascii="Arial" w:cs="Arial" w:eastAsia="Arial" w:hAnsi="Arial"/>
                <w:sz w:val="15"/>
                <w:szCs w:val="15"/>
                <w:color w:val="auto"/>
              </w:rPr>
              <w:t>Meeting</w:t>
            </w: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gridSpan w:val="4"/>
          </w:tcPr>
          <w:p>
            <w:pPr>
              <w:ind w:left="460"/>
              <w:spacing w:after="0" w:line="162" w:lineRule="exact"/>
              <w:rPr>
                <w:sz w:val="20"/>
                <w:szCs w:val="20"/>
                <w:color w:val="auto"/>
              </w:rPr>
            </w:pPr>
            <w:r>
              <w:rPr>
                <w:rFonts w:ascii="Arial" w:cs="Arial" w:eastAsia="Arial" w:hAnsi="Arial"/>
                <w:sz w:val="15"/>
                <w:szCs w:val="15"/>
                <w:color w:val="auto"/>
                <w:w w:val="88"/>
              </w:rPr>
              <w:t>approves the election and the salaries</w:t>
            </w: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ind w:left="460"/>
              <w:spacing w:after="0" w:line="162" w:lineRule="exact"/>
              <w:rPr>
                <w:sz w:val="20"/>
                <w:szCs w:val="20"/>
                <w:color w:val="auto"/>
              </w:rPr>
            </w:pPr>
            <w:r>
              <w:rPr>
                <w:rFonts w:ascii="Arial" w:cs="Arial" w:eastAsia="Arial" w:hAnsi="Arial"/>
                <w:sz w:val="15"/>
                <w:szCs w:val="15"/>
                <w:color w:val="auto"/>
              </w:rPr>
              <w:t>of</w:t>
            </w:r>
          </w:p>
        </w:tc>
        <w:tc>
          <w:tcPr>
            <w:tcW w:w="1420" w:type="dxa"/>
            <w:vAlign w:val="bottom"/>
          </w:tcPr>
          <w:p>
            <w:pPr>
              <w:ind w:left="40"/>
              <w:spacing w:after="0" w:line="162" w:lineRule="exact"/>
              <w:rPr>
                <w:sz w:val="20"/>
                <w:szCs w:val="20"/>
                <w:color w:val="auto"/>
              </w:rPr>
            </w:pPr>
            <w:r>
              <w:rPr>
                <w:rFonts w:ascii="Arial" w:cs="Arial" w:eastAsia="Arial" w:hAnsi="Arial"/>
                <w:sz w:val="15"/>
                <w:szCs w:val="15"/>
                <w:color w:val="auto"/>
              </w:rPr>
              <w:t>the  Directors.  The</w:t>
            </w:r>
          </w:p>
        </w:tc>
        <w:tc>
          <w:tcPr>
            <w:tcW w:w="6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w w:val="99"/>
              </w:rPr>
              <w:t>Salaries</w:t>
            </w: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gridSpan w:val="4"/>
          </w:tcPr>
          <w:p>
            <w:pPr>
              <w:ind w:left="460"/>
              <w:spacing w:after="0" w:line="162" w:lineRule="exact"/>
              <w:rPr>
                <w:sz w:val="20"/>
                <w:szCs w:val="20"/>
                <w:color w:val="auto"/>
              </w:rPr>
            </w:pPr>
            <w:r>
              <w:rPr>
                <w:rFonts w:ascii="Arial" w:cs="Arial" w:eastAsia="Arial" w:hAnsi="Arial"/>
                <w:sz w:val="15"/>
                <w:szCs w:val="15"/>
                <w:color w:val="auto"/>
                <w:w w:val="95"/>
              </w:rPr>
              <w:t>Committee proposes. Regulation of</w:t>
            </w: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120" w:type="dxa"/>
            <w:vAlign w:val="bottom"/>
            <w:gridSpan w:val="2"/>
          </w:tcPr>
          <w:p>
            <w:pPr>
              <w:ind w:left="460"/>
              <w:spacing w:after="0"/>
              <w:rPr>
                <w:sz w:val="20"/>
                <w:szCs w:val="20"/>
                <w:color w:val="auto"/>
              </w:rPr>
            </w:pPr>
            <w:r>
              <w:rPr>
                <w:rFonts w:ascii="Arial" w:cs="Arial" w:eastAsia="Arial" w:hAnsi="Arial"/>
                <w:sz w:val="15"/>
                <w:szCs w:val="15"/>
                <w:color w:val="auto"/>
              </w:rPr>
              <w:t>the Salaries Commitee.</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ind w:left="20" w:right="4900" w:firstLine="8"/>
        <w:spacing w:after="0" w:line="445" w:lineRule="auto"/>
        <w:tabs>
          <w:tab w:leader="none" w:pos="182"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Specify the name of the document, if not THE COMPANY’s statutes. (...) THEY ARE NOT REGULATED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42545" cy="6083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545" cy="60833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281305</wp:posOffset>
            </wp:positionV>
            <wp:extent cx="42545" cy="5911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272415</wp:posOffset>
            </wp:positionV>
            <wp:extent cx="42545" cy="6083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545" cy="6083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540" w:type="dxa"/>
            <w:vAlign w:val="bottom"/>
            <w:tcBorders>
              <w:top w:val="single" w:sz="8" w:color="2C2C2C"/>
              <w:bottom w:val="single" w:sz="8" w:color="2C2C2C"/>
            </w:tcBorders>
            <w:gridSpan w:val="3"/>
            <w:vMerge w:val="restart"/>
          </w:tcPr>
          <w:p>
            <w:pPr>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780" w:type="dxa"/>
            <w:vAlign w:val="bottom"/>
            <w:tcBorders>
              <w:top w:val="single" w:sz="8" w:color="2C2C2C"/>
              <w:bottom w:val="single" w:sz="8" w:color="2C2C2C"/>
            </w:tcBorders>
          </w:tcPr>
          <w:p>
            <w:pPr>
              <w:spacing w:after="0"/>
              <w:rPr>
                <w:sz w:val="17"/>
                <w:szCs w:val="17"/>
                <w:color w:val="auto"/>
              </w:rPr>
            </w:pPr>
          </w:p>
        </w:tc>
        <w:tc>
          <w:tcPr>
            <w:tcW w:w="120" w:type="dxa"/>
            <w:vAlign w:val="bottom"/>
            <w:tcBorders>
              <w:top w:val="single" w:sz="8" w:color="2C2C2C"/>
              <w:bottom w:val="single" w:sz="8" w:color="2C2C2C"/>
            </w:tcBorders>
          </w:tcPr>
          <w:p>
            <w:pPr>
              <w:spacing w:after="0"/>
              <w:rPr>
                <w:sz w:val="17"/>
                <w:szCs w:val="17"/>
                <w:color w:val="auto"/>
              </w:rPr>
            </w:pPr>
          </w:p>
        </w:tc>
        <w:tc>
          <w:tcPr>
            <w:tcW w:w="22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540" w:type="dxa"/>
            <w:vAlign w:val="bottom"/>
            <w:gridSpan w:val="3"/>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780" w:type="dxa"/>
            <w:vAlign w:val="bottom"/>
            <w:vMerge w:val="restart"/>
          </w:tcPr>
          <w:p>
            <w:pPr>
              <w:jc w:val="right"/>
              <w:ind w:right="386"/>
              <w:spacing w:after="0" w:line="162" w:lineRule="exact"/>
              <w:rPr>
                <w:sz w:val="20"/>
                <w:szCs w:val="20"/>
                <w:color w:val="auto"/>
              </w:rPr>
            </w:pPr>
            <w:r>
              <w:rPr>
                <w:rFonts w:ascii="Arial" w:cs="Arial" w:eastAsia="Arial" w:hAnsi="Arial"/>
                <w:sz w:val="15"/>
                <w:szCs w:val="15"/>
                <w:i w:val="1"/>
                <w:iCs w:val="1"/>
                <w:color w:val="auto"/>
              </w:rPr>
              <w:t>3</w:t>
            </w:r>
          </w:p>
        </w:tc>
        <w:tc>
          <w:tcPr>
            <w:tcW w:w="120" w:type="dxa"/>
            <w:vAlign w:val="bottom"/>
            <w:vMerge w:val="restart"/>
          </w:tcPr>
          <w:p>
            <w:pPr>
              <w:ind w:left="20"/>
              <w:spacing w:after="0" w:line="162" w:lineRule="exact"/>
              <w:rPr>
                <w:sz w:val="20"/>
                <w:szCs w:val="20"/>
                <w:color w:val="auto"/>
              </w:rPr>
            </w:pPr>
            <w:r>
              <w:rPr>
                <w:rFonts w:ascii="Arial" w:cs="Arial" w:eastAsia="Arial" w:hAnsi="Arial"/>
                <w:sz w:val="15"/>
                <w:szCs w:val="15"/>
                <w:i w:val="1"/>
                <w:iCs w:val="1"/>
                <w:color w:val="auto"/>
                <w:w w:val="95"/>
              </w:rPr>
              <w:t>4</w:t>
            </w: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top w:val="single" w:sz="8" w:color="auto"/>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780" w:type="dxa"/>
            <w:vAlign w:val="bottom"/>
            <w:tcBorders>
              <w:bottom w:val="single" w:sz="8" w:color="2C2C2C"/>
            </w:tcBorders>
            <w:vMerge w:val="continue"/>
          </w:tcPr>
          <w:p>
            <w:pPr>
              <w:spacing w:after="0"/>
              <w:rPr>
                <w:sz w:val="8"/>
                <w:szCs w:val="8"/>
                <w:color w:val="auto"/>
              </w:rPr>
            </w:pPr>
          </w:p>
        </w:tc>
        <w:tc>
          <w:tcPr>
            <w:tcW w:w="120" w:type="dxa"/>
            <w:vAlign w:val="bottom"/>
            <w:tcBorders>
              <w:bottom w:val="single" w:sz="8" w:color="2C2C2C"/>
            </w:tcBorders>
            <w:vMerge w:val="continue"/>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40" w:type="dxa"/>
            <w:vAlign w:val="bottom"/>
            <w:gridSpan w:val="3"/>
          </w:tcPr>
          <w:p>
            <w:pPr>
              <w:spacing w:after="0" w:line="149" w:lineRule="exact"/>
              <w:rPr>
                <w:sz w:val="20"/>
                <w:szCs w:val="20"/>
                <w:color w:val="auto"/>
              </w:rPr>
            </w:pPr>
            <w:r>
              <w:rPr>
                <w:rFonts w:ascii="Arial" w:cs="Arial" w:eastAsia="Arial" w:hAnsi="Arial"/>
                <w:sz w:val="15"/>
                <w:szCs w:val="15"/>
                <w:i w:val="1"/>
                <w:iCs w:val="1"/>
                <w:color w:val="auto"/>
              </w:rPr>
              <w:t>14. The Board of Directors must carry out certain key functions, namely:</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gridSpan w:val="2"/>
          </w:tcPr>
          <w:p>
            <w:pPr>
              <w:ind w:left="40"/>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40" w:type="dxa"/>
            <w:vAlign w:val="bottom"/>
            <w:gridSpan w:val="3"/>
          </w:tcPr>
          <w:p>
            <w:pPr>
              <w:spacing w:after="0" w:line="142" w:lineRule="exact"/>
              <w:rPr>
                <w:sz w:val="20"/>
                <w:szCs w:val="20"/>
                <w:color w:val="auto"/>
              </w:rPr>
            </w:pPr>
            <w:r>
              <w:rPr>
                <w:rFonts w:ascii="Arial" w:cs="Arial" w:eastAsia="Arial" w:hAnsi="Arial"/>
                <w:sz w:val="15"/>
                <w:szCs w:val="15"/>
                <w:i w:val="1"/>
                <w:iCs w:val="1"/>
                <w:color w:val="auto"/>
                <w:w w:val="93"/>
              </w:rPr>
              <w:t>Principle (V.D.4).- Follow-up and control of the possible conflicts of interest between the administration, the members of the Board and the</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540" w:type="dxa"/>
            <w:vAlign w:val="bottom"/>
            <w:tcBorders>
              <w:bottom w:val="single" w:sz="8" w:color="2C2C2C"/>
            </w:tcBorders>
            <w:gridSpan w:val="3"/>
          </w:tcPr>
          <w:p>
            <w:pPr>
              <w:spacing w:after="0" w:line="156" w:lineRule="exact"/>
              <w:rPr>
                <w:sz w:val="20"/>
                <w:szCs w:val="20"/>
                <w:color w:val="auto"/>
              </w:rPr>
            </w:pPr>
            <w:r>
              <w:rPr>
                <w:rFonts w:ascii="Arial" w:cs="Arial" w:eastAsia="Arial" w:hAnsi="Arial"/>
                <w:sz w:val="15"/>
                <w:szCs w:val="15"/>
                <w:i w:val="1"/>
                <w:iCs w:val="1"/>
                <w:color w:val="auto"/>
              </w:rPr>
              <w:t>shareholders, including the fraudulent use of corporate assets and the abuse of transactions between interested parties.</w:t>
            </w:r>
          </w:p>
        </w:tc>
        <w:tc>
          <w:tcPr>
            <w:tcW w:w="7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-466725</wp:posOffset>
            </wp:positionV>
            <wp:extent cx="42545" cy="4711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-466725</wp:posOffset>
            </wp:positionV>
            <wp:extent cx="42545" cy="4711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-466725</wp:posOffset>
            </wp:positionV>
            <wp:extent cx="42545" cy="4711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6874510</wp:posOffset>
            </wp:positionH>
            <wp:positionV relativeFrom="paragraph">
              <wp:posOffset>-466725</wp:posOffset>
            </wp:positionV>
            <wp:extent cx="42545" cy="4711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54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right="160"/>
        <w:spacing w:after="0" w:line="256" w:lineRule="auto"/>
        <w:rPr>
          <w:sz w:val="20"/>
          <w:szCs w:val="20"/>
          <w:color w:val="auto"/>
        </w:rPr>
      </w:pPr>
      <w:r>
        <w:rPr>
          <w:rFonts w:ascii="Arial" w:cs="Arial" w:eastAsia="Arial" w:hAnsi="Arial"/>
          <w:sz w:val="22"/>
          <w:szCs w:val="22"/>
          <w:b w:val="1"/>
          <w:bCs w:val="1"/>
          <w:color w:val="auto"/>
        </w:rPr>
        <w:t>a. If THE COMPANY’s Board of Directors is responsible for the function described in this principle, indicate whether this function of the Board is contained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72020" cy="6940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2020" cy="694055"/>
                    </a:xfrm>
                    <a:prstGeom prst="rect">
                      <a:avLst/>
                    </a:prstGeom>
                    <a:noFill/>
                  </pic:spPr>
                </pic:pic>
              </a:graphicData>
            </a:graphic>
          </wp:anchor>
        </w:drawing>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20" w:type="dxa"/>
            <w:vAlign w:val="bottom"/>
            <w:tcBorders>
              <w:top w:val="single" w:sz="8" w:color="2C2C2C"/>
              <w:bottom w:val="single" w:sz="8" w:color="2C2C2C"/>
            </w:tcBorders>
          </w:tcPr>
          <w:p>
            <w:pPr>
              <w:jc w:val="center"/>
              <w:ind w:left="326"/>
              <w:spacing w:after="0"/>
              <w:rPr>
                <w:sz w:val="20"/>
                <w:szCs w:val="20"/>
                <w:color w:val="auto"/>
              </w:rPr>
            </w:pPr>
            <w:r>
              <w:rPr>
                <w:rFonts w:ascii="Arial" w:cs="Arial" w:eastAsia="Arial" w:hAnsi="Arial"/>
                <w:sz w:val="15"/>
                <w:szCs w:val="15"/>
                <w:color w:val="auto"/>
                <w:w w:val="95"/>
              </w:rPr>
              <w:t>OTHER</w:t>
            </w:r>
          </w:p>
        </w:tc>
        <w:tc>
          <w:tcPr>
            <w:tcW w:w="2700" w:type="dxa"/>
            <w:vAlign w:val="bottom"/>
            <w:tcBorders>
              <w:top w:val="single" w:sz="8" w:color="2C2C2C"/>
              <w:bottom w:val="single" w:sz="8" w:color="2C2C2C"/>
            </w:tcBorders>
          </w:tcPr>
          <w:p>
            <w:pPr>
              <w:ind w:left="54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2000" w:type="dxa"/>
            <w:vAlign w:val="bottom"/>
          </w:tcPr>
          <w:p>
            <w:pPr>
              <w:jc w:val="right"/>
              <w:ind w:right="686"/>
              <w:spacing w:after="0" w:line="153" w:lineRule="exact"/>
              <w:rPr>
                <w:sz w:val="20"/>
                <w:szCs w:val="20"/>
                <w:color w:val="auto"/>
              </w:rPr>
            </w:pPr>
            <w:r>
              <w:rPr>
                <w:rFonts w:ascii="Arial" w:cs="Arial" w:eastAsia="Arial" w:hAnsi="Arial"/>
                <w:sz w:val="15"/>
                <w:szCs w:val="15"/>
                <w:b w:val="1"/>
                <w:bCs w:val="1"/>
                <w:color w:val="auto"/>
              </w:rPr>
              <w:t>(...)</w:t>
            </w:r>
          </w:p>
        </w:tc>
        <w:tc>
          <w:tcPr>
            <w:tcW w:w="2820" w:type="dxa"/>
            <w:vAlign w:val="bottom"/>
          </w:tcPr>
          <w:p>
            <w:pPr>
              <w:jc w:val="center"/>
              <w:spacing w:after="0" w:line="153" w:lineRule="exact"/>
              <w:rPr>
                <w:sz w:val="20"/>
                <w:szCs w:val="20"/>
                <w:color w:val="auto"/>
              </w:rPr>
            </w:pPr>
            <w:r>
              <w:rPr>
                <w:rFonts w:ascii="Arial" w:cs="Arial" w:eastAsia="Arial" w:hAnsi="Arial"/>
                <w:sz w:val="15"/>
                <w:szCs w:val="15"/>
                <w:b w:val="1"/>
                <w:bCs w:val="1"/>
                <w:color w:val="auto"/>
                <w:w w:val="99"/>
              </w:rPr>
              <w:t>(X.)</w:t>
            </w:r>
          </w:p>
        </w:tc>
        <w:tc>
          <w:tcPr>
            <w:tcW w:w="2040" w:type="dxa"/>
            <w:vAlign w:val="bottom"/>
          </w:tcPr>
          <w:p>
            <w:pPr>
              <w:jc w:val="right"/>
              <w:ind w:right="966"/>
              <w:spacing w:after="0" w:line="153" w:lineRule="exact"/>
              <w:rPr>
                <w:sz w:val="20"/>
                <w:szCs w:val="20"/>
                <w:color w:val="auto"/>
              </w:rPr>
            </w:pPr>
            <w:r>
              <w:rPr>
                <w:rFonts w:ascii="Arial" w:cs="Arial" w:eastAsia="Arial" w:hAnsi="Arial"/>
                <w:sz w:val="15"/>
                <w:szCs w:val="15"/>
                <w:b w:val="1"/>
                <w:bCs w:val="1"/>
                <w:color w:val="auto"/>
              </w:rPr>
              <w:t>(...)</w:t>
            </w:r>
          </w:p>
        </w:tc>
        <w:tc>
          <w:tcPr>
            <w:tcW w:w="1820" w:type="dxa"/>
            <w:vAlign w:val="bottom"/>
          </w:tcPr>
          <w:p>
            <w:pPr>
              <w:jc w:val="right"/>
              <w:ind w:right="526"/>
              <w:spacing w:after="0" w:line="153" w:lineRule="exact"/>
              <w:rPr>
                <w:sz w:val="20"/>
                <w:szCs w:val="20"/>
                <w:color w:val="auto"/>
              </w:rPr>
            </w:pPr>
            <w:r>
              <w:rPr>
                <w:rFonts w:ascii="Arial" w:cs="Arial" w:eastAsia="Arial" w:hAnsi="Arial"/>
                <w:sz w:val="15"/>
                <w:szCs w:val="15"/>
                <w:b w:val="1"/>
                <w:bCs w:val="1"/>
                <w:color w:val="auto"/>
              </w:rPr>
              <w:t>(...)</w:t>
            </w:r>
          </w:p>
        </w:tc>
        <w:tc>
          <w:tcPr>
            <w:tcW w:w="2700" w:type="dxa"/>
            <w:vAlign w:val="bottom"/>
          </w:tcPr>
          <w:p>
            <w:pPr>
              <w:ind w:left="460"/>
              <w:spacing w:after="0" w:line="153" w:lineRule="exact"/>
              <w:rPr>
                <w:sz w:val="20"/>
                <w:szCs w:val="20"/>
                <w:color w:val="auto"/>
              </w:rPr>
            </w:pPr>
            <w:r>
              <w:rPr>
                <w:rFonts w:ascii="Arial" w:cs="Arial" w:eastAsia="Arial" w:hAnsi="Arial"/>
                <w:sz w:val="15"/>
                <w:szCs w:val="15"/>
                <w:color w:val="auto"/>
              </w:rPr>
              <w:t>Codes   of   Ethics   and   Ethics</w:t>
            </w: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gridSpan w:val="2"/>
          </w:tcPr>
          <w:p>
            <w:pPr>
              <w:ind w:left="460"/>
              <w:spacing w:after="0" w:line="162" w:lineRule="exact"/>
              <w:rPr>
                <w:sz w:val="20"/>
                <w:szCs w:val="20"/>
                <w:color w:val="auto"/>
              </w:rPr>
            </w:pPr>
            <w:r>
              <w:rPr>
                <w:rFonts w:ascii="Arial" w:cs="Arial" w:eastAsia="Arial" w:hAnsi="Arial"/>
                <w:sz w:val="15"/>
                <w:szCs w:val="15"/>
                <w:color w:val="auto"/>
                <w:w w:val="94"/>
              </w:rPr>
              <w:t>for Financial Professionals. Policies</w:t>
            </w: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gridSpan w:val="2"/>
          </w:tcPr>
          <w:p>
            <w:pPr>
              <w:ind w:left="460"/>
              <w:spacing w:after="0" w:line="162" w:lineRule="exact"/>
              <w:rPr>
                <w:sz w:val="20"/>
                <w:szCs w:val="20"/>
                <w:color w:val="auto"/>
              </w:rPr>
            </w:pPr>
            <w:r>
              <w:rPr>
                <w:rFonts w:ascii="Arial" w:cs="Arial" w:eastAsia="Arial" w:hAnsi="Arial"/>
                <w:sz w:val="15"/>
                <w:szCs w:val="15"/>
                <w:color w:val="auto"/>
                <w:w w:val="92"/>
              </w:rPr>
              <w:t>on the denunciation system. Policies</w:t>
            </w: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on   the   prevention   of   asset</w:t>
            </w: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720" w:type="dxa"/>
            <w:vAlign w:val="bottom"/>
            <w:gridSpan w:val="2"/>
          </w:tcPr>
          <w:p>
            <w:pPr>
              <w:ind w:left="460"/>
              <w:spacing w:after="0"/>
              <w:rPr>
                <w:sz w:val="20"/>
                <w:szCs w:val="20"/>
                <w:color w:val="auto"/>
              </w:rPr>
            </w:pPr>
            <w:r>
              <w:rPr>
                <w:rFonts w:ascii="Arial" w:cs="Arial" w:eastAsia="Arial" w:hAnsi="Arial"/>
                <w:sz w:val="15"/>
                <w:szCs w:val="15"/>
                <w:color w:val="auto"/>
              </w:rPr>
              <w:t>laundering.</w:t>
            </w:r>
          </w:p>
        </w:tc>
      </w:tr>
    </w:tbl>
    <w:p>
      <w:pPr>
        <w:ind w:left="20"/>
        <w:spacing w:after="0"/>
        <w:rPr>
          <w:sz w:val="20"/>
          <w:szCs w:val="20"/>
          <w:color w:val="auto"/>
        </w:rPr>
      </w:pPr>
      <w:r>
        <w:rPr>
          <w:rFonts w:ascii="Arial" w:cs="Arial" w:eastAsia="Arial" w:hAnsi="Arial"/>
          <w:sz w:val="22"/>
          <w:szCs w:val="22"/>
          <w:b w:val="1"/>
          <w:bCs w:val="1"/>
          <w:color w:val="auto"/>
        </w:rPr>
        <w:t>* Specify the name of the document, if not THE COMPANY’s statutes.</w:t>
      </w:r>
    </w:p>
    <w:p>
      <w:pPr>
        <w:spacing w:after="0" w:line="189" w:lineRule="exact"/>
        <w:rPr>
          <w:sz w:val="20"/>
          <w:szCs w:val="20"/>
          <w:color w:val="auto"/>
        </w:rPr>
      </w:pPr>
    </w:p>
    <w:p>
      <w:pPr>
        <w:ind w:left="20" w:right="1140"/>
        <w:spacing w:after="0" w:line="242" w:lineRule="auto"/>
        <w:rPr>
          <w:sz w:val="20"/>
          <w:szCs w:val="20"/>
          <w:color w:val="auto"/>
        </w:rPr>
      </w:pPr>
      <w:r>
        <w:rPr>
          <w:rFonts w:ascii="Arial" w:cs="Arial" w:eastAsia="Arial" w:hAnsi="Arial"/>
          <w:sz w:val="22"/>
          <w:szCs w:val="22"/>
          <w:b w:val="1"/>
          <w:bCs w:val="1"/>
          <w:color w:val="auto"/>
        </w:rPr>
        <w:t>(...) THE BOARD OF DIRECTORS IS RESPONSIBLE FOR THE FUNCTION DESCRIBED BUT IT IS NOT REGULATED</w:t>
      </w:r>
    </w:p>
    <w:p>
      <w:pPr>
        <w:ind w:left="20"/>
        <w:spacing w:after="0"/>
        <w:rPr>
          <w:sz w:val="20"/>
          <w:szCs w:val="20"/>
          <w:color w:val="auto"/>
        </w:rPr>
      </w:pPr>
      <w:r>
        <w:rPr>
          <w:rFonts w:ascii="Arial" w:cs="Arial" w:eastAsia="Arial" w:hAnsi="Arial"/>
          <w:sz w:val="22"/>
          <w:szCs w:val="22"/>
          <w:b w:val="1"/>
          <w:bCs w:val="1"/>
          <w:color w:val="auto"/>
        </w:rPr>
        <w:t>(...) NOT APPLICABLE. THE BOARD IS NOT RESPONSIBLE FOR THIS FUNCTION</w:t>
      </w:r>
    </w:p>
    <w:p>
      <w:pPr>
        <w:spacing w:after="0" w:line="182" w:lineRule="exact"/>
        <w:rPr>
          <w:sz w:val="20"/>
          <w:szCs w:val="20"/>
          <w:color w:val="auto"/>
        </w:rPr>
      </w:pPr>
    </w:p>
    <w:p>
      <w:pPr>
        <w:ind w:left="20" w:right="140"/>
        <w:spacing w:after="0" w:line="256" w:lineRule="auto"/>
        <w:rPr>
          <w:sz w:val="20"/>
          <w:szCs w:val="20"/>
          <w:color w:val="auto"/>
        </w:rPr>
      </w:pPr>
      <w:r>
        <w:rPr>
          <w:rFonts w:ascii="Arial" w:cs="Arial" w:eastAsia="Arial" w:hAnsi="Arial"/>
          <w:sz w:val="22"/>
          <w:szCs w:val="22"/>
          <w:b w:val="1"/>
          <w:bCs w:val="1"/>
          <w:color w:val="auto"/>
        </w:rPr>
        <w:t>b. Specify the number of conflict of interest cases that have been the subject of discussion by the Board of Directors during the financial year to which this report refers.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7259320" cy="162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9320" cy="16256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sz w:val="1"/>
          <w:szCs w:val="1"/>
          <w:color w:val="auto"/>
        </w:rPr>
        <w:drawing>
          <wp:inline distT="0" distB="0" distL="0" distR="0">
            <wp:extent cx="42545" cy="1625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545" cy="162560"/>
                    </a:xfrm>
                    <a:prstGeom prst="rect">
                      <a:avLst/>
                    </a:prstGeom>
                    <a:noFill/>
                    <a:ln>
                      <a:noFill/>
                    </a:ln>
                  </pic:spPr>
                </pic:pic>
              </a:graphicData>
            </a:graphic>
          </wp:inline>
        </w:drawing>
      </w:r>
      <w:r>
        <w:rPr>
          <w:rFonts w:ascii="Arial" w:cs="Arial" w:eastAsia="Arial" w:hAnsi="Arial"/>
          <w:sz w:val="15"/>
          <w:szCs w:val="15"/>
          <w:color w:val="auto"/>
        </w:rPr>
        <w:t xml:space="preserve">NUMBER OF CASES                                                          </w:t>
      </w:r>
      <w:r>
        <w:rPr>
          <w:sz w:val="1"/>
          <w:szCs w:val="1"/>
          <w:color w:val="auto"/>
        </w:rPr>
        <w:drawing>
          <wp:inline distT="0" distB="0" distL="0" distR="0">
            <wp:extent cx="42545" cy="14541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545" cy="145415"/>
                    </a:xfrm>
                    <a:prstGeom prst="rect">
                      <a:avLst/>
                    </a:prstGeom>
                    <a:noFill/>
                    <a:ln>
                      <a:noFill/>
                    </a:ln>
                  </pic:spPr>
                </pic:pic>
              </a:graphicData>
            </a:graphic>
          </wp:inline>
        </w:drawing>
      </w:r>
      <w:r>
        <w:rPr>
          <w:rFonts w:ascii="Arial" w:cs="Arial" w:eastAsia="Arial" w:hAnsi="Arial"/>
          <w:sz w:val="15"/>
          <w:szCs w:val="15"/>
          <w:color w:val="auto"/>
        </w:rPr>
        <w:t>None</w:t>
      </w:r>
    </w:p>
    <w:p>
      <w:pPr>
        <w:spacing w:after="0" w:line="200" w:lineRule="exact"/>
        <w:rPr>
          <w:sz w:val="20"/>
          <w:szCs w:val="20"/>
          <w:color w:val="auto"/>
        </w:rPr>
      </w:pPr>
    </w:p>
    <w:p>
      <w:pPr>
        <w:spacing w:after="0" w:line="212" w:lineRule="exact"/>
        <w:rPr>
          <w:sz w:val="20"/>
          <w:szCs w:val="20"/>
          <w:color w:val="auto"/>
        </w:rPr>
      </w:pPr>
    </w:p>
    <w:p>
      <w:pPr>
        <w:ind w:left="20" w:right="140"/>
        <w:spacing w:after="0" w:line="256" w:lineRule="auto"/>
        <w:rPr>
          <w:sz w:val="20"/>
          <w:szCs w:val="20"/>
          <w:color w:val="auto"/>
        </w:rPr>
      </w:pPr>
      <w:r>
        <w:rPr>
          <w:rFonts w:ascii="Arial" w:cs="Arial" w:eastAsia="Arial" w:hAnsi="Arial"/>
          <w:sz w:val="22"/>
          <w:szCs w:val="22"/>
          <w:b w:val="1"/>
          <w:bCs w:val="1"/>
          <w:color w:val="auto"/>
        </w:rPr>
        <w:t>c. Indicate whether THE COMPANY or its Board of Directors has a Code of Ethics or similar document in which conflicts of interest that could arise are regulated.</w:t>
      </w:r>
    </w:p>
    <w:p>
      <w:pPr>
        <w:spacing w:after="0" w:line="163"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22"/>
          <w:szCs w:val="22"/>
          <w:b w:val="1"/>
          <w:bCs w:val="1"/>
          <w:color w:val="auto"/>
        </w:rPr>
        <w:t>(.X.) YES</w:t>
      </w:r>
      <w:r>
        <w:rPr>
          <w:sz w:val="20"/>
          <w:szCs w:val="20"/>
          <w:color w:val="auto"/>
        </w:rPr>
        <w:tab/>
      </w:r>
      <w:r>
        <w:rPr>
          <w:rFonts w:ascii="Arial" w:cs="Arial" w:eastAsia="Arial" w:hAnsi="Arial"/>
          <w:sz w:val="19"/>
          <w:szCs w:val="19"/>
          <w:b w:val="1"/>
          <w:bCs w:val="1"/>
          <w:color w:val="auto"/>
        </w:rPr>
        <w:t>(...) NO</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If the reply is affirmative, please specify the exact name of the document: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Codes of Ethics and Ethics for Financial Professionals have been established in the Corporate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130810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20" w:top="571" w:right="239" w:bottom="144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auto"/>
        </w:rPr>
        <w:t>d. Describe the pre-established procedures for approving transactions between related parties.</w:t>
      </w:r>
    </w:p>
    <w:p>
      <w:pPr>
        <w:spacing w:after="0" w:line="15" w:lineRule="exact"/>
        <w:rPr>
          <w:sz w:val="20"/>
          <w:szCs w:val="20"/>
          <w:color w:val="auto"/>
        </w:rPr>
      </w:pPr>
    </w:p>
    <w:p>
      <w:pPr>
        <w:ind w:right="100"/>
        <w:spacing w:after="0" w:line="237" w:lineRule="auto"/>
        <w:rPr>
          <w:sz w:val="20"/>
          <w:szCs w:val="20"/>
          <w:color w:val="auto"/>
        </w:rPr>
      </w:pPr>
      <w:r>
        <w:rPr>
          <w:rFonts w:ascii="Arial" w:cs="Arial" w:eastAsia="Arial" w:hAnsi="Arial"/>
          <w:sz w:val="22"/>
          <w:szCs w:val="22"/>
          <w:color w:val="auto"/>
        </w:rPr>
        <w:t>The Credit Management Committee evaluates the procedures and approves the transactions between the related parties in the same way as in any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42545" cy="6083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545" cy="60833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281305</wp:posOffset>
            </wp:positionV>
            <wp:extent cx="42545" cy="5911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272415</wp:posOffset>
            </wp:positionV>
            <wp:extent cx="42545" cy="6083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2545" cy="6083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540" w:type="dxa"/>
            <w:vAlign w:val="bottom"/>
            <w:tcBorders>
              <w:top w:val="single" w:sz="8" w:color="2C2C2C"/>
              <w:bottom w:val="single" w:sz="8" w:color="2C2C2C"/>
            </w:tcBorders>
            <w:gridSpan w:val="3"/>
            <w:vMerge w:val="restart"/>
          </w:tcPr>
          <w:p>
            <w:pPr>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560" w:type="dxa"/>
            <w:vAlign w:val="bottom"/>
            <w:tcBorders>
              <w:top w:val="single" w:sz="8" w:color="2C2C2C"/>
              <w:bottom w:val="single" w:sz="8" w:color="2C2C2C"/>
            </w:tcBorders>
          </w:tcPr>
          <w:p>
            <w:pPr>
              <w:spacing w:after="0"/>
              <w:rPr>
                <w:sz w:val="17"/>
                <w:szCs w:val="17"/>
                <w:color w:val="auto"/>
              </w:rPr>
            </w:pPr>
          </w:p>
        </w:tc>
        <w:tc>
          <w:tcPr>
            <w:tcW w:w="56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540" w:type="dxa"/>
            <w:vAlign w:val="bottom"/>
            <w:gridSpan w:val="3"/>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56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3</w:t>
            </w:r>
          </w:p>
        </w:tc>
        <w:tc>
          <w:tcPr>
            <w:tcW w:w="560" w:type="dxa"/>
            <w:vAlign w:val="bottom"/>
            <w:vMerge w:val="restart"/>
          </w:tcPr>
          <w:p>
            <w:pPr>
              <w:ind w:left="240"/>
              <w:spacing w:after="0" w:line="162" w:lineRule="exact"/>
              <w:rPr>
                <w:sz w:val="20"/>
                <w:szCs w:val="20"/>
                <w:color w:val="auto"/>
              </w:rPr>
            </w:pPr>
            <w:r>
              <w:rPr>
                <w:rFonts w:ascii="Arial" w:cs="Arial" w:eastAsia="Arial" w:hAnsi="Arial"/>
                <w:sz w:val="15"/>
                <w:szCs w:val="15"/>
                <w:i w:val="1"/>
                <w:iCs w:val="1"/>
                <w:color w:val="auto"/>
              </w:rPr>
              <w:t>4</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top w:val="single" w:sz="8" w:color="auto"/>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gridSpan w:val="3"/>
          </w:tcPr>
          <w:p>
            <w:pPr>
              <w:spacing w:after="0" w:line="153" w:lineRule="exact"/>
              <w:rPr>
                <w:sz w:val="20"/>
                <w:szCs w:val="20"/>
                <w:color w:val="auto"/>
              </w:rPr>
            </w:pPr>
            <w:r>
              <w:rPr>
                <w:rFonts w:ascii="Arial" w:cs="Arial" w:eastAsia="Arial" w:hAnsi="Arial"/>
                <w:sz w:val="15"/>
                <w:szCs w:val="15"/>
                <w:i w:val="1"/>
                <w:iCs w:val="1"/>
                <w:color w:val="auto"/>
              </w:rPr>
              <w:t>15. The Board of Directors must carry out certain key functions, namely:</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ind w:left="260"/>
              <w:spacing w:after="0" w:line="153"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gridSpan w:val="3"/>
          </w:tcPr>
          <w:p>
            <w:pPr>
              <w:spacing w:after="0" w:line="158" w:lineRule="exact"/>
              <w:rPr>
                <w:sz w:val="20"/>
                <w:szCs w:val="20"/>
                <w:color w:val="auto"/>
              </w:rPr>
            </w:pPr>
            <w:r>
              <w:rPr>
                <w:rFonts w:ascii="Arial" w:cs="Arial" w:eastAsia="Arial" w:hAnsi="Arial"/>
                <w:sz w:val="15"/>
                <w:szCs w:val="15"/>
                <w:i w:val="1"/>
                <w:iCs w:val="1"/>
                <w:color w:val="auto"/>
                <w:w w:val="90"/>
              </w:rPr>
              <w:t>Principle (V.D.5).- Ensure the integrity of the accounting systems and the company’s financial statements, including an independent audit, and</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540" w:type="dxa"/>
            <w:vAlign w:val="bottom"/>
            <w:tcBorders>
              <w:bottom w:val="single" w:sz="8" w:color="2C2C2C"/>
            </w:tcBorders>
            <w:gridSpan w:val="3"/>
          </w:tcPr>
          <w:p>
            <w:pPr>
              <w:spacing w:after="0" w:line="156" w:lineRule="exact"/>
              <w:rPr>
                <w:sz w:val="20"/>
                <w:szCs w:val="20"/>
                <w:color w:val="auto"/>
              </w:rPr>
            </w:pPr>
            <w:r>
              <w:rPr>
                <w:rFonts w:ascii="Arial" w:cs="Arial" w:eastAsia="Arial" w:hAnsi="Arial"/>
                <w:sz w:val="15"/>
                <w:szCs w:val="15"/>
                <w:i w:val="1"/>
                <w:iCs w:val="1"/>
                <w:color w:val="auto"/>
              </w:rPr>
              <w:t>the existence of the necessary control systems, especially financial and non-financial risk control and fulfillment of the law.</w:t>
            </w:r>
          </w:p>
        </w:tc>
        <w:tc>
          <w:tcPr>
            <w:tcW w:w="7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-466725</wp:posOffset>
            </wp:positionV>
            <wp:extent cx="42545" cy="4711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-466725</wp:posOffset>
            </wp:positionV>
            <wp:extent cx="42545" cy="4711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-466725</wp:posOffset>
            </wp:positionV>
            <wp:extent cx="42545" cy="4711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-466725</wp:posOffset>
            </wp:positionV>
            <wp:extent cx="42545" cy="4711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545" cy="47117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160"/>
        <w:spacing w:after="0" w:line="256" w:lineRule="auto"/>
        <w:rPr>
          <w:sz w:val="20"/>
          <w:szCs w:val="20"/>
          <w:color w:val="auto"/>
        </w:rPr>
      </w:pPr>
      <w:r>
        <w:rPr>
          <w:rFonts w:ascii="Arial" w:cs="Arial" w:eastAsia="Arial" w:hAnsi="Arial"/>
          <w:sz w:val="22"/>
          <w:szCs w:val="22"/>
          <w:b w:val="1"/>
          <w:bCs w:val="1"/>
          <w:color w:val="auto"/>
        </w:rPr>
        <w:t>a. If THE COMPANY’s Board of Directors is responsible for the function described in this principle, indicate whether this function of the Board is contained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3854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2020" cy="3854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20" w:type="dxa"/>
            <w:vAlign w:val="bottom"/>
            <w:tcBorders>
              <w:top w:val="single" w:sz="8" w:color="2C2C2C"/>
              <w:bottom w:val="single" w:sz="8" w:color="2C2C2C"/>
            </w:tcBorders>
          </w:tcPr>
          <w:p>
            <w:pPr>
              <w:jc w:val="center"/>
              <w:ind w:left="326"/>
              <w:spacing w:after="0"/>
              <w:rPr>
                <w:sz w:val="20"/>
                <w:szCs w:val="20"/>
                <w:color w:val="auto"/>
              </w:rPr>
            </w:pPr>
            <w:r>
              <w:rPr>
                <w:rFonts w:ascii="Arial" w:cs="Arial" w:eastAsia="Arial" w:hAnsi="Arial"/>
                <w:sz w:val="15"/>
                <w:szCs w:val="15"/>
                <w:color w:val="auto"/>
                <w:w w:val="95"/>
              </w:rPr>
              <w:t>OTHER</w:t>
            </w:r>
          </w:p>
        </w:tc>
        <w:tc>
          <w:tcPr>
            <w:tcW w:w="2700" w:type="dxa"/>
            <w:vAlign w:val="bottom"/>
            <w:tcBorders>
              <w:top w:val="single" w:sz="8" w:color="2C2C2C"/>
              <w:bottom w:val="single" w:sz="8" w:color="2C2C2C"/>
            </w:tcBorders>
          </w:tcPr>
          <w:p>
            <w:pPr>
              <w:ind w:left="54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2000" w:type="dxa"/>
            <w:vAlign w:val="bottom"/>
          </w:tcPr>
          <w:p>
            <w:pPr>
              <w:jc w:val="center"/>
              <w:ind w:left="206"/>
              <w:spacing w:after="0" w:line="153" w:lineRule="exact"/>
              <w:rPr>
                <w:sz w:val="20"/>
                <w:szCs w:val="20"/>
                <w:color w:val="auto"/>
              </w:rPr>
            </w:pPr>
            <w:r>
              <w:rPr>
                <w:rFonts w:ascii="Arial" w:cs="Arial" w:eastAsia="Arial" w:hAnsi="Arial"/>
                <w:sz w:val="15"/>
                <w:szCs w:val="15"/>
                <w:b w:val="1"/>
                <w:bCs w:val="1"/>
                <w:color w:val="auto"/>
                <w:w w:val="99"/>
              </w:rPr>
              <w:t>(X.)</w:t>
            </w:r>
          </w:p>
        </w:tc>
        <w:tc>
          <w:tcPr>
            <w:tcW w:w="2820" w:type="dxa"/>
            <w:vAlign w:val="bottom"/>
          </w:tcPr>
          <w:p>
            <w:pPr>
              <w:jc w:val="center"/>
              <w:spacing w:after="0" w:line="153" w:lineRule="exact"/>
              <w:rPr>
                <w:sz w:val="20"/>
                <w:szCs w:val="20"/>
                <w:color w:val="auto"/>
              </w:rPr>
            </w:pPr>
            <w:r>
              <w:rPr>
                <w:rFonts w:ascii="Arial" w:cs="Arial" w:eastAsia="Arial" w:hAnsi="Arial"/>
                <w:sz w:val="15"/>
                <w:szCs w:val="15"/>
                <w:b w:val="1"/>
                <w:bCs w:val="1"/>
                <w:color w:val="auto"/>
                <w:w w:val="99"/>
              </w:rPr>
              <w:t>(X.)</w:t>
            </w:r>
          </w:p>
        </w:tc>
        <w:tc>
          <w:tcPr>
            <w:tcW w:w="2040" w:type="dxa"/>
            <w:vAlign w:val="bottom"/>
          </w:tcPr>
          <w:p>
            <w:pPr>
              <w:jc w:val="right"/>
              <w:ind w:right="966"/>
              <w:spacing w:after="0" w:line="153" w:lineRule="exact"/>
              <w:rPr>
                <w:sz w:val="20"/>
                <w:szCs w:val="20"/>
                <w:color w:val="auto"/>
              </w:rPr>
            </w:pPr>
            <w:r>
              <w:rPr>
                <w:rFonts w:ascii="Arial" w:cs="Arial" w:eastAsia="Arial" w:hAnsi="Arial"/>
                <w:sz w:val="15"/>
                <w:szCs w:val="15"/>
                <w:b w:val="1"/>
                <w:bCs w:val="1"/>
                <w:color w:val="auto"/>
              </w:rPr>
              <w:t>(...)</w:t>
            </w:r>
          </w:p>
        </w:tc>
        <w:tc>
          <w:tcPr>
            <w:tcW w:w="1820" w:type="dxa"/>
            <w:vAlign w:val="bottom"/>
          </w:tcPr>
          <w:p>
            <w:pPr>
              <w:jc w:val="right"/>
              <w:ind w:right="526"/>
              <w:spacing w:after="0" w:line="153" w:lineRule="exact"/>
              <w:rPr>
                <w:sz w:val="20"/>
                <w:szCs w:val="20"/>
                <w:color w:val="auto"/>
              </w:rPr>
            </w:pPr>
            <w:r>
              <w:rPr>
                <w:rFonts w:ascii="Arial" w:cs="Arial" w:eastAsia="Arial" w:hAnsi="Arial"/>
                <w:sz w:val="15"/>
                <w:szCs w:val="15"/>
                <w:b w:val="1"/>
                <w:bCs w:val="1"/>
                <w:color w:val="auto"/>
              </w:rPr>
              <w:t>(...)</w:t>
            </w:r>
          </w:p>
        </w:tc>
        <w:tc>
          <w:tcPr>
            <w:tcW w:w="2700" w:type="dxa"/>
            <w:vAlign w:val="bottom"/>
          </w:tcPr>
          <w:p>
            <w:pPr>
              <w:ind w:left="460"/>
              <w:spacing w:after="0" w:line="153" w:lineRule="exact"/>
              <w:rPr>
                <w:sz w:val="20"/>
                <w:szCs w:val="20"/>
                <w:color w:val="auto"/>
              </w:rPr>
            </w:pPr>
            <w:r>
              <w:rPr>
                <w:rFonts w:ascii="Arial" w:cs="Arial" w:eastAsia="Arial" w:hAnsi="Arial"/>
                <w:sz w:val="15"/>
                <w:szCs w:val="15"/>
                <w:color w:val="auto"/>
                <w:w w:val="93"/>
              </w:rPr>
              <w:t>In the Statutes and in the Corporate</w:t>
            </w:r>
          </w:p>
        </w:tc>
        <w:tc>
          <w:tcPr>
            <w:tcW w:w="2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720" w:type="dxa"/>
            <w:vAlign w:val="bottom"/>
            <w:gridSpan w:val="2"/>
          </w:tcPr>
          <w:p>
            <w:pPr>
              <w:ind w:left="460"/>
              <w:spacing w:after="0"/>
              <w:rPr>
                <w:sz w:val="20"/>
                <w:szCs w:val="20"/>
                <w:color w:val="auto"/>
              </w:rPr>
            </w:pPr>
            <w:r>
              <w:rPr>
                <w:rFonts w:ascii="Arial" w:cs="Arial" w:eastAsia="Arial" w:hAnsi="Arial"/>
                <w:sz w:val="15"/>
                <w:szCs w:val="15"/>
                <w:color w:val="auto"/>
              </w:rPr>
              <w:t>Policies – Auditing Committee.</w:t>
            </w:r>
          </w:p>
        </w:tc>
      </w:tr>
    </w:tbl>
    <w:p>
      <w:pPr>
        <w:spacing w:after="0"/>
        <w:rPr>
          <w:sz w:val="20"/>
          <w:szCs w:val="20"/>
          <w:color w:val="auto"/>
        </w:rPr>
      </w:pPr>
      <w:r>
        <w:rPr>
          <w:rFonts w:ascii="Arial" w:cs="Arial" w:eastAsia="Arial" w:hAnsi="Arial"/>
          <w:sz w:val="22"/>
          <w:szCs w:val="22"/>
          <w:b w:val="1"/>
          <w:bCs w:val="1"/>
          <w:color w:val="auto"/>
        </w:rPr>
        <w:t>* Specify the name of the document, if not THE COMPANY’s statutes.</w:t>
      </w:r>
    </w:p>
    <w:p>
      <w:pPr>
        <w:spacing w:after="0" w:line="189" w:lineRule="exact"/>
        <w:rPr>
          <w:sz w:val="20"/>
          <w:szCs w:val="20"/>
          <w:color w:val="auto"/>
        </w:rPr>
      </w:pPr>
    </w:p>
    <w:p>
      <w:pPr>
        <w:ind w:right="1140"/>
        <w:spacing w:after="0" w:line="242" w:lineRule="auto"/>
        <w:rPr>
          <w:sz w:val="20"/>
          <w:szCs w:val="20"/>
          <w:color w:val="auto"/>
        </w:rPr>
      </w:pPr>
      <w:r>
        <w:rPr>
          <w:rFonts w:ascii="Arial" w:cs="Arial" w:eastAsia="Arial" w:hAnsi="Arial"/>
          <w:sz w:val="22"/>
          <w:szCs w:val="22"/>
          <w:b w:val="1"/>
          <w:bCs w:val="1"/>
          <w:color w:val="auto"/>
        </w:rPr>
        <w:t>(...) THE BOARD OF DIRECTORS IS RESPONSIBLE FOR THE FUNCTION DESCRIBED BUT IT IS NOT REGULATED</w:t>
      </w:r>
    </w:p>
    <w:p>
      <w:pPr>
        <w:ind w:right="1420"/>
        <w:spacing w:after="0" w:line="444" w:lineRule="auto"/>
        <w:rPr>
          <w:sz w:val="20"/>
          <w:szCs w:val="20"/>
          <w:color w:val="auto"/>
        </w:rPr>
      </w:pPr>
      <w:r>
        <w:rPr>
          <w:rFonts w:ascii="Arial" w:cs="Arial" w:eastAsia="Arial" w:hAnsi="Arial"/>
          <w:sz w:val="21"/>
          <w:szCs w:val="21"/>
          <w:b w:val="1"/>
          <w:bCs w:val="1"/>
          <w:color w:val="auto"/>
        </w:rPr>
        <w:t>(...) NOT APPLICABLE. THE BOARD OF DIRECTORS IS NOT RESPONSIBLE FOR THIS FUNCTION b. Indicate whether THE COMPANY has financial and non-financial risk control systems.</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b w:val="1"/>
          <w:bCs w:val="1"/>
          <w:color w:val="auto"/>
        </w:rPr>
        <w:t>(.X.) YES</w:t>
      </w:r>
      <w:r>
        <w:rPr>
          <w:sz w:val="20"/>
          <w:szCs w:val="20"/>
          <w:color w:val="auto"/>
        </w:rPr>
        <w:tab/>
      </w:r>
      <w:r>
        <w:rPr>
          <w:rFonts w:ascii="Arial" w:cs="Arial" w:eastAsia="Arial" w:hAnsi="Arial"/>
          <w:sz w:val="19"/>
          <w:szCs w:val="19"/>
          <w:b w:val="1"/>
          <w:bCs w:val="1"/>
          <w:color w:val="auto"/>
        </w:rPr>
        <w:t>(...) NO</w:t>
      </w:r>
    </w:p>
    <w:p>
      <w:pPr>
        <w:spacing w:after="0" w:line="206" w:lineRule="exact"/>
        <w:rPr>
          <w:sz w:val="20"/>
          <w:szCs w:val="20"/>
          <w:color w:val="auto"/>
        </w:rPr>
      </w:pPr>
    </w:p>
    <w:p>
      <w:pPr>
        <w:ind w:right="1240"/>
        <w:spacing w:after="0" w:line="256" w:lineRule="auto"/>
        <w:rPr>
          <w:sz w:val="20"/>
          <w:szCs w:val="20"/>
          <w:color w:val="auto"/>
        </w:rPr>
      </w:pPr>
      <w:r>
        <w:rPr>
          <w:rFonts w:ascii="Arial" w:cs="Arial" w:eastAsia="Arial" w:hAnsi="Arial"/>
          <w:sz w:val="22"/>
          <w:szCs w:val="22"/>
          <w:b w:val="1"/>
          <w:bCs w:val="1"/>
          <w:color w:val="auto"/>
        </w:rPr>
        <w:t>c. Indicate whether the control systems referred to in the previous question are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4883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020" cy="48831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1860" w:type="dxa"/>
            <w:vAlign w:val="bottom"/>
            <w:tcBorders>
              <w:top w:val="single" w:sz="8" w:color="2C2C2C"/>
              <w:bottom w:val="single" w:sz="8" w:color="2C2C2C"/>
            </w:tcBorders>
          </w:tcPr>
          <w:p>
            <w:pPr>
              <w:jc w:val="center"/>
              <w:ind w:left="146"/>
              <w:spacing w:after="0"/>
              <w:rPr>
                <w:sz w:val="20"/>
                <w:szCs w:val="20"/>
                <w:color w:val="auto"/>
              </w:rPr>
            </w:pPr>
            <w:r>
              <w:rPr>
                <w:rFonts w:ascii="Arial" w:cs="Arial" w:eastAsia="Arial" w:hAnsi="Arial"/>
                <w:sz w:val="15"/>
                <w:szCs w:val="15"/>
                <w:color w:val="auto"/>
                <w:w w:val="93"/>
              </w:rPr>
              <w:t>STATUTE</w:t>
            </w:r>
          </w:p>
        </w:tc>
        <w:tc>
          <w:tcPr>
            <w:tcW w:w="26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1900" w:type="dxa"/>
            <w:vAlign w:val="bottom"/>
            <w:tcBorders>
              <w:top w:val="single" w:sz="8" w:color="2C2C2C"/>
              <w:bottom w:val="single" w:sz="8" w:color="2C2C2C"/>
            </w:tcBorders>
          </w:tcPr>
          <w:p>
            <w:pPr>
              <w:jc w:val="center"/>
              <w:ind w:right="246"/>
              <w:spacing w:after="0"/>
              <w:rPr>
                <w:sz w:val="20"/>
                <w:szCs w:val="20"/>
                <w:color w:val="auto"/>
              </w:rPr>
            </w:pPr>
            <w:r>
              <w:rPr>
                <w:rFonts w:ascii="Arial" w:cs="Arial" w:eastAsia="Arial" w:hAnsi="Arial"/>
                <w:sz w:val="15"/>
                <w:szCs w:val="15"/>
                <w:color w:val="auto"/>
              </w:rPr>
              <w:t>MANUAL</w:t>
            </w:r>
          </w:p>
        </w:tc>
        <w:tc>
          <w:tcPr>
            <w:tcW w:w="1680" w:type="dxa"/>
            <w:vAlign w:val="bottom"/>
            <w:tcBorders>
              <w:top w:val="single" w:sz="8" w:color="2C2C2C"/>
              <w:bottom w:val="single" w:sz="8" w:color="2C2C2C"/>
            </w:tcBorders>
          </w:tcPr>
          <w:p>
            <w:pPr>
              <w:jc w:val="center"/>
              <w:ind w:left="286"/>
              <w:spacing w:after="0"/>
              <w:rPr>
                <w:sz w:val="20"/>
                <w:szCs w:val="20"/>
                <w:color w:val="auto"/>
              </w:rPr>
            </w:pPr>
            <w:r>
              <w:rPr>
                <w:rFonts w:ascii="Arial" w:cs="Arial" w:eastAsia="Arial" w:hAnsi="Arial"/>
                <w:sz w:val="15"/>
                <w:szCs w:val="15"/>
                <w:color w:val="auto"/>
                <w:w w:val="91"/>
              </w:rPr>
              <w:t>OTHER</w:t>
            </w:r>
          </w:p>
        </w:tc>
        <w:tc>
          <w:tcPr>
            <w:tcW w:w="3260" w:type="dxa"/>
            <w:vAlign w:val="bottom"/>
            <w:tcBorders>
              <w:top w:val="single" w:sz="8" w:color="2C2C2C"/>
              <w:bottom w:val="single" w:sz="8" w:color="2C2C2C"/>
            </w:tcBorders>
          </w:tcPr>
          <w:p>
            <w:pPr>
              <w:ind w:left="80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1860" w:type="dxa"/>
            <w:vAlign w:val="bottom"/>
          </w:tcPr>
          <w:p>
            <w:pPr>
              <w:jc w:val="right"/>
              <w:ind w:right="626"/>
              <w:spacing w:after="0" w:line="153" w:lineRule="exact"/>
              <w:rPr>
                <w:sz w:val="20"/>
                <w:szCs w:val="20"/>
                <w:color w:val="auto"/>
              </w:rPr>
            </w:pPr>
            <w:r>
              <w:rPr>
                <w:rFonts w:ascii="Arial" w:cs="Arial" w:eastAsia="Arial" w:hAnsi="Arial"/>
                <w:sz w:val="15"/>
                <w:szCs w:val="15"/>
                <w:b w:val="1"/>
                <w:bCs w:val="1"/>
                <w:color w:val="auto"/>
              </w:rPr>
              <w:t>(...)</w:t>
            </w:r>
          </w:p>
        </w:tc>
        <w:tc>
          <w:tcPr>
            <w:tcW w:w="2680" w:type="dxa"/>
            <w:vAlign w:val="bottom"/>
          </w:tcPr>
          <w:p>
            <w:pPr>
              <w:jc w:val="center"/>
              <w:spacing w:after="0" w:line="153" w:lineRule="exact"/>
              <w:rPr>
                <w:sz w:val="20"/>
                <w:szCs w:val="20"/>
                <w:color w:val="auto"/>
              </w:rPr>
            </w:pPr>
            <w:r>
              <w:rPr>
                <w:rFonts w:ascii="Arial" w:cs="Arial" w:eastAsia="Arial" w:hAnsi="Arial"/>
                <w:sz w:val="15"/>
                <w:szCs w:val="15"/>
                <w:b w:val="1"/>
                <w:bCs w:val="1"/>
                <w:color w:val="auto"/>
                <w:w w:val="99"/>
              </w:rPr>
              <w:t>(X.)</w:t>
            </w:r>
          </w:p>
        </w:tc>
        <w:tc>
          <w:tcPr>
            <w:tcW w:w="1900" w:type="dxa"/>
            <w:vAlign w:val="bottom"/>
          </w:tcPr>
          <w:p>
            <w:pPr>
              <w:jc w:val="center"/>
              <w:ind w:right="206"/>
              <w:spacing w:after="0" w:line="153" w:lineRule="exact"/>
              <w:rPr>
                <w:sz w:val="20"/>
                <w:szCs w:val="20"/>
                <w:color w:val="auto"/>
              </w:rPr>
            </w:pPr>
            <w:r>
              <w:rPr>
                <w:rFonts w:ascii="Arial" w:cs="Arial" w:eastAsia="Arial" w:hAnsi="Arial"/>
                <w:sz w:val="15"/>
                <w:szCs w:val="15"/>
                <w:b w:val="1"/>
                <w:bCs w:val="1"/>
                <w:color w:val="auto"/>
              </w:rPr>
              <w:t>(X.)</w:t>
            </w:r>
          </w:p>
        </w:tc>
        <w:tc>
          <w:tcPr>
            <w:tcW w:w="1680" w:type="dxa"/>
            <w:vAlign w:val="bottom"/>
          </w:tcPr>
          <w:p>
            <w:pPr>
              <w:jc w:val="right"/>
              <w:ind w:right="466"/>
              <w:spacing w:after="0" w:line="153" w:lineRule="exact"/>
              <w:rPr>
                <w:sz w:val="20"/>
                <w:szCs w:val="20"/>
                <w:color w:val="auto"/>
              </w:rPr>
            </w:pPr>
            <w:r>
              <w:rPr>
                <w:rFonts w:ascii="Arial" w:cs="Arial" w:eastAsia="Arial" w:hAnsi="Arial"/>
                <w:sz w:val="15"/>
                <w:szCs w:val="15"/>
                <w:b w:val="1"/>
                <w:bCs w:val="1"/>
                <w:color w:val="auto"/>
              </w:rPr>
              <w:t>(...)</w:t>
            </w:r>
          </w:p>
        </w:tc>
        <w:tc>
          <w:tcPr>
            <w:tcW w:w="3260" w:type="dxa"/>
            <w:vAlign w:val="bottom"/>
          </w:tcPr>
          <w:p>
            <w:pPr>
              <w:ind w:left="440"/>
              <w:spacing w:after="0" w:line="153" w:lineRule="exact"/>
              <w:rPr>
                <w:sz w:val="20"/>
                <w:szCs w:val="20"/>
                <w:color w:val="auto"/>
              </w:rPr>
            </w:pPr>
            <w:r>
              <w:rPr>
                <w:rFonts w:ascii="Arial" w:cs="Arial" w:eastAsia="Arial" w:hAnsi="Arial"/>
                <w:sz w:val="15"/>
                <w:szCs w:val="15"/>
                <w:color w:val="auto"/>
              </w:rPr>
              <w:t>Normative System –</w:t>
            </w: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8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Operational Risk Administration,</w:t>
            </w:r>
          </w:p>
        </w:tc>
      </w:tr>
      <w:tr>
        <w:trPr>
          <w:trHeight w:val="188"/>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80" w:type="dxa"/>
            <w:vAlign w:val="bottom"/>
            <w:gridSpan w:val="2"/>
          </w:tcPr>
          <w:p>
            <w:pPr>
              <w:ind w:left="440"/>
              <w:spacing w:after="0"/>
              <w:rPr>
                <w:sz w:val="20"/>
                <w:szCs w:val="20"/>
                <w:color w:val="auto"/>
              </w:rPr>
            </w:pPr>
            <w:r>
              <w:rPr>
                <w:rFonts w:ascii="Arial" w:cs="Arial" w:eastAsia="Arial" w:hAnsi="Arial"/>
                <w:sz w:val="15"/>
                <w:szCs w:val="15"/>
                <w:color w:val="auto"/>
                <w:w w:val="93"/>
              </w:rPr>
              <w:t>Market Risk and Credit Policy Administration.</w:t>
            </w:r>
          </w:p>
        </w:tc>
      </w:tr>
    </w:tbl>
    <w:p>
      <w:pPr>
        <w:ind w:left="180" w:hanging="172"/>
        <w:spacing w:after="0"/>
        <w:tabs>
          <w:tab w:leader="none" w:pos="18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Specify the name of the document, if not THE COMPANY’s statutes.</w:t>
      </w:r>
    </w:p>
    <w:p>
      <w:pPr>
        <w:spacing w:after="0" w:line="188"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w:t>
      </w:r>
      <w:r>
        <w:rPr>
          <w:rFonts w:ascii="Arial" w:cs="Arial" w:eastAsia="Arial" w:hAnsi="Arial"/>
          <w:sz w:val="21"/>
          <w:szCs w:val="21"/>
          <w:b w:val="1"/>
          <w:bCs w:val="1"/>
          <w:color w:val="auto"/>
        </w:rPr>
        <w:t>THEY ARE NOT REGULATED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42545" cy="6083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545" cy="60833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435610</wp:posOffset>
            </wp:positionV>
            <wp:extent cx="42545" cy="5911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427355</wp:posOffset>
            </wp:positionV>
            <wp:extent cx="42545" cy="6083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254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540" w:type="dxa"/>
            <w:vAlign w:val="bottom"/>
            <w:tcBorders>
              <w:top w:val="single" w:sz="8" w:color="2C2C2C"/>
              <w:bottom w:val="single" w:sz="8" w:color="2C2C2C"/>
            </w:tcBorders>
            <w:gridSpan w:val="3"/>
            <w:vMerge w:val="restart"/>
          </w:tcPr>
          <w:p>
            <w:pPr>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800" w:type="dxa"/>
            <w:vAlign w:val="bottom"/>
            <w:tcBorders>
              <w:top w:val="single" w:sz="8" w:color="2C2C2C"/>
              <w:bottom w:val="single" w:sz="8" w:color="2C2C2C"/>
            </w:tcBorders>
          </w:tcPr>
          <w:p>
            <w:pPr>
              <w:spacing w:after="0"/>
              <w:rPr>
                <w:sz w:val="17"/>
                <w:szCs w:val="17"/>
                <w:color w:val="auto"/>
              </w:rPr>
            </w:pPr>
          </w:p>
        </w:tc>
        <w:tc>
          <w:tcPr>
            <w:tcW w:w="120" w:type="dxa"/>
            <w:vAlign w:val="bottom"/>
            <w:tcBorders>
              <w:top w:val="single" w:sz="8" w:color="2C2C2C"/>
              <w:bottom w:val="single" w:sz="8" w:color="2C2C2C"/>
            </w:tcBorders>
          </w:tcPr>
          <w:p>
            <w:pPr>
              <w:spacing w:after="0"/>
              <w:rPr>
                <w:sz w:val="17"/>
                <w:szCs w:val="17"/>
                <w:color w:val="auto"/>
              </w:rPr>
            </w:pPr>
          </w:p>
        </w:tc>
        <w:tc>
          <w:tcPr>
            <w:tcW w:w="240" w:type="dxa"/>
            <w:vAlign w:val="bottom"/>
            <w:tcBorders>
              <w:top w:val="single" w:sz="8" w:color="2C2C2C"/>
              <w:bottom w:val="single" w:sz="8" w:color="2C2C2C"/>
            </w:tcBorders>
          </w:tcPr>
          <w:p>
            <w:pPr>
              <w:spacing w:after="0"/>
              <w:rPr>
                <w:sz w:val="17"/>
                <w:szCs w:val="17"/>
                <w:color w:val="auto"/>
              </w:rPr>
            </w:pPr>
          </w:p>
        </w:tc>
        <w:tc>
          <w:tcPr>
            <w:tcW w:w="54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540" w:type="dxa"/>
            <w:vAlign w:val="bottom"/>
            <w:gridSpan w:val="3"/>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800" w:type="dxa"/>
            <w:vAlign w:val="bottom"/>
            <w:vMerge w:val="restart"/>
          </w:tcPr>
          <w:p>
            <w:pPr>
              <w:jc w:val="right"/>
              <w:ind w:right="406"/>
              <w:spacing w:after="0" w:line="162" w:lineRule="exact"/>
              <w:rPr>
                <w:sz w:val="20"/>
                <w:szCs w:val="20"/>
                <w:color w:val="auto"/>
              </w:rPr>
            </w:pPr>
            <w:r>
              <w:rPr>
                <w:rFonts w:ascii="Arial" w:cs="Arial" w:eastAsia="Arial" w:hAnsi="Arial"/>
                <w:sz w:val="15"/>
                <w:szCs w:val="15"/>
                <w:i w:val="1"/>
                <w:iCs w:val="1"/>
                <w:color w:val="auto"/>
              </w:rPr>
              <w:t>2</w:t>
            </w:r>
          </w:p>
        </w:tc>
        <w:tc>
          <w:tcPr>
            <w:tcW w:w="120" w:type="dxa"/>
            <w:vAlign w:val="bottom"/>
            <w:vMerge w:val="restart"/>
          </w:tcPr>
          <w:p>
            <w:pPr>
              <w:ind w:left="20"/>
              <w:spacing w:after="0" w:line="162" w:lineRule="exact"/>
              <w:rPr>
                <w:sz w:val="20"/>
                <w:szCs w:val="20"/>
                <w:color w:val="auto"/>
              </w:rPr>
            </w:pPr>
            <w:r>
              <w:rPr>
                <w:rFonts w:ascii="Arial" w:cs="Arial" w:eastAsia="Arial" w:hAnsi="Arial"/>
                <w:sz w:val="15"/>
                <w:szCs w:val="15"/>
                <w:i w:val="1"/>
                <w:iCs w:val="1"/>
                <w:color w:val="auto"/>
                <w:w w:val="95"/>
              </w:rPr>
              <w:t>3</w:t>
            </w:r>
          </w:p>
        </w:tc>
        <w:tc>
          <w:tcPr>
            <w:tcW w:w="240" w:type="dxa"/>
            <w:vAlign w:val="bottom"/>
          </w:tcPr>
          <w:p>
            <w:pPr>
              <w:spacing w:after="0"/>
              <w:rPr>
                <w:sz w:val="4"/>
                <w:szCs w:val="4"/>
                <w:color w:val="auto"/>
              </w:rPr>
            </w:pPr>
          </w:p>
        </w:tc>
        <w:tc>
          <w:tcPr>
            <w:tcW w:w="54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4</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top w:val="single" w:sz="8" w:color="auto"/>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5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800" w:type="dxa"/>
            <w:vAlign w:val="bottom"/>
            <w:tcBorders>
              <w:bottom w:val="single" w:sz="8" w:color="2C2C2C"/>
            </w:tcBorders>
            <w:vMerge w:val="continue"/>
          </w:tcPr>
          <w:p>
            <w:pPr>
              <w:spacing w:after="0"/>
              <w:rPr>
                <w:sz w:val="8"/>
                <w:szCs w:val="8"/>
                <w:color w:val="auto"/>
              </w:rPr>
            </w:pPr>
          </w:p>
        </w:tc>
        <w:tc>
          <w:tcPr>
            <w:tcW w:w="120" w:type="dxa"/>
            <w:vAlign w:val="bottom"/>
            <w:tcBorders>
              <w:bottom w:val="single" w:sz="8" w:color="2C2C2C"/>
            </w:tcBorders>
            <w:vMerge w:val="continue"/>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40" w:type="dxa"/>
            <w:vAlign w:val="bottom"/>
            <w:gridSpan w:val="3"/>
          </w:tcPr>
          <w:p>
            <w:pPr>
              <w:spacing w:after="0" w:line="149" w:lineRule="exact"/>
              <w:rPr>
                <w:sz w:val="20"/>
                <w:szCs w:val="20"/>
                <w:color w:val="auto"/>
              </w:rPr>
            </w:pPr>
            <w:r>
              <w:rPr>
                <w:rFonts w:ascii="Arial" w:cs="Arial" w:eastAsia="Arial" w:hAnsi="Arial"/>
                <w:sz w:val="15"/>
                <w:szCs w:val="15"/>
                <w:i w:val="1"/>
                <w:iCs w:val="1"/>
                <w:color w:val="auto"/>
              </w:rPr>
              <w:t>16. The Board of Directors must carry out certain key functions, namely:</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Arial" w:cs="Arial" w:eastAsia="Arial" w:hAnsi="Arial"/>
                <w:sz w:val="15"/>
                <w:szCs w:val="15"/>
                <w:i w:val="1"/>
                <w:iCs w:val="1"/>
                <w:color w:val="auto"/>
              </w:rPr>
              <w:t>X</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40" w:type="dxa"/>
            <w:vAlign w:val="bottom"/>
            <w:gridSpan w:val="3"/>
          </w:tcPr>
          <w:p>
            <w:pPr>
              <w:spacing w:after="0" w:line="142" w:lineRule="exact"/>
              <w:rPr>
                <w:sz w:val="20"/>
                <w:szCs w:val="20"/>
                <w:color w:val="auto"/>
              </w:rPr>
            </w:pPr>
            <w:r>
              <w:rPr>
                <w:rFonts w:ascii="Arial" w:cs="Arial" w:eastAsia="Arial" w:hAnsi="Arial"/>
                <w:sz w:val="15"/>
                <w:szCs w:val="15"/>
                <w:i w:val="1"/>
                <w:iCs w:val="1"/>
                <w:color w:val="auto"/>
                <w:w w:val="92"/>
              </w:rPr>
              <w:t>Principle(V.D.6).- Supervise the effectiveness of the governance practices accordance with which it operates, carrying out changes as they</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980" w:type="dxa"/>
            <w:vAlign w:val="bottom"/>
            <w:tcBorders>
              <w:top w:val="single" w:sz="8" w:color="auto"/>
              <w:bottom w:val="single" w:sz="8" w:color="2C2C2C"/>
            </w:tcBorders>
            <w:gridSpan w:val="2"/>
          </w:tcPr>
          <w:p>
            <w:pPr>
              <w:spacing w:after="0" w:line="156" w:lineRule="exact"/>
              <w:rPr>
                <w:sz w:val="20"/>
                <w:szCs w:val="20"/>
                <w:color w:val="auto"/>
              </w:rPr>
            </w:pPr>
            <w:r>
              <w:rPr>
                <w:rFonts w:ascii="Arial" w:cs="Arial" w:eastAsia="Arial" w:hAnsi="Arial"/>
                <w:sz w:val="15"/>
                <w:szCs w:val="15"/>
                <w:i w:val="1"/>
                <w:iCs w:val="1"/>
                <w:color w:val="auto"/>
                <w:w w:val="76"/>
              </w:rPr>
              <w:t>become necessary</w:t>
            </w:r>
          </w:p>
        </w:tc>
        <w:tc>
          <w:tcPr>
            <w:tcW w:w="7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86"/>
        </w:trPr>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-914400</wp:posOffset>
            </wp:positionV>
            <wp:extent cx="42545" cy="4711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-914400</wp:posOffset>
            </wp:positionV>
            <wp:extent cx="42545" cy="4711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-914400</wp:posOffset>
            </wp:positionV>
            <wp:extent cx="42545" cy="4711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-914400</wp:posOffset>
            </wp:positionV>
            <wp:extent cx="42545" cy="4711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a. Is the Board of Directors of THE COMPANY responsible for the function described in this principle?</w:t>
      </w:r>
    </w:p>
    <w:p>
      <w:pPr>
        <w:spacing w:after="0" w:line="207"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(.X.) YES</w:t>
      </w:r>
      <w:r>
        <w:rPr>
          <w:sz w:val="20"/>
          <w:szCs w:val="20"/>
          <w:color w:val="auto"/>
        </w:rPr>
        <w:tab/>
      </w:r>
      <w:r>
        <w:rPr>
          <w:rFonts w:ascii="Arial" w:cs="Arial" w:eastAsia="Arial" w:hAnsi="Arial"/>
          <w:sz w:val="19"/>
          <w:szCs w:val="19"/>
          <w:b w:val="1"/>
          <w:bCs w:val="1"/>
          <w:color w:val="auto"/>
        </w:rPr>
        <w:t>(...) NO</w:t>
      </w:r>
    </w:p>
    <w:p>
      <w:pPr>
        <w:spacing w:after="0" w:line="206" w:lineRule="exact"/>
        <w:rPr>
          <w:sz w:val="20"/>
          <w:szCs w:val="20"/>
          <w:color w:val="auto"/>
        </w:rPr>
      </w:pPr>
    </w:p>
    <w:p>
      <w:pPr>
        <w:ind w:right="580"/>
        <w:spacing w:after="0" w:line="242" w:lineRule="auto"/>
        <w:rPr>
          <w:sz w:val="20"/>
          <w:szCs w:val="20"/>
          <w:color w:val="auto"/>
        </w:rPr>
      </w:pPr>
      <w:r>
        <w:rPr>
          <w:rFonts w:ascii="Arial" w:cs="Arial" w:eastAsia="Arial" w:hAnsi="Arial"/>
          <w:sz w:val="22"/>
          <w:szCs w:val="22"/>
          <w:b w:val="1"/>
          <w:bCs w:val="1"/>
          <w:color w:val="auto"/>
        </w:rPr>
        <w:t>b. Describe the pre-established procedures for supervising the effectiveness of the governance practices, specifying the number of evaluations that have taken place during the period.</w:t>
      </w:r>
    </w:p>
    <w:p>
      <w:pPr>
        <w:spacing w:after="0"/>
        <w:rPr>
          <w:sz w:val="20"/>
          <w:szCs w:val="20"/>
          <w:color w:val="auto"/>
        </w:rPr>
      </w:pPr>
      <w:r>
        <w:rPr>
          <w:rFonts w:ascii="Arial" w:cs="Arial" w:eastAsia="Arial" w:hAnsi="Arial"/>
          <w:sz w:val="22"/>
          <w:szCs w:val="22"/>
          <w:color w:val="auto"/>
        </w:rPr>
        <w:t>In the sessions of the Board of Directors and the Executive Committee. The number of evaluations is not available.</w:t>
      </w:r>
    </w:p>
    <w:p>
      <w:pPr>
        <w:spacing w:after="0" w:line="182" w:lineRule="exact"/>
        <w:rPr>
          <w:sz w:val="20"/>
          <w:szCs w:val="20"/>
          <w:color w:val="auto"/>
        </w:rPr>
      </w:pPr>
    </w:p>
    <w:p>
      <w:pPr>
        <w:ind w:right="440"/>
        <w:spacing w:after="0" w:line="256" w:lineRule="auto"/>
        <w:rPr>
          <w:sz w:val="20"/>
          <w:szCs w:val="20"/>
          <w:color w:val="auto"/>
        </w:rPr>
      </w:pPr>
      <w:r>
        <w:rPr>
          <w:rFonts w:ascii="Arial" w:cs="Arial" w:eastAsia="Arial" w:hAnsi="Arial"/>
          <w:sz w:val="22"/>
          <w:szCs w:val="22"/>
          <w:b w:val="1"/>
          <w:bCs w:val="1"/>
          <w:color w:val="auto"/>
        </w:rPr>
        <w:t>c. Indicate whether the procedures described in the previous question are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2997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2020" cy="29972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60" w:type="dxa"/>
            <w:vAlign w:val="bottom"/>
            <w:tcBorders>
              <w:top w:val="single" w:sz="8" w:color="2C2C2C"/>
              <w:bottom w:val="single" w:sz="8" w:color="2C2C2C"/>
            </w:tcBorders>
          </w:tcPr>
          <w:p>
            <w:pPr>
              <w:jc w:val="center"/>
              <w:ind w:left="286"/>
              <w:spacing w:after="0"/>
              <w:rPr>
                <w:sz w:val="20"/>
                <w:szCs w:val="20"/>
                <w:color w:val="auto"/>
              </w:rPr>
            </w:pPr>
            <w:r>
              <w:rPr>
                <w:rFonts w:ascii="Arial" w:cs="Arial" w:eastAsia="Arial" w:hAnsi="Arial"/>
                <w:sz w:val="15"/>
                <w:szCs w:val="15"/>
                <w:color w:val="auto"/>
                <w:w w:val="95"/>
              </w:rPr>
              <w:t>OTHER</w:t>
            </w:r>
          </w:p>
        </w:tc>
        <w:tc>
          <w:tcPr>
            <w:tcW w:w="2660" w:type="dxa"/>
            <w:vAlign w:val="bottom"/>
            <w:tcBorders>
              <w:top w:val="single" w:sz="8" w:color="2C2C2C"/>
              <w:bottom w:val="single" w:sz="8" w:color="2C2C2C"/>
            </w:tcBorders>
          </w:tcPr>
          <w:p>
            <w:pPr>
              <w:ind w:left="50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2000" w:type="dxa"/>
            <w:vAlign w:val="bottom"/>
          </w:tcPr>
          <w:p>
            <w:pPr>
              <w:jc w:val="right"/>
              <w:ind w:right="686"/>
              <w:spacing w:after="0"/>
              <w:rPr>
                <w:sz w:val="20"/>
                <w:szCs w:val="20"/>
                <w:color w:val="auto"/>
              </w:rPr>
            </w:pPr>
            <w:r>
              <w:rPr>
                <w:rFonts w:ascii="Arial" w:cs="Arial" w:eastAsia="Arial" w:hAnsi="Arial"/>
                <w:sz w:val="15"/>
                <w:szCs w:val="15"/>
                <w:b w:val="1"/>
                <w:bCs w:val="1"/>
                <w:color w:val="auto"/>
              </w:rPr>
              <w:t>(...)</w:t>
            </w:r>
          </w:p>
        </w:tc>
        <w:tc>
          <w:tcPr>
            <w:tcW w:w="2820" w:type="dxa"/>
            <w:vAlign w:val="bottom"/>
          </w:tcPr>
          <w:p>
            <w:pPr>
              <w:jc w:val="right"/>
              <w:ind w:right="1206"/>
              <w:spacing w:after="0"/>
              <w:rPr>
                <w:sz w:val="20"/>
                <w:szCs w:val="20"/>
                <w:color w:val="auto"/>
              </w:rPr>
            </w:pPr>
            <w:r>
              <w:rPr>
                <w:rFonts w:ascii="Arial" w:cs="Arial" w:eastAsia="Arial" w:hAnsi="Arial"/>
                <w:sz w:val="15"/>
                <w:szCs w:val="15"/>
                <w:b w:val="1"/>
                <w:bCs w:val="1"/>
                <w:color w:val="auto"/>
              </w:rPr>
              <w:t>(...)</w:t>
            </w:r>
          </w:p>
        </w:tc>
        <w:tc>
          <w:tcPr>
            <w:tcW w:w="2040" w:type="dxa"/>
            <w:vAlign w:val="bottom"/>
          </w:tcPr>
          <w:p>
            <w:pPr>
              <w:jc w:val="right"/>
              <w:ind w:right="966"/>
              <w:spacing w:after="0"/>
              <w:rPr>
                <w:sz w:val="20"/>
                <w:szCs w:val="20"/>
                <w:color w:val="auto"/>
              </w:rPr>
            </w:pPr>
            <w:r>
              <w:rPr>
                <w:rFonts w:ascii="Arial" w:cs="Arial" w:eastAsia="Arial" w:hAnsi="Arial"/>
                <w:sz w:val="15"/>
                <w:szCs w:val="15"/>
                <w:b w:val="1"/>
                <w:bCs w:val="1"/>
                <w:color w:val="auto"/>
              </w:rPr>
              <w:t>(...)</w:t>
            </w:r>
          </w:p>
        </w:tc>
        <w:tc>
          <w:tcPr>
            <w:tcW w:w="1860" w:type="dxa"/>
            <w:vAlign w:val="bottom"/>
          </w:tcPr>
          <w:p>
            <w:pPr>
              <w:jc w:val="right"/>
              <w:ind w:right="5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22"/>
          <w:szCs w:val="22"/>
          <w:b w:val="1"/>
          <w:bCs w:val="1"/>
          <w:color w:val="auto"/>
        </w:rPr>
        <w:t>* Specify the name of the document, if not THE COMPANY’s statutes.</w:t>
      </w:r>
    </w:p>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b w:val="1"/>
          <w:bCs w:val="1"/>
          <w:color w:val="auto"/>
        </w:rPr>
        <w:t>(.X.)</w:t>
      </w:r>
      <w:r>
        <w:rPr>
          <w:sz w:val="20"/>
          <w:szCs w:val="20"/>
          <w:color w:val="auto"/>
        </w:rPr>
        <w:tab/>
      </w:r>
      <w:r>
        <w:rPr>
          <w:rFonts w:ascii="Arial" w:cs="Arial" w:eastAsia="Arial" w:hAnsi="Arial"/>
          <w:sz w:val="22"/>
          <w:szCs w:val="22"/>
          <w:b w:val="1"/>
          <w:bCs w:val="1"/>
          <w:color w:val="auto"/>
        </w:rPr>
        <w:t>THEY ARE NOT REGULATED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42545" cy="5054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144145</wp:posOffset>
            </wp:positionV>
            <wp:extent cx="42545" cy="4883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2545" cy="48831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135890</wp:posOffset>
            </wp:positionV>
            <wp:extent cx="42545" cy="5054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2545" cy="50546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4"/>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560" w:type="dxa"/>
            <w:vAlign w:val="bottom"/>
            <w:tcBorders>
              <w:top w:val="single" w:sz="8" w:color="2C2C2C"/>
              <w:bottom w:val="single" w:sz="8" w:color="2C2C2C"/>
            </w:tcBorders>
          </w:tcPr>
          <w:p>
            <w:pPr>
              <w:spacing w:after="0"/>
              <w:rPr>
                <w:sz w:val="17"/>
                <w:szCs w:val="17"/>
                <w:color w:val="auto"/>
              </w:rPr>
            </w:pPr>
          </w:p>
        </w:tc>
        <w:tc>
          <w:tcPr>
            <w:tcW w:w="240" w:type="dxa"/>
            <w:vAlign w:val="bottom"/>
            <w:tcBorders>
              <w:top w:val="single" w:sz="8" w:color="2C2C2C"/>
              <w:bottom w:val="single" w:sz="8" w:color="2C2C2C"/>
            </w:tcBorders>
          </w:tcPr>
          <w:p>
            <w:pPr>
              <w:spacing w:after="0"/>
              <w:rPr>
                <w:sz w:val="17"/>
                <w:szCs w:val="17"/>
                <w:color w:val="auto"/>
              </w:rPr>
            </w:pPr>
          </w:p>
        </w:tc>
        <w:tc>
          <w:tcPr>
            <w:tcW w:w="80" w:type="dxa"/>
            <w:vAlign w:val="bottom"/>
            <w:tcBorders>
              <w:top w:val="single" w:sz="8" w:color="2C2C2C"/>
              <w:bottom w:val="single" w:sz="8" w:color="2C2C2C"/>
            </w:tcBorders>
          </w:tcPr>
          <w:p>
            <w:pPr>
              <w:spacing w:after="0"/>
              <w:rPr>
                <w:sz w:val="17"/>
                <w:szCs w:val="17"/>
                <w:color w:val="auto"/>
              </w:rPr>
            </w:pPr>
          </w:p>
        </w:tc>
        <w:tc>
          <w:tcPr>
            <w:tcW w:w="24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4"/>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56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3</w:t>
            </w:r>
          </w:p>
        </w:tc>
        <w:tc>
          <w:tcPr>
            <w:tcW w:w="320" w:type="dxa"/>
            <w:vAlign w:val="bottom"/>
            <w:gridSpan w:val="2"/>
            <w:vMerge w:val="restart"/>
          </w:tcPr>
          <w:p>
            <w:pPr>
              <w:ind w:left="240"/>
              <w:spacing w:after="0" w:line="162" w:lineRule="exact"/>
              <w:rPr>
                <w:sz w:val="20"/>
                <w:szCs w:val="20"/>
                <w:color w:val="auto"/>
              </w:rPr>
            </w:pPr>
            <w:r>
              <w:rPr>
                <w:rFonts w:ascii="Arial" w:cs="Arial" w:eastAsia="Arial" w:hAnsi="Arial"/>
                <w:sz w:val="15"/>
                <w:szCs w:val="15"/>
                <w:i w:val="1"/>
                <w:iCs w:val="1"/>
                <w:color w:val="auto"/>
                <w:w w:val="71"/>
              </w:rPr>
              <w:t>4</w:t>
            </w: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top w:val="single" w:sz="8" w:color="auto"/>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320" w:type="dxa"/>
            <w:vAlign w:val="bottom"/>
            <w:tcBorders>
              <w:bottom w:val="single" w:sz="8" w:color="2C2C2C"/>
            </w:tcBorders>
            <w:gridSpan w:val="2"/>
            <w:vMerge w:val="continue"/>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4"/>
          </w:tcPr>
          <w:p>
            <w:pPr>
              <w:ind w:left="20"/>
              <w:spacing w:after="0" w:line="149" w:lineRule="exact"/>
              <w:rPr>
                <w:sz w:val="20"/>
                <w:szCs w:val="20"/>
                <w:color w:val="auto"/>
              </w:rPr>
            </w:pPr>
            <w:r>
              <w:rPr>
                <w:rFonts w:ascii="Arial" w:cs="Arial" w:eastAsia="Arial" w:hAnsi="Arial"/>
                <w:sz w:val="15"/>
                <w:szCs w:val="15"/>
                <w:i w:val="1"/>
                <w:iCs w:val="1"/>
                <w:color w:val="auto"/>
              </w:rPr>
              <w:t>17. The Board of Directors must carry out certain key functions, namely:</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3"/>
          </w:tcPr>
          <w:p>
            <w:pPr>
              <w:ind w:left="240"/>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560" w:type="dxa"/>
            <w:vAlign w:val="bottom"/>
            <w:gridSpan w:val="4"/>
          </w:tcPr>
          <w:p>
            <w:pPr>
              <w:ind w:left="20"/>
              <w:spacing w:after="0" w:line="142" w:lineRule="exact"/>
              <w:rPr>
                <w:sz w:val="20"/>
                <w:szCs w:val="20"/>
                <w:color w:val="auto"/>
              </w:rPr>
            </w:pPr>
            <w:r>
              <w:rPr>
                <w:rFonts w:ascii="Arial" w:cs="Arial" w:eastAsia="Arial" w:hAnsi="Arial"/>
                <w:sz w:val="15"/>
                <w:szCs w:val="15"/>
                <w:i w:val="1"/>
                <w:iCs w:val="1"/>
                <w:color w:val="auto"/>
              </w:rPr>
              <w:t>Principle (V.D.7).- Supervise the information policy.</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auto"/>
            </w:tcBorders>
            <w:shd w:val="clear" w:color="auto" w:fill="2C2C2C"/>
          </w:tcPr>
          <w:p>
            <w:pPr>
              <w:spacing w:after="0" w:line="20" w:lineRule="exact"/>
              <w:rPr>
                <w:sz w:val="1"/>
                <w:szCs w:val="1"/>
                <w:color w:val="auto"/>
              </w:rPr>
            </w:pPr>
          </w:p>
        </w:tc>
        <w:tc>
          <w:tcPr>
            <w:tcW w:w="480" w:type="dxa"/>
            <w:vAlign w:val="bottom"/>
            <w:tcBorders>
              <w:top w:val="single" w:sz="8" w:color="auto"/>
            </w:tcBorders>
            <w:shd w:val="clear" w:color="auto" w:fill="2C2C2C"/>
          </w:tcPr>
          <w:p>
            <w:pPr>
              <w:spacing w:after="0" w:line="20" w:lineRule="exact"/>
              <w:rPr>
                <w:sz w:val="1"/>
                <w:szCs w:val="1"/>
                <w:color w:val="auto"/>
              </w:rPr>
            </w:pPr>
          </w:p>
        </w:tc>
        <w:tc>
          <w:tcPr>
            <w:tcW w:w="75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-363855</wp:posOffset>
            </wp:positionV>
            <wp:extent cx="42545" cy="3683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-363855</wp:posOffset>
            </wp:positionV>
            <wp:extent cx="42545" cy="3683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-363855</wp:posOffset>
            </wp:positionV>
            <wp:extent cx="42545" cy="3683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-363855</wp:posOffset>
            </wp:positionV>
            <wp:extent cx="42545" cy="3683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54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0"/>
        <w:spacing w:after="0" w:line="256" w:lineRule="auto"/>
        <w:rPr>
          <w:sz w:val="20"/>
          <w:szCs w:val="20"/>
          <w:color w:val="auto"/>
        </w:rPr>
      </w:pPr>
      <w:r>
        <w:rPr>
          <w:rFonts w:ascii="Arial" w:cs="Arial" w:eastAsia="Arial" w:hAnsi="Arial"/>
          <w:sz w:val="22"/>
          <w:szCs w:val="22"/>
          <w:b w:val="1"/>
          <w:bCs w:val="1"/>
          <w:color w:val="auto"/>
        </w:rPr>
        <w:t>a. If the Board of Directors is responsible for the function described in this principle, please indicate whether this function of the Board is contained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2997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020" cy="29972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60" w:type="dxa"/>
            <w:vAlign w:val="bottom"/>
            <w:tcBorders>
              <w:top w:val="single" w:sz="8" w:color="2C2C2C"/>
              <w:bottom w:val="single" w:sz="8" w:color="2C2C2C"/>
            </w:tcBorders>
          </w:tcPr>
          <w:p>
            <w:pPr>
              <w:jc w:val="center"/>
              <w:ind w:left="286"/>
              <w:spacing w:after="0"/>
              <w:rPr>
                <w:sz w:val="20"/>
                <w:szCs w:val="20"/>
                <w:color w:val="auto"/>
              </w:rPr>
            </w:pPr>
            <w:r>
              <w:rPr>
                <w:rFonts w:ascii="Arial" w:cs="Arial" w:eastAsia="Arial" w:hAnsi="Arial"/>
                <w:sz w:val="15"/>
                <w:szCs w:val="15"/>
                <w:color w:val="auto"/>
                <w:w w:val="95"/>
              </w:rPr>
              <w:t>OTHER</w:t>
            </w:r>
          </w:p>
        </w:tc>
        <w:tc>
          <w:tcPr>
            <w:tcW w:w="2660" w:type="dxa"/>
            <w:vAlign w:val="bottom"/>
            <w:tcBorders>
              <w:top w:val="single" w:sz="8" w:color="2C2C2C"/>
              <w:bottom w:val="single" w:sz="8" w:color="2C2C2C"/>
            </w:tcBorders>
          </w:tcPr>
          <w:p>
            <w:pPr>
              <w:ind w:left="50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2000" w:type="dxa"/>
            <w:vAlign w:val="bottom"/>
          </w:tcPr>
          <w:p>
            <w:pPr>
              <w:jc w:val="center"/>
              <w:ind w:left="206"/>
              <w:spacing w:after="0"/>
              <w:rPr>
                <w:sz w:val="20"/>
                <w:szCs w:val="20"/>
                <w:color w:val="auto"/>
              </w:rPr>
            </w:pPr>
            <w:r>
              <w:rPr>
                <w:rFonts w:ascii="Arial" w:cs="Arial" w:eastAsia="Arial" w:hAnsi="Arial"/>
                <w:sz w:val="15"/>
                <w:szCs w:val="15"/>
                <w:b w:val="1"/>
                <w:bCs w:val="1"/>
                <w:color w:val="auto"/>
                <w:w w:val="99"/>
              </w:rPr>
              <w:t>(.X)</w:t>
            </w:r>
          </w:p>
        </w:tc>
        <w:tc>
          <w:tcPr>
            <w:tcW w:w="2820" w:type="dxa"/>
            <w:vAlign w:val="bottom"/>
          </w:tcPr>
          <w:p>
            <w:pPr>
              <w:jc w:val="right"/>
              <w:ind w:right="1206"/>
              <w:spacing w:after="0"/>
              <w:rPr>
                <w:sz w:val="20"/>
                <w:szCs w:val="20"/>
                <w:color w:val="auto"/>
              </w:rPr>
            </w:pPr>
            <w:r>
              <w:rPr>
                <w:rFonts w:ascii="Arial" w:cs="Arial" w:eastAsia="Arial" w:hAnsi="Arial"/>
                <w:sz w:val="15"/>
                <w:szCs w:val="15"/>
                <w:b w:val="1"/>
                <w:bCs w:val="1"/>
                <w:color w:val="auto"/>
              </w:rPr>
              <w:t>(...)</w:t>
            </w:r>
          </w:p>
        </w:tc>
        <w:tc>
          <w:tcPr>
            <w:tcW w:w="2040" w:type="dxa"/>
            <w:vAlign w:val="bottom"/>
          </w:tcPr>
          <w:p>
            <w:pPr>
              <w:jc w:val="right"/>
              <w:ind w:right="966"/>
              <w:spacing w:after="0"/>
              <w:rPr>
                <w:sz w:val="20"/>
                <w:szCs w:val="20"/>
                <w:color w:val="auto"/>
              </w:rPr>
            </w:pPr>
            <w:r>
              <w:rPr>
                <w:rFonts w:ascii="Arial" w:cs="Arial" w:eastAsia="Arial" w:hAnsi="Arial"/>
                <w:sz w:val="15"/>
                <w:szCs w:val="15"/>
                <w:b w:val="1"/>
                <w:bCs w:val="1"/>
                <w:color w:val="auto"/>
              </w:rPr>
              <w:t>(...)</w:t>
            </w:r>
          </w:p>
        </w:tc>
        <w:tc>
          <w:tcPr>
            <w:tcW w:w="1860" w:type="dxa"/>
            <w:vAlign w:val="bottom"/>
          </w:tcPr>
          <w:p>
            <w:pPr>
              <w:jc w:val="right"/>
              <w:ind w:right="5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22"/>
          <w:szCs w:val="22"/>
          <w:b w:val="1"/>
          <w:bCs w:val="1"/>
          <w:color w:val="auto"/>
        </w:rPr>
        <w:t>* Specify the name of the document, if not THE COMPANY’s statutes.</w:t>
      </w:r>
    </w:p>
    <w:p>
      <w:pPr>
        <w:spacing w:after="0" w:line="202" w:lineRule="exact"/>
        <w:rPr>
          <w:sz w:val="20"/>
          <w:szCs w:val="20"/>
          <w:color w:val="auto"/>
        </w:rPr>
      </w:pPr>
    </w:p>
    <w:p>
      <w:pPr>
        <w:ind w:right="240"/>
        <w:spacing w:after="0" w:line="242" w:lineRule="auto"/>
        <w:rPr>
          <w:sz w:val="20"/>
          <w:szCs w:val="20"/>
          <w:color w:val="auto"/>
        </w:rPr>
      </w:pPr>
      <w:r>
        <w:rPr>
          <w:rFonts w:ascii="Arial" w:cs="Arial" w:eastAsia="Arial" w:hAnsi="Arial"/>
          <w:sz w:val="22"/>
          <w:szCs w:val="22"/>
          <w:b w:val="1"/>
          <w:bCs w:val="1"/>
          <w:color w:val="auto"/>
        </w:rPr>
        <w:t>(...) THE BOARD OF DIRECTORS IS RESPONSIBLE FOR THE FUNCTION DESCRIBED BUT THE FUNCTION IS NOT REGULATED.</w:t>
      </w:r>
    </w:p>
    <w:p>
      <w:pPr>
        <w:spacing w:after="0"/>
        <w:rPr>
          <w:sz w:val="20"/>
          <w:szCs w:val="20"/>
          <w:color w:val="auto"/>
        </w:rPr>
      </w:pPr>
      <w:r>
        <w:rPr>
          <w:rFonts w:ascii="Arial" w:cs="Arial" w:eastAsia="Arial" w:hAnsi="Arial"/>
          <w:sz w:val="22"/>
          <w:szCs w:val="22"/>
          <w:b w:val="1"/>
          <w:bCs w:val="1"/>
          <w:color w:val="auto"/>
        </w:rPr>
        <w:t>(...) NOT APPLICABLE. THE BOARD OF DIRECTORS IS NOT RESPONSIBLE FOR THIS FUNCTION.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Describe THE COMPANY’s policy on disclosure and communication of information to the shareholders.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controls and procedures in place for sharing information are in accordance with the following guidelines:</w:t>
      </w:r>
    </w:p>
    <w:p>
      <w:pPr>
        <w:ind w:right="20" w:firstLine="8"/>
        <w:spacing w:after="0" w:line="230" w:lineRule="auto"/>
        <w:tabs>
          <w:tab w:leader="none" w:pos="222" w:val="left"/>
        </w:tabs>
        <w:numPr>
          <w:ilvl w:val="0"/>
          <w:numId w:val="24"/>
        </w:numPr>
        <w:rPr>
          <w:rFonts w:ascii="Arial" w:cs="Arial" w:eastAsia="Arial" w:hAnsi="Arial"/>
          <w:sz w:val="22"/>
          <w:szCs w:val="22"/>
          <w:color w:val="auto"/>
        </w:rPr>
      </w:pPr>
      <w:r>
        <w:rPr>
          <w:rFonts w:ascii="Arial" w:cs="Arial" w:eastAsia="Arial" w:hAnsi="Arial"/>
          <w:sz w:val="22"/>
          <w:szCs w:val="22"/>
          <w:color w:val="auto"/>
        </w:rPr>
        <w:t>Accounting Policies. These must be duly circulated, presented and explained, and their application made uniform and continuous in time. Should changes to the Accounting Policies be proposed, the reasons for and corresponding details of such proposals must be submitted to the Auditing Committee for consideration.</w:t>
      </w:r>
    </w:p>
    <w:p>
      <w:pPr>
        <w:spacing w:after="0" w:line="2" w:lineRule="exact"/>
        <w:rPr>
          <w:rFonts w:ascii="Arial" w:cs="Arial" w:eastAsia="Arial" w:hAnsi="Arial"/>
          <w:sz w:val="22"/>
          <w:szCs w:val="22"/>
          <w:color w:val="auto"/>
        </w:rPr>
      </w:pPr>
    </w:p>
    <w:p>
      <w:pPr>
        <w:ind w:firstLine="8"/>
        <w:spacing w:after="0" w:line="277" w:lineRule="auto"/>
        <w:tabs>
          <w:tab w:leader="none" w:pos="234" w:val="left"/>
        </w:tabs>
        <w:numPr>
          <w:ilvl w:val="0"/>
          <w:numId w:val="24"/>
        </w:numPr>
        <w:rPr>
          <w:rFonts w:ascii="Arial" w:cs="Arial" w:eastAsia="Arial" w:hAnsi="Arial"/>
          <w:sz w:val="19"/>
          <w:szCs w:val="19"/>
          <w:color w:val="auto"/>
        </w:rPr>
      </w:pPr>
      <w:r>
        <w:rPr>
          <w:rFonts w:ascii="Arial" w:cs="Arial" w:eastAsia="Arial" w:hAnsi="Arial"/>
          <w:sz w:val="19"/>
          <w:szCs w:val="19"/>
          <w:color w:val="auto"/>
        </w:rPr>
        <w:t>Design of the controls and procedures for sharing information: ensure that the information that needs to be presented and circulated in the reports to CONASEV and SEC is registered, processed, consolidated and sent within the time scales established by the standards currently in force. Ensure that the information that needs to be presented and circulated in the reports to CONSASEV and SEC is communicated at the right time to the CEO and the Central Finance Manager and to the people who perform similar functions, in order to allow them to take appropriate decisions regarding the required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1" w:name="page52"/>
    <w:bookmarkEnd w:id="51"/>
    <w:p>
      <w:pPr>
        <w:ind w:left="240" w:hanging="232"/>
        <w:spacing w:after="0"/>
        <w:tabs>
          <w:tab w:leader="none" w:pos="2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Preparation of Form 20F</w:t>
      </w:r>
    </w:p>
    <w:p>
      <w:pPr>
        <w:spacing w:after="0" w:line="8" w:lineRule="exact"/>
        <w:rPr>
          <w:rFonts w:ascii="Arial" w:cs="Arial" w:eastAsia="Arial" w:hAnsi="Arial"/>
          <w:sz w:val="22"/>
          <w:szCs w:val="22"/>
          <w:color w:val="auto"/>
        </w:rPr>
      </w:pPr>
    </w:p>
    <w:p>
      <w:pPr>
        <w:ind w:left="240" w:hanging="232"/>
        <w:spacing w:after="0" w:line="230" w:lineRule="auto"/>
        <w:tabs>
          <w:tab w:leader="none" w:pos="2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Communication of important facts in the reports to CONASEV and SEC</w:t>
      </w:r>
    </w:p>
    <w:p>
      <w:pPr>
        <w:ind w:left="240" w:hanging="232"/>
        <w:spacing w:after="0"/>
        <w:tabs>
          <w:tab w:leader="none" w:pos="2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There is a group which inspects the information to be divulged.</w:t>
      </w:r>
    </w:p>
    <w:p>
      <w:pPr>
        <w:spacing w:after="0" w:line="182"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b w:val="1"/>
          <w:bCs w:val="1"/>
          <w:color w:val="auto"/>
        </w:rPr>
        <w:t>(...)</w:t>
      </w:r>
      <w:r>
        <w:rPr>
          <w:sz w:val="20"/>
          <w:szCs w:val="20"/>
          <w:color w:val="auto"/>
        </w:rPr>
        <w:tab/>
      </w:r>
      <w:r>
        <w:rPr>
          <w:rFonts w:ascii="Arial" w:cs="Arial" w:eastAsia="Arial" w:hAnsi="Arial"/>
          <w:sz w:val="21"/>
          <w:szCs w:val="21"/>
          <w:b w:val="1"/>
          <w:bCs w:val="1"/>
          <w:color w:val="auto"/>
        </w:rPr>
        <w:t>NOT APPLICABLE, THE COMPANY DOES NOT HAVE THE AFORE-MENTIONED POLICY</w:t>
      </w:r>
    </w:p>
    <w:p>
      <w:pPr>
        <w:spacing w:after="0" w:line="206" w:lineRule="exact"/>
        <w:rPr>
          <w:sz w:val="20"/>
          <w:szCs w:val="20"/>
          <w:color w:val="auto"/>
        </w:rPr>
      </w:pPr>
    </w:p>
    <w:p>
      <w:pPr>
        <w:ind w:right="1060"/>
        <w:spacing w:after="0" w:line="256" w:lineRule="auto"/>
        <w:rPr>
          <w:sz w:val="20"/>
          <w:szCs w:val="20"/>
          <w:color w:val="auto"/>
        </w:rPr>
      </w:pPr>
      <w:r>
        <w:rPr>
          <w:rFonts w:ascii="Arial" w:cs="Arial" w:eastAsia="Arial" w:hAnsi="Arial"/>
          <w:sz w:val="22"/>
          <w:szCs w:val="22"/>
          <w:b w:val="1"/>
          <w:bCs w:val="1"/>
          <w:color w:val="auto"/>
        </w:rPr>
        <w:t>c. Indicate whether the policy described in the previous question is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4883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020" cy="48831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20" w:type="dxa"/>
            <w:vAlign w:val="bottom"/>
            <w:tcBorders>
              <w:top w:val="single" w:sz="8" w:color="2C2C2C"/>
              <w:bottom w:val="single" w:sz="8" w:color="2C2C2C"/>
            </w:tcBorders>
          </w:tcPr>
          <w:p>
            <w:pPr>
              <w:jc w:val="center"/>
              <w:ind w:left="326"/>
              <w:spacing w:after="0"/>
              <w:rPr>
                <w:sz w:val="20"/>
                <w:szCs w:val="20"/>
                <w:color w:val="auto"/>
              </w:rPr>
            </w:pPr>
            <w:r>
              <w:rPr>
                <w:rFonts w:ascii="Arial" w:cs="Arial" w:eastAsia="Arial" w:hAnsi="Arial"/>
                <w:sz w:val="15"/>
                <w:szCs w:val="15"/>
                <w:color w:val="auto"/>
                <w:w w:val="95"/>
              </w:rPr>
              <w:t>OTHER</w:t>
            </w:r>
          </w:p>
        </w:tc>
        <w:tc>
          <w:tcPr>
            <w:tcW w:w="2700" w:type="dxa"/>
            <w:vAlign w:val="bottom"/>
            <w:tcBorders>
              <w:top w:val="single" w:sz="8" w:color="2C2C2C"/>
              <w:bottom w:val="single" w:sz="8" w:color="2C2C2C"/>
            </w:tcBorders>
          </w:tcPr>
          <w:p>
            <w:pPr>
              <w:ind w:left="54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2000" w:type="dxa"/>
            <w:vAlign w:val="bottom"/>
          </w:tcPr>
          <w:p>
            <w:pPr>
              <w:jc w:val="right"/>
              <w:ind w:right="686"/>
              <w:spacing w:after="0" w:line="153" w:lineRule="exact"/>
              <w:rPr>
                <w:sz w:val="20"/>
                <w:szCs w:val="20"/>
                <w:color w:val="auto"/>
              </w:rPr>
            </w:pPr>
            <w:r>
              <w:rPr>
                <w:rFonts w:ascii="Arial" w:cs="Arial" w:eastAsia="Arial" w:hAnsi="Arial"/>
                <w:sz w:val="15"/>
                <w:szCs w:val="15"/>
                <w:b w:val="1"/>
                <w:bCs w:val="1"/>
                <w:color w:val="auto"/>
              </w:rPr>
              <w:t>(...)</w:t>
            </w:r>
          </w:p>
        </w:tc>
        <w:tc>
          <w:tcPr>
            <w:tcW w:w="2820" w:type="dxa"/>
            <w:vAlign w:val="bottom"/>
          </w:tcPr>
          <w:p>
            <w:pPr>
              <w:jc w:val="center"/>
              <w:spacing w:after="0" w:line="153" w:lineRule="exact"/>
              <w:rPr>
                <w:sz w:val="20"/>
                <w:szCs w:val="20"/>
                <w:color w:val="auto"/>
              </w:rPr>
            </w:pPr>
            <w:r>
              <w:rPr>
                <w:rFonts w:ascii="Arial" w:cs="Arial" w:eastAsia="Arial" w:hAnsi="Arial"/>
                <w:sz w:val="15"/>
                <w:szCs w:val="15"/>
                <w:b w:val="1"/>
                <w:bCs w:val="1"/>
                <w:color w:val="auto"/>
                <w:w w:val="99"/>
              </w:rPr>
              <w:t>(.X)</w:t>
            </w:r>
          </w:p>
        </w:tc>
        <w:tc>
          <w:tcPr>
            <w:tcW w:w="2040" w:type="dxa"/>
            <w:vAlign w:val="bottom"/>
          </w:tcPr>
          <w:p>
            <w:pPr>
              <w:jc w:val="right"/>
              <w:ind w:right="966"/>
              <w:spacing w:after="0" w:line="153" w:lineRule="exact"/>
              <w:rPr>
                <w:sz w:val="20"/>
                <w:szCs w:val="20"/>
                <w:color w:val="auto"/>
              </w:rPr>
            </w:pPr>
            <w:r>
              <w:rPr>
                <w:rFonts w:ascii="Arial" w:cs="Arial" w:eastAsia="Arial" w:hAnsi="Arial"/>
                <w:sz w:val="15"/>
                <w:szCs w:val="15"/>
                <w:b w:val="1"/>
                <w:bCs w:val="1"/>
                <w:color w:val="auto"/>
              </w:rPr>
              <w:t>(...)</w:t>
            </w:r>
          </w:p>
        </w:tc>
        <w:tc>
          <w:tcPr>
            <w:tcW w:w="1820" w:type="dxa"/>
            <w:vAlign w:val="bottom"/>
          </w:tcPr>
          <w:p>
            <w:pPr>
              <w:jc w:val="right"/>
              <w:ind w:right="526"/>
              <w:spacing w:after="0" w:line="153" w:lineRule="exact"/>
              <w:rPr>
                <w:sz w:val="20"/>
                <w:szCs w:val="20"/>
                <w:color w:val="auto"/>
              </w:rPr>
            </w:pPr>
            <w:r>
              <w:rPr>
                <w:rFonts w:ascii="Arial" w:cs="Arial" w:eastAsia="Arial" w:hAnsi="Arial"/>
                <w:sz w:val="15"/>
                <w:szCs w:val="15"/>
                <w:b w:val="1"/>
                <w:bCs w:val="1"/>
                <w:color w:val="auto"/>
              </w:rPr>
              <w:t>(...)</w:t>
            </w:r>
          </w:p>
        </w:tc>
        <w:tc>
          <w:tcPr>
            <w:tcW w:w="2700" w:type="dxa"/>
            <w:vAlign w:val="bottom"/>
          </w:tcPr>
          <w:p>
            <w:pPr>
              <w:ind w:left="460"/>
              <w:spacing w:after="0" w:line="153" w:lineRule="exact"/>
              <w:rPr>
                <w:sz w:val="20"/>
                <w:szCs w:val="20"/>
                <w:color w:val="auto"/>
              </w:rPr>
            </w:pPr>
            <w:r>
              <w:rPr>
                <w:rFonts w:ascii="Arial" w:cs="Arial" w:eastAsia="Arial" w:hAnsi="Arial"/>
                <w:sz w:val="15"/>
                <w:szCs w:val="15"/>
                <w:color w:val="auto"/>
              </w:rPr>
              <w:t>Corporate Policies – Controls</w:t>
            </w: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and procedures for divulgation</w:t>
            </w: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720" w:type="dxa"/>
            <w:vAlign w:val="bottom"/>
            <w:gridSpan w:val="2"/>
          </w:tcPr>
          <w:p>
            <w:pPr>
              <w:ind w:left="460"/>
              <w:spacing w:after="0"/>
              <w:rPr>
                <w:sz w:val="20"/>
                <w:szCs w:val="20"/>
                <w:color w:val="auto"/>
              </w:rPr>
            </w:pPr>
            <w:r>
              <w:rPr>
                <w:rFonts w:ascii="Arial" w:cs="Arial" w:eastAsia="Arial" w:hAnsi="Arial"/>
                <w:sz w:val="15"/>
                <w:szCs w:val="15"/>
                <w:color w:val="auto"/>
              </w:rPr>
              <w:t>of information</w:t>
            </w:r>
          </w:p>
        </w:tc>
      </w:tr>
    </w:tbl>
    <w:p>
      <w:pPr>
        <w:ind w:left="180" w:hanging="172"/>
        <w:spacing w:after="0"/>
        <w:tabs>
          <w:tab w:leader="none" w:pos="18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Specify the name of the document, if not THE COMPANY’s statutes.</w:t>
      </w:r>
    </w:p>
    <w:p>
      <w:pPr>
        <w:spacing w:after="0" w:line="188"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w:t>
      </w:r>
      <w:r>
        <w:rPr>
          <w:rFonts w:ascii="Arial" w:cs="Arial" w:eastAsia="Arial" w:hAnsi="Arial"/>
          <w:sz w:val="21"/>
          <w:szCs w:val="21"/>
          <w:b w:val="1"/>
          <w:bCs w:val="1"/>
          <w:color w:val="auto"/>
        </w:rPr>
        <w:t>IT IS NOT REGULATED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290195</wp:posOffset>
            </wp:positionV>
            <wp:extent cx="7272020" cy="8140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2020" cy="81407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5"/>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560" w:type="dxa"/>
            <w:vAlign w:val="bottom"/>
            <w:tcBorders>
              <w:top w:val="single" w:sz="8" w:color="2C2C2C"/>
              <w:bottom w:val="single" w:sz="8" w:color="2C2C2C"/>
            </w:tcBorders>
          </w:tcPr>
          <w:p>
            <w:pPr>
              <w:spacing w:after="0"/>
              <w:rPr>
                <w:sz w:val="17"/>
                <w:szCs w:val="17"/>
                <w:color w:val="auto"/>
              </w:rPr>
            </w:pPr>
          </w:p>
        </w:tc>
        <w:tc>
          <w:tcPr>
            <w:tcW w:w="240" w:type="dxa"/>
            <w:vAlign w:val="bottom"/>
            <w:tcBorders>
              <w:top w:val="single" w:sz="8" w:color="2C2C2C"/>
              <w:bottom w:val="single" w:sz="8" w:color="2C2C2C"/>
            </w:tcBorders>
          </w:tcPr>
          <w:p>
            <w:pPr>
              <w:spacing w:after="0"/>
              <w:rPr>
                <w:sz w:val="17"/>
                <w:szCs w:val="17"/>
                <w:color w:val="auto"/>
              </w:rPr>
            </w:pPr>
          </w:p>
        </w:tc>
        <w:tc>
          <w:tcPr>
            <w:tcW w:w="80" w:type="dxa"/>
            <w:vAlign w:val="bottom"/>
            <w:tcBorders>
              <w:top w:val="single" w:sz="8" w:color="2C2C2C"/>
              <w:bottom w:val="single" w:sz="8" w:color="2C2C2C"/>
            </w:tcBorders>
          </w:tcPr>
          <w:p>
            <w:pPr>
              <w:spacing w:after="0"/>
              <w:rPr>
                <w:sz w:val="17"/>
                <w:szCs w:val="17"/>
                <w:color w:val="auto"/>
              </w:rPr>
            </w:pPr>
          </w:p>
        </w:tc>
        <w:tc>
          <w:tcPr>
            <w:tcW w:w="24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5"/>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56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3</w:t>
            </w:r>
          </w:p>
        </w:tc>
        <w:tc>
          <w:tcPr>
            <w:tcW w:w="320" w:type="dxa"/>
            <w:vAlign w:val="bottom"/>
            <w:gridSpan w:val="2"/>
            <w:vMerge w:val="restart"/>
          </w:tcPr>
          <w:p>
            <w:pPr>
              <w:ind w:left="240"/>
              <w:spacing w:after="0" w:line="162" w:lineRule="exact"/>
              <w:rPr>
                <w:sz w:val="20"/>
                <w:szCs w:val="20"/>
                <w:color w:val="auto"/>
              </w:rPr>
            </w:pPr>
            <w:r>
              <w:rPr>
                <w:rFonts w:ascii="Arial" w:cs="Arial" w:eastAsia="Arial" w:hAnsi="Arial"/>
                <w:sz w:val="15"/>
                <w:szCs w:val="15"/>
                <w:i w:val="1"/>
                <w:iCs w:val="1"/>
                <w:color w:val="auto"/>
                <w:w w:val="71"/>
              </w:rPr>
              <w:t>4</w:t>
            </w: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0" w:type="dxa"/>
            <w:vAlign w:val="bottom"/>
            <w:tcBorders>
              <w:top w:val="single" w:sz="8" w:color="auto"/>
              <w:bottom w:val="single" w:sz="8" w:color="2C2C2C"/>
            </w:tcBorders>
          </w:tcPr>
          <w:p>
            <w:pPr>
              <w:spacing w:after="0"/>
              <w:rPr>
                <w:sz w:val="8"/>
                <w:szCs w:val="8"/>
                <w:color w:val="auto"/>
              </w:rPr>
            </w:pPr>
          </w:p>
        </w:tc>
        <w:tc>
          <w:tcPr>
            <w:tcW w:w="300" w:type="dxa"/>
            <w:vAlign w:val="bottom"/>
            <w:tcBorders>
              <w:top w:val="single" w:sz="8" w:color="auto"/>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320" w:type="dxa"/>
            <w:vAlign w:val="bottom"/>
            <w:tcBorders>
              <w:bottom w:val="single" w:sz="8" w:color="2C2C2C"/>
            </w:tcBorders>
            <w:gridSpan w:val="2"/>
            <w:vMerge w:val="continue"/>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5"/>
          </w:tcPr>
          <w:p>
            <w:pPr>
              <w:ind w:left="20"/>
              <w:spacing w:after="0" w:line="149" w:lineRule="exact"/>
              <w:rPr>
                <w:sz w:val="20"/>
                <w:szCs w:val="20"/>
                <w:color w:val="auto"/>
              </w:rPr>
            </w:pPr>
            <w:r>
              <w:rPr>
                <w:rFonts w:ascii="Arial" w:cs="Arial" w:eastAsia="Arial" w:hAnsi="Arial"/>
                <w:sz w:val="15"/>
                <w:szCs w:val="15"/>
                <w:i w:val="1"/>
                <w:iCs w:val="1"/>
                <w:color w:val="auto"/>
                <w:w w:val="93"/>
              </w:rPr>
              <w:t>18. Principle (V.E.1).- The Board of Directors may establish special entities in accordance with the needs and dimensions of the company,</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3"/>
          </w:tcPr>
          <w:p>
            <w:pPr>
              <w:ind w:left="240"/>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7340" w:type="dxa"/>
            <w:vAlign w:val="bottom"/>
            <w:vMerge w:val="restart"/>
          </w:tcPr>
          <w:p>
            <w:pPr>
              <w:ind w:left="20"/>
              <w:spacing w:after="0"/>
              <w:rPr>
                <w:sz w:val="20"/>
                <w:szCs w:val="20"/>
                <w:color w:val="auto"/>
              </w:rPr>
            </w:pPr>
            <w:r>
              <w:rPr>
                <w:rFonts w:ascii="Arial" w:cs="Arial" w:eastAsia="Arial" w:hAnsi="Arial"/>
                <w:sz w:val="15"/>
                <w:szCs w:val="15"/>
                <w:i w:val="1"/>
                <w:iCs w:val="1"/>
                <w:color w:val="auto"/>
                <w:w w:val="90"/>
              </w:rPr>
              <w:t>that takes on the function of auditing. Likewise, these special entities can be formed to take on functions of appointments,</w:t>
            </w: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gridSpan w:val="4"/>
          </w:tcPr>
          <w:p>
            <w:pPr>
              <w:ind w:left="20"/>
              <w:spacing w:after="0" w:line="159" w:lineRule="exact"/>
              <w:rPr>
                <w:sz w:val="20"/>
                <w:szCs w:val="20"/>
                <w:color w:val="auto"/>
              </w:rPr>
            </w:pPr>
            <w:r>
              <w:rPr>
                <w:rFonts w:ascii="Arial" w:cs="Arial" w:eastAsia="Arial" w:hAnsi="Arial"/>
                <w:sz w:val="15"/>
                <w:szCs w:val="15"/>
                <w:i w:val="1"/>
                <w:iCs w:val="1"/>
                <w:color w:val="auto"/>
                <w:w w:val="90"/>
              </w:rPr>
              <w:t>especially the entity</w:t>
            </w:r>
          </w:p>
        </w:tc>
        <w:tc>
          <w:tcPr>
            <w:tcW w:w="73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0"/>
        <w:spacing w:after="0" w:line="225" w:lineRule="auto"/>
        <w:rPr>
          <w:sz w:val="20"/>
          <w:szCs w:val="20"/>
          <w:color w:val="auto"/>
        </w:rPr>
      </w:pPr>
      <w:r>
        <w:rPr>
          <w:rFonts w:ascii="Arial" w:cs="Arial" w:eastAsia="Arial" w:hAnsi="Arial"/>
          <w:sz w:val="15"/>
          <w:szCs w:val="15"/>
          <w:i w:val="1"/>
          <w:iCs w:val="1"/>
          <w:color w:val="auto"/>
        </w:rPr>
        <w:t>payment, control and planning.</w:t>
      </w:r>
    </w:p>
    <w:p>
      <w:pPr>
        <w:ind w:left="40" w:right="2880"/>
        <w:spacing w:after="0" w:line="235" w:lineRule="auto"/>
        <w:rPr>
          <w:sz w:val="20"/>
          <w:szCs w:val="20"/>
          <w:color w:val="auto"/>
        </w:rPr>
      </w:pPr>
      <w:r>
        <w:rPr>
          <w:rFonts w:ascii="Arial" w:cs="Arial" w:eastAsia="Arial" w:hAnsi="Arial"/>
          <w:sz w:val="15"/>
          <w:szCs w:val="15"/>
          <w:i w:val="1"/>
          <w:iCs w:val="1"/>
          <w:color w:val="auto"/>
        </w:rPr>
        <w:t>These special entities will be constituted within the Board of Directors as support mechanisms and should preferably be made up of independent directors, so that impartial decisions can be made on matters where conflicts of interest could arise.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a. If the reply to the previous question is affirmative, please give the following information regarding each committee of the Board of Directors within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2825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2020" cy="282575"/>
                    </a:xfrm>
                    <a:prstGeom prst="rect">
                      <a:avLst/>
                    </a:prstGeom>
                    <a:noFill/>
                  </pic:spPr>
                </pic:pic>
              </a:graphicData>
            </a:graphic>
          </wp:anchor>
        </w:drawing>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Auditing Committee</w:t>
      </w:r>
    </w:p>
    <w:p>
      <w:pPr>
        <w:spacing w:after="0"/>
        <w:tabs>
          <w:tab w:leader="none" w:pos="600" w:val="left"/>
        </w:tabs>
        <w:rPr>
          <w:sz w:val="20"/>
          <w:szCs w:val="20"/>
          <w:color w:val="auto"/>
        </w:rPr>
      </w:pPr>
      <w:r>
        <w:rPr>
          <w:sz w:val="1"/>
          <w:szCs w:val="1"/>
          <w:color w:val="auto"/>
        </w:rPr>
        <w:drawing>
          <wp:inline distT="0" distB="0" distL="0" distR="0">
            <wp:extent cx="34290" cy="12382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123825"/>
                    </a:xfrm>
                    <a:prstGeom prst="rect">
                      <a:avLst/>
                    </a:prstGeom>
                    <a:noFill/>
                    <a:ln>
                      <a:noFill/>
                    </a:ln>
                  </pic:spPr>
                </pic:pic>
              </a:graphicData>
            </a:graphic>
          </wp:inline>
        </w:drawing>
      </w:r>
      <w:r>
        <w:rPr>
          <w:rFonts w:ascii="Arial" w:cs="Arial" w:eastAsia="Arial" w:hAnsi="Arial"/>
          <w:sz w:val="15"/>
          <w:szCs w:val="15"/>
          <w:b w:val="1"/>
          <w:bCs w:val="1"/>
          <w:color w:val="auto"/>
        </w:rPr>
        <w:t>1.</w:t>
      </w:r>
      <w:r>
        <w:rPr>
          <w:sz w:val="20"/>
          <w:szCs w:val="20"/>
          <w:color w:val="auto"/>
        </w:rPr>
        <w:tab/>
      </w:r>
      <w:r>
        <w:rPr>
          <w:rFonts w:ascii="Arial" w:cs="Arial" w:eastAsia="Arial" w:hAnsi="Arial"/>
          <w:sz w:val="13"/>
          <w:szCs w:val="13"/>
          <w:color w:val="auto"/>
        </w:rPr>
        <w:t>DATE OF CREATION: 31.10.2002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II. FUNCTIONS: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Auditing Committee has the following functions with regard 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EXTERNAL AUDITORS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Nominating the external auditors within three months of the end of the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60"/>
        <w:spacing w:after="0" w:line="241" w:lineRule="auto"/>
        <w:rPr>
          <w:sz w:val="20"/>
          <w:szCs w:val="20"/>
          <w:color w:val="auto"/>
        </w:rPr>
      </w:pPr>
      <w:r>
        <w:rPr>
          <w:rFonts w:ascii="Arial" w:cs="Arial" w:eastAsia="Arial" w:hAnsi="Arial"/>
          <w:sz w:val="21"/>
          <w:szCs w:val="21"/>
          <w:color w:val="auto"/>
        </w:rPr>
        <w:t>Hiring the external auditors for auditing, revision or certification services and supervising the execution of their work; Revising all the reports prepared by the external auditors and informing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480"/>
        <w:spacing w:after="0" w:line="230" w:lineRule="auto"/>
        <w:rPr>
          <w:sz w:val="20"/>
          <w:szCs w:val="20"/>
          <w:color w:val="auto"/>
        </w:rPr>
      </w:pPr>
      <w:r>
        <w:rPr>
          <w:rFonts w:ascii="Arial" w:cs="Arial" w:eastAsia="Arial" w:hAnsi="Arial"/>
          <w:sz w:val="22"/>
          <w:szCs w:val="22"/>
          <w:color w:val="auto"/>
        </w:rPr>
        <w:t>Ensuring that the professional team of external auditors has the necessary capacity for carrying out the audit; Ensuring that the external auditors fulfill the criteria of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00"/>
        <w:spacing w:after="0" w:line="230" w:lineRule="auto"/>
        <w:rPr>
          <w:sz w:val="20"/>
          <w:szCs w:val="20"/>
          <w:color w:val="auto"/>
        </w:rPr>
      </w:pPr>
      <w:r>
        <w:rPr>
          <w:rFonts w:ascii="Arial" w:cs="Arial" w:eastAsia="Arial" w:hAnsi="Arial"/>
          <w:sz w:val="22"/>
          <w:szCs w:val="22"/>
          <w:color w:val="auto"/>
        </w:rPr>
        <w:t>Ensuring that the external auditors report directly to the Auditing Committee concerning the results of the audit; Ensuring that the external auditors’ reports include the evaluation of Credicorp’s internal accounting control system; Approving any additional service that may be requested of the external auditors (or of persons or firms affiliated to them); Ensuring that the external auditors (or persons or firms affiliated to or related to them) are not hired to carry out any of the services prohibited by the standards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-719455</wp:posOffset>
            </wp:positionV>
            <wp:extent cx="68580" cy="685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-565150</wp:posOffset>
            </wp:positionV>
            <wp:extent cx="68580" cy="685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-410845</wp:posOffset>
            </wp:positionV>
            <wp:extent cx="68580" cy="685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-256540</wp:posOffset>
            </wp:positionV>
            <wp:extent cx="68580" cy="685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80"/>
        <w:spacing w:after="0" w:line="230" w:lineRule="auto"/>
        <w:rPr>
          <w:sz w:val="20"/>
          <w:szCs w:val="20"/>
          <w:color w:val="auto"/>
        </w:rPr>
      </w:pPr>
      <w:r>
        <w:rPr>
          <w:rFonts w:ascii="Arial" w:cs="Arial" w:eastAsia="Arial" w:hAnsi="Arial"/>
          <w:sz w:val="22"/>
          <w:szCs w:val="22"/>
          <w:color w:val="auto"/>
        </w:rPr>
        <w:t>Resolving disputes that arise between the External Auditors and the Corporation’s Management regarding the financial reports they are inspecting.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60"/>
        <w:spacing w:after="0" w:line="237" w:lineRule="auto"/>
        <w:rPr>
          <w:sz w:val="20"/>
          <w:szCs w:val="20"/>
          <w:color w:val="auto"/>
        </w:rPr>
      </w:pPr>
      <w:r>
        <w:rPr>
          <w:rFonts w:ascii="Arial" w:cs="Arial" w:eastAsia="Arial" w:hAnsi="Arial"/>
          <w:sz w:val="22"/>
          <w:szCs w:val="22"/>
          <w:color w:val="auto"/>
        </w:rPr>
        <w:t>Checking and evaluating the formal communication that the external auditors must send on independent relationships and conflicts of interest with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OF COMPLAINTS AND INFORMATION RECEIVED</w:t>
      </w:r>
    </w:p>
    <w:p>
      <w:pPr>
        <w:spacing w:after="0" w:line="212" w:lineRule="exact"/>
        <w:rPr>
          <w:sz w:val="20"/>
          <w:szCs w:val="20"/>
          <w:color w:val="auto"/>
        </w:rPr>
      </w:pPr>
    </w:p>
    <w:p>
      <w:pPr>
        <w:ind w:left="540" w:right="360"/>
        <w:spacing w:after="0" w:line="236" w:lineRule="auto"/>
        <w:rPr>
          <w:sz w:val="20"/>
          <w:szCs w:val="20"/>
          <w:color w:val="auto"/>
        </w:rPr>
      </w:pPr>
      <w:r>
        <w:rPr>
          <w:rFonts w:ascii="Arial" w:cs="Arial" w:eastAsia="Arial" w:hAnsi="Arial"/>
          <w:sz w:val="22"/>
          <w:szCs w:val="22"/>
          <w:color w:val="auto"/>
        </w:rPr>
        <w:t>Receiving and administering the complaints and information received from the personnel of the Corporation relating to matters of accounting, finance, internal control and auditing, according to procedures established by the Committee in the Corporation’s Denunciation System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720"/>
        <w:spacing w:after="0" w:line="234" w:lineRule="auto"/>
        <w:rPr>
          <w:sz w:val="20"/>
          <w:szCs w:val="20"/>
          <w:color w:val="auto"/>
        </w:rPr>
      </w:pPr>
      <w:r>
        <w:rPr>
          <w:rFonts w:ascii="Arial" w:cs="Arial" w:eastAsia="Arial" w:hAnsi="Arial"/>
          <w:sz w:val="22"/>
          <w:szCs w:val="22"/>
          <w:color w:val="auto"/>
        </w:rPr>
        <w:t>Administering the anonymous and confidencial denunciations presented by employees of the Corporation relating to irregular accounting transactions, guaranteeing their protection against reprisals, reprimands or other measures by the Management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-419735</wp:posOffset>
            </wp:positionV>
            <wp:extent cx="68580" cy="685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HIRING ADVISORS</w:t>
      </w:r>
    </w:p>
    <w:p>
      <w:pPr>
        <w:spacing w:after="0" w:line="212" w:lineRule="exact"/>
        <w:rPr>
          <w:sz w:val="20"/>
          <w:szCs w:val="20"/>
          <w:color w:val="auto"/>
        </w:rPr>
      </w:pPr>
    </w:p>
    <w:p>
      <w:pPr>
        <w:ind w:left="540" w:right="160"/>
        <w:spacing w:after="0" w:line="238" w:lineRule="auto"/>
        <w:rPr>
          <w:sz w:val="20"/>
          <w:szCs w:val="20"/>
          <w:color w:val="auto"/>
        </w:rPr>
      </w:pPr>
      <w:r>
        <w:rPr>
          <w:rFonts w:ascii="Arial" w:cs="Arial" w:eastAsia="Arial" w:hAnsi="Arial"/>
          <w:sz w:val="22"/>
          <w:szCs w:val="22"/>
          <w:color w:val="auto"/>
        </w:rPr>
        <w:t>Hiring the services of external advisors or any expert or experts on legal and/or accounting matters, as considered necessary for carrying out their repsonsibilities. If another opinion is required on a technical matter or if the Committee requires additional information, in order to avoid conflicts of interest, the advisors contracted must not be the same as those hired by management for those specific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BUDGET</w:t>
      </w:r>
    </w:p>
    <w:p>
      <w:pPr>
        <w:spacing w:after="0" w:line="212" w:lineRule="exact"/>
        <w:rPr>
          <w:sz w:val="20"/>
          <w:szCs w:val="20"/>
          <w:color w:val="auto"/>
        </w:rPr>
      </w:pPr>
    </w:p>
    <w:p>
      <w:pPr>
        <w:ind w:left="540"/>
        <w:spacing w:after="0" w:line="239" w:lineRule="auto"/>
        <w:rPr>
          <w:sz w:val="20"/>
          <w:szCs w:val="20"/>
          <w:color w:val="auto"/>
        </w:rPr>
      </w:pPr>
      <w:r>
        <w:rPr>
          <w:rFonts w:ascii="Arial" w:cs="Arial" w:eastAsia="Arial" w:hAnsi="Arial"/>
          <w:sz w:val="22"/>
          <w:szCs w:val="22"/>
          <w:color w:val="auto"/>
        </w:rPr>
        <w:t>Obtaining resources from Credicorp to hire the firm of external auditors in order to issue an auditor’s report or related task, or any other auditing, inspection, evaluation or certification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Obtaining resources from Credicorp for paying any advisor hired by the Auditing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INTERNAL CONTROLS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Evaluating the design of the Corporation’s internal control procedures in order to guarantee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o They protect the assets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ind w:left="1140"/>
        <w:spacing w:after="0"/>
        <w:rPr>
          <w:sz w:val="20"/>
          <w:szCs w:val="20"/>
          <w:color w:val="auto"/>
        </w:rPr>
      </w:pPr>
      <w:r>
        <w:rPr>
          <w:rFonts w:ascii="Arial" w:cs="Arial" w:eastAsia="Arial" w:hAnsi="Arial"/>
          <w:sz w:val="22"/>
          <w:szCs w:val="22"/>
          <w:color w:val="auto"/>
        </w:rPr>
        <w:t>o They enable verification that the transactions are being adequately authorized and registered;</w:t>
      </w:r>
    </w:p>
    <w:p>
      <w:pPr>
        <w:spacing w:after="0" w:line="207" w:lineRule="exact"/>
        <w:rPr>
          <w:sz w:val="20"/>
          <w:szCs w:val="20"/>
          <w:color w:val="auto"/>
        </w:rPr>
      </w:pPr>
    </w:p>
    <w:p>
      <w:pPr>
        <w:ind w:left="540" w:right="280"/>
        <w:spacing w:after="0" w:line="238" w:lineRule="auto"/>
        <w:rPr>
          <w:sz w:val="20"/>
          <w:szCs w:val="20"/>
          <w:color w:val="auto"/>
        </w:rPr>
      </w:pPr>
      <w:r>
        <w:rPr>
          <w:rFonts w:ascii="Arial" w:cs="Arial" w:eastAsia="Arial" w:hAnsi="Arial"/>
          <w:sz w:val="22"/>
          <w:szCs w:val="22"/>
          <w:color w:val="auto"/>
        </w:rPr>
        <w:t>Ensuring that Management has implemented the suggestions and recommendations resulting from the internal control evaluations carried out by the Auditing Division and by the External Auditors, by revising the corresponding reports; Being involved in the analysis of any deficiency in the internal control system and frauds declared in the certifications that are sent to CONASEV and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-266700</wp:posOffset>
            </wp:positionV>
            <wp:extent cx="68580" cy="685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CONTROLS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Evaluating the main accounting principles used in producing Credicorp’s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Evaluating the presentation of financial statements,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700" w:hanging="233"/>
        <w:spacing w:after="0"/>
        <w:tabs>
          <w:tab w:leader="none" w:pos="7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most significant matters in the selection and application of and/or changes in the accounting principles,</w:t>
      </w:r>
    </w:p>
    <w:p>
      <w:pPr>
        <w:spacing w:after="0" w:line="1" w:lineRule="exact"/>
        <w:rPr>
          <w:rFonts w:ascii="Arial" w:cs="Arial" w:eastAsia="Arial" w:hAnsi="Arial"/>
          <w:sz w:val="15"/>
          <w:szCs w:val="15"/>
          <w:color w:val="auto"/>
        </w:rPr>
      </w:pPr>
    </w:p>
    <w:p>
      <w:pPr>
        <w:ind w:left="700" w:hanging="233"/>
        <w:spacing w:after="0" w:line="225" w:lineRule="auto"/>
        <w:tabs>
          <w:tab w:leader="none" w:pos="7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effectiveness and operativeness of internal controls in the preparation of the financial statements;</w:t>
      </w:r>
    </w:p>
    <w:p>
      <w:pPr>
        <w:ind w:left="700" w:hanging="233"/>
        <w:spacing w:after="0"/>
        <w:tabs>
          <w:tab w:leader="none" w:pos="7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corrective measures adopted as a result of significant deficiencies in control that may have been identified.</w:t>
      </w:r>
    </w:p>
    <w:p>
      <w:pPr>
        <w:spacing w:after="0" w:line="182" w:lineRule="exact"/>
        <w:rPr>
          <w:sz w:val="20"/>
          <w:szCs w:val="20"/>
          <w:color w:val="auto"/>
        </w:rPr>
      </w:pPr>
    </w:p>
    <w:p>
      <w:pPr>
        <w:ind w:left="540" w:right="440"/>
        <w:spacing w:after="0" w:line="251" w:lineRule="auto"/>
        <w:rPr>
          <w:sz w:val="20"/>
          <w:szCs w:val="20"/>
          <w:color w:val="auto"/>
        </w:rPr>
      </w:pPr>
      <w:r>
        <w:rPr>
          <w:rFonts w:ascii="Arial" w:cs="Arial" w:eastAsia="Arial" w:hAnsi="Arial"/>
          <w:sz w:val="22"/>
          <w:szCs w:val="22"/>
          <w:color w:val="auto"/>
        </w:rPr>
        <w:t>Evaluating the analysis of financial information or accounting matters prepared by the administration and/or the external auditors, paying special attention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left="700" w:hanging="233"/>
        <w:spacing w:after="0"/>
        <w:tabs>
          <w:tab w:leader="none" w:pos="7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Significant matters of financial information,</w:t>
      </w:r>
    </w:p>
    <w:p>
      <w:pPr>
        <w:ind w:left="700" w:hanging="233"/>
        <w:spacing w:after="0" w:line="227" w:lineRule="auto"/>
        <w:tabs>
          <w:tab w:leader="none" w:pos="7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Opinions issued in connection with the preparation of the financial statements,</w:t>
      </w:r>
    </w:p>
    <w:p>
      <w:pPr>
        <w:ind w:left="700" w:hanging="233"/>
        <w:spacing w:after="0" w:line="225" w:lineRule="auto"/>
        <w:tabs>
          <w:tab w:leader="none" w:pos="7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effects of using other alternatives permitted by generally accepted accounting principles in the preparation of the financial statements,</w:t>
      </w:r>
    </w:p>
    <w:p>
      <w:pPr>
        <w:ind w:left="700" w:hanging="233"/>
        <w:spacing w:after="0" w:line="225" w:lineRule="auto"/>
        <w:tabs>
          <w:tab w:leader="none" w:pos="7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Off balance sheet operations.</w:t>
      </w:r>
    </w:p>
    <w:p>
      <w:pPr>
        <w:ind w:left="700" w:hanging="233"/>
        <w:spacing w:after="0" w:line="225" w:lineRule="auto"/>
        <w:tabs>
          <w:tab w:leader="none" w:pos="7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Inspecting the reports that are prepared on important accounting policies and practices applied by the Corporation.</w:t>
      </w:r>
    </w:p>
    <w:p>
      <w:pPr>
        <w:ind w:left="700" w:hanging="233"/>
        <w:spacing w:after="0" w:line="225" w:lineRule="auto"/>
        <w:tabs>
          <w:tab w:leader="none" w:pos="7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Evaluating the alternative accounting methods that are permitted by Generally Accepted Accounting Principles that have been discussed by the external auditor with Credicorp’s management, including the possible effects of using such alternatives and the approach preferred by the auditor;</w:t>
      </w:r>
    </w:p>
    <w:p>
      <w:pPr>
        <w:ind w:left="700" w:hanging="233"/>
        <w:spacing w:after="0" w:line="225" w:lineRule="auto"/>
        <w:tabs>
          <w:tab w:leader="none" w:pos="7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Seeing and evaluating the draft financial statements of the entity;</w:t>
      </w:r>
    </w:p>
    <w:p>
      <w:pPr>
        <w:ind w:left="700" w:hanging="233"/>
        <w:spacing w:after="0" w:line="225" w:lineRule="auto"/>
        <w:tabs>
          <w:tab w:leader="none" w:pos="7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Seeing and evaluating the report on the financial statements issued by the external auditors;</w:t>
      </w:r>
    </w:p>
    <w:p>
      <w:pPr>
        <w:ind w:left="700" w:hanging="233"/>
        <w:spacing w:after="0"/>
        <w:tabs>
          <w:tab w:leader="none" w:pos="7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Seeing and evaluating the annual work plan of Credicorp’s Internal Auditing Division and the external auditors and others that are of significant importance to the Corporation;</w:t>
      </w:r>
    </w:p>
    <w:p>
      <w:pPr>
        <w:spacing w:after="0" w:line="12" w:lineRule="exact"/>
        <w:rPr>
          <w:rFonts w:ascii="Arial" w:cs="Arial" w:eastAsia="Arial" w:hAnsi="Arial"/>
          <w:sz w:val="13"/>
          <w:szCs w:val="13"/>
          <w:color w:val="auto"/>
        </w:rPr>
      </w:pPr>
    </w:p>
    <w:p>
      <w:pPr>
        <w:ind w:left="700" w:hanging="233"/>
        <w:spacing w:after="0" w:line="225" w:lineRule="auto"/>
        <w:tabs>
          <w:tab w:leader="none" w:pos="7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Inspecting the quarterly financial statements;</w:t>
      </w:r>
    </w:p>
    <w:p>
      <w:pPr>
        <w:ind w:left="700" w:right="20" w:hanging="233"/>
        <w:spacing w:after="0" w:line="235" w:lineRule="auto"/>
        <w:tabs>
          <w:tab w:leader="none" w:pos="7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Inspecting the annual audited financial statements and the quarterly financial statements with Credicorp’s management and, in relevant cases, with the external auditors, including the analysis of the financial situation and the results of the operations.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 MATTERS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Ensuring that regulatory and legal requirements are fulfilled within the jurisdiction applicable to each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Arial" w:cs="Arial" w:eastAsia="Arial" w:hAnsi="Arial"/>
          <w:sz w:val="22"/>
          <w:szCs w:val="22"/>
          <w:color w:val="auto"/>
        </w:rPr>
        <w:t>Taking corrective measures if reports are received from the Credicorp lawyers on the existence of significant violations to the SEC standards or infulfillment of Credicorp’s fiduciary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37" w:lineRule="auto"/>
        <w:rPr>
          <w:sz w:val="20"/>
          <w:szCs w:val="20"/>
          <w:color w:val="auto"/>
        </w:rPr>
      </w:pPr>
      <w:r>
        <w:rPr>
          <w:rFonts w:ascii="Arial" w:cs="Arial" w:eastAsia="Arial" w:hAnsi="Arial"/>
          <w:sz w:val="22"/>
          <w:szCs w:val="22"/>
          <w:color w:val="auto"/>
        </w:rPr>
        <w:t>Checking the reports that have to be presented to the SEC and other competing authorities with the management and external auditors prior to their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auto"/>
        </w:rPr>
        <w:t>INTERNAL AUDITORS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Approving the Annual Work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Inspecting and evaluating the reports that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1"/>
          <w:szCs w:val="21"/>
          <w:color w:val="auto"/>
        </w:rPr>
        <w:t>Inspecting and evaluating the bi-annual report on the controls and procedures of divulgation of information (CPD).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Evaluating the fulfillment of the Annual Work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Preparing periodic reports for the Board of Directors on the principal tasks carried out during its leadership. This report can be backed up by any member of the Committee or by all its members. Holding separate, periodic meetings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-111760</wp:posOffset>
            </wp:positionV>
            <wp:extent cx="68580" cy="685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9" w:lineRule="exact"/>
        <w:rPr>
          <w:sz w:val="20"/>
          <w:szCs w:val="20"/>
          <w:color w:val="auto"/>
        </w:rPr>
      </w:pPr>
    </w:p>
    <w:p>
      <w:pPr>
        <w:ind w:left="700" w:hanging="233"/>
        <w:spacing w:after="0"/>
        <w:tabs>
          <w:tab w:leader="none" w:pos="7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Management,</w:t>
      </w:r>
    </w:p>
    <w:p>
      <w:pPr>
        <w:spacing w:after="0" w:line="1" w:lineRule="exact"/>
        <w:rPr>
          <w:rFonts w:ascii="Arial" w:cs="Arial" w:eastAsia="Arial" w:hAnsi="Arial"/>
          <w:sz w:val="15"/>
          <w:szCs w:val="15"/>
          <w:color w:val="auto"/>
        </w:rPr>
      </w:pPr>
    </w:p>
    <w:p>
      <w:pPr>
        <w:ind w:left="700" w:hanging="233"/>
        <w:spacing w:after="0" w:line="225" w:lineRule="auto"/>
        <w:tabs>
          <w:tab w:leader="none" w:pos="7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Auditing Division,</w:t>
      </w:r>
    </w:p>
    <w:p>
      <w:pPr>
        <w:ind w:left="700" w:hanging="233"/>
        <w:spacing w:after="0"/>
        <w:tabs>
          <w:tab w:leader="none" w:pos="7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External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12" w:right="4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III. PRINCIPAL RULES FOR ORGANIZATION AND FUNCTIONING:</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The Auditing Committee is selected by Credicorp’s Board of Directors and is made up of not fewer than four of its members.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The Committee is responsible for the supervision, monitoring and independent inspection of:</w:t>
      </w:r>
    </w:p>
    <w:p>
      <w:pPr>
        <w:spacing w:after="0" w:line="206"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processes for the preparation of the financial and accounting information of Credicorp and its subsidiaries;</w:t>
      </w:r>
    </w:p>
    <w:p>
      <w:pPr>
        <w:spacing w:after="0" w:line="8" w:lineRule="exact"/>
        <w:rPr>
          <w:rFonts w:ascii="Arial" w:cs="Arial" w:eastAsia="Arial" w:hAnsi="Arial"/>
          <w:sz w:val="22"/>
          <w:szCs w:val="22"/>
          <w:color w:val="auto"/>
        </w:rPr>
      </w:pPr>
    </w:p>
    <w:p>
      <w:pPr>
        <w:ind w:left="220" w:hanging="212"/>
        <w:spacing w:after="0" w:line="230" w:lineRule="auto"/>
        <w:tabs>
          <w:tab w:leader="none" w:pos="2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Credicorp’s internal control procedures;</w:t>
      </w:r>
    </w:p>
    <w:p>
      <w:pPr>
        <w:ind w:left="220" w:hanging="212"/>
        <w:spacing w:after="0" w:line="230" w:lineRule="auto"/>
        <w:tabs>
          <w:tab w:leader="none" w:pos="2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audits carried out into Credicorp’s financial statements; and</w:t>
      </w:r>
    </w:p>
    <w:p>
      <w:pPr>
        <w:ind w:left="220" w:hanging="212"/>
        <w:spacing w:after="0" w:line="230" w:lineRule="auto"/>
        <w:tabs>
          <w:tab w:leader="none" w:pos="2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integrity of Credicorp’s financial statements.</w:t>
      </w:r>
    </w:p>
    <w:p>
      <w:pPr>
        <w:ind w:right="60" w:firstLine="8"/>
        <w:spacing w:after="0" w:line="237" w:lineRule="auto"/>
        <w:tabs>
          <w:tab w:leader="none" w:pos="216"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Auditing Committee looks out for the interests of the investors and supervises the fulfillment of the standards established by the Securities and Exchange Commission (hereonafter the “SEC”) and other regulatory entitities.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272020" cy="11233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2020" cy="112331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IV. MEMBERS OF THE COMMITTEE:</w:t>
      </w:r>
    </w:p>
    <w:p>
      <w:pPr>
        <w:sectPr>
          <w:pgSz w:w="11900" w:h="16838" w:orient="portrait"/>
          <w:cols w:equalWidth="0" w:num="1">
            <w:col w:w="11420"/>
          </w:cols>
          <w:pgMar w:left="240" w:top="118" w:right="23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480" w:type="dxa"/>
            <w:vAlign w:val="bottom"/>
            <w:tcBorders>
              <w:top w:val="single" w:sz="8" w:color="2C2C2C"/>
              <w:bottom w:val="single" w:sz="8" w:color="2C2C2C"/>
            </w:tcBorders>
            <w:vMerge w:val="restart"/>
          </w:tcPr>
          <w:p>
            <w:pPr>
              <w:ind w:left="1780"/>
              <w:spacing w:after="0"/>
              <w:rPr>
                <w:sz w:val="20"/>
                <w:szCs w:val="20"/>
                <w:color w:val="auto"/>
              </w:rPr>
            </w:pPr>
            <w:r>
              <w:rPr>
                <w:rFonts w:ascii="Arial" w:cs="Arial" w:eastAsia="Arial" w:hAnsi="Arial"/>
                <w:sz w:val="15"/>
                <w:szCs w:val="15"/>
                <w:b w:val="1"/>
                <w:bCs w:val="1"/>
                <w:color w:val="auto"/>
              </w:rPr>
              <w:t>NAMES AND LAST NAMES</w:t>
            </w:r>
          </w:p>
        </w:tc>
        <w:tc>
          <w:tcPr>
            <w:tcW w:w="1120" w:type="dxa"/>
            <w:vAlign w:val="bottom"/>
            <w:tcBorders>
              <w:top w:val="single" w:sz="8" w:color="2C2C2C"/>
              <w:bottom w:val="single" w:sz="8" w:color="2C2C2C"/>
            </w:tcBorders>
          </w:tcPr>
          <w:p>
            <w:pPr>
              <w:spacing w:after="0"/>
              <w:rPr>
                <w:sz w:val="13"/>
                <w:szCs w:val="13"/>
                <w:color w:val="auto"/>
              </w:rPr>
            </w:pPr>
          </w:p>
        </w:tc>
        <w:tc>
          <w:tcPr>
            <w:tcW w:w="1840" w:type="dxa"/>
            <w:vAlign w:val="bottom"/>
            <w:tcBorders>
              <w:top w:val="single" w:sz="8" w:color="2C2C2C"/>
              <w:bottom w:val="single" w:sz="8" w:color="2C2C2C"/>
            </w:tcBorders>
          </w:tcPr>
          <w:p>
            <w:pPr>
              <w:ind w:left="140"/>
              <w:spacing w:after="0" w:line="152" w:lineRule="exact"/>
              <w:rPr>
                <w:sz w:val="20"/>
                <w:szCs w:val="20"/>
                <w:color w:val="auto"/>
              </w:rPr>
            </w:pPr>
            <w:r>
              <w:rPr>
                <w:rFonts w:ascii="Arial" w:cs="Arial" w:eastAsia="Arial" w:hAnsi="Arial"/>
                <w:sz w:val="15"/>
                <w:szCs w:val="15"/>
                <w:b w:val="1"/>
                <w:bCs w:val="1"/>
                <w:color w:val="auto"/>
              </w:rPr>
              <w:t>DATE</w:t>
            </w:r>
          </w:p>
        </w:tc>
        <w:tc>
          <w:tcPr>
            <w:tcW w:w="2940" w:type="dxa"/>
            <w:vAlign w:val="bottom"/>
            <w:tcBorders>
              <w:top w:val="single" w:sz="8" w:color="2C2C2C"/>
              <w:bottom w:val="single" w:sz="8" w:color="2C2C2C"/>
            </w:tcBorders>
            <w:gridSpan w:val="2"/>
            <w:vMerge w:val="restart"/>
          </w:tcPr>
          <w:p>
            <w:pPr>
              <w:ind w:left="280"/>
              <w:spacing w:after="0"/>
              <w:rPr>
                <w:sz w:val="20"/>
                <w:szCs w:val="20"/>
                <w:color w:val="auto"/>
              </w:rPr>
            </w:pPr>
            <w:r>
              <w:rPr>
                <w:rFonts w:ascii="Arial" w:cs="Arial" w:eastAsia="Arial" w:hAnsi="Arial"/>
                <w:sz w:val="15"/>
                <w:szCs w:val="15"/>
                <w:b w:val="1"/>
                <w:bCs w:val="1"/>
                <w:color w:val="auto"/>
              </w:rPr>
              <w:t>ROLE WITHIN THE COMMITTEE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480" w:type="dxa"/>
            <w:vAlign w:val="bottom"/>
            <w:vMerge w:val="continue"/>
          </w:tcPr>
          <w:p>
            <w:pPr>
              <w:spacing w:after="0"/>
              <w:rPr>
                <w:sz w:val="7"/>
                <w:szCs w:val="7"/>
                <w:color w:val="auto"/>
              </w:rPr>
            </w:pPr>
          </w:p>
        </w:tc>
        <w:tc>
          <w:tcPr>
            <w:tcW w:w="1120" w:type="dxa"/>
            <w:vAlign w:val="bottom"/>
            <w:vMerge w:val="restart"/>
          </w:tcPr>
          <w:p>
            <w:pPr>
              <w:ind w:left="480"/>
              <w:spacing w:after="0" w:line="162" w:lineRule="exact"/>
              <w:rPr>
                <w:sz w:val="20"/>
                <w:szCs w:val="20"/>
                <w:color w:val="auto"/>
              </w:rPr>
            </w:pPr>
            <w:r>
              <w:rPr>
                <w:rFonts w:ascii="Arial" w:cs="Arial" w:eastAsia="Arial" w:hAnsi="Arial"/>
                <w:sz w:val="15"/>
                <w:szCs w:val="15"/>
                <w:b w:val="1"/>
                <w:bCs w:val="1"/>
                <w:color w:val="auto"/>
              </w:rPr>
              <w:t>START</w:t>
            </w:r>
          </w:p>
        </w:tc>
        <w:tc>
          <w:tcPr>
            <w:tcW w:w="1840" w:type="dxa"/>
            <w:vAlign w:val="bottom"/>
            <w:vMerge w:val="restart"/>
          </w:tcPr>
          <w:p>
            <w:pPr>
              <w:ind w:left="820"/>
              <w:spacing w:after="0" w:line="162" w:lineRule="exact"/>
              <w:rPr>
                <w:sz w:val="20"/>
                <w:szCs w:val="20"/>
                <w:color w:val="auto"/>
              </w:rPr>
            </w:pPr>
            <w:r>
              <w:rPr>
                <w:rFonts w:ascii="Arial" w:cs="Arial" w:eastAsia="Arial" w:hAnsi="Arial"/>
                <w:sz w:val="15"/>
                <w:szCs w:val="15"/>
                <w:b w:val="1"/>
                <w:bCs w:val="1"/>
                <w:color w:val="auto"/>
              </w:rPr>
              <w:t>FINISH</w:t>
            </w:r>
          </w:p>
        </w:tc>
        <w:tc>
          <w:tcPr>
            <w:tcW w:w="2940" w:type="dxa"/>
            <w:vAlign w:val="bottom"/>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4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vMerge w:val="continue"/>
          </w:tcPr>
          <w:p>
            <w:pPr>
              <w:spacing w:after="0"/>
              <w:rPr>
                <w:sz w:val="7"/>
                <w:szCs w:val="7"/>
                <w:color w:val="auto"/>
              </w:rPr>
            </w:pPr>
          </w:p>
        </w:tc>
        <w:tc>
          <w:tcPr>
            <w:tcW w:w="1840" w:type="dxa"/>
            <w:vAlign w:val="bottom"/>
            <w:tcBorders>
              <w:bottom w:val="single" w:sz="8" w:color="2C2C2C"/>
            </w:tcBorders>
            <w:vMerge w:val="continue"/>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Luis Enrique Yarur</w:t>
            </w:r>
          </w:p>
        </w:tc>
        <w:tc>
          <w:tcPr>
            <w:tcW w:w="1120" w:type="dxa"/>
            <w:vAlign w:val="bottom"/>
            <w:tcBorders>
              <w:bottom w:val="single" w:sz="8" w:color="2C2C2C"/>
            </w:tcBorders>
          </w:tcPr>
          <w:p>
            <w:pPr>
              <w:ind w:left="460"/>
              <w:spacing w:after="0" w:line="162" w:lineRule="exact"/>
              <w:rPr>
                <w:sz w:val="20"/>
                <w:szCs w:val="20"/>
                <w:color w:val="auto"/>
              </w:rPr>
            </w:pPr>
            <w:r>
              <w:rPr>
                <w:rFonts w:ascii="Arial" w:cs="Arial" w:eastAsia="Arial" w:hAnsi="Arial"/>
                <w:sz w:val="15"/>
                <w:szCs w:val="15"/>
                <w:color w:val="auto"/>
              </w:rPr>
              <w:t>28.11.02</w:t>
            </w:r>
          </w:p>
        </w:tc>
        <w:tc>
          <w:tcPr>
            <w:tcW w:w="1840" w:type="dxa"/>
            <w:vAlign w:val="bottom"/>
            <w:tcBorders>
              <w:bottom w:val="single" w:sz="8" w:color="2C2C2C"/>
            </w:tcBorders>
          </w:tcPr>
          <w:p>
            <w:pPr>
              <w:spacing w:after="0"/>
              <w:rPr>
                <w:sz w:val="14"/>
                <w:szCs w:val="14"/>
                <w:color w:val="auto"/>
              </w:rPr>
            </w:pPr>
          </w:p>
        </w:tc>
        <w:tc>
          <w:tcPr>
            <w:tcW w:w="18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w w:val="93"/>
              </w:rPr>
              <w:t>President and financial expert</w:t>
            </w:r>
          </w:p>
        </w:tc>
        <w:tc>
          <w:tcPr>
            <w:tcW w:w="10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Luis Nicolini B.</w:t>
            </w:r>
          </w:p>
        </w:tc>
        <w:tc>
          <w:tcPr>
            <w:tcW w:w="1120" w:type="dxa"/>
            <w:vAlign w:val="bottom"/>
            <w:tcBorders>
              <w:bottom w:val="single" w:sz="8" w:color="2C2C2C"/>
            </w:tcBorders>
          </w:tcPr>
          <w:p>
            <w:pPr>
              <w:ind w:left="460"/>
              <w:spacing w:after="0" w:line="162" w:lineRule="exact"/>
              <w:rPr>
                <w:sz w:val="20"/>
                <w:szCs w:val="20"/>
                <w:color w:val="auto"/>
              </w:rPr>
            </w:pPr>
            <w:r>
              <w:rPr>
                <w:rFonts w:ascii="Arial" w:cs="Arial" w:eastAsia="Arial" w:hAnsi="Arial"/>
                <w:sz w:val="15"/>
                <w:szCs w:val="15"/>
                <w:color w:val="auto"/>
              </w:rPr>
              <w:t>28.11.02</w:t>
            </w:r>
          </w:p>
        </w:tc>
        <w:tc>
          <w:tcPr>
            <w:tcW w:w="1840" w:type="dxa"/>
            <w:vAlign w:val="bottom"/>
            <w:tcBorders>
              <w:bottom w:val="single" w:sz="8" w:color="2C2C2C"/>
            </w:tcBorders>
          </w:tcPr>
          <w:p>
            <w:pPr>
              <w:spacing w:after="0"/>
              <w:rPr>
                <w:sz w:val="14"/>
                <w:szCs w:val="14"/>
                <w:color w:val="auto"/>
              </w:rPr>
            </w:pPr>
          </w:p>
        </w:tc>
        <w:tc>
          <w:tcPr>
            <w:tcW w:w="18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Director</w:t>
            </w:r>
          </w:p>
        </w:tc>
        <w:tc>
          <w:tcPr>
            <w:tcW w:w="10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Reynaldo Llosa B.</w:t>
            </w:r>
          </w:p>
        </w:tc>
        <w:tc>
          <w:tcPr>
            <w:tcW w:w="1120" w:type="dxa"/>
            <w:vAlign w:val="bottom"/>
            <w:tcBorders>
              <w:bottom w:val="single" w:sz="8" w:color="2C2C2C"/>
            </w:tcBorders>
          </w:tcPr>
          <w:p>
            <w:pPr>
              <w:ind w:left="460"/>
              <w:spacing w:after="0" w:line="162" w:lineRule="exact"/>
              <w:rPr>
                <w:sz w:val="20"/>
                <w:szCs w:val="20"/>
                <w:color w:val="auto"/>
              </w:rPr>
            </w:pPr>
            <w:r>
              <w:rPr>
                <w:rFonts w:ascii="Arial" w:cs="Arial" w:eastAsia="Arial" w:hAnsi="Arial"/>
                <w:sz w:val="15"/>
                <w:szCs w:val="15"/>
                <w:color w:val="auto"/>
              </w:rPr>
              <w:t>28.11.02</w:t>
            </w:r>
          </w:p>
        </w:tc>
        <w:tc>
          <w:tcPr>
            <w:tcW w:w="1840" w:type="dxa"/>
            <w:vAlign w:val="bottom"/>
            <w:tcBorders>
              <w:bottom w:val="single" w:sz="8" w:color="2C2C2C"/>
            </w:tcBorders>
          </w:tcPr>
          <w:p>
            <w:pPr>
              <w:spacing w:after="0"/>
              <w:rPr>
                <w:sz w:val="14"/>
                <w:szCs w:val="14"/>
                <w:color w:val="auto"/>
              </w:rPr>
            </w:pPr>
          </w:p>
        </w:tc>
        <w:tc>
          <w:tcPr>
            <w:tcW w:w="18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Director</w:t>
            </w:r>
          </w:p>
        </w:tc>
        <w:tc>
          <w:tcPr>
            <w:tcW w:w="10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Juan Carlos Verme G</w:t>
            </w:r>
          </w:p>
        </w:tc>
        <w:tc>
          <w:tcPr>
            <w:tcW w:w="1120" w:type="dxa"/>
            <w:vAlign w:val="bottom"/>
            <w:tcBorders>
              <w:bottom w:val="single" w:sz="8" w:color="2C2C2C"/>
            </w:tcBorders>
          </w:tcPr>
          <w:p>
            <w:pPr>
              <w:ind w:left="460"/>
              <w:spacing w:after="0" w:line="162" w:lineRule="exact"/>
              <w:rPr>
                <w:sz w:val="20"/>
                <w:szCs w:val="20"/>
                <w:color w:val="auto"/>
              </w:rPr>
            </w:pPr>
            <w:r>
              <w:rPr>
                <w:rFonts w:ascii="Arial" w:cs="Arial" w:eastAsia="Arial" w:hAnsi="Arial"/>
                <w:sz w:val="15"/>
                <w:szCs w:val="15"/>
                <w:color w:val="auto"/>
              </w:rPr>
              <w:t>28.11.02</w:t>
            </w:r>
          </w:p>
        </w:tc>
        <w:tc>
          <w:tcPr>
            <w:tcW w:w="1840" w:type="dxa"/>
            <w:vAlign w:val="bottom"/>
            <w:tcBorders>
              <w:bottom w:val="single" w:sz="8" w:color="2C2C2C"/>
            </w:tcBorders>
          </w:tcPr>
          <w:p>
            <w:pPr>
              <w:spacing w:after="0"/>
              <w:rPr>
                <w:sz w:val="14"/>
                <w:szCs w:val="14"/>
                <w:color w:val="auto"/>
              </w:rPr>
            </w:pPr>
          </w:p>
        </w:tc>
        <w:tc>
          <w:tcPr>
            <w:tcW w:w="18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Director</w:t>
            </w:r>
          </w:p>
        </w:tc>
        <w:tc>
          <w:tcPr>
            <w:tcW w:w="10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V. NUMBER OF SESSIONS HELD DURING THE FINANCIAL YEAR:</w:t>
            </w:r>
          </w:p>
        </w:tc>
        <w:tc>
          <w:tcPr>
            <w:tcW w:w="112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8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6</w:t>
            </w:r>
          </w:p>
        </w:tc>
        <w:tc>
          <w:tcPr>
            <w:tcW w:w="10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8440" w:type="dxa"/>
            <w:vAlign w:val="bottom"/>
            <w:tcBorders>
              <w:bottom w:val="single" w:sz="8" w:color="2C2C2C"/>
            </w:tcBorders>
            <w:gridSpan w:val="3"/>
          </w:tcPr>
          <w:p>
            <w:pPr>
              <w:ind w:left="20"/>
              <w:spacing w:after="0" w:line="162" w:lineRule="exact"/>
              <w:rPr>
                <w:sz w:val="20"/>
                <w:szCs w:val="20"/>
                <w:color w:val="auto"/>
              </w:rPr>
            </w:pPr>
            <w:r>
              <w:rPr>
                <w:rFonts w:ascii="Arial" w:cs="Arial" w:eastAsia="Arial" w:hAnsi="Arial"/>
                <w:sz w:val="15"/>
                <w:szCs w:val="15"/>
                <w:color w:val="auto"/>
              </w:rPr>
              <w:t>VI. DOES IT HAVE DELEGATED FACULTIES IN ACCORDANCE WITH ARTICLE 174 OF GENERAL COMPANIES LAW?</w:t>
            </w:r>
          </w:p>
        </w:tc>
        <w:tc>
          <w:tcPr>
            <w:tcW w:w="1880" w:type="dxa"/>
            <w:vAlign w:val="bottom"/>
            <w:tcBorders>
              <w:bottom w:val="single" w:sz="8" w:color="2C2C2C"/>
            </w:tcBorders>
          </w:tcPr>
          <w:p>
            <w:pPr>
              <w:ind w:left="440"/>
              <w:spacing w:after="0" w:line="162" w:lineRule="exact"/>
              <w:rPr>
                <w:sz w:val="20"/>
                <w:szCs w:val="20"/>
                <w:color w:val="auto"/>
              </w:rPr>
            </w:pPr>
            <w:r>
              <w:rPr>
                <w:rFonts w:ascii="Arial" w:cs="Arial" w:eastAsia="Arial" w:hAnsi="Arial"/>
                <w:sz w:val="15"/>
                <w:szCs w:val="15"/>
                <w:b w:val="1"/>
                <w:bCs w:val="1"/>
                <w:color w:val="auto"/>
              </w:rPr>
              <w:t>(.X.) YES</w:t>
            </w:r>
          </w:p>
        </w:tc>
        <w:tc>
          <w:tcPr>
            <w:tcW w:w="1060" w:type="dxa"/>
            <w:vAlign w:val="bottom"/>
            <w:tcBorders>
              <w:bottom w:val="single" w:sz="8" w:color="2C2C2C"/>
            </w:tcBorders>
          </w:tcPr>
          <w:p>
            <w:pPr>
              <w:ind w:left="80"/>
              <w:spacing w:after="0" w:line="162" w:lineRule="exact"/>
              <w:rPr>
                <w:sz w:val="20"/>
                <w:szCs w:val="20"/>
                <w:color w:val="auto"/>
              </w:rPr>
            </w:pPr>
            <w:r>
              <w:rPr>
                <w:rFonts w:ascii="Arial" w:cs="Arial" w:eastAsia="Arial" w:hAnsi="Arial"/>
                <w:sz w:val="15"/>
                <w:szCs w:val="15"/>
                <w:b w:val="1"/>
                <w:bCs w:val="1"/>
                <w:color w:val="auto"/>
              </w:rPr>
              <w:t>(...) NO</w:t>
            </w: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NOT APPLICABLE, THE COMPANY DOES NOT HAVE COMMITTEES WITHIN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42545" cy="6083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2545" cy="60833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584835</wp:posOffset>
            </wp:positionV>
            <wp:extent cx="42545" cy="5911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576580</wp:posOffset>
            </wp:positionV>
            <wp:extent cx="42545" cy="6083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254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5"/>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560" w:type="dxa"/>
            <w:vAlign w:val="bottom"/>
            <w:tcBorders>
              <w:top w:val="single" w:sz="8" w:color="2C2C2C"/>
              <w:bottom w:val="single" w:sz="8" w:color="2C2C2C"/>
            </w:tcBorders>
          </w:tcPr>
          <w:p>
            <w:pPr>
              <w:spacing w:after="0"/>
              <w:rPr>
                <w:sz w:val="17"/>
                <w:szCs w:val="17"/>
                <w:color w:val="auto"/>
              </w:rPr>
            </w:pPr>
          </w:p>
        </w:tc>
        <w:tc>
          <w:tcPr>
            <w:tcW w:w="240" w:type="dxa"/>
            <w:vAlign w:val="bottom"/>
            <w:tcBorders>
              <w:top w:val="single" w:sz="8" w:color="2C2C2C"/>
              <w:bottom w:val="single" w:sz="8" w:color="2C2C2C"/>
            </w:tcBorders>
          </w:tcPr>
          <w:p>
            <w:pPr>
              <w:spacing w:after="0"/>
              <w:rPr>
                <w:sz w:val="17"/>
                <w:szCs w:val="17"/>
                <w:color w:val="auto"/>
              </w:rPr>
            </w:pPr>
          </w:p>
        </w:tc>
        <w:tc>
          <w:tcPr>
            <w:tcW w:w="80" w:type="dxa"/>
            <w:vAlign w:val="bottom"/>
            <w:tcBorders>
              <w:top w:val="single" w:sz="8" w:color="2C2C2C"/>
              <w:bottom w:val="single" w:sz="8" w:color="2C2C2C"/>
            </w:tcBorders>
          </w:tcPr>
          <w:p>
            <w:pPr>
              <w:spacing w:after="0"/>
              <w:rPr>
                <w:sz w:val="17"/>
                <w:szCs w:val="17"/>
                <w:color w:val="auto"/>
              </w:rPr>
            </w:pPr>
          </w:p>
        </w:tc>
        <w:tc>
          <w:tcPr>
            <w:tcW w:w="24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5"/>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56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3</w:t>
            </w:r>
          </w:p>
        </w:tc>
        <w:tc>
          <w:tcPr>
            <w:tcW w:w="320" w:type="dxa"/>
            <w:vAlign w:val="bottom"/>
            <w:gridSpan w:val="2"/>
            <w:vMerge w:val="restart"/>
          </w:tcPr>
          <w:p>
            <w:pPr>
              <w:ind w:left="240"/>
              <w:spacing w:after="0" w:line="162" w:lineRule="exact"/>
              <w:rPr>
                <w:sz w:val="20"/>
                <w:szCs w:val="20"/>
                <w:color w:val="auto"/>
              </w:rPr>
            </w:pPr>
            <w:r>
              <w:rPr>
                <w:rFonts w:ascii="Arial" w:cs="Arial" w:eastAsia="Arial" w:hAnsi="Arial"/>
                <w:sz w:val="15"/>
                <w:szCs w:val="15"/>
                <w:i w:val="1"/>
                <w:iCs w:val="1"/>
                <w:color w:val="auto"/>
                <w:w w:val="71"/>
              </w:rPr>
              <w:t>4</w:t>
            </w: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0" w:type="dxa"/>
            <w:vAlign w:val="bottom"/>
            <w:tcBorders>
              <w:top w:val="single" w:sz="8" w:color="auto"/>
              <w:bottom w:val="single" w:sz="8" w:color="2C2C2C"/>
            </w:tcBorders>
          </w:tcPr>
          <w:p>
            <w:pPr>
              <w:spacing w:after="0"/>
              <w:rPr>
                <w:sz w:val="8"/>
                <w:szCs w:val="8"/>
                <w:color w:val="auto"/>
              </w:rPr>
            </w:pPr>
          </w:p>
        </w:tc>
        <w:tc>
          <w:tcPr>
            <w:tcW w:w="320" w:type="dxa"/>
            <w:vAlign w:val="bottom"/>
            <w:tcBorders>
              <w:top w:val="single" w:sz="8" w:color="auto"/>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3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320" w:type="dxa"/>
            <w:vAlign w:val="bottom"/>
            <w:tcBorders>
              <w:bottom w:val="single" w:sz="8" w:color="2C2C2C"/>
            </w:tcBorders>
            <w:gridSpan w:val="2"/>
            <w:vMerge w:val="continue"/>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5"/>
          </w:tcPr>
          <w:p>
            <w:pPr>
              <w:ind w:left="20"/>
              <w:spacing w:after="0" w:line="149" w:lineRule="exact"/>
              <w:rPr>
                <w:sz w:val="20"/>
                <w:szCs w:val="20"/>
                <w:color w:val="auto"/>
              </w:rPr>
            </w:pPr>
            <w:r>
              <w:rPr>
                <w:rFonts w:ascii="Arial" w:cs="Arial" w:eastAsia="Arial" w:hAnsi="Arial"/>
                <w:sz w:val="15"/>
                <w:szCs w:val="15"/>
                <w:i w:val="1"/>
                <w:iCs w:val="1"/>
                <w:color w:val="auto"/>
                <w:w w:val="90"/>
              </w:rPr>
              <w:t>19. Principle (V.E.3).- The number of members of a company’s Board of Directors should ensure the plurality of opinions within said Board, so</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3"/>
          </w:tcPr>
          <w:p>
            <w:pPr>
              <w:ind w:left="240"/>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 w:type="dxa"/>
            <w:vAlign w:val="bottom"/>
            <w:gridSpan w:val="2"/>
          </w:tcPr>
          <w:p>
            <w:pPr>
              <w:ind w:left="20"/>
              <w:spacing w:after="0" w:line="146" w:lineRule="exact"/>
              <w:rPr>
                <w:sz w:val="20"/>
                <w:szCs w:val="20"/>
                <w:color w:val="auto"/>
              </w:rPr>
            </w:pPr>
            <w:r>
              <w:rPr>
                <w:rFonts w:ascii="Arial" w:cs="Arial" w:eastAsia="Arial" w:hAnsi="Arial"/>
                <w:sz w:val="15"/>
                <w:szCs w:val="15"/>
                <w:i w:val="1"/>
                <w:iCs w:val="1"/>
                <w:color w:val="auto"/>
                <w:w w:val="79"/>
              </w:rPr>
              <w:t>that</w:t>
            </w:r>
          </w:p>
        </w:tc>
        <w:tc>
          <w:tcPr>
            <w:tcW w:w="1000" w:type="dxa"/>
            <w:vAlign w:val="bottom"/>
            <w:tcBorders>
              <w:top w:val="single" w:sz="8" w:color="auto"/>
            </w:tcBorders>
            <w:gridSpan w:val="2"/>
          </w:tcPr>
          <w:p>
            <w:pPr>
              <w:ind w:left="60"/>
              <w:spacing w:after="0" w:line="146" w:lineRule="exact"/>
              <w:rPr>
                <w:sz w:val="20"/>
                <w:szCs w:val="20"/>
                <w:color w:val="auto"/>
              </w:rPr>
            </w:pPr>
            <w:r>
              <w:rPr>
                <w:rFonts w:ascii="Arial" w:cs="Arial" w:eastAsia="Arial" w:hAnsi="Arial"/>
                <w:sz w:val="15"/>
                <w:szCs w:val="15"/>
                <w:i w:val="1"/>
                <w:iCs w:val="1"/>
                <w:color w:val="auto"/>
              </w:rPr>
              <w:t>the decisions</w:t>
            </w:r>
          </w:p>
        </w:tc>
        <w:tc>
          <w:tcPr>
            <w:tcW w:w="7320" w:type="dxa"/>
            <w:vAlign w:val="bottom"/>
          </w:tcPr>
          <w:p>
            <w:pPr>
              <w:spacing w:after="0" w:line="146" w:lineRule="exact"/>
              <w:rPr>
                <w:sz w:val="20"/>
                <w:szCs w:val="20"/>
                <w:color w:val="auto"/>
              </w:rPr>
            </w:pPr>
            <w:r>
              <w:rPr>
                <w:rFonts w:ascii="Arial" w:cs="Arial" w:eastAsia="Arial" w:hAnsi="Arial"/>
                <w:sz w:val="15"/>
                <w:szCs w:val="15"/>
                <w:i w:val="1"/>
                <w:iCs w:val="1"/>
                <w:color w:val="auto"/>
                <w:w w:val="91"/>
              </w:rPr>
              <w:t>adopted are a consequence of an appropriate deliberation, always considering the best interests of the company and the</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2C2C2C"/>
            </w:tcBorders>
          </w:tcPr>
          <w:p>
            <w:pPr>
              <w:spacing w:after="0"/>
              <w:rPr>
                <w:sz w:val="15"/>
                <w:szCs w:val="15"/>
                <w:color w:val="auto"/>
              </w:rPr>
            </w:pPr>
          </w:p>
        </w:tc>
        <w:tc>
          <w:tcPr>
            <w:tcW w:w="8560" w:type="dxa"/>
            <w:vAlign w:val="bottom"/>
            <w:tcBorders>
              <w:bottom w:val="single" w:sz="8" w:color="2C2C2C"/>
            </w:tcBorders>
            <w:gridSpan w:val="5"/>
          </w:tcPr>
          <w:p>
            <w:pPr>
              <w:ind w:left="20"/>
              <w:spacing w:after="0" w:line="172" w:lineRule="exact"/>
              <w:rPr>
                <w:sz w:val="20"/>
                <w:szCs w:val="20"/>
                <w:color w:val="auto"/>
              </w:rPr>
            </w:pPr>
            <w:r>
              <w:rPr>
                <w:rFonts w:ascii="Arial" w:cs="Arial" w:eastAsia="Arial" w:hAnsi="Arial"/>
                <w:sz w:val="15"/>
                <w:szCs w:val="15"/>
                <w:i w:val="1"/>
                <w:iCs w:val="1"/>
                <w:color w:val="auto"/>
              </w:rPr>
              <w:t>shareholders.</w:t>
            </w:r>
          </w:p>
        </w:tc>
        <w:tc>
          <w:tcPr>
            <w:tcW w:w="7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-466725</wp:posOffset>
            </wp:positionV>
            <wp:extent cx="42545" cy="4711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-466725</wp:posOffset>
            </wp:positionV>
            <wp:extent cx="42545" cy="4711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-466725</wp:posOffset>
            </wp:positionV>
            <wp:extent cx="42545" cy="4711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-466725</wp:posOffset>
            </wp:positionV>
            <wp:extent cx="42545" cy="4711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254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b w:val="1"/>
          <w:bCs w:val="1"/>
          <w:color w:val="auto"/>
        </w:rPr>
        <w:t>a. Give the following information regarding the directors of THE COMPANY during the financial year to which this report refers.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16033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2020" cy="160337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Borders>
              <w:top w:val="single" w:sz="8" w:color="808080"/>
            </w:tcBorders>
          </w:tcPr>
          <w:p>
            <w:pPr>
              <w:spacing w:after="0"/>
              <w:rPr>
                <w:sz w:val="19"/>
                <w:szCs w:val="19"/>
                <w:color w:val="auto"/>
              </w:rPr>
            </w:pPr>
          </w:p>
        </w:tc>
        <w:tc>
          <w:tcPr>
            <w:tcW w:w="1840" w:type="dxa"/>
            <w:vAlign w:val="bottom"/>
            <w:tcBorders>
              <w:top w:val="single" w:sz="8" w:color="2C2C2C"/>
              <w:bottom w:val="single" w:sz="8" w:color="2C2C2C"/>
            </w:tcBorders>
            <w:gridSpan w:val="2"/>
            <w:vMerge w:val="restart"/>
          </w:tcPr>
          <w:p>
            <w:pPr>
              <w:spacing w:after="0"/>
              <w:rPr>
                <w:sz w:val="20"/>
                <w:szCs w:val="20"/>
                <w:color w:val="auto"/>
              </w:rPr>
            </w:pPr>
            <w:r>
              <w:rPr>
                <w:rFonts w:ascii="Arial" w:cs="Arial" w:eastAsia="Arial" w:hAnsi="Arial"/>
                <w:sz w:val="15"/>
                <w:szCs w:val="15"/>
                <w:color w:val="auto"/>
              </w:rPr>
              <w:t>Names and Last Names</w:t>
            </w:r>
          </w:p>
        </w:tc>
        <w:tc>
          <w:tcPr>
            <w:tcW w:w="4980" w:type="dxa"/>
            <w:vAlign w:val="bottom"/>
            <w:tcBorders>
              <w:top w:val="single" w:sz="8" w:color="2C2C2C"/>
              <w:bottom w:val="single" w:sz="8" w:color="2C2C2C"/>
            </w:tcBorders>
            <w:vMerge w:val="restart"/>
          </w:tcPr>
          <w:p>
            <w:pPr>
              <w:ind w:left="440"/>
              <w:spacing w:after="0"/>
              <w:rPr>
                <w:sz w:val="20"/>
                <w:szCs w:val="20"/>
                <w:color w:val="auto"/>
              </w:rPr>
            </w:pPr>
            <w:r>
              <w:rPr>
                <w:rFonts w:ascii="Arial" w:cs="Arial" w:eastAsia="Arial" w:hAnsi="Arial"/>
                <w:sz w:val="15"/>
                <w:szCs w:val="15"/>
                <w:color w:val="auto"/>
              </w:rPr>
              <w:t xml:space="preserve">Education </w:t>
            </w:r>
            <w:r>
              <w:rPr>
                <w:rFonts w:ascii="Arial" w:cs="Arial" w:eastAsia="Arial" w:hAnsi="Arial"/>
                <w:sz w:val="24"/>
                <w:szCs w:val="24"/>
                <w:color w:val="auto"/>
                <w:vertAlign w:val="superscript"/>
              </w:rPr>
              <w:t>2.</w:t>
            </w:r>
          </w:p>
        </w:tc>
        <w:tc>
          <w:tcPr>
            <w:tcW w:w="920" w:type="dxa"/>
            <w:vAlign w:val="bottom"/>
            <w:tcBorders>
              <w:top w:val="single" w:sz="8" w:color="2C2C2C"/>
              <w:bottom w:val="single" w:sz="8" w:color="2C2C2C"/>
            </w:tcBorders>
          </w:tcPr>
          <w:p>
            <w:pPr>
              <w:spacing w:after="0"/>
              <w:rPr>
                <w:sz w:val="19"/>
                <w:szCs w:val="19"/>
                <w:color w:val="auto"/>
              </w:rPr>
            </w:pPr>
          </w:p>
        </w:tc>
        <w:tc>
          <w:tcPr>
            <w:tcW w:w="1260" w:type="dxa"/>
            <w:vAlign w:val="bottom"/>
            <w:tcBorders>
              <w:top w:val="single" w:sz="8" w:color="2C2C2C"/>
              <w:bottom w:val="single" w:sz="8" w:color="2C2C2C"/>
            </w:tcBorders>
          </w:tcPr>
          <w:p>
            <w:pPr>
              <w:ind w:left="80"/>
              <w:spacing w:after="0"/>
              <w:rPr>
                <w:sz w:val="20"/>
                <w:szCs w:val="20"/>
                <w:color w:val="auto"/>
              </w:rPr>
            </w:pPr>
            <w:r>
              <w:rPr>
                <w:rFonts w:ascii="Arial" w:cs="Arial" w:eastAsia="Arial" w:hAnsi="Arial"/>
                <w:sz w:val="15"/>
                <w:szCs w:val="15"/>
                <w:color w:val="auto"/>
              </w:rPr>
              <w:t>Date</w:t>
            </w:r>
          </w:p>
        </w:tc>
        <w:tc>
          <w:tcPr>
            <w:tcW w:w="2360" w:type="dxa"/>
            <w:vAlign w:val="bottom"/>
            <w:tcBorders>
              <w:top w:val="single" w:sz="8" w:color="2C2C2C"/>
              <w:bottom w:val="single" w:sz="8" w:color="2C2C2C"/>
            </w:tcBorders>
            <w:gridSpan w:val="2"/>
          </w:tcPr>
          <w:p>
            <w:pPr>
              <w:ind w:left="400"/>
              <w:spacing w:after="0" w:line="216" w:lineRule="exact"/>
              <w:rPr>
                <w:sz w:val="20"/>
                <w:szCs w:val="20"/>
                <w:color w:val="auto"/>
              </w:rPr>
            </w:pPr>
            <w:r>
              <w:rPr>
                <w:rFonts w:ascii="Arial" w:cs="Arial" w:eastAsia="Arial" w:hAnsi="Arial"/>
                <w:sz w:val="15"/>
                <w:szCs w:val="15"/>
                <w:color w:val="auto"/>
              </w:rPr>
              <w:t xml:space="preserve">Shareholder Participation </w:t>
            </w:r>
            <w:r>
              <w:rPr>
                <w:rFonts w:ascii="Arial" w:cs="Arial" w:eastAsia="Arial" w:hAnsi="Arial"/>
                <w:sz w:val="24"/>
                <w:szCs w:val="24"/>
                <w:color w:val="auto"/>
                <w:vertAlign w:val="superscript"/>
              </w:rPr>
              <w:t>/..</w:t>
            </w: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980" w:type="dxa"/>
            <w:vAlign w:val="bottom"/>
            <w:vMerge w:val="continue"/>
          </w:tcPr>
          <w:p>
            <w:pPr>
              <w:spacing w:after="0"/>
              <w:rPr>
                <w:sz w:val="14"/>
                <w:szCs w:val="14"/>
                <w:color w:val="auto"/>
              </w:rPr>
            </w:pPr>
          </w:p>
        </w:tc>
        <w:tc>
          <w:tcPr>
            <w:tcW w:w="920" w:type="dxa"/>
            <w:vAlign w:val="bottom"/>
            <w:vMerge w:val="restart"/>
          </w:tcPr>
          <w:p>
            <w:pPr>
              <w:jc w:val="center"/>
              <w:ind w:left="170"/>
              <w:spacing w:after="0" w:line="189" w:lineRule="exact"/>
              <w:rPr>
                <w:sz w:val="20"/>
                <w:szCs w:val="20"/>
                <w:color w:val="auto"/>
              </w:rPr>
            </w:pPr>
            <w:r>
              <w:rPr>
                <w:rFonts w:ascii="Arial" w:cs="Arial" w:eastAsia="Arial" w:hAnsi="Arial"/>
                <w:sz w:val="13"/>
                <w:szCs w:val="13"/>
                <w:color w:val="auto"/>
                <w:w w:val="94"/>
              </w:rPr>
              <w:t xml:space="preserve">Start </w:t>
            </w:r>
            <w:r>
              <w:rPr>
                <w:rFonts w:ascii="Arial" w:cs="Arial" w:eastAsia="Arial" w:hAnsi="Arial"/>
                <w:sz w:val="21"/>
                <w:szCs w:val="21"/>
                <w:color w:val="auto"/>
                <w:w w:val="94"/>
                <w:vertAlign w:val="superscript"/>
              </w:rPr>
              <w:t>1/.</w:t>
            </w:r>
          </w:p>
        </w:tc>
        <w:tc>
          <w:tcPr>
            <w:tcW w:w="1260" w:type="dxa"/>
            <w:vAlign w:val="bottom"/>
            <w:vMerge w:val="restart"/>
          </w:tcPr>
          <w:p>
            <w:pPr>
              <w:ind w:left="600"/>
              <w:spacing w:after="0"/>
              <w:rPr>
                <w:sz w:val="20"/>
                <w:szCs w:val="20"/>
                <w:color w:val="auto"/>
              </w:rPr>
            </w:pPr>
            <w:r>
              <w:rPr>
                <w:rFonts w:ascii="Arial" w:cs="Arial" w:eastAsia="Arial" w:hAnsi="Arial"/>
                <w:sz w:val="15"/>
                <w:szCs w:val="15"/>
                <w:color w:val="auto"/>
              </w:rPr>
              <w:t>Finish</w:t>
            </w:r>
          </w:p>
        </w:tc>
        <w:tc>
          <w:tcPr>
            <w:tcW w:w="1280" w:type="dxa"/>
            <w:vAlign w:val="bottom"/>
            <w:vMerge w:val="restart"/>
          </w:tcPr>
          <w:p>
            <w:pPr>
              <w:jc w:val="center"/>
              <w:spacing w:after="0"/>
              <w:rPr>
                <w:sz w:val="20"/>
                <w:szCs w:val="20"/>
                <w:color w:val="auto"/>
              </w:rPr>
            </w:pPr>
            <w:r>
              <w:rPr>
                <w:rFonts w:ascii="Arial" w:cs="Arial" w:eastAsia="Arial" w:hAnsi="Arial"/>
                <w:sz w:val="15"/>
                <w:szCs w:val="15"/>
                <w:color w:val="auto"/>
                <w:w w:val="87"/>
              </w:rPr>
              <w:t>Nº of Shares</w:t>
            </w: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5"/>
                <w:szCs w:val="15"/>
                <w:color w:val="auto"/>
                <w:w w:val="87"/>
              </w:rPr>
              <w:t>Part. (%)</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840" w:type="dxa"/>
            <w:vAlign w:val="bottom"/>
            <w:tcBorders>
              <w:top w:val="single" w:sz="8" w:color="2C2C2C"/>
            </w:tcBorders>
            <w:gridSpan w:val="2"/>
          </w:tcPr>
          <w:p>
            <w:pPr>
              <w:spacing w:after="0" w:line="149" w:lineRule="exact"/>
              <w:rPr>
                <w:sz w:val="20"/>
                <w:szCs w:val="20"/>
                <w:color w:val="auto"/>
              </w:rPr>
            </w:pPr>
            <w:r>
              <w:rPr>
                <w:rFonts w:ascii="Arial" w:cs="Arial" w:eastAsia="Arial" w:hAnsi="Arial"/>
                <w:sz w:val="15"/>
                <w:szCs w:val="15"/>
                <w:b w:val="1"/>
                <w:bCs w:val="1"/>
                <w:color w:val="auto"/>
              </w:rPr>
              <w:t>Dependent Directors</w:t>
            </w:r>
          </w:p>
        </w:tc>
        <w:tc>
          <w:tcPr>
            <w:tcW w:w="498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1260" w:type="dxa"/>
            <w:vAlign w:val="bottom"/>
            <w:tcBorders>
              <w:top w:val="single" w:sz="8" w:color="2C2C2C"/>
            </w:tcBorders>
          </w:tcPr>
          <w:p>
            <w:pPr>
              <w:spacing w:after="0"/>
              <w:rPr>
                <w:sz w:val="14"/>
                <w:szCs w:val="14"/>
                <w:color w:val="auto"/>
              </w:rPr>
            </w:pPr>
          </w:p>
        </w:tc>
        <w:tc>
          <w:tcPr>
            <w:tcW w:w="1280" w:type="dxa"/>
            <w:vAlign w:val="bottom"/>
            <w:tcBorders>
              <w:top w:val="single" w:sz="8" w:color="2C2C2C"/>
            </w:tcBorders>
          </w:tcPr>
          <w:p>
            <w:pPr>
              <w:spacing w:after="0"/>
              <w:rPr>
                <w:sz w:val="14"/>
                <w:szCs w:val="14"/>
                <w:color w:val="auto"/>
              </w:rPr>
            </w:pPr>
          </w:p>
        </w:tc>
        <w:tc>
          <w:tcPr>
            <w:tcW w:w="1080" w:type="dxa"/>
            <w:vAlign w:val="bottom"/>
            <w:tcBorders>
              <w:top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2C2C2C"/>
            </w:tcBorders>
          </w:tcPr>
          <w:p>
            <w:pPr>
              <w:spacing w:after="0" w:line="20" w:lineRule="exact"/>
              <w:rPr>
                <w:sz w:val="1"/>
                <w:szCs w:val="1"/>
                <w:color w:val="auto"/>
              </w:rPr>
            </w:pPr>
          </w:p>
        </w:tc>
        <w:tc>
          <w:tcPr>
            <w:tcW w:w="1300" w:type="dxa"/>
            <w:vAlign w:val="bottom"/>
            <w:tcBorders>
              <w:top w:val="single" w:sz="8" w:color="auto"/>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498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128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0" w:type="dxa"/>
            <w:vAlign w:val="bottom"/>
          </w:tcPr>
          <w:p>
            <w:pPr>
              <w:spacing w:after="0"/>
              <w:rPr>
                <w:sz w:val="12"/>
                <w:szCs w:val="12"/>
                <w:color w:val="auto"/>
              </w:rPr>
            </w:pPr>
          </w:p>
        </w:tc>
        <w:tc>
          <w:tcPr>
            <w:tcW w:w="1840" w:type="dxa"/>
            <w:vAlign w:val="bottom"/>
            <w:gridSpan w:val="2"/>
          </w:tcPr>
          <w:p>
            <w:pPr>
              <w:spacing w:after="0" w:line="146" w:lineRule="exact"/>
              <w:rPr>
                <w:sz w:val="20"/>
                <w:szCs w:val="20"/>
                <w:color w:val="auto"/>
              </w:rPr>
            </w:pPr>
            <w:r>
              <w:rPr>
                <w:rFonts w:ascii="Arial" w:cs="Arial" w:eastAsia="Arial" w:hAnsi="Arial"/>
                <w:sz w:val="15"/>
                <w:szCs w:val="15"/>
                <w:color w:val="auto"/>
              </w:rPr>
              <w:t>Dionisio Romero S.</w:t>
            </w:r>
          </w:p>
        </w:tc>
        <w:tc>
          <w:tcPr>
            <w:tcW w:w="4980" w:type="dxa"/>
            <w:vAlign w:val="bottom"/>
          </w:tcPr>
          <w:p>
            <w:pPr>
              <w:ind w:left="440"/>
              <w:spacing w:after="0" w:line="146" w:lineRule="exact"/>
              <w:rPr>
                <w:sz w:val="20"/>
                <w:szCs w:val="20"/>
                <w:color w:val="auto"/>
              </w:rPr>
            </w:pPr>
            <w:r>
              <w:rPr>
                <w:rFonts w:ascii="Arial" w:cs="Arial" w:eastAsia="Arial" w:hAnsi="Arial"/>
                <w:sz w:val="15"/>
                <w:szCs w:val="15"/>
                <w:color w:val="auto"/>
              </w:rPr>
              <w:t>Master's in Business Administration, University of Stanford , BA in</w:t>
            </w:r>
          </w:p>
        </w:tc>
        <w:tc>
          <w:tcPr>
            <w:tcW w:w="920" w:type="dxa"/>
            <w:vAlign w:val="bottom"/>
          </w:tcPr>
          <w:p>
            <w:pPr>
              <w:jc w:val="right"/>
              <w:ind w:right="10"/>
              <w:spacing w:after="0" w:line="146" w:lineRule="exact"/>
              <w:rPr>
                <w:sz w:val="20"/>
                <w:szCs w:val="20"/>
                <w:color w:val="auto"/>
              </w:rPr>
            </w:pPr>
            <w:r>
              <w:rPr>
                <w:rFonts w:ascii="Arial" w:cs="Arial" w:eastAsia="Arial" w:hAnsi="Arial"/>
                <w:sz w:val="15"/>
                <w:szCs w:val="15"/>
                <w:color w:val="auto"/>
              </w:rPr>
              <w:t>18.08.95</w:t>
            </w:r>
          </w:p>
        </w:tc>
        <w:tc>
          <w:tcPr>
            <w:tcW w:w="126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Arial" w:cs="Arial" w:eastAsia="Arial" w:hAnsi="Arial"/>
                <w:sz w:val="15"/>
                <w:szCs w:val="15"/>
                <w:color w:val="auto"/>
              </w:rPr>
              <w:t>N/A</w:t>
            </w:r>
          </w:p>
        </w:tc>
        <w:tc>
          <w:tcPr>
            <w:tcW w:w="1080" w:type="dxa"/>
            <w:vAlign w:val="bottom"/>
          </w:tcPr>
          <w:p>
            <w:pPr>
              <w:jc w:val="center"/>
              <w:spacing w:after="0" w:line="146" w:lineRule="exact"/>
              <w:rPr>
                <w:sz w:val="20"/>
                <w:szCs w:val="20"/>
                <w:color w:val="auto"/>
              </w:rPr>
            </w:pPr>
            <w:r>
              <w:rPr>
                <w:rFonts w:ascii="Arial" w:cs="Arial" w:eastAsia="Arial" w:hAnsi="Arial"/>
                <w:sz w:val="15"/>
                <w:szCs w:val="15"/>
                <w:color w:val="auto"/>
                <w:w w:val="95"/>
              </w:rPr>
              <w:t>N/A</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320"/>
        <w:spacing w:after="0" w:line="225" w:lineRule="auto"/>
        <w:rPr>
          <w:sz w:val="20"/>
          <w:szCs w:val="20"/>
          <w:color w:val="auto"/>
        </w:rPr>
      </w:pPr>
      <w:r>
        <w:rPr>
          <w:rFonts w:ascii="Arial" w:cs="Arial" w:eastAsia="Arial" w:hAnsi="Arial"/>
          <w:sz w:val="15"/>
          <w:szCs w:val="15"/>
          <w:color w:val="auto"/>
        </w:rPr>
        <w:t>Economic Science, Pomona College , California , both in the United States</w:t>
      </w:r>
    </w:p>
    <w:p>
      <w:pPr>
        <w:ind w:left="2320"/>
        <w:spacing w:after="0" w:line="226" w:lineRule="auto"/>
        <w:rPr>
          <w:sz w:val="20"/>
          <w:szCs w:val="20"/>
          <w:color w:val="auto"/>
        </w:rPr>
      </w:pPr>
      <w:r>
        <w:rPr>
          <w:rFonts w:ascii="Arial" w:cs="Arial" w:eastAsia="Arial" w:hAnsi="Arial"/>
          <w:sz w:val="15"/>
          <w:szCs w:val="15"/>
          <w:color w:val="auto"/>
        </w:rPr>
        <w:t>of America . Mr Romero is Chairman of the Board of Credicorp Ltd., and</w:t>
      </w:r>
    </w:p>
    <w:p>
      <w:pPr>
        <w:ind w:left="2320"/>
        <w:spacing w:after="0" w:line="225" w:lineRule="auto"/>
        <w:rPr>
          <w:sz w:val="20"/>
          <w:szCs w:val="20"/>
          <w:color w:val="auto"/>
        </w:rPr>
      </w:pPr>
      <w:r>
        <w:rPr>
          <w:rFonts w:ascii="Arial" w:cs="Arial" w:eastAsia="Arial" w:hAnsi="Arial"/>
          <w:sz w:val="15"/>
          <w:szCs w:val="15"/>
          <w:color w:val="auto"/>
        </w:rPr>
        <w:t>President of the Banco de Crédito del Perú. President of Atlantic Security</w:t>
      </w:r>
    </w:p>
    <w:p>
      <w:pPr>
        <w:ind w:left="2320"/>
        <w:spacing w:after="0" w:line="226" w:lineRule="auto"/>
        <w:rPr>
          <w:sz w:val="20"/>
          <w:szCs w:val="20"/>
          <w:color w:val="auto"/>
        </w:rPr>
      </w:pPr>
      <w:r>
        <w:rPr>
          <w:rFonts w:ascii="Arial" w:cs="Arial" w:eastAsia="Arial" w:hAnsi="Arial"/>
          <w:sz w:val="15"/>
          <w:szCs w:val="15"/>
          <w:color w:val="auto"/>
        </w:rPr>
        <w:t>Holding Corporation, Gran Cayman. He is Director and President of the</w:t>
      </w:r>
    </w:p>
    <w:p>
      <w:pPr>
        <w:ind w:left="2320"/>
        <w:spacing w:after="0" w:line="225" w:lineRule="auto"/>
        <w:rPr>
          <w:sz w:val="20"/>
          <w:szCs w:val="20"/>
          <w:color w:val="auto"/>
        </w:rPr>
      </w:pPr>
      <w:r>
        <w:rPr>
          <w:rFonts w:ascii="Arial" w:cs="Arial" w:eastAsia="Arial" w:hAnsi="Arial"/>
          <w:sz w:val="15"/>
          <w:szCs w:val="15"/>
          <w:color w:val="auto"/>
        </w:rPr>
        <w:t>Banco de Crédito of Bolivia , President of the Crédito Group and BCP's</w:t>
      </w:r>
    </w:p>
    <w:p>
      <w:pPr>
        <w:ind w:left="2320"/>
        <w:spacing w:after="0" w:line="226" w:lineRule="auto"/>
        <w:rPr>
          <w:sz w:val="20"/>
          <w:szCs w:val="20"/>
          <w:color w:val="auto"/>
        </w:rPr>
      </w:pPr>
      <w:r>
        <w:rPr>
          <w:rFonts w:ascii="Arial" w:cs="Arial" w:eastAsia="Arial" w:hAnsi="Arial"/>
          <w:sz w:val="15"/>
          <w:szCs w:val="15"/>
          <w:color w:val="auto"/>
        </w:rPr>
        <w:t>subsidiaries: Credileasing, Credifondo SAFM, Creditítulos, Inmobiliaria</w:t>
      </w:r>
    </w:p>
    <w:p>
      <w:pPr>
        <w:ind w:left="2320"/>
        <w:spacing w:after="0" w:line="225" w:lineRule="auto"/>
        <w:rPr>
          <w:sz w:val="20"/>
          <w:szCs w:val="20"/>
          <w:color w:val="auto"/>
        </w:rPr>
      </w:pPr>
      <w:r>
        <w:rPr>
          <w:rFonts w:ascii="Arial" w:cs="Arial" w:eastAsia="Arial" w:hAnsi="Arial"/>
          <w:sz w:val="15"/>
          <w:szCs w:val="15"/>
          <w:color w:val="auto"/>
        </w:rPr>
        <w:t>BCP, Soluciones en Procesamiento - Servicorp, and Vice President of</w:t>
      </w:r>
    </w:p>
    <w:p>
      <w:pPr>
        <w:ind w:left="2320"/>
        <w:spacing w:after="0" w:line="226" w:lineRule="auto"/>
        <w:rPr>
          <w:sz w:val="20"/>
          <w:szCs w:val="20"/>
          <w:color w:val="auto"/>
        </w:rPr>
      </w:pPr>
      <w:r>
        <w:rPr>
          <w:rFonts w:ascii="Arial" w:cs="Arial" w:eastAsia="Arial" w:hAnsi="Arial"/>
          <w:sz w:val="15"/>
          <w:szCs w:val="15"/>
          <w:color w:val="auto"/>
        </w:rPr>
        <w:t>Pacífico Peruano Suiza. Director of the Banco de Crédito e Inversiones ,</w:t>
      </w:r>
    </w:p>
    <w:p>
      <w:pPr>
        <w:ind w:left="2320"/>
        <w:spacing w:after="0"/>
        <w:rPr>
          <w:sz w:val="20"/>
          <w:szCs w:val="20"/>
          <w:color w:val="auto"/>
        </w:rPr>
      </w:pPr>
      <w:r>
        <w:rPr>
          <w:rFonts w:ascii="Arial" w:cs="Arial" w:eastAsia="Arial" w:hAnsi="Arial"/>
          <w:sz w:val="15"/>
          <w:szCs w:val="15"/>
          <w:color w:val="auto"/>
        </w:rPr>
        <w:t>Chile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1138555</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6" w:name="page57"/>
    <w:bookmarkEnd w:id="56"/>
    <w:p>
      <w:pPr>
        <w:ind w:left="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3622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2020" cy="2362200"/>
                    </a:xfrm>
                    <a:prstGeom prst="rect">
                      <a:avLst/>
                    </a:prstGeom>
                    <a:noFill/>
                  </pic:spPr>
                </pic:pic>
              </a:graphicData>
            </a:graphic>
          </wp:anchor>
        </w:drawing>
        <w:t>Independent Directors</w:t>
      </w:r>
    </w:p>
    <w:p>
      <w:pPr>
        <w:sectPr>
          <w:pgSz w:w="11900" w:h="16838" w:orient="portrait"/>
          <w:cols w:equalWidth="0" w:num="1">
            <w:col w:w="11380"/>
          </w:cols>
          <w:pgMar w:left="260" w:top="157" w:right="259" w:bottom="1440" w:gutter="0" w:footer="0" w:header="0"/>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720" w:type="dxa"/>
            <w:vAlign w:val="bottom"/>
            <w:tcBorders>
              <w:top w:val="single" w:sz="8" w:color="2C2C2C"/>
            </w:tcBorders>
          </w:tcPr>
          <w:p>
            <w:pPr>
              <w:ind w:left="20"/>
              <w:spacing w:after="0" w:line="143" w:lineRule="exact"/>
              <w:rPr>
                <w:sz w:val="20"/>
                <w:szCs w:val="20"/>
                <w:color w:val="auto"/>
              </w:rPr>
            </w:pPr>
            <w:r>
              <w:rPr>
                <w:rFonts w:ascii="Arial" w:cs="Arial" w:eastAsia="Arial" w:hAnsi="Arial"/>
                <w:sz w:val="15"/>
                <w:szCs w:val="15"/>
                <w:color w:val="auto"/>
              </w:rPr>
              <w:t>Luis Nicolini B.</w:t>
            </w:r>
          </w:p>
        </w:tc>
        <w:tc>
          <w:tcPr>
            <w:tcW w:w="5280" w:type="dxa"/>
            <w:vAlign w:val="bottom"/>
            <w:tcBorders>
              <w:top w:val="single" w:sz="8" w:color="2C2C2C"/>
            </w:tcBorders>
          </w:tcPr>
          <w:p>
            <w:pPr>
              <w:ind w:left="580"/>
              <w:spacing w:after="0" w:line="143" w:lineRule="exact"/>
              <w:rPr>
                <w:sz w:val="20"/>
                <w:szCs w:val="20"/>
                <w:color w:val="auto"/>
              </w:rPr>
            </w:pPr>
            <w:r>
              <w:rPr>
                <w:rFonts w:ascii="Arial" w:cs="Arial" w:eastAsia="Arial" w:hAnsi="Arial"/>
                <w:sz w:val="15"/>
                <w:szCs w:val="15"/>
                <w:color w:val="auto"/>
                <w:w w:val="97"/>
              </w:rPr>
              <w:t>Businessman  dedicated  specifically  to  financial,  industrial  and  agro-</w:t>
            </w:r>
          </w:p>
        </w:tc>
        <w:tc>
          <w:tcPr>
            <w:tcW w:w="1620" w:type="dxa"/>
            <w:vAlign w:val="bottom"/>
            <w:tcBorders>
              <w:top w:val="single" w:sz="8" w:color="2C2C2C"/>
            </w:tcBorders>
          </w:tcPr>
          <w:p>
            <w:pPr>
              <w:jc w:val="right"/>
              <w:ind w:right="866"/>
              <w:spacing w:after="0" w:line="143" w:lineRule="exact"/>
              <w:rPr>
                <w:sz w:val="20"/>
                <w:szCs w:val="20"/>
                <w:color w:val="auto"/>
              </w:rPr>
            </w:pPr>
            <w:r>
              <w:rPr>
                <w:rFonts w:ascii="Arial" w:cs="Arial" w:eastAsia="Arial" w:hAnsi="Arial"/>
                <w:sz w:val="15"/>
                <w:szCs w:val="15"/>
                <w:color w:val="auto"/>
              </w:rPr>
              <w:t>18.08.95</w:t>
            </w:r>
          </w:p>
        </w:tc>
        <w:tc>
          <w:tcPr>
            <w:tcW w:w="1640" w:type="dxa"/>
            <w:vAlign w:val="bottom"/>
            <w:tcBorders>
              <w:top w:val="single" w:sz="8" w:color="2C2C2C"/>
            </w:tcBorders>
          </w:tcPr>
          <w:p>
            <w:pPr>
              <w:ind w:left="940"/>
              <w:spacing w:after="0" w:line="143" w:lineRule="exact"/>
              <w:rPr>
                <w:sz w:val="20"/>
                <w:szCs w:val="20"/>
                <w:color w:val="auto"/>
              </w:rPr>
            </w:pPr>
            <w:r>
              <w:rPr>
                <w:rFonts w:ascii="Arial" w:cs="Arial" w:eastAsia="Arial" w:hAnsi="Arial"/>
                <w:sz w:val="15"/>
                <w:szCs w:val="15"/>
                <w:color w:val="auto"/>
              </w:rPr>
              <w:t>N/A</w:t>
            </w:r>
          </w:p>
        </w:tc>
        <w:tc>
          <w:tcPr>
            <w:tcW w:w="1120" w:type="dxa"/>
            <w:vAlign w:val="bottom"/>
            <w:tcBorders>
              <w:top w:val="single" w:sz="8" w:color="2C2C2C"/>
            </w:tcBorders>
          </w:tcPr>
          <w:p>
            <w:pPr>
              <w:ind w:left="440"/>
              <w:spacing w:after="0" w:line="143" w:lineRule="exact"/>
              <w:rPr>
                <w:sz w:val="20"/>
                <w:szCs w:val="20"/>
                <w:color w:val="auto"/>
              </w:rPr>
            </w:pPr>
            <w:r>
              <w:rPr>
                <w:rFonts w:ascii="Arial" w:cs="Arial" w:eastAsia="Arial" w:hAnsi="Arial"/>
                <w:sz w:val="15"/>
                <w:szCs w:val="15"/>
                <w:color w:val="auto"/>
              </w:rPr>
              <w:t>N/A</w:t>
            </w:r>
          </w:p>
        </w:tc>
      </w:tr>
      <w:tr>
        <w:trPr>
          <w:trHeight w:val="162"/>
        </w:trPr>
        <w:tc>
          <w:tcPr>
            <w:tcW w:w="1720" w:type="dxa"/>
            <w:vAlign w:val="bottom"/>
          </w:tcPr>
          <w:p>
            <w:pPr>
              <w:spacing w:after="0"/>
              <w:rPr>
                <w:sz w:val="14"/>
                <w:szCs w:val="14"/>
                <w:color w:val="auto"/>
              </w:rPr>
            </w:pPr>
          </w:p>
        </w:tc>
        <w:tc>
          <w:tcPr>
            <w:tcW w:w="5280" w:type="dxa"/>
            <w:vAlign w:val="bottom"/>
          </w:tcPr>
          <w:p>
            <w:pPr>
              <w:ind w:left="580"/>
              <w:spacing w:after="0" w:line="162" w:lineRule="exact"/>
              <w:rPr>
                <w:sz w:val="20"/>
                <w:szCs w:val="20"/>
                <w:color w:val="auto"/>
              </w:rPr>
            </w:pPr>
            <w:r>
              <w:rPr>
                <w:rFonts w:ascii="Arial" w:cs="Arial" w:eastAsia="Arial" w:hAnsi="Arial"/>
                <w:sz w:val="15"/>
                <w:szCs w:val="15"/>
                <w:color w:val="auto"/>
                <w:w w:val="95"/>
              </w:rPr>
              <w:t>industrial activities. As a banker, he holds the position of Vice President of</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5280" w:type="dxa"/>
            <w:vAlign w:val="bottom"/>
          </w:tcPr>
          <w:p>
            <w:pPr>
              <w:ind w:left="580"/>
              <w:spacing w:after="0" w:line="162" w:lineRule="exact"/>
              <w:rPr>
                <w:sz w:val="20"/>
                <w:szCs w:val="20"/>
                <w:color w:val="auto"/>
              </w:rPr>
            </w:pPr>
            <w:r>
              <w:rPr>
                <w:rFonts w:ascii="Arial" w:cs="Arial" w:eastAsia="Arial" w:hAnsi="Arial"/>
                <w:sz w:val="15"/>
                <w:szCs w:val="15"/>
                <w:color w:val="auto"/>
                <w:w w:val="92"/>
              </w:rPr>
              <w:t>the Banco de Crédito del Perú. He is also Vice President and Director of the</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5280" w:type="dxa"/>
            <w:vAlign w:val="bottom"/>
          </w:tcPr>
          <w:p>
            <w:pPr>
              <w:ind w:left="580"/>
              <w:spacing w:after="0" w:line="162" w:lineRule="exact"/>
              <w:rPr>
                <w:sz w:val="20"/>
                <w:szCs w:val="20"/>
                <w:color w:val="auto"/>
              </w:rPr>
            </w:pPr>
            <w:r>
              <w:rPr>
                <w:rFonts w:ascii="Arial" w:cs="Arial" w:eastAsia="Arial" w:hAnsi="Arial"/>
                <w:sz w:val="15"/>
                <w:szCs w:val="15"/>
                <w:color w:val="auto"/>
                <w:w w:val="93"/>
              </w:rPr>
              <w:t>Banco de Crédito of Bolivia and all BCP's subsidiaries. He is Vice President</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5280" w:type="dxa"/>
            <w:vAlign w:val="bottom"/>
          </w:tcPr>
          <w:p>
            <w:pPr>
              <w:ind w:left="580"/>
              <w:spacing w:after="0" w:line="162" w:lineRule="exact"/>
              <w:rPr>
                <w:sz w:val="20"/>
                <w:szCs w:val="20"/>
                <w:color w:val="auto"/>
              </w:rPr>
            </w:pPr>
            <w:r>
              <w:rPr>
                <w:rFonts w:ascii="Arial" w:cs="Arial" w:eastAsia="Arial" w:hAnsi="Arial"/>
                <w:sz w:val="15"/>
                <w:szCs w:val="15"/>
                <w:color w:val="auto"/>
                <w:w w:val="99"/>
              </w:rPr>
              <w:t>of Credicorp and of Atlantic Security Bank. In addition, he is Director of</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5280" w:type="dxa"/>
            <w:vAlign w:val="bottom"/>
          </w:tcPr>
          <w:p>
            <w:pPr>
              <w:ind w:left="580"/>
              <w:spacing w:after="0" w:line="162" w:lineRule="exact"/>
              <w:rPr>
                <w:sz w:val="20"/>
                <w:szCs w:val="20"/>
                <w:color w:val="auto"/>
              </w:rPr>
            </w:pPr>
            <w:r>
              <w:rPr>
                <w:rFonts w:ascii="Arial" w:cs="Arial" w:eastAsia="Arial" w:hAnsi="Arial"/>
                <w:sz w:val="15"/>
                <w:szCs w:val="15"/>
                <w:color w:val="auto"/>
                <w:w w:val="93"/>
              </w:rPr>
              <w:t>Inversiones Centenario, Alicorp and Pacifico Peruano Suiza, and Chairman</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8"/>
        </w:trPr>
        <w:tc>
          <w:tcPr>
            <w:tcW w:w="1720" w:type="dxa"/>
            <w:vAlign w:val="bottom"/>
            <w:tcBorders>
              <w:bottom w:val="single" w:sz="8" w:color="2C2C2C"/>
            </w:tcBorders>
          </w:tcPr>
          <w:p>
            <w:pPr>
              <w:spacing w:after="0"/>
              <w:rPr>
                <w:sz w:val="15"/>
                <w:szCs w:val="15"/>
                <w:color w:val="auto"/>
              </w:rPr>
            </w:pPr>
          </w:p>
        </w:tc>
        <w:tc>
          <w:tcPr>
            <w:tcW w:w="5280" w:type="dxa"/>
            <w:vAlign w:val="bottom"/>
            <w:tcBorders>
              <w:bottom w:val="single" w:sz="8" w:color="2C2C2C"/>
            </w:tcBorders>
          </w:tcPr>
          <w:p>
            <w:pPr>
              <w:ind w:left="580"/>
              <w:spacing w:after="0" w:line="172" w:lineRule="exact"/>
              <w:rPr>
                <w:sz w:val="20"/>
                <w:szCs w:val="20"/>
                <w:color w:val="auto"/>
              </w:rPr>
            </w:pPr>
            <w:r>
              <w:rPr>
                <w:rFonts w:ascii="Arial" w:cs="Arial" w:eastAsia="Arial" w:hAnsi="Arial"/>
                <w:sz w:val="15"/>
                <w:szCs w:val="15"/>
                <w:color w:val="auto"/>
              </w:rPr>
              <w:t>of the Board of the textile company Fábrica de Tejidos La Bellota.</w:t>
            </w:r>
          </w:p>
        </w:tc>
        <w:tc>
          <w:tcPr>
            <w:tcW w:w="162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r>
      <w:tr>
        <w:trPr>
          <w:trHeight w:val="153"/>
        </w:trPr>
        <w:tc>
          <w:tcPr>
            <w:tcW w:w="1720" w:type="dxa"/>
            <w:vAlign w:val="bottom"/>
          </w:tcPr>
          <w:p>
            <w:pPr>
              <w:ind w:left="20"/>
              <w:spacing w:after="0" w:line="153" w:lineRule="exact"/>
              <w:rPr>
                <w:sz w:val="20"/>
                <w:szCs w:val="20"/>
                <w:color w:val="auto"/>
              </w:rPr>
            </w:pPr>
            <w:r>
              <w:rPr>
                <w:rFonts w:ascii="Arial" w:cs="Arial" w:eastAsia="Arial" w:hAnsi="Arial"/>
                <w:sz w:val="15"/>
                <w:szCs w:val="15"/>
                <w:color w:val="auto"/>
              </w:rPr>
              <w:t>Fernando Fort M.</w:t>
            </w:r>
          </w:p>
        </w:tc>
        <w:tc>
          <w:tcPr>
            <w:tcW w:w="5280" w:type="dxa"/>
            <w:vAlign w:val="bottom"/>
          </w:tcPr>
          <w:p>
            <w:pPr>
              <w:ind w:left="580"/>
              <w:spacing w:after="0" w:line="153" w:lineRule="exact"/>
              <w:rPr>
                <w:sz w:val="20"/>
                <w:szCs w:val="20"/>
                <w:color w:val="auto"/>
              </w:rPr>
            </w:pPr>
            <w:r>
              <w:rPr>
                <w:rFonts w:ascii="Arial" w:cs="Arial" w:eastAsia="Arial" w:hAnsi="Arial"/>
                <w:sz w:val="15"/>
                <w:szCs w:val="15"/>
                <w:color w:val="auto"/>
              </w:rPr>
              <w:t>Lawyer and Partner of the Legal Firm Fort, Bertorini y Godoy. He is</w:t>
            </w:r>
          </w:p>
        </w:tc>
        <w:tc>
          <w:tcPr>
            <w:tcW w:w="1620" w:type="dxa"/>
            <w:vAlign w:val="bottom"/>
          </w:tcPr>
          <w:p>
            <w:pPr>
              <w:jc w:val="right"/>
              <w:ind w:right="866"/>
              <w:spacing w:after="0" w:line="153" w:lineRule="exact"/>
              <w:rPr>
                <w:sz w:val="20"/>
                <w:szCs w:val="20"/>
                <w:color w:val="auto"/>
              </w:rPr>
            </w:pPr>
            <w:r>
              <w:rPr>
                <w:rFonts w:ascii="Arial" w:cs="Arial" w:eastAsia="Arial" w:hAnsi="Arial"/>
                <w:sz w:val="15"/>
                <w:szCs w:val="15"/>
                <w:color w:val="auto"/>
              </w:rPr>
              <w:t>30.03.99</w:t>
            </w:r>
          </w:p>
        </w:tc>
        <w:tc>
          <w:tcPr>
            <w:tcW w:w="1640" w:type="dxa"/>
            <w:vAlign w:val="bottom"/>
          </w:tcPr>
          <w:p>
            <w:pPr>
              <w:ind w:left="940"/>
              <w:spacing w:after="0" w:line="153" w:lineRule="exact"/>
              <w:rPr>
                <w:sz w:val="20"/>
                <w:szCs w:val="20"/>
                <w:color w:val="auto"/>
              </w:rPr>
            </w:pPr>
            <w:r>
              <w:rPr>
                <w:rFonts w:ascii="Arial" w:cs="Arial" w:eastAsia="Arial" w:hAnsi="Arial"/>
                <w:sz w:val="15"/>
                <w:szCs w:val="15"/>
                <w:color w:val="auto"/>
              </w:rPr>
              <w:t>N/A</w:t>
            </w:r>
          </w:p>
        </w:tc>
        <w:tc>
          <w:tcPr>
            <w:tcW w:w="1120" w:type="dxa"/>
            <w:vAlign w:val="bottom"/>
          </w:tcPr>
          <w:p>
            <w:pPr>
              <w:ind w:left="440"/>
              <w:spacing w:after="0" w:line="153" w:lineRule="exact"/>
              <w:rPr>
                <w:sz w:val="20"/>
                <w:szCs w:val="20"/>
                <w:color w:val="auto"/>
              </w:rPr>
            </w:pPr>
            <w:r>
              <w:rPr>
                <w:rFonts w:ascii="Arial" w:cs="Arial" w:eastAsia="Arial" w:hAnsi="Arial"/>
                <w:sz w:val="15"/>
                <w:szCs w:val="15"/>
                <w:color w:val="auto"/>
              </w:rPr>
              <w:t>N/A</w:t>
            </w:r>
          </w:p>
        </w:tc>
      </w:tr>
      <w:tr>
        <w:trPr>
          <w:trHeight w:val="162"/>
        </w:trPr>
        <w:tc>
          <w:tcPr>
            <w:tcW w:w="1720" w:type="dxa"/>
            <w:vAlign w:val="bottom"/>
          </w:tcPr>
          <w:p>
            <w:pPr>
              <w:spacing w:after="0"/>
              <w:rPr>
                <w:sz w:val="14"/>
                <w:szCs w:val="14"/>
                <w:color w:val="auto"/>
              </w:rPr>
            </w:pPr>
          </w:p>
        </w:tc>
        <w:tc>
          <w:tcPr>
            <w:tcW w:w="5280" w:type="dxa"/>
            <w:vAlign w:val="bottom"/>
          </w:tcPr>
          <w:p>
            <w:pPr>
              <w:ind w:left="580"/>
              <w:spacing w:after="0" w:line="162" w:lineRule="exact"/>
              <w:rPr>
                <w:sz w:val="20"/>
                <w:szCs w:val="20"/>
                <w:color w:val="auto"/>
              </w:rPr>
            </w:pPr>
            <w:r>
              <w:rPr>
                <w:rFonts w:ascii="Arial" w:cs="Arial" w:eastAsia="Arial" w:hAnsi="Arial"/>
                <w:sz w:val="15"/>
                <w:szCs w:val="15"/>
                <w:color w:val="auto"/>
              </w:rPr>
              <w:t>Director of BCP's Subsidiaries and the Banco de Crédito of Bolivia .</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5280" w:type="dxa"/>
            <w:vAlign w:val="bottom"/>
          </w:tcPr>
          <w:p>
            <w:pPr>
              <w:ind w:left="580"/>
              <w:spacing w:after="0" w:line="162" w:lineRule="exact"/>
              <w:rPr>
                <w:sz w:val="20"/>
                <w:szCs w:val="20"/>
                <w:color w:val="auto"/>
              </w:rPr>
            </w:pPr>
            <w:r>
              <w:rPr>
                <w:rFonts w:ascii="Arial" w:cs="Arial" w:eastAsia="Arial" w:hAnsi="Arial"/>
                <w:sz w:val="15"/>
                <w:szCs w:val="15"/>
                <w:color w:val="auto"/>
              </w:rPr>
              <w:t>Director of Atlantic Security Bank. He is a member of the Board of</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5280" w:type="dxa"/>
            <w:vAlign w:val="bottom"/>
          </w:tcPr>
          <w:p>
            <w:pPr>
              <w:ind w:left="580"/>
              <w:spacing w:after="0" w:line="162" w:lineRule="exact"/>
              <w:rPr>
                <w:sz w:val="20"/>
                <w:szCs w:val="20"/>
                <w:color w:val="auto"/>
              </w:rPr>
            </w:pPr>
            <w:r>
              <w:rPr>
                <w:rFonts w:ascii="Arial" w:cs="Arial" w:eastAsia="Arial" w:hAnsi="Arial"/>
                <w:sz w:val="15"/>
                <w:szCs w:val="15"/>
                <w:color w:val="auto"/>
                <w:w w:val="93"/>
              </w:rPr>
              <w:t>Directors of Inversiones Centenario, Generalima S.A., Almacenera del Perú</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5280" w:type="dxa"/>
            <w:vAlign w:val="bottom"/>
          </w:tcPr>
          <w:p>
            <w:pPr>
              <w:ind w:left="580"/>
              <w:spacing w:after="0" w:line="162" w:lineRule="exact"/>
              <w:rPr>
                <w:sz w:val="20"/>
                <w:szCs w:val="20"/>
                <w:color w:val="auto"/>
              </w:rPr>
            </w:pPr>
            <w:r>
              <w:rPr>
                <w:rFonts w:ascii="Arial" w:cs="Arial" w:eastAsia="Arial" w:hAnsi="Arial"/>
                <w:sz w:val="15"/>
                <w:szCs w:val="15"/>
                <w:color w:val="auto"/>
                <w:w w:val="96"/>
              </w:rPr>
              <w:t>S.A., Empresa de Generación Termoeléctrica Ventanilla S.A. - Etevensa,</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5280" w:type="dxa"/>
            <w:vAlign w:val="bottom"/>
          </w:tcPr>
          <w:p>
            <w:pPr>
              <w:ind w:left="580"/>
              <w:spacing w:after="0" w:line="162" w:lineRule="exact"/>
              <w:rPr>
                <w:sz w:val="20"/>
                <w:szCs w:val="20"/>
                <w:color w:val="auto"/>
              </w:rPr>
            </w:pPr>
            <w:r>
              <w:rPr>
                <w:rFonts w:ascii="Arial" w:cs="Arial" w:eastAsia="Arial" w:hAnsi="Arial"/>
                <w:sz w:val="15"/>
                <w:szCs w:val="15"/>
                <w:color w:val="auto"/>
                <w:w w:val="97"/>
              </w:rPr>
              <w:t>Inversiones  Distrilima  S.A.,  Hermes  Transportes  Blindados  S.A.  and</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8"/>
        </w:trPr>
        <w:tc>
          <w:tcPr>
            <w:tcW w:w="1720" w:type="dxa"/>
            <w:vAlign w:val="bottom"/>
            <w:tcBorders>
              <w:bottom w:val="single" w:sz="8" w:color="2C2C2C"/>
            </w:tcBorders>
          </w:tcPr>
          <w:p>
            <w:pPr>
              <w:spacing w:after="0"/>
              <w:rPr>
                <w:sz w:val="15"/>
                <w:szCs w:val="15"/>
                <w:color w:val="auto"/>
              </w:rPr>
            </w:pPr>
          </w:p>
        </w:tc>
        <w:tc>
          <w:tcPr>
            <w:tcW w:w="5280" w:type="dxa"/>
            <w:vAlign w:val="bottom"/>
            <w:tcBorders>
              <w:bottom w:val="single" w:sz="8" w:color="2C2C2C"/>
            </w:tcBorders>
          </w:tcPr>
          <w:p>
            <w:pPr>
              <w:ind w:left="580"/>
              <w:spacing w:after="0" w:line="172" w:lineRule="exact"/>
              <w:rPr>
                <w:sz w:val="20"/>
                <w:szCs w:val="20"/>
                <w:color w:val="auto"/>
              </w:rPr>
            </w:pPr>
            <w:r>
              <w:rPr>
                <w:rFonts w:ascii="Arial" w:cs="Arial" w:eastAsia="Arial" w:hAnsi="Arial"/>
                <w:sz w:val="15"/>
                <w:szCs w:val="15"/>
                <w:color w:val="auto"/>
              </w:rPr>
              <w:t>Motores Diesel Andinos S.A.</w:t>
            </w:r>
          </w:p>
        </w:tc>
        <w:tc>
          <w:tcPr>
            <w:tcW w:w="162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r>
      <w:tr>
        <w:trPr>
          <w:trHeight w:val="153"/>
        </w:trPr>
        <w:tc>
          <w:tcPr>
            <w:tcW w:w="1720" w:type="dxa"/>
            <w:vAlign w:val="bottom"/>
          </w:tcPr>
          <w:p>
            <w:pPr>
              <w:ind w:left="20"/>
              <w:spacing w:after="0" w:line="153" w:lineRule="exact"/>
              <w:rPr>
                <w:sz w:val="20"/>
                <w:szCs w:val="20"/>
                <w:color w:val="auto"/>
              </w:rPr>
            </w:pPr>
            <w:r>
              <w:rPr>
                <w:rFonts w:ascii="Arial" w:cs="Arial" w:eastAsia="Arial" w:hAnsi="Arial"/>
                <w:sz w:val="15"/>
                <w:szCs w:val="15"/>
                <w:color w:val="auto"/>
              </w:rPr>
              <w:t>Reynaldo Llosa B.</w:t>
            </w:r>
          </w:p>
        </w:tc>
        <w:tc>
          <w:tcPr>
            <w:tcW w:w="5280" w:type="dxa"/>
            <w:vAlign w:val="bottom"/>
          </w:tcPr>
          <w:p>
            <w:pPr>
              <w:ind w:left="580"/>
              <w:spacing w:after="0" w:line="153" w:lineRule="exact"/>
              <w:rPr>
                <w:sz w:val="20"/>
                <w:szCs w:val="20"/>
                <w:color w:val="auto"/>
              </w:rPr>
            </w:pPr>
            <w:r>
              <w:rPr>
                <w:rFonts w:ascii="Arial" w:cs="Arial" w:eastAsia="Arial" w:hAnsi="Arial"/>
                <w:sz w:val="15"/>
                <w:szCs w:val="15"/>
                <w:color w:val="auto"/>
              </w:rPr>
              <w:t>Administrator of Companies, he has studied at the London School Of</w:t>
            </w:r>
          </w:p>
        </w:tc>
        <w:tc>
          <w:tcPr>
            <w:tcW w:w="1620" w:type="dxa"/>
            <w:vAlign w:val="bottom"/>
          </w:tcPr>
          <w:p>
            <w:pPr>
              <w:jc w:val="right"/>
              <w:ind w:right="866"/>
              <w:spacing w:after="0" w:line="153" w:lineRule="exact"/>
              <w:rPr>
                <w:sz w:val="20"/>
                <w:szCs w:val="20"/>
                <w:color w:val="auto"/>
              </w:rPr>
            </w:pPr>
            <w:r>
              <w:rPr>
                <w:rFonts w:ascii="Arial" w:cs="Arial" w:eastAsia="Arial" w:hAnsi="Arial"/>
                <w:sz w:val="15"/>
                <w:szCs w:val="15"/>
                <w:color w:val="auto"/>
              </w:rPr>
              <w:t>18.08.95</w:t>
            </w:r>
          </w:p>
        </w:tc>
        <w:tc>
          <w:tcPr>
            <w:tcW w:w="1640" w:type="dxa"/>
            <w:vAlign w:val="bottom"/>
          </w:tcPr>
          <w:p>
            <w:pPr>
              <w:ind w:left="940"/>
              <w:spacing w:after="0" w:line="153" w:lineRule="exact"/>
              <w:rPr>
                <w:sz w:val="20"/>
                <w:szCs w:val="20"/>
                <w:color w:val="auto"/>
              </w:rPr>
            </w:pPr>
            <w:r>
              <w:rPr>
                <w:rFonts w:ascii="Arial" w:cs="Arial" w:eastAsia="Arial" w:hAnsi="Arial"/>
                <w:sz w:val="15"/>
                <w:szCs w:val="15"/>
                <w:color w:val="auto"/>
              </w:rPr>
              <w:t>N/A</w:t>
            </w:r>
          </w:p>
        </w:tc>
        <w:tc>
          <w:tcPr>
            <w:tcW w:w="1120" w:type="dxa"/>
            <w:vAlign w:val="bottom"/>
          </w:tcPr>
          <w:p>
            <w:pPr>
              <w:ind w:left="440"/>
              <w:spacing w:after="0" w:line="153" w:lineRule="exact"/>
              <w:rPr>
                <w:sz w:val="20"/>
                <w:szCs w:val="20"/>
                <w:color w:val="auto"/>
              </w:rPr>
            </w:pPr>
            <w:r>
              <w:rPr>
                <w:rFonts w:ascii="Arial" w:cs="Arial" w:eastAsia="Arial" w:hAnsi="Arial"/>
                <w:sz w:val="15"/>
                <w:szCs w:val="15"/>
                <w:color w:val="auto"/>
              </w:rPr>
              <w:t>N/A</w:t>
            </w:r>
          </w:p>
        </w:tc>
      </w:tr>
      <w:tr>
        <w:trPr>
          <w:trHeight w:val="162"/>
        </w:trPr>
        <w:tc>
          <w:tcPr>
            <w:tcW w:w="1720" w:type="dxa"/>
            <w:vAlign w:val="bottom"/>
          </w:tcPr>
          <w:p>
            <w:pPr>
              <w:spacing w:after="0"/>
              <w:rPr>
                <w:sz w:val="14"/>
                <w:szCs w:val="14"/>
                <w:color w:val="auto"/>
              </w:rPr>
            </w:pPr>
          </w:p>
        </w:tc>
        <w:tc>
          <w:tcPr>
            <w:tcW w:w="5280" w:type="dxa"/>
            <w:vAlign w:val="bottom"/>
          </w:tcPr>
          <w:p>
            <w:pPr>
              <w:ind w:left="580"/>
              <w:spacing w:after="0" w:line="162" w:lineRule="exact"/>
              <w:rPr>
                <w:sz w:val="20"/>
                <w:szCs w:val="20"/>
                <w:color w:val="auto"/>
              </w:rPr>
            </w:pPr>
            <w:r>
              <w:rPr>
                <w:rFonts w:ascii="Arial" w:cs="Arial" w:eastAsia="Arial" w:hAnsi="Arial"/>
                <w:sz w:val="15"/>
                <w:szCs w:val="15"/>
                <w:color w:val="auto"/>
                <w:w w:val="95"/>
              </w:rPr>
              <w:t>Economics, Great Britain. Director of the Banco de Crédito del Perú. He is</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5280" w:type="dxa"/>
            <w:vAlign w:val="bottom"/>
          </w:tcPr>
          <w:p>
            <w:pPr>
              <w:ind w:left="580"/>
              <w:spacing w:after="0" w:line="162" w:lineRule="exact"/>
              <w:rPr>
                <w:sz w:val="20"/>
                <w:szCs w:val="20"/>
                <w:color w:val="auto"/>
              </w:rPr>
            </w:pPr>
            <w:r>
              <w:rPr>
                <w:rFonts w:ascii="Arial" w:cs="Arial" w:eastAsia="Arial" w:hAnsi="Arial"/>
                <w:sz w:val="15"/>
                <w:szCs w:val="15"/>
                <w:color w:val="auto"/>
              </w:rPr>
              <w:t>Director of BCP's subsidiaries and of the Banco de Crédito de Bolivia .</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4"/>
        </w:trPr>
        <w:tc>
          <w:tcPr>
            <w:tcW w:w="1720" w:type="dxa"/>
            <w:vAlign w:val="bottom"/>
          </w:tcPr>
          <w:p>
            <w:pPr>
              <w:spacing w:after="0"/>
              <w:rPr>
                <w:sz w:val="15"/>
                <w:szCs w:val="15"/>
                <w:color w:val="auto"/>
              </w:rPr>
            </w:pPr>
          </w:p>
        </w:tc>
        <w:tc>
          <w:tcPr>
            <w:tcW w:w="5280" w:type="dxa"/>
            <w:vAlign w:val="bottom"/>
          </w:tcPr>
          <w:p>
            <w:pPr>
              <w:ind w:left="580"/>
              <w:spacing w:after="0"/>
              <w:rPr>
                <w:sz w:val="20"/>
                <w:szCs w:val="20"/>
                <w:color w:val="auto"/>
              </w:rPr>
            </w:pPr>
            <w:r>
              <w:rPr>
                <w:rFonts w:ascii="Arial" w:cs="Arial" w:eastAsia="Arial" w:hAnsi="Arial"/>
                <w:sz w:val="15"/>
                <w:szCs w:val="15"/>
                <w:color w:val="auto"/>
                <w:w w:val="99"/>
              </w:rPr>
              <w:t>Director of Atlantic Security Bank. He is a Principal Partner and CEO of</w:t>
            </w:r>
          </w:p>
        </w:tc>
        <w:tc>
          <w:tcPr>
            <w:tcW w:w="1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ind w:left="2300"/>
        <w:spacing w:after="0" w:line="225" w:lineRule="auto"/>
        <w:rPr>
          <w:sz w:val="20"/>
          <w:szCs w:val="20"/>
          <w:color w:val="auto"/>
        </w:rPr>
      </w:pPr>
      <w:r>
        <w:rPr>
          <w:rFonts w:ascii="Arial" w:cs="Arial" w:eastAsia="Arial" w:hAnsi="Arial"/>
          <w:sz w:val="15"/>
          <w:szCs w:val="15"/>
          <w:color w:val="auto"/>
        </w:rPr>
        <w:t>the firm F.N. Jones S.R.Ltda, and Director of Pacifico Peruano Suiza,</w:t>
      </w:r>
    </w:p>
    <w:p>
      <w:pPr>
        <w:ind w:left="2300"/>
        <w:spacing w:after="0" w:line="226" w:lineRule="auto"/>
        <w:rPr>
          <w:sz w:val="20"/>
          <w:szCs w:val="20"/>
          <w:color w:val="auto"/>
        </w:rPr>
      </w:pPr>
      <w:r>
        <w:rPr>
          <w:rFonts w:ascii="Arial" w:cs="Arial" w:eastAsia="Arial" w:hAnsi="Arial"/>
          <w:sz w:val="15"/>
          <w:szCs w:val="15"/>
          <w:color w:val="auto"/>
        </w:rPr>
        <w:t>Distrilima,  Generalima,  Etevensa,  Edelnor,  Almacenara  del  Perú  and</w:t>
      </w:r>
    </w:p>
    <w:p>
      <w:pPr>
        <w:ind w:left="2300"/>
        <w:spacing w:after="0"/>
        <w:rPr>
          <w:sz w:val="20"/>
          <w:szCs w:val="20"/>
          <w:color w:val="auto"/>
        </w:rPr>
      </w:pPr>
      <w:r>
        <w:rPr>
          <w:rFonts w:ascii="Arial" w:cs="Arial" w:eastAsia="Arial" w:hAnsi="Arial"/>
          <w:sz w:val="15"/>
          <w:szCs w:val="15"/>
          <w:color w:val="auto"/>
        </w:rPr>
        <w:t>Inversiones Centenario.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435610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57" w:right="25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80"/>
        </w:trPr>
        <w:tc>
          <w:tcPr>
            <w:tcW w:w="20" w:type="dxa"/>
            <w:vAlign w:val="bottom"/>
            <w:tcBorders>
              <w:top w:val="single" w:sz="8" w:color="808080"/>
            </w:tcBorders>
          </w:tcPr>
          <w:p>
            <w:pPr>
              <w:spacing w:after="0"/>
              <w:rPr>
                <w:sz w:val="15"/>
                <w:szCs w:val="15"/>
                <w:color w:val="auto"/>
              </w:rPr>
            </w:pPr>
          </w:p>
        </w:tc>
        <w:tc>
          <w:tcPr>
            <w:tcW w:w="1880" w:type="dxa"/>
            <w:vAlign w:val="bottom"/>
            <w:tcBorders>
              <w:top w:val="single" w:sz="8" w:color="2C2C2C"/>
            </w:tcBorders>
          </w:tcPr>
          <w:p>
            <w:pPr>
              <w:ind w:left="20"/>
              <w:spacing w:after="0"/>
              <w:rPr>
                <w:sz w:val="20"/>
                <w:szCs w:val="20"/>
                <w:color w:val="auto"/>
              </w:rPr>
            </w:pPr>
            <w:r>
              <w:rPr>
                <w:rFonts w:ascii="Arial" w:cs="Arial" w:eastAsia="Arial" w:hAnsi="Arial"/>
                <w:sz w:val="15"/>
                <w:szCs w:val="15"/>
                <w:color w:val="auto"/>
              </w:rPr>
              <w:t>Juan Carlos Verme G.</w:t>
            </w:r>
          </w:p>
        </w:tc>
        <w:tc>
          <w:tcPr>
            <w:tcW w:w="5120" w:type="dxa"/>
            <w:vAlign w:val="bottom"/>
            <w:tcBorders>
              <w:top w:val="single" w:sz="8" w:color="2C2C2C"/>
            </w:tcBorders>
          </w:tcPr>
          <w:p>
            <w:pPr>
              <w:ind w:left="420"/>
              <w:spacing w:after="0"/>
              <w:rPr>
                <w:sz w:val="20"/>
                <w:szCs w:val="20"/>
                <w:color w:val="auto"/>
              </w:rPr>
            </w:pPr>
            <w:r>
              <w:rPr>
                <w:rFonts w:ascii="Arial" w:cs="Arial" w:eastAsia="Arial" w:hAnsi="Arial"/>
                <w:sz w:val="15"/>
                <w:szCs w:val="15"/>
                <w:color w:val="auto"/>
                <w:w w:val="95"/>
              </w:rPr>
              <w:t>Businessman. He has studied at the University of Zurich, Switzerland and</w:t>
            </w:r>
          </w:p>
        </w:tc>
        <w:tc>
          <w:tcPr>
            <w:tcW w:w="1620" w:type="dxa"/>
            <w:vAlign w:val="bottom"/>
            <w:tcBorders>
              <w:top w:val="single" w:sz="8" w:color="2C2C2C"/>
            </w:tcBorders>
          </w:tcPr>
          <w:p>
            <w:pPr>
              <w:jc w:val="right"/>
              <w:ind w:right="866"/>
              <w:spacing w:after="0"/>
              <w:rPr>
                <w:sz w:val="20"/>
                <w:szCs w:val="20"/>
                <w:color w:val="auto"/>
              </w:rPr>
            </w:pPr>
            <w:r>
              <w:rPr>
                <w:rFonts w:ascii="Arial" w:cs="Arial" w:eastAsia="Arial" w:hAnsi="Arial"/>
                <w:sz w:val="15"/>
                <w:szCs w:val="15"/>
                <w:color w:val="auto"/>
              </w:rPr>
              <w:t>18.08.95</w:t>
            </w:r>
          </w:p>
        </w:tc>
        <w:tc>
          <w:tcPr>
            <w:tcW w:w="1640" w:type="dxa"/>
            <w:vAlign w:val="bottom"/>
            <w:tcBorders>
              <w:top w:val="single" w:sz="8" w:color="2C2C2C"/>
            </w:tcBorders>
          </w:tcPr>
          <w:p>
            <w:pPr>
              <w:ind w:left="940"/>
              <w:spacing w:after="0"/>
              <w:rPr>
                <w:sz w:val="20"/>
                <w:szCs w:val="20"/>
                <w:color w:val="auto"/>
              </w:rPr>
            </w:pPr>
            <w:r>
              <w:rPr>
                <w:rFonts w:ascii="Arial" w:cs="Arial" w:eastAsia="Arial" w:hAnsi="Arial"/>
                <w:sz w:val="15"/>
                <w:szCs w:val="15"/>
                <w:color w:val="auto"/>
              </w:rPr>
              <w:t>N/A</w:t>
            </w:r>
          </w:p>
        </w:tc>
        <w:tc>
          <w:tcPr>
            <w:tcW w:w="1120" w:type="dxa"/>
            <w:vAlign w:val="bottom"/>
            <w:tcBorders>
              <w:top w:val="single" w:sz="8" w:color="2C2C2C"/>
            </w:tcBorders>
          </w:tcPr>
          <w:p>
            <w:pPr>
              <w:ind w:left="440"/>
              <w:spacing w:after="0"/>
              <w:rPr>
                <w:sz w:val="20"/>
                <w:szCs w:val="20"/>
                <w:color w:val="auto"/>
              </w:rPr>
            </w:pPr>
            <w:r>
              <w:rPr>
                <w:rFonts w:ascii="Arial" w:cs="Arial" w:eastAsia="Arial" w:hAnsi="Arial"/>
                <w:sz w:val="15"/>
                <w:szCs w:val="15"/>
                <w:color w:val="auto"/>
              </w:rPr>
              <w:t>N/A</w:t>
            </w:r>
          </w:p>
        </w:tc>
        <w:tc>
          <w:tcPr>
            <w:tcW w:w="20" w:type="dxa"/>
            <w:vAlign w:val="bottom"/>
            <w:tcBorders>
              <w:top w:val="single" w:sz="8" w:color="808080"/>
            </w:tcBorders>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120" w:type="dxa"/>
            <w:vAlign w:val="bottom"/>
          </w:tcPr>
          <w:p>
            <w:pPr>
              <w:ind w:left="420"/>
              <w:spacing w:after="0" w:line="162" w:lineRule="exact"/>
              <w:rPr>
                <w:sz w:val="20"/>
                <w:szCs w:val="20"/>
                <w:color w:val="auto"/>
              </w:rPr>
            </w:pPr>
            <w:r>
              <w:rPr>
                <w:rFonts w:ascii="Arial" w:cs="Arial" w:eastAsia="Arial" w:hAnsi="Arial"/>
                <w:sz w:val="15"/>
                <w:szCs w:val="15"/>
                <w:color w:val="auto"/>
                <w:w w:val="99"/>
              </w:rPr>
              <w:t>has a Master's from ESAN, Lima . Director of the Banco de Crédito del</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120" w:type="dxa"/>
            <w:vAlign w:val="bottom"/>
          </w:tcPr>
          <w:p>
            <w:pPr>
              <w:ind w:left="420"/>
              <w:spacing w:after="0" w:line="162" w:lineRule="exact"/>
              <w:rPr>
                <w:sz w:val="20"/>
                <w:szCs w:val="20"/>
                <w:color w:val="auto"/>
              </w:rPr>
            </w:pPr>
            <w:r>
              <w:rPr>
                <w:rFonts w:ascii="Arial" w:cs="Arial" w:eastAsia="Arial" w:hAnsi="Arial"/>
                <w:sz w:val="15"/>
                <w:szCs w:val="15"/>
                <w:color w:val="auto"/>
                <w:w w:val="94"/>
              </w:rPr>
              <w:t>Perú and member of the Board of Directors of the Subsidiaries of BCP and</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120" w:type="dxa"/>
            <w:vAlign w:val="bottom"/>
          </w:tcPr>
          <w:p>
            <w:pPr>
              <w:ind w:left="420"/>
              <w:spacing w:after="0" w:line="162" w:lineRule="exact"/>
              <w:rPr>
                <w:sz w:val="20"/>
                <w:szCs w:val="20"/>
                <w:color w:val="auto"/>
              </w:rPr>
            </w:pPr>
            <w:r>
              <w:rPr>
                <w:rFonts w:ascii="Arial" w:cs="Arial" w:eastAsia="Arial" w:hAnsi="Arial"/>
                <w:sz w:val="15"/>
                <w:szCs w:val="15"/>
                <w:color w:val="auto"/>
                <w:w w:val="96"/>
              </w:rPr>
              <w:t>the Banco de Crédito de Bolivia . He is Director of Atlantic Security Bank.</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120" w:type="dxa"/>
            <w:vAlign w:val="bottom"/>
          </w:tcPr>
          <w:p>
            <w:pPr>
              <w:ind w:left="420"/>
              <w:spacing w:after="0" w:line="162" w:lineRule="exact"/>
              <w:rPr>
                <w:sz w:val="20"/>
                <w:szCs w:val="20"/>
                <w:color w:val="auto"/>
              </w:rPr>
            </w:pPr>
            <w:r>
              <w:rPr>
                <w:rFonts w:ascii="Arial" w:cs="Arial" w:eastAsia="Arial" w:hAnsi="Arial"/>
                <w:sz w:val="15"/>
                <w:szCs w:val="15"/>
                <w:color w:val="auto"/>
                <w:w w:val="96"/>
              </w:rPr>
              <w:t>He is on the Board of Directors of important industrial companies. He is a</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120" w:type="dxa"/>
            <w:vAlign w:val="bottom"/>
          </w:tcPr>
          <w:p>
            <w:pPr>
              <w:ind w:left="420"/>
              <w:spacing w:after="0" w:line="162" w:lineRule="exact"/>
              <w:rPr>
                <w:sz w:val="20"/>
                <w:szCs w:val="20"/>
                <w:color w:val="auto"/>
              </w:rPr>
            </w:pPr>
            <w:r>
              <w:rPr>
                <w:rFonts w:ascii="Arial" w:cs="Arial" w:eastAsia="Arial" w:hAnsi="Arial"/>
                <w:sz w:val="15"/>
                <w:szCs w:val="15"/>
                <w:color w:val="auto"/>
                <w:w w:val="94"/>
              </w:rPr>
              <w:t>member of the General Assembly of Associates of the Patronage of the Art</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1880" w:type="dxa"/>
            <w:vAlign w:val="bottom"/>
            <w:tcBorders>
              <w:bottom w:val="single" w:sz="8" w:color="2C2C2C"/>
            </w:tcBorders>
          </w:tcPr>
          <w:p>
            <w:pPr>
              <w:spacing w:after="0"/>
              <w:rPr>
                <w:sz w:val="15"/>
                <w:szCs w:val="15"/>
                <w:color w:val="auto"/>
              </w:rPr>
            </w:pPr>
          </w:p>
        </w:tc>
        <w:tc>
          <w:tcPr>
            <w:tcW w:w="5120" w:type="dxa"/>
            <w:vAlign w:val="bottom"/>
            <w:tcBorders>
              <w:bottom w:val="single" w:sz="8" w:color="2C2C2C"/>
            </w:tcBorders>
          </w:tcPr>
          <w:p>
            <w:pPr>
              <w:ind w:left="420"/>
              <w:spacing w:after="0" w:line="172" w:lineRule="exact"/>
              <w:rPr>
                <w:sz w:val="20"/>
                <w:szCs w:val="20"/>
                <w:color w:val="auto"/>
              </w:rPr>
            </w:pPr>
            <w:r>
              <w:rPr>
                <w:rFonts w:ascii="Arial" w:cs="Arial" w:eastAsia="Arial" w:hAnsi="Arial"/>
                <w:sz w:val="15"/>
                <w:szCs w:val="15"/>
                <w:color w:val="auto"/>
              </w:rPr>
              <w:t>Museum of Lima , of which he is the current Chairman.</w:t>
            </w:r>
          </w:p>
        </w:tc>
        <w:tc>
          <w:tcPr>
            <w:tcW w:w="162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1880" w:type="dxa"/>
            <w:vAlign w:val="bottom"/>
          </w:tcPr>
          <w:p>
            <w:pPr>
              <w:ind w:left="20"/>
              <w:spacing w:after="0" w:line="153" w:lineRule="exact"/>
              <w:rPr>
                <w:sz w:val="20"/>
                <w:szCs w:val="20"/>
                <w:color w:val="auto"/>
              </w:rPr>
            </w:pPr>
            <w:r>
              <w:rPr>
                <w:rFonts w:ascii="Arial" w:cs="Arial" w:eastAsia="Arial" w:hAnsi="Arial"/>
                <w:sz w:val="15"/>
                <w:szCs w:val="15"/>
                <w:color w:val="auto"/>
              </w:rPr>
              <w:t>Luis Enrique Yarur</w:t>
            </w:r>
          </w:p>
        </w:tc>
        <w:tc>
          <w:tcPr>
            <w:tcW w:w="5120" w:type="dxa"/>
            <w:vAlign w:val="bottom"/>
          </w:tcPr>
          <w:p>
            <w:pPr>
              <w:ind w:left="420"/>
              <w:spacing w:after="0" w:line="153" w:lineRule="exact"/>
              <w:rPr>
                <w:sz w:val="20"/>
                <w:szCs w:val="20"/>
                <w:color w:val="auto"/>
              </w:rPr>
            </w:pPr>
            <w:r>
              <w:rPr>
                <w:rFonts w:ascii="Arial" w:cs="Arial" w:eastAsia="Arial" w:hAnsi="Arial"/>
                <w:sz w:val="15"/>
                <w:szCs w:val="15"/>
                <w:color w:val="auto"/>
                <w:w w:val="95"/>
              </w:rPr>
              <w:t>Master's in Economics and Company Management from the EISE, Spain ,</w:t>
            </w:r>
          </w:p>
        </w:tc>
        <w:tc>
          <w:tcPr>
            <w:tcW w:w="1620" w:type="dxa"/>
            <w:vAlign w:val="bottom"/>
          </w:tcPr>
          <w:p>
            <w:pPr>
              <w:jc w:val="right"/>
              <w:ind w:right="866"/>
              <w:spacing w:after="0" w:line="153" w:lineRule="exact"/>
              <w:rPr>
                <w:sz w:val="20"/>
                <w:szCs w:val="20"/>
                <w:color w:val="auto"/>
              </w:rPr>
            </w:pPr>
            <w:r>
              <w:rPr>
                <w:rFonts w:ascii="Arial" w:cs="Arial" w:eastAsia="Arial" w:hAnsi="Arial"/>
                <w:sz w:val="15"/>
                <w:szCs w:val="15"/>
                <w:color w:val="auto"/>
              </w:rPr>
              <w:t>31.03.05</w:t>
            </w:r>
          </w:p>
        </w:tc>
        <w:tc>
          <w:tcPr>
            <w:tcW w:w="1640" w:type="dxa"/>
            <w:vAlign w:val="bottom"/>
          </w:tcPr>
          <w:p>
            <w:pPr>
              <w:ind w:left="940"/>
              <w:spacing w:after="0" w:line="153" w:lineRule="exact"/>
              <w:rPr>
                <w:sz w:val="20"/>
                <w:szCs w:val="20"/>
                <w:color w:val="auto"/>
              </w:rPr>
            </w:pPr>
            <w:r>
              <w:rPr>
                <w:rFonts w:ascii="Arial" w:cs="Arial" w:eastAsia="Arial" w:hAnsi="Arial"/>
                <w:sz w:val="15"/>
                <w:szCs w:val="15"/>
                <w:color w:val="auto"/>
              </w:rPr>
              <w:t>N/A</w:t>
            </w:r>
          </w:p>
        </w:tc>
        <w:tc>
          <w:tcPr>
            <w:tcW w:w="1120" w:type="dxa"/>
            <w:vAlign w:val="bottom"/>
          </w:tcPr>
          <w:p>
            <w:pPr>
              <w:ind w:left="440"/>
              <w:spacing w:after="0" w:line="153" w:lineRule="exact"/>
              <w:rPr>
                <w:sz w:val="20"/>
                <w:szCs w:val="20"/>
                <w:color w:val="auto"/>
              </w:rPr>
            </w:pPr>
            <w:r>
              <w:rPr>
                <w:rFonts w:ascii="Arial" w:cs="Arial" w:eastAsia="Arial" w:hAnsi="Arial"/>
                <w:sz w:val="15"/>
                <w:szCs w:val="15"/>
                <w:color w:val="auto"/>
              </w:rPr>
              <w:t>N/A</w:t>
            </w: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120" w:type="dxa"/>
            <w:vAlign w:val="bottom"/>
          </w:tcPr>
          <w:p>
            <w:pPr>
              <w:ind w:left="420"/>
              <w:spacing w:after="0" w:line="162" w:lineRule="exact"/>
              <w:rPr>
                <w:sz w:val="20"/>
                <w:szCs w:val="20"/>
                <w:color w:val="auto"/>
              </w:rPr>
            </w:pPr>
            <w:r>
              <w:rPr>
                <w:rFonts w:ascii="Arial" w:cs="Arial" w:eastAsia="Arial" w:hAnsi="Arial"/>
                <w:sz w:val="15"/>
                <w:szCs w:val="15"/>
                <w:color w:val="auto"/>
              </w:rPr>
              <w:t>and Lawyer graduated from the University of Navarra , Spain . He is</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120" w:type="dxa"/>
            <w:vAlign w:val="bottom"/>
          </w:tcPr>
          <w:p>
            <w:pPr>
              <w:ind w:left="420"/>
              <w:spacing w:after="0" w:line="162" w:lineRule="exact"/>
              <w:rPr>
                <w:sz w:val="20"/>
                <w:szCs w:val="20"/>
                <w:color w:val="auto"/>
              </w:rPr>
            </w:pPr>
            <w:r>
              <w:rPr>
                <w:rFonts w:ascii="Arial" w:cs="Arial" w:eastAsia="Arial" w:hAnsi="Arial"/>
                <w:sz w:val="15"/>
                <w:szCs w:val="15"/>
                <w:color w:val="auto"/>
                <w:w w:val="93"/>
              </w:rPr>
              <w:t>currently President of Juan Yarur S.A.C., President of the Banco de Crédito</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120" w:type="dxa"/>
            <w:vAlign w:val="bottom"/>
          </w:tcPr>
          <w:p>
            <w:pPr>
              <w:ind w:left="420"/>
              <w:spacing w:after="0" w:line="162" w:lineRule="exact"/>
              <w:rPr>
                <w:sz w:val="20"/>
                <w:szCs w:val="20"/>
                <w:color w:val="auto"/>
              </w:rPr>
            </w:pPr>
            <w:r>
              <w:rPr>
                <w:rFonts w:ascii="Arial" w:cs="Arial" w:eastAsia="Arial" w:hAnsi="Arial"/>
                <w:sz w:val="15"/>
                <w:szCs w:val="15"/>
                <w:color w:val="auto"/>
              </w:rPr>
              <w:t>e Inversiones , Chile , Vice President of the Asociación de Bancos e</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120" w:type="dxa"/>
            <w:vAlign w:val="bottom"/>
          </w:tcPr>
          <w:p>
            <w:pPr>
              <w:ind w:left="420"/>
              <w:spacing w:after="0" w:line="162" w:lineRule="exact"/>
              <w:rPr>
                <w:sz w:val="20"/>
                <w:szCs w:val="20"/>
                <w:color w:val="auto"/>
              </w:rPr>
            </w:pPr>
            <w:r>
              <w:rPr>
                <w:rFonts w:ascii="Arial" w:cs="Arial" w:eastAsia="Arial" w:hAnsi="Arial"/>
                <w:sz w:val="15"/>
                <w:szCs w:val="15"/>
                <w:color w:val="auto"/>
              </w:rPr>
              <w:t>Instituciones Financieras A.G. and Director of the Stock Exchange in</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120" w:type="dxa"/>
            <w:vAlign w:val="bottom"/>
          </w:tcPr>
          <w:p>
            <w:pPr>
              <w:ind w:left="420"/>
              <w:spacing w:after="0" w:line="162" w:lineRule="exact"/>
              <w:rPr>
                <w:sz w:val="20"/>
                <w:szCs w:val="20"/>
                <w:color w:val="auto"/>
              </w:rPr>
            </w:pPr>
            <w:r>
              <w:rPr>
                <w:rFonts w:ascii="Arial" w:cs="Arial" w:eastAsia="Arial" w:hAnsi="Arial"/>
                <w:sz w:val="15"/>
                <w:szCs w:val="15"/>
                <w:color w:val="auto"/>
                <w:w w:val="96"/>
              </w:rPr>
              <w:t>Santiago . He is also a member of the International Advisory Board IESE,</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120" w:type="dxa"/>
            <w:vAlign w:val="bottom"/>
          </w:tcPr>
          <w:p>
            <w:pPr>
              <w:ind w:left="420"/>
              <w:spacing w:after="0" w:line="162" w:lineRule="exact"/>
              <w:rPr>
                <w:sz w:val="20"/>
                <w:szCs w:val="20"/>
                <w:color w:val="auto"/>
              </w:rPr>
            </w:pPr>
            <w:r>
              <w:rPr>
                <w:rFonts w:ascii="Arial" w:cs="Arial" w:eastAsia="Arial" w:hAnsi="Arial"/>
                <w:sz w:val="15"/>
                <w:szCs w:val="15"/>
                <w:color w:val="auto"/>
              </w:rPr>
              <w:t>España, Member of the Business Advisory Commission of the ESE,</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120" w:type="dxa"/>
            <w:vAlign w:val="bottom"/>
          </w:tcPr>
          <w:p>
            <w:pPr>
              <w:ind w:left="420"/>
              <w:spacing w:after="0" w:line="162" w:lineRule="exact"/>
              <w:rPr>
                <w:sz w:val="20"/>
                <w:szCs w:val="20"/>
                <w:color w:val="auto"/>
              </w:rPr>
            </w:pPr>
            <w:r>
              <w:rPr>
                <w:rFonts w:ascii="Arial" w:cs="Arial" w:eastAsia="Arial" w:hAnsi="Arial"/>
                <w:sz w:val="15"/>
                <w:szCs w:val="15"/>
                <w:color w:val="auto"/>
                <w:w w:val="96"/>
              </w:rPr>
              <w:t>University of the Andes, Director of Bci Seguros Generales S.A., Director</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120" w:type="dxa"/>
            <w:vAlign w:val="bottom"/>
          </w:tcPr>
          <w:p>
            <w:pPr>
              <w:ind w:left="420"/>
              <w:spacing w:after="0" w:line="162" w:lineRule="exact"/>
              <w:rPr>
                <w:sz w:val="20"/>
                <w:szCs w:val="20"/>
                <w:color w:val="auto"/>
              </w:rPr>
            </w:pPr>
            <w:r>
              <w:rPr>
                <w:rFonts w:ascii="Arial" w:cs="Arial" w:eastAsia="Arial" w:hAnsi="Arial"/>
                <w:sz w:val="15"/>
                <w:szCs w:val="15"/>
                <w:color w:val="auto"/>
                <w:w w:val="96"/>
              </w:rPr>
              <w:t>Bci Seguros de Vida S.A., President of Jordan S.A. and Vice President of</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1880" w:type="dxa"/>
            <w:vAlign w:val="bottom"/>
            <w:tcBorders>
              <w:bottom w:val="single" w:sz="8" w:color="2C2C2C"/>
            </w:tcBorders>
          </w:tcPr>
          <w:p>
            <w:pPr>
              <w:spacing w:after="0"/>
              <w:rPr>
                <w:sz w:val="15"/>
                <w:szCs w:val="15"/>
                <w:color w:val="auto"/>
              </w:rPr>
            </w:pPr>
          </w:p>
        </w:tc>
        <w:tc>
          <w:tcPr>
            <w:tcW w:w="5120" w:type="dxa"/>
            <w:vAlign w:val="bottom"/>
            <w:tcBorders>
              <w:bottom w:val="single" w:sz="8" w:color="2C2C2C"/>
            </w:tcBorders>
          </w:tcPr>
          <w:p>
            <w:pPr>
              <w:ind w:left="420"/>
              <w:spacing w:after="0" w:line="172" w:lineRule="exact"/>
              <w:rPr>
                <w:sz w:val="20"/>
                <w:szCs w:val="20"/>
                <w:color w:val="auto"/>
              </w:rPr>
            </w:pPr>
            <w:r>
              <w:rPr>
                <w:rFonts w:ascii="Arial" w:cs="Arial" w:eastAsia="Arial" w:hAnsi="Arial"/>
                <w:sz w:val="15"/>
                <w:szCs w:val="15"/>
                <w:color w:val="auto"/>
              </w:rPr>
              <w:t>Lourdes S.A. Director of the Banco de Crédito del Perú .</w:t>
            </w:r>
          </w:p>
        </w:tc>
        <w:tc>
          <w:tcPr>
            <w:tcW w:w="162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1880" w:type="dxa"/>
            <w:vAlign w:val="bottom"/>
          </w:tcPr>
          <w:p>
            <w:pPr>
              <w:ind w:left="20"/>
              <w:spacing w:after="0" w:line="153" w:lineRule="exact"/>
              <w:rPr>
                <w:sz w:val="20"/>
                <w:szCs w:val="20"/>
                <w:color w:val="auto"/>
              </w:rPr>
            </w:pPr>
            <w:r>
              <w:rPr>
                <w:rFonts w:ascii="Arial" w:cs="Arial" w:eastAsia="Arial" w:hAnsi="Arial"/>
                <w:sz w:val="15"/>
                <w:szCs w:val="15"/>
                <w:color w:val="auto"/>
              </w:rPr>
              <w:t>Felipe Ortiz de Zevallos</w:t>
            </w:r>
          </w:p>
        </w:tc>
        <w:tc>
          <w:tcPr>
            <w:tcW w:w="5120" w:type="dxa"/>
            <w:vAlign w:val="bottom"/>
          </w:tcPr>
          <w:p>
            <w:pPr>
              <w:ind w:left="420"/>
              <w:spacing w:after="0" w:line="153" w:lineRule="exact"/>
              <w:rPr>
                <w:sz w:val="20"/>
                <w:szCs w:val="20"/>
                <w:color w:val="auto"/>
              </w:rPr>
            </w:pPr>
            <w:r>
              <w:rPr>
                <w:rFonts w:ascii="Arial" w:cs="Arial" w:eastAsia="Arial" w:hAnsi="Arial"/>
                <w:sz w:val="15"/>
                <w:szCs w:val="15"/>
                <w:color w:val="auto"/>
              </w:rPr>
              <w:t>Industrial Engineer with a Master's in Administrative Science from the</w:t>
            </w:r>
          </w:p>
        </w:tc>
        <w:tc>
          <w:tcPr>
            <w:tcW w:w="1620" w:type="dxa"/>
            <w:vAlign w:val="bottom"/>
          </w:tcPr>
          <w:p>
            <w:pPr>
              <w:jc w:val="right"/>
              <w:ind w:right="866"/>
              <w:spacing w:after="0" w:line="153" w:lineRule="exact"/>
              <w:rPr>
                <w:sz w:val="20"/>
                <w:szCs w:val="20"/>
                <w:color w:val="auto"/>
              </w:rPr>
            </w:pPr>
            <w:r>
              <w:rPr>
                <w:rFonts w:ascii="Arial" w:cs="Arial" w:eastAsia="Arial" w:hAnsi="Arial"/>
                <w:sz w:val="15"/>
                <w:szCs w:val="15"/>
                <w:color w:val="auto"/>
              </w:rPr>
              <w:t>31.03.05</w:t>
            </w:r>
          </w:p>
        </w:tc>
        <w:tc>
          <w:tcPr>
            <w:tcW w:w="1640" w:type="dxa"/>
            <w:vAlign w:val="bottom"/>
          </w:tcPr>
          <w:p>
            <w:pPr>
              <w:ind w:left="940"/>
              <w:spacing w:after="0" w:line="153" w:lineRule="exact"/>
              <w:rPr>
                <w:sz w:val="20"/>
                <w:szCs w:val="20"/>
                <w:color w:val="auto"/>
              </w:rPr>
            </w:pPr>
            <w:r>
              <w:rPr>
                <w:rFonts w:ascii="Arial" w:cs="Arial" w:eastAsia="Arial" w:hAnsi="Arial"/>
                <w:sz w:val="15"/>
                <w:szCs w:val="15"/>
                <w:color w:val="auto"/>
              </w:rPr>
              <w:t>N/A</w:t>
            </w:r>
          </w:p>
        </w:tc>
        <w:tc>
          <w:tcPr>
            <w:tcW w:w="1120" w:type="dxa"/>
            <w:vAlign w:val="bottom"/>
          </w:tcPr>
          <w:p>
            <w:pPr>
              <w:ind w:left="440"/>
              <w:spacing w:after="0" w:line="153" w:lineRule="exact"/>
              <w:rPr>
                <w:sz w:val="20"/>
                <w:szCs w:val="20"/>
                <w:color w:val="auto"/>
              </w:rPr>
            </w:pPr>
            <w:r>
              <w:rPr>
                <w:rFonts w:ascii="Arial" w:cs="Arial" w:eastAsia="Arial" w:hAnsi="Arial"/>
                <w:sz w:val="15"/>
                <w:szCs w:val="15"/>
                <w:color w:val="auto"/>
              </w:rPr>
              <w:t>N/A</w:t>
            </w:r>
          </w:p>
        </w:tc>
        <w:tc>
          <w:tcPr>
            <w:tcW w:w="2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120" w:type="dxa"/>
            <w:vAlign w:val="bottom"/>
          </w:tcPr>
          <w:p>
            <w:pPr>
              <w:ind w:left="420"/>
              <w:spacing w:after="0"/>
              <w:rPr>
                <w:sz w:val="20"/>
                <w:szCs w:val="20"/>
                <w:color w:val="auto"/>
              </w:rPr>
            </w:pPr>
            <w:r>
              <w:rPr>
                <w:rFonts w:ascii="Arial" w:cs="Arial" w:eastAsia="Arial" w:hAnsi="Arial"/>
                <w:sz w:val="15"/>
                <w:szCs w:val="15"/>
                <w:color w:val="auto"/>
                <w:w w:val="96"/>
              </w:rPr>
              <w:t>University of Rochester and a degree from the Administration Program of</w:t>
            </w:r>
          </w:p>
        </w:tc>
        <w:tc>
          <w:tcPr>
            <w:tcW w:w="1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ind w:left="2320"/>
        <w:spacing w:after="0" w:line="22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5514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2020" cy="2551430"/>
                    </a:xfrm>
                    <a:prstGeom prst="rect">
                      <a:avLst/>
                    </a:prstGeom>
                    <a:noFill/>
                  </pic:spPr>
                </pic:pic>
              </a:graphicData>
            </a:graphic>
          </wp:anchor>
        </w:drawing>
        <w:t>the Harvard Business School . Mr Ortiz de Zevallos is the Rector of the</w:t>
      </w:r>
    </w:p>
    <w:p>
      <w:pPr>
        <w:ind w:left="2320"/>
        <w:spacing w:after="0" w:line="226" w:lineRule="auto"/>
        <w:rPr>
          <w:sz w:val="20"/>
          <w:szCs w:val="20"/>
          <w:color w:val="auto"/>
        </w:rPr>
      </w:pPr>
      <w:r>
        <w:rPr>
          <w:rFonts w:ascii="Arial" w:cs="Arial" w:eastAsia="Arial" w:hAnsi="Arial"/>
          <w:sz w:val="15"/>
          <w:szCs w:val="15"/>
          <w:color w:val="auto"/>
        </w:rPr>
        <w:t>Universidad del Pacífico en Lima (elected for the 2004-2009 period). He is</w:t>
      </w:r>
    </w:p>
    <w:p>
      <w:pPr>
        <w:ind w:left="2320"/>
        <w:spacing w:after="0" w:line="225" w:lineRule="auto"/>
        <w:rPr>
          <w:sz w:val="20"/>
          <w:szCs w:val="20"/>
          <w:color w:val="auto"/>
        </w:rPr>
      </w:pPr>
      <w:r>
        <w:rPr>
          <w:rFonts w:ascii="Arial" w:cs="Arial" w:eastAsia="Arial" w:hAnsi="Arial"/>
          <w:sz w:val="15"/>
          <w:szCs w:val="15"/>
          <w:color w:val="auto"/>
        </w:rPr>
        <w:t>also a member of the Board of Directors of several companies, among them</w:t>
      </w:r>
    </w:p>
    <w:p>
      <w:pPr>
        <w:ind w:left="2320"/>
        <w:spacing w:after="0" w:line="226" w:lineRule="auto"/>
        <w:rPr>
          <w:sz w:val="20"/>
          <w:szCs w:val="20"/>
          <w:color w:val="auto"/>
        </w:rPr>
      </w:pPr>
      <w:r>
        <w:rPr>
          <w:rFonts w:ascii="Arial" w:cs="Arial" w:eastAsia="Arial" w:hAnsi="Arial"/>
          <w:sz w:val="15"/>
          <w:szCs w:val="15"/>
          <w:color w:val="auto"/>
        </w:rPr>
        <w:t>Grupo Apoyo (Chairman of the Board), Mining Company Buenaventura</w:t>
      </w:r>
    </w:p>
    <w:p>
      <w:pPr>
        <w:ind w:left="2320"/>
        <w:spacing w:after="0"/>
        <w:rPr>
          <w:sz w:val="20"/>
          <w:szCs w:val="20"/>
          <w:color w:val="auto"/>
        </w:rPr>
      </w:pPr>
      <w:r>
        <w:rPr>
          <w:rFonts w:ascii="Arial" w:cs="Arial" w:eastAsia="Arial" w:hAnsi="Arial"/>
          <w:sz w:val="15"/>
          <w:szCs w:val="15"/>
          <w:color w:val="auto"/>
        </w:rPr>
        <w:t>S.A. and Universia.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8" w:name="page59"/>
    <w:bookmarkEnd w:id="58"/>
    <w:p>
      <w:pPr>
        <w:ind w:left="2320" w:right="460" w:hanging="2281"/>
        <w:spacing w:after="0" w:line="233" w:lineRule="auto"/>
        <w:tabs>
          <w:tab w:leader="none" w:pos="230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7588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2020" cy="758825"/>
                    </a:xfrm>
                    <a:prstGeom prst="rect">
                      <a:avLst/>
                    </a:prstGeom>
                    <a:noFill/>
                  </pic:spPr>
                </pic:pic>
              </a:graphicData>
            </a:graphic>
          </wp:anchor>
        </w:drawing>
        <w:t>Germán Suárez Chávez</w:t>
      </w:r>
      <w:r>
        <w:rPr>
          <w:sz w:val="20"/>
          <w:szCs w:val="20"/>
          <w:color w:val="auto"/>
        </w:rPr>
        <w:tab/>
      </w:r>
      <w:r>
        <w:rPr>
          <w:rFonts w:ascii="Arial" w:cs="Arial" w:eastAsia="Arial" w:hAnsi="Arial"/>
          <w:sz w:val="15"/>
          <w:szCs w:val="15"/>
          <w:color w:val="auto"/>
        </w:rPr>
        <w:t>Economist with a Master's in Economy from the University of Columbia . 31.03.05 N/A N/A Mr Suárez was the Executive Chairman of the Board of Directors of the</w:t>
      </w:r>
    </w:p>
    <w:p>
      <w:pPr>
        <w:ind w:left="2320"/>
        <w:spacing w:after="0" w:line="227" w:lineRule="auto"/>
        <w:rPr>
          <w:sz w:val="20"/>
          <w:szCs w:val="20"/>
          <w:color w:val="auto"/>
        </w:rPr>
      </w:pPr>
      <w:r>
        <w:rPr>
          <w:rFonts w:ascii="Arial" w:cs="Arial" w:eastAsia="Arial" w:hAnsi="Arial"/>
          <w:sz w:val="15"/>
          <w:szCs w:val="15"/>
          <w:color w:val="auto"/>
        </w:rPr>
        <w:t>Central Reserve Bank of Peru from 1992 to 2001, and is a member of the</w:t>
      </w:r>
    </w:p>
    <w:p>
      <w:pPr>
        <w:ind w:left="2320"/>
        <w:spacing w:after="0" w:line="225" w:lineRule="auto"/>
        <w:rPr>
          <w:sz w:val="20"/>
          <w:szCs w:val="20"/>
          <w:color w:val="auto"/>
        </w:rPr>
      </w:pPr>
      <w:r>
        <w:rPr>
          <w:rFonts w:ascii="Arial" w:cs="Arial" w:eastAsia="Arial" w:hAnsi="Arial"/>
          <w:sz w:val="15"/>
          <w:szCs w:val="15"/>
          <w:color w:val="auto"/>
        </w:rPr>
        <w:t>Board of several companies, such as the Mining Company Buenaventura</w:t>
      </w:r>
    </w:p>
    <w:p>
      <w:pPr>
        <w:spacing w:after="0" w:line="1"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S.A. and Refinería La Pampilla.</w:t>
      </w:r>
    </w:p>
    <w:p>
      <w:pPr>
        <w:spacing w:after="0" w:line="20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vertAlign w:val="superscript"/>
        </w:rPr>
        <w:t>1/.</w:t>
      </w:r>
      <w:r>
        <w:rPr>
          <w:rFonts w:ascii="Arial" w:cs="Arial" w:eastAsia="Arial" w:hAnsi="Arial"/>
          <w:sz w:val="22"/>
          <w:szCs w:val="22"/>
          <w:b w:val="1"/>
          <w:bCs w:val="1"/>
          <w:color w:val="auto"/>
        </w:rPr>
        <w:t xml:space="preserve"> Corresponds to the first appointment.</w:t>
      </w:r>
    </w:p>
    <w:p>
      <w:pPr>
        <w:spacing w:after="0" w:line="182" w:lineRule="auto"/>
        <w:rPr>
          <w:sz w:val="20"/>
          <w:szCs w:val="20"/>
          <w:color w:val="auto"/>
        </w:rPr>
      </w:pPr>
      <w:r>
        <w:rPr>
          <w:rFonts w:ascii="Arial" w:cs="Arial" w:eastAsia="Arial" w:hAnsi="Arial"/>
          <w:sz w:val="34"/>
          <w:szCs w:val="34"/>
          <w:b w:val="1"/>
          <w:bCs w:val="1"/>
          <w:color w:val="auto"/>
          <w:vertAlign w:val="superscript"/>
        </w:rPr>
        <w:t>2/</w:t>
      </w:r>
      <w:r>
        <w:rPr>
          <w:rFonts w:ascii="Arial" w:cs="Arial" w:eastAsia="Arial" w:hAnsi="Arial"/>
          <w:sz w:val="21"/>
          <w:szCs w:val="21"/>
          <w:b w:val="1"/>
          <w:bCs w:val="1"/>
          <w:color w:val="auto"/>
        </w:rPr>
        <w:t>. Include professional education and whether he has experience in other Boards of Directors.</w:t>
      </w:r>
    </w:p>
    <w:p>
      <w:pPr>
        <w:spacing w:after="0" w:line="1" w:lineRule="exact"/>
        <w:rPr>
          <w:sz w:val="20"/>
          <w:szCs w:val="20"/>
          <w:color w:val="auto"/>
        </w:rPr>
      </w:pPr>
    </w:p>
    <w:p>
      <w:pPr>
        <w:ind w:right="980"/>
        <w:spacing w:after="0" w:line="197" w:lineRule="auto"/>
        <w:rPr>
          <w:sz w:val="20"/>
          <w:szCs w:val="20"/>
          <w:color w:val="auto"/>
        </w:rPr>
      </w:pPr>
      <w:r>
        <w:rPr>
          <w:rFonts w:ascii="Arial" w:cs="Arial" w:eastAsia="Arial" w:hAnsi="Arial"/>
          <w:sz w:val="36"/>
          <w:szCs w:val="36"/>
          <w:b w:val="1"/>
          <w:bCs w:val="1"/>
          <w:color w:val="auto"/>
          <w:vertAlign w:val="superscript"/>
        </w:rPr>
        <w:t>3/.</w:t>
      </w:r>
      <w:r>
        <w:rPr>
          <w:rFonts w:ascii="Arial" w:cs="Arial" w:eastAsia="Arial" w:hAnsi="Arial"/>
          <w:sz w:val="22"/>
          <w:szCs w:val="22"/>
          <w:b w:val="1"/>
          <w:bCs w:val="1"/>
          <w:color w:val="auto"/>
        </w:rPr>
        <w:t xml:space="preserve"> Only obligatory for directors with a participation in the social capital that is equal to or greater than 5% of the company’s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42545" cy="6083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2545" cy="60833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144780</wp:posOffset>
            </wp:positionV>
            <wp:extent cx="42545" cy="5911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135890</wp:posOffset>
            </wp:positionV>
            <wp:extent cx="42545" cy="6083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2545" cy="60833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5"/>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800" w:type="dxa"/>
            <w:vAlign w:val="bottom"/>
            <w:tcBorders>
              <w:top w:val="single" w:sz="8" w:color="2C2C2C"/>
              <w:bottom w:val="single" w:sz="8" w:color="2C2C2C"/>
            </w:tcBorders>
          </w:tcPr>
          <w:p>
            <w:pPr>
              <w:spacing w:after="0"/>
              <w:rPr>
                <w:sz w:val="17"/>
                <w:szCs w:val="17"/>
                <w:color w:val="auto"/>
              </w:rPr>
            </w:pPr>
          </w:p>
        </w:tc>
        <w:tc>
          <w:tcPr>
            <w:tcW w:w="120" w:type="dxa"/>
            <w:vAlign w:val="bottom"/>
            <w:tcBorders>
              <w:top w:val="single" w:sz="8" w:color="2C2C2C"/>
              <w:bottom w:val="single" w:sz="8" w:color="2C2C2C"/>
            </w:tcBorders>
          </w:tcPr>
          <w:p>
            <w:pPr>
              <w:spacing w:after="0"/>
              <w:rPr>
                <w:sz w:val="17"/>
                <w:szCs w:val="17"/>
                <w:color w:val="auto"/>
              </w:rPr>
            </w:pPr>
          </w:p>
        </w:tc>
        <w:tc>
          <w:tcPr>
            <w:tcW w:w="240" w:type="dxa"/>
            <w:vAlign w:val="bottom"/>
            <w:tcBorders>
              <w:top w:val="single" w:sz="8" w:color="2C2C2C"/>
              <w:bottom w:val="single" w:sz="8" w:color="2C2C2C"/>
            </w:tcBorders>
          </w:tcPr>
          <w:p>
            <w:pPr>
              <w:spacing w:after="0"/>
              <w:rPr>
                <w:sz w:val="17"/>
                <w:szCs w:val="17"/>
                <w:color w:val="auto"/>
              </w:rPr>
            </w:pPr>
          </w:p>
        </w:tc>
        <w:tc>
          <w:tcPr>
            <w:tcW w:w="54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5"/>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800" w:type="dxa"/>
            <w:vAlign w:val="bottom"/>
            <w:vMerge w:val="restart"/>
          </w:tcPr>
          <w:p>
            <w:pPr>
              <w:jc w:val="right"/>
              <w:ind w:right="406"/>
              <w:spacing w:after="0" w:line="162" w:lineRule="exact"/>
              <w:rPr>
                <w:sz w:val="20"/>
                <w:szCs w:val="20"/>
                <w:color w:val="auto"/>
              </w:rPr>
            </w:pPr>
            <w:r>
              <w:rPr>
                <w:rFonts w:ascii="Arial" w:cs="Arial" w:eastAsia="Arial" w:hAnsi="Arial"/>
                <w:sz w:val="15"/>
                <w:szCs w:val="15"/>
                <w:i w:val="1"/>
                <w:iCs w:val="1"/>
                <w:color w:val="auto"/>
              </w:rPr>
              <w:t>2</w:t>
            </w:r>
          </w:p>
        </w:tc>
        <w:tc>
          <w:tcPr>
            <w:tcW w:w="120" w:type="dxa"/>
            <w:vAlign w:val="bottom"/>
            <w:vMerge w:val="restart"/>
          </w:tcPr>
          <w:p>
            <w:pPr>
              <w:ind w:left="20"/>
              <w:spacing w:after="0" w:line="162" w:lineRule="exact"/>
              <w:rPr>
                <w:sz w:val="20"/>
                <w:szCs w:val="20"/>
                <w:color w:val="auto"/>
              </w:rPr>
            </w:pPr>
            <w:r>
              <w:rPr>
                <w:rFonts w:ascii="Arial" w:cs="Arial" w:eastAsia="Arial" w:hAnsi="Arial"/>
                <w:sz w:val="15"/>
                <w:szCs w:val="15"/>
                <w:i w:val="1"/>
                <w:iCs w:val="1"/>
                <w:color w:val="auto"/>
                <w:w w:val="95"/>
              </w:rPr>
              <w:t>3</w:t>
            </w:r>
          </w:p>
        </w:tc>
        <w:tc>
          <w:tcPr>
            <w:tcW w:w="240" w:type="dxa"/>
            <w:vAlign w:val="bottom"/>
          </w:tcPr>
          <w:p>
            <w:pPr>
              <w:spacing w:after="0"/>
              <w:rPr>
                <w:sz w:val="4"/>
                <w:szCs w:val="4"/>
                <w:color w:val="auto"/>
              </w:rPr>
            </w:pPr>
          </w:p>
        </w:tc>
        <w:tc>
          <w:tcPr>
            <w:tcW w:w="54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4</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0" w:type="dxa"/>
            <w:vAlign w:val="bottom"/>
            <w:tcBorders>
              <w:top w:val="single" w:sz="8" w:color="auto"/>
              <w:bottom w:val="single" w:sz="8" w:color="2C2C2C"/>
            </w:tcBorders>
          </w:tcPr>
          <w:p>
            <w:pPr>
              <w:spacing w:after="0"/>
              <w:rPr>
                <w:sz w:val="8"/>
                <w:szCs w:val="8"/>
                <w:color w:val="auto"/>
              </w:rPr>
            </w:pPr>
          </w:p>
        </w:tc>
        <w:tc>
          <w:tcPr>
            <w:tcW w:w="320" w:type="dxa"/>
            <w:vAlign w:val="bottom"/>
            <w:tcBorders>
              <w:top w:val="single" w:sz="8" w:color="auto"/>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62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800" w:type="dxa"/>
            <w:vAlign w:val="bottom"/>
            <w:tcBorders>
              <w:bottom w:val="single" w:sz="8" w:color="2C2C2C"/>
            </w:tcBorders>
            <w:vMerge w:val="continue"/>
          </w:tcPr>
          <w:p>
            <w:pPr>
              <w:spacing w:after="0"/>
              <w:rPr>
                <w:sz w:val="8"/>
                <w:szCs w:val="8"/>
                <w:color w:val="auto"/>
              </w:rPr>
            </w:pPr>
          </w:p>
        </w:tc>
        <w:tc>
          <w:tcPr>
            <w:tcW w:w="120" w:type="dxa"/>
            <w:vAlign w:val="bottom"/>
            <w:tcBorders>
              <w:bottom w:val="single" w:sz="8" w:color="2C2C2C"/>
            </w:tcBorders>
            <w:vMerge w:val="continue"/>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5"/>
          </w:tcPr>
          <w:p>
            <w:pPr>
              <w:ind w:left="20"/>
              <w:spacing w:after="0" w:line="149" w:lineRule="exact"/>
              <w:rPr>
                <w:sz w:val="20"/>
                <w:szCs w:val="20"/>
                <w:color w:val="auto"/>
              </w:rPr>
            </w:pPr>
            <w:r>
              <w:rPr>
                <w:rFonts w:ascii="Arial" w:cs="Arial" w:eastAsia="Arial" w:hAnsi="Arial"/>
                <w:sz w:val="15"/>
                <w:szCs w:val="15"/>
                <w:i w:val="1"/>
                <w:iCs w:val="1"/>
                <w:color w:val="auto"/>
                <w:w w:val="91"/>
              </w:rPr>
              <w:t>20. Principle (V.F, second paragraph).- Information pertaining to the matters that will be dealt with in each session must be at the disposal of</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Arial" w:cs="Arial" w:eastAsia="Arial" w:hAnsi="Arial"/>
                <w:sz w:val="15"/>
                <w:szCs w:val="15"/>
                <w:i w:val="1"/>
                <w:iCs w:val="1"/>
                <w:color w:val="auto"/>
              </w:rPr>
              <w:t>X</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vMerge w:val="restart"/>
          </w:tcPr>
          <w:p>
            <w:pPr>
              <w:ind w:left="20"/>
              <w:spacing w:after="0" w:line="167" w:lineRule="exact"/>
              <w:rPr>
                <w:sz w:val="20"/>
                <w:szCs w:val="20"/>
                <w:color w:val="auto"/>
              </w:rPr>
            </w:pPr>
            <w:r>
              <w:rPr>
                <w:rFonts w:ascii="Arial" w:cs="Arial" w:eastAsia="Arial" w:hAnsi="Arial"/>
                <w:sz w:val="15"/>
                <w:szCs w:val="15"/>
                <w:i w:val="1"/>
                <w:iCs w:val="1"/>
                <w:color w:val="auto"/>
                <w:w w:val="95"/>
              </w:rPr>
              <w:t>the</w:t>
            </w:r>
          </w:p>
        </w:tc>
        <w:tc>
          <w:tcPr>
            <w:tcW w:w="2040" w:type="dxa"/>
            <w:vAlign w:val="bottom"/>
            <w:gridSpan w:val="2"/>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320" w:type="dxa"/>
            <w:vAlign w:val="bottom"/>
            <w:gridSpan w:val="3"/>
          </w:tcPr>
          <w:p>
            <w:pPr>
              <w:spacing w:after="0" w:line="146" w:lineRule="exact"/>
              <w:rPr>
                <w:sz w:val="20"/>
                <w:szCs w:val="20"/>
                <w:color w:val="auto"/>
              </w:rPr>
            </w:pPr>
            <w:r>
              <w:rPr>
                <w:rFonts w:ascii="Arial" w:cs="Arial" w:eastAsia="Arial" w:hAnsi="Arial"/>
                <w:sz w:val="15"/>
                <w:szCs w:val="15"/>
                <w:i w:val="1"/>
                <w:iCs w:val="1"/>
                <w:color w:val="auto"/>
                <w:w w:val="95"/>
              </w:rPr>
              <w:t>directors in sufficient time for them to read it, unless it concerns strategic matters that demand confidentiality, in which case it will be</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2C2C2C"/>
            </w:tcBorders>
          </w:tcPr>
          <w:p>
            <w:pPr>
              <w:spacing w:after="0"/>
              <w:rPr>
                <w:sz w:val="15"/>
                <w:szCs w:val="15"/>
                <w:color w:val="auto"/>
              </w:rPr>
            </w:pPr>
          </w:p>
        </w:tc>
        <w:tc>
          <w:tcPr>
            <w:tcW w:w="8560" w:type="dxa"/>
            <w:vAlign w:val="bottom"/>
            <w:tcBorders>
              <w:bottom w:val="single" w:sz="8" w:color="2C2C2C"/>
            </w:tcBorders>
            <w:gridSpan w:val="5"/>
          </w:tcPr>
          <w:p>
            <w:pPr>
              <w:ind w:left="20"/>
              <w:spacing w:after="0" w:line="172" w:lineRule="exact"/>
              <w:rPr>
                <w:sz w:val="20"/>
                <w:szCs w:val="20"/>
                <w:color w:val="auto"/>
              </w:rPr>
            </w:pPr>
            <w:r>
              <w:rPr>
                <w:rFonts w:ascii="Arial" w:cs="Arial" w:eastAsia="Arial" w:hAnsi="Arial"/>
                <w:sz w:val="15"/>
                <w:szCs w:val="15"/>
                <w:i w:val="1"/>
                <w:iCs w:val="1"/>
                <w:color w:val="auto"/>
              </w:rPr>
              <w:t>necessary to establish mechanisms by which the directors can evaluate such matters adequately.</w:t>
            </w:r>
          </w:p>
        </w:tc>
        <w:tc>
          <w:tcPr>
            <w:tcW w:w="7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-466725</wp:posOffset>
            </wp:positionV>
            <wp:extent cx="42545" cy="4711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-466725</wp:posOffset>
            </wp:positionV>
            <wp:extent cx="42545" cy="4711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-466725</wp:posOffset>
            </wp:positionV>
            <wp:extent cx="42545" cy="4711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-466725</wp:posOffset>
            </wp:positionV>
            <wp:extent cx="42545" cy="4711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2545" cy="47117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How is information on matters that will be dealt with in a Board meeting communicated to the directors?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(.X.) ELECTRONIC MAIL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(.X.) MAIL</w:t>
      </w:r>
    </w:p>
    <w:p>
      <w:pPr>
        <w:spacing w:after="0" w:line="230" w:lineRule="auto"/>
        <w:rPr>
          <w:sz w:val="20"/>
          <w:szCs w:val="20"/>
          <w:color w:val="auto"/>
        </w:rPr>
      </w:pPr>
      <w:r>
        <w:rPr>
          <w:rFonts w:ascii="Arial" w:cs="Arial" w:eastAsia="Arial" w:hAnsi="Arial"/>
          <w:sz w:val="22"/>
          <w:szCs w:val="22"/>
          <w:b w:val="1"/>
          <w:bCs w:val="1"/>
          <w:color w:val="auto"/>
        </w:rPr>
        <w:t>(.....) OTHER..............................................................................................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(.X..) IT IS COLLECTED IN PERSON WITHIN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 How many days in advance is the information on matters to be dealt with in a session at the disposal of the directors of</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42545" cy="5054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128905</wp:posOffset>
            </wp:positionV>
            <wp:extent cx="42545" cy="4883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2545" cy="48831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128905</wp:posOffset>
            </wp:positionV>
            <wp:extent cx="42545" cy="4883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2545" cy="48831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120650</wp:posOffset>
            </wp:positionV>
            <wp:extent cx="42545" cy="5054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128905</wp:posOffset>
            </wp:positionV>
            <wp:extent cx="42545" cy="4883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2545" cy="48831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Borders>
              <w:top w:val="single" w:sz="8" w:color="808080"/>
            </w:tcBorders>
          </w:tcPr>
          <w:p>
            <w:pPr>
              <w:spacing w:after="0"/>
              <w:rPr>
                <w:sz w:val="15"/>
                <w:szCs w:val="15"/>
                <w:color w:val="auto"/>
              </w:rPr>
            </w:pPr>
          </w:p>
        </w:tc>
        <w:tc>
          <w:tcPr>
            <w:tcW w:w="4620" w:type="dxa"/>
            <w:vAlign w:val="bottom"/>
            <w:tcBorders>
              <w:top w:val="single" w:sz="8" w:color="2C2C2C"/>
            </w:tcBorders>
          </w:tcPr>
          <w:p>
            <w:pPr>
              <w:spacing w:after="0"/>
              <w:rPr>
                <w:sz w:val="15"/>
                <w:szCs w:val="15"/>
                <w:color w:val="auto"/>
              </w:rPr>
            </w:pPr>
          </w:p>
        </w:tc>
        <w:tc>
          <w:tcPr>
            <w:tcW w:w="3280" w:type="dxa"/>
            <w:vAlign w:val="bottom"/>
            <w:tcBorders>
              <w:top w:val="single" w:sz="8" w:color="2C2C2C"/>
            </w:tcBorders>
          </w:tcPr>
          <w:p>
            <w:pPr>
              <w:jc w:val="center"/>
              <w:ind w:left="1626"/>
              <w:spacing w:after="0"/>
              <w:rPr>
                <w:sz w:val="20"/>
                <w:szCs w:val="20"/>
                <w:color w:val="auto"/>
              </w:rPr>
            </w:pPr>
            <w:r>
              <w:rPr>
                <w:rFonts w:ascii="Arial" w:cs="Arial" w:eastAsia="Arial" w:hAnsi="Arial"/>
                <w:sz w:val="15"/>
                <w:szCs w:val="15"/>
                <w:color w:val="auto"/>
                <w:w w:val="94"/>
              </w:rPr>
              <w:t>FEWER THAN 3</w:t>
            </w:r>
          </w:p>
        </w:tc>
        <w:tc>
          <w:tcPr>
            <w:tcW w:w="1740" w:type="dxa"/>
            <w:vAlign w:val="bottom"/>
            <w:tcBorders>
              <w:top w:val="single" w:sz="8" w:color="2C2C2C"/>
            </w:tcBorders>
            <w:gridSpan w:val="2"/>
            <w:vMerge w:val="restart"/>
          </w:tcPr>
          <w:p>
            <w:pPr>
              <w:jc w:val="center"/>
              <w:ind w:left="6"/>
              <w:spacing w:after="0"/>
              <w:rPr>
                <w:sz w:val="20"/>
                <w:szCs w:val="20"/>
                <w:color w:val="auto"/>
              </w:rPr>
            </w:pPr>
            <w:r>
              <w:rPr>
                <w:rFonts w:ascii="Arial" w:cs="Arial" w:eastAsia="Arial" w:hAnsi="Arial"/>
                <w:sz w:val="15"/>
                <w:szCs w:val="15"/>
                <w:color w:val="auto"/>
                <w:w w:val="93"/>
              </w:rPr>
              <w:t>FROM 3 TO 5 DAYS</w:t>
            </w:r>
          </w:p>
        </w:tc>
        <w:tc>
          <w:tcPr>
            <w:tcW w:w="1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5"/>
                <w:szCs w:val="15"/>
                <w:color w:val="auto"/>
                <w:w w:val="96"/>
              </w:rPr>
              <w:t>MORE THAN 5 DAYS</w:t>
            </w:r>
          </w:p>
        </w:tc>
        <w:tc>
          <w:tcPr>
            <w:tcW w:w="20" w:type="dxa"/>
            <w:vAlign w:val="bottom"/>
            <w:tcBorders>
              <w:top w:val="single" w:sz="8" w:color="808080"/>
            </w:tcBorders>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280" w:type="dxa"/>
            <w:vAlign w:val="bottom"/>
            <w:vMerge w:val="restart"/>
          </w:tcPr>
          <w:p>
            <w:pPr>
              <w:jc w:val="center"/>
              <w:ind w:left="1666"/>
              <w:spacing w:after="0" w:line="172" w:lineRule="exact"/>
              <w:rPr>
                <w:sz w:val="20"/>
                <w:szCs w:val="20"/>
                <w:color w:val="auto"/>
              </w:rPr>
            </w:pPr>
            <w:r>
              <w:rPr>
                <w:rFonts w:ascii="Arial" w:cs="Arial" w:eastAsia="Arial" w:hAnsi="Arial"/>
                <w:sz w:val="15"/>
                <w:szCs w:val="15"/>
                <w:color w:val="auto"/>
                <w:w w:val="92"/>
              </w:rPr>
              <w:t>DAYS</w:t>
            </w:r>
          </w:p>
        </w:tc>
        <w:tc>
          <w:tcPr>
            <w:tcW w:w="1740" w:type="dxa"/>
            <w:vAlign w:val="bottom"/>
            <w:gridSpan w:val="2"/>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62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vMerge w:val="continue"/>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NON-CONFIDENTIAL INFORMATION</w:t>
            </w:r>
          </w:p>
        </w:tc>
        <w:tc>
          <w:tcPr>
            <w:tcW w:w="3280" w:type="dxa"/>
            <w:vAlign w:val="bottom"/>
            <w:tcBorders>
              <w:bottom w:val="single" w:sz="8" w:color="2C2C2C"/>
            </w:tcBorders>
          </w:tcPr>
          <w:p>
            <w:pPr>
              <w:jc w:val="center"/>
              <w:ind w:left="1666"/>
              <w:spacing w:after="0" w:line="162" w:lineRule="exact"/>
              <w:rPr>
                <w:sz w:val="20"/>
                <w:szCs w:val="20"/>
                <w:color w:val="auto"/>
              </w:rPr>
            </w:pPr>
            <w:r>
              <w:rPr>
                <w:rFonts w:ascii="Arial" w:cs="Arial" w:eastAsia="Arial" w:hAnsi="Arial"/>
                <w:sz w:val="15"/>
                <w:szCs w:val="15"/>
                <w:b w:val="1"/>
                <w:bCs w:val="1"/>
                <w:color w:val="auto"/>
                <w:w w:val="97"/>
              </w:rPr>
              <w:t>(...)</w:t>
            </w:r>
          </w:p>
        </w:tc>
        <w:tc>
          <w:tcPr>
            <w:tcW w:w="980" w:type="dxa"/>
            <w:vAlign w:val="bottom"/>
            <w:tcBorders>
              <w:bottom w:val="single" w:sz="8" w:color="2C2C2C"/>
            </w:tcBorders>
          </w:tcPr>
          <w:p>
            <w:pPr>
              <w:jc w:val="center"/>
              <w:ind w:left="746"/>
              <w:spacing w:after="0" w:line="162" w:lineRule="exact"/>
              <w:rPr>
                <w:sz w:val="20"/>
                <w:szCs w:val="20"/>
                <w:color w:val="auto"/>
              </w:rPr>
            </w:pPr>
            <w:r>
              <w:rPr>
                <w:rFonts w:ascii="Arial" w:cs="Arial" w:eastAsia="Arial" w:hAnsi="Arial"/>
                <w:sz w:val="15"/>
                <w:szCs w:val="15"/>
                <w:b w:val="1"/>
                <w:bCs w:val="1"/>
                <w:color w:val="auto"/>
                <w:w w:val="91"/>
              </w:rPr>
              <w:t>(...</w:t>
            </w:r>
          </w:p>
        </w:tc>
        <w:tc>
          <w:tcPr>
            <w:tcW w:w="760" w:type="dxa"/>
            <w:vAlign w:val="bottom"/>
            <w:tcBorders>
              <w:bottom w:val="single" w:sz="8" w:color="2C2C2C"/>
            </w:tcBorders>
          </w:tcPr>
          <w:p>
            <w:pPr>
              <w:jc w:val="right"/>
              <w:ind w:right="626"/>
              <w:spacing w:after="0" w:line="162" w:lineRule="exact"/>
              <w:rPr>
                <w:sz w:val="20"/>
                <w:szCs w:val="20"/>
                <w:color w:val="auto"/>
              </w:rPr>
            </w:pPr>
            <w:r>
              <w:rPr>
                <w:rFonts w:ascii="Arial" w:cs="Arial" w:eastAsia="Arial" w:hAnsi="Arial"/>
                <w:sz w:val="15"/>
                <w:szCs w:val="15"/>
                <w:b w:val="1"/>
                <w:bCs w:val="1"/>
                <w:color w:val="auto"/>
                <w:w w:val="79"/>
              </w:rPr>
              <w:t>)</w:t>
            </w:r>
          </w:p>
        </w:tc>
        <w:tc>
          <w:tcPr>
            <w:tcW w:w="174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b w:val="1"/>
                <w:bCs w:val="1"/>
                <w:color w:val="auto"/>
                <w:w w:val="98"/>
              </w:rPr>
              <w:t>(.X.)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462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CONFIDENTIAL INFORMATION</w:t>
            </w:r>
          </w:p>
        </w:tc>
        <w:tc>
          <w:tcPr>
            <w:tcW w:w="3280" w:type="dxa"/>
            <w:vAlign w:val="bottom"/>
            <w:tcBorders>
              <w:bottom w:val="single" w:sz="8" w:color="2C2C2C"/>
            </w:tcBorders>
          </w:tcPr>
          <w:p>
            <w:pPr>
              <w:jc w:val="center"/>
              <w:ind w:left="1646"/>
              <w:spacing w:after="0" w:line="162" w:lineRule="exact"/>
              <w:rPr>
                <w:sz w:val="20"/>
                <w:szCs w:val="20"/>
                <w:color w:val="auto"/>
              </w:rPr>
            </w:pPr>
            <w:r>
              <w:rPr>
                <w:rFonts w:ascii="Arial" w:cs="Arial" w:eastAsia="Arial" w:hAnsi="Arial"/>
                <w:sz w:val="15"/>
                <w:szCs w:val="15"/>
                <w:b w:val="1"/>
                <w:bCs w:val="1"/>
                <w:color w:val="auto"/>
                <w:w w:val="98"/>
              </w:rPr>
              <w:t>(.X.)</w:t>
            </w:r>
          </w:p>
        </w:tc>
        <w:tc>
          <w:tcPr>
            <w:tcW w:w="980" w:type="dxa"/>
            <w:vAlign w:val="bottom"/>
            <w:tcBorders>
              <w:bottom w:val="single" w:sz="8" w:color="2C2C2C"/>
            </w:tcBorders>
          </w:tcPr>
          <w:p>
            <w:pPr>
              <w:jc w:val="center"/>
              <w:ind w:left="746"/>
              <w:spacing w:after="0" w:line="162" w:lineRule="exact"/>
              <w:rPr>
                <w:sz w:val="20"/>
                <w:szCs w:val="20"/>
                <w:color w:val="auto"/>
              </w:rPr>
            </w:pPr>
            <w:r>
              <w:rPr>
                <w:rFonts w:ascii="Arial" w:cs="Arial" w:eastAsia="Arial" w:hAnsi="Arial"/>
                <w:sz w:val="15"/>
                <w:szCs w:val="15"/>
                <w:b w:val="1"/>
                <w:bCs w:val="1"/>
                <w:color w:val="auto"/>
                <w:w w:val="91"/>
              </w:rPr>
              <w:t>(...</w:t>
            </w:r>
          </w:p>
        </w:tc>
        <w:tc>
          <w:tcPr>
            <w:tcW w:w="760" w:type="dxa"/>
            <w:vAlign w:val="bottom"/>
            <w:tcBorders>
              <w:bottom w:val="single" w:sz="8" w:color="2C2C2C"/>
            </w:tcBorders>
          </w:tcPr>
          <w:p>
            <w:pPr>
              <w:jc w:val="right"/>
              <w:ind w:right="626"/>
              <w:spacing w:after="0" w:line="162" w:lineRule="exact"/>
              <w:rPr>
                <w:sz w:val="20"/>
                <w:szCs w:val="20"/>
                <w:color w:val="auto"/>
              </w:rPr>
            </w:pPr>
            <w:r>
              <w:rPr>
                <w:rFonts w:ascii="Arial" w:cs="Arial" w:eastAsia="Arial" w:hAnsi="Arial"/>
                <w:sz w:val="15"/>
                <w:szCs w:val="15"/>
                <w:b w:val="1"/>
                <w:bCs w:val="1"/>
                <w:color w:val="auto"/>
                <w:w w:val="79"/>
              </w:rPr>
              <w:t>)</w:t>
            </w:r>
          </w:p>
        </w:tc>
        <w:tc>
          <w:tcPr>
            <w:tcW w:w="1740" w:type="dxa"/>
            <w:vAlign w:val="bottom"/>
            <w:tcBorders>
              <w:bottom w:val="single" w:sz="8" w:color="2C2C2C"/>
            </w:tcBorders>
          </w:tcPr>
          <w:p>
            <w:pPr>
              <w:jc w:val="center"/>
              <w:spacing w:after="0" w:line="162" w:lineRule="exact"/>
              <w:rPr>
                <w:sz w:val="20"/>
                <w:szCs w:val="20"/>
                <w:color w:val="auto"/>
              </w:rPr>
            </w:pPr>
            <w:r>
              <w:rPr>
                <w:rFonts w:ascii="Arial" w:cs="Arial" w:eastAsia="Arial" w:hAnsi="Arial"/>
                <w:sz w:val="15"/>
                <w:szCs w:val="15"/>
                <w:b w:val="1"/>
                <w:bCs w:val="1"/>
                <w:color w:val="auto"/>
                <w:w w:val="88"/>
              </w:rPr>
              <w:t>(...)</w:t>
            </w: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right="820"/>
        <w:spacing w:after="0" w:line="256" w:lineRule="auto"/>
        <w:rPr>
          <w:sz w:val="20"/>
          <w:szCs w:val="20"/>
          <w:color w:val="auto"/>
        </w:rPr>
      </w:pPr>
      <w:r>
        <w:rPr>
          <w:rFonts w:ascii="Arial" w:cs="Arial" w:eastAsia="Arial" w:hAnsi="Arial"/>
          <w:sz w:val="22"/>
          <w:szCs w:val="22"/>
          <w:b w:val="1"/>
          <w:bCs w:val="1"/>
          <w:color w:val="auto"/>
        </w:rPr>
        <w:t>c. Indicate whether the procedures established to allow directors to analyse information considered confidential are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42545" cy="2997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2545" cy="299720"/>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116840</wp:posOffset>
            </wp:positionV>
            <wp:extent cx="42545" cy="2825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2545" cy="28257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116840</wp:posOffset>
            </wp:positionV>
            <wp:extent cx="42545" cy="2825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2545" cy="28257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116840</wp:posOffset>
            </wp:positionV>
            <wp:extent cx="42545" cy="2825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2545" cy="28257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107950</wp:posOffset>
            </wp:positionV>
            <wp:extent cx="42545" cy="2997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2545" cy="29972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116840</wp:posOffset>
            </wp:positionV>
            <wp:extent cx="42545" cy="2825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2545" cy="28257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60" w:type="dxa"/>
            <w:vAlign w:val="bottom"/>
            <w:tcBorders>
              <w:top w:val="single" w:sz="8" w:color="2C2C2C"/>
              <w:bottom w:val="single" w:sz="8" w:color="2C2C2C"/>
            </w:tcBorders>
          </w:tcPr>
          <w:p>
            <w:pPr>
              <w:jc w:val="center"/>
              <w:ind w:left="286"/>
              <w:spacing w:after="0"/>
              <w:rPr>
                <w:sz w:val="20"/>
                <w:szCs w:val="20"/>
                <w:color w:val="auto"/>
              </w:rPr>
            </w:pPr>
            <w:r>
              <w:rPr>
                <w:rFonts w:ascii="Arial" w:cs="Arial" w:eastAsia="Arial" w:hAnsi="Arial"/>
                <w:sz w:val="15"/>
                <w:szCs w:val="15"/>
                <w:color w:val="auto"/>
                <w:w w:val="95"/>
              </w:rPr>
              <w:t>OTHER</w:t>
            </w:r>
          </w:p>
        </w:tc>
        <w:tc>
          <w:tcPr>
            <w:tcW w:w="2660" w:type="dxa"/>
            <w:vAlign w:val="bottom"/>
            <w:tcBorders>
              <w:top w:val="single" w:sz="8" w:color="2C2C2C"/>
              <w:bottom w:val="single" w:sz="8" w:color="2C2C2C"/>
            </w:tcBorders>
          </w:tcPr>
          <w:p>
            <w:pPr>
              <w:ind w:left="50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2000" w:type="dxa"/>
            <w:vAlign w:val="bottom"/>
            <w:tcBorders>
              <w:bottom w:val="single" w:sz="8" w:color="2C2C2C"/>
            </w:tcBorders>
          </w:tcPr>
          <w:p>
            <w:pPr>
              <w:jc w:val="right"/>
              <w:ind w:right="686"/>
              <w:spacing w:after="0"/>
              <w:rPr>
                <w:sz w:val="20"/>
                <w:szCs w:val="20"/>
                <w:color w:val="auto"/>
              </w:rPr>
            </w:pPr>
            <w:r>
              <w:rPr>
                <w:rFonts w:ascii="Arial" w:cs="Arial" w:eastAsia="Arial" w:hAnsi="Arial"/>
                <w:sz w:val="15"/>
                <w:szCs w:val="15"/>
                <w:b w:val="1"/>
                <w:bCs w:val="1"/>
                <w:color w:val="auto"/>
              </w:rPr>
              <w:t>(...)</w:t>
            </w:r>
          </w:p>
        </w:tc>
        <w:tc>
          <w:tcPr>
            <w:tcW w:w="2820" w:type="dxa"/>
            <w:vAlign w:val="bottom"/>
            <w:tcBorders>
              <w:bottom w:val="single" w:sz="8" w:color="2C2C2C"/>
            </w:tcBorders>
          </w:tcPr>
          <w:p>
            <w:pPr>
              <w:jc w:val="right"/>
              <w:ind w:right="1206"/>
              <w:spacing w:after="0"/>
              <w:rPr>
                <w:sz w:val="20"/>
                <w:szCs w:val="20"/>
                <w:color w:val="auto"/>
              </w:rPr>
            </w:pPr>
            <w:r>
              <w:rPr>
                <w:rFonts w:ascii="Arial" w:cs="Arial" w:eastAsia="Arial" w:hAnsi="Arial"/>
                <w:sz w:val="15"/>
                <w:szCs w:val="15"/>
                <w:b w:val="1"/>
                <w:bCs w:val="1"/>
                <w:color w:val="auto"/>
              </w:rPr>
              <w:t>(...)</w:t>
            </w:r>
          </w:p>
        </w:tc>
        <w:tc>
          <w:tcPr>
            <w:tcW w:w="2040" w:type="dxa"/>
            <w:vAlign w:val="bottom"/>
            <w:tcBorders>
              <w:bottom w:val="single" w:sz="8" w:color="2C2C2C"/>
            </w:tcBorders>
          </w:tcPr>
          <w:p>
            <w:pPr>
              <w:jc w:val="right"/>
              <w:ind w:right="966"/>
              <w:spacing w:after="0"/>
              <w:rPr>
                <w:sz w:val="20"/>
                <w:szCs w:val="20"/>
                <w:color w:val="auto"/>
              </w:rPr>
            </w:pPr>
            <w:r>
              <w:rPr>
                <w:rFonts w:ascii="Arial" w:cs="Arial" w:eastAsia="Arial" w:hAnsi="Arial"/>
                <w:sz w:val="15"/>
                <w:szCs w:val="15"/>
                <w:b w:val="1"/>
                <w:bCs w:val="1"/>
                <w:color w:val="auto"/>
              </w:rPr>
              <w:t>(...)</w:t>
            </w:r>
          </w:p>
        </w:tc>
        <w:tc>
          <w:tcPr>
            <w:tcW w:w="1860" w:type="dxa"/>
            <w:vAlign w:val="bottom"/>
            <w:tcBorders>
              <w:bottom w:val="single" w:sz="8" w:color="2C2C2C"/>
            </w:tcBorders>
          </w:tcPr>
          <w:p>
            <w:pPr>
              <w:jc w:val="right"/>
              <w:ind w:right="566"/>
              <w:spacing w:after="0"/>
              <w:rPr>
                <w:sz w:val="20"/>
                <w:szCs w:val="20"/>
                <w:color w:val="auto"/>
              </w:rPr>
            </w:pPr>
            <w:r>
              <w:rPr>
                <w:rFonts w:ascii="Arial" w:cs="Arial" w:eastAsia="Arial" w:hAnsi="Arial"/>
                <w:sz w:val="15"/>
                <w:szCs w:val="15"/>
                <w:b w:val="1"/>
                <w:bCs w:val="1"/>
                <w:color w:val="auto"/>
              </w:rPr>
              <w:t>(...)</w:t>
            </w:r>
          </w:p>
        </w:tc>
        <w:tc>
          <w:tcPr>
            <w:tcW w:w="26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r>
      <w:tr>
        <w:trPr>
          <w:trHeight w:val="686"/>
        </w:trPr>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57"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w:t>* Specify the name of the document, if not THE COMPANY’s statutes.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gridSpan w:val="4"/>
          </w:tcPr>
          <w:p>
            <w:pPr>
              <w:spacing w:after="0"/>
              <w:rPr>
                <w:sz w:val="20"/>
                <w:szCs w:val="20"/>
                <w:color w:val="auto"/>
              </w:rPr>
            </w:pPr>
            <w:r>
              <w:rPr>
                <w:rFonts w:ascii="Arial" w:cs="Arial" w:eastAsia="Arial" w:hAnsi="Arial"/>
                <w:sz w:val="22"/>
                <w:szCs w:val="22"/>
                <w:b w:val="1"/>
                <w:bCs w:val="1"/>
                <w:color w:val="auto"/>
              </w:rPr>
              <w:t>(...)</w:t>
            </w:r>
          </w:p>
        </w:tc>
        <w:tc>
          <w:tcPr>
            <w:tcW w:w="140" w:type="dxa"/>
            <w:vAlign w:val="bottom"/>
          </w:tcPr>
          <w:p>
            <w:pPr>
              <w:spacing w:after="0"/>
              <w:rPr>
                <w:sz w:val="21"/>
                <w:szCs w:val="21"/>
                <w:color w:val="auto"/>
              </w:rPr>
            </w:pPr>
          </w:p>
        </w:tc>
        <w:tc>
          <w:tcPr>
            <w:tcW w:w="8620" w:type="dxa"/>
            <w:vAlign w:val="bottom"/>
            <w:gridSpan w:val="3"/>
          </w:tcPr>
          <w:p>
            <w:pPr>
              <w:jc w:val="right"/>
              <w:spacing w:after="0"/>
              <w:rPr>
                <w:sz w:val="20"/>
                <w:szCs w:val="20"/>
                <w:color w:val="auto"/>
              </w:rPr>
            </w:pPr>
            <w:r>
              <w:rPr>
                <w:rFonts w:ascii="Arial" w:cs="Arial" w:eastAsia="Arial" w:hAnsi="Arial"/>
                <w:sz w:val="22"/>
                <w:szCs w:val="22"/>
                <w:b w:val="1"/>
                <w:bCs w:val="1"/>
                <w:color w:val="auto"/>
                <w:w w:val="99"/>
              </w:rPr>
              <w:t>THE COMPANY HAS AN ESTABLISHED PROCEDURE BUT IT IS NOT REGULATED</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720" w:type="dxa"/>
            <w:vAlign w:val="bottom"/>
            <w:gridSpan w:val="5"/>
          </w:tcPr>
          <w:p>
            <w:pPr>
              <w:spacing w:after="0"/>
              <w:rPr>
                <w:sz w:val="20"/>
                <w:szCs w:val="20"/>
                <w:color w:val="auto"/>
              </w:rPr>
            </w:pPr>
            <w:r>
              <w:rPr>
                <w:rFonts w:ascii="Arial" w:cs="Arial" w:eastAsia="Arial" w:hAnsi="Arial"/>
                <w:sz w:val="22"/>
                <w:szCs w:val="22"/>
                <w:b w:val="1"/>
                <w:bCs w:val="1"/>
                <w:color w:val="auto"/>
              </w:rPr>
              <w:t>(.X.)</w:t>
            </w:r>
          </w:p>
        </w:tc>
        <w:tc>
          <w:tcPr>
            <w:tcW w:w="8620" w:type="dxa"/>
            <w:vAlign w:val="bottom"/>
            <w:gridSpan w:val="3"/>
          </w:tcPr>
          <w:p>
            <w:pPr>
              <w:jc w:val="right"/>
              <w:ind w:right="1226"/>
              <w:spacing w:after="0"/>
              <w:rPr>
                <w:sz w:val="20"/>
                <w:szCs w:val="20"/>
                <w:color w:val="auto"/>
              </w:rPr>
            </w:pPr>
            <w:r>
              <w:rPr>
                <w:rFonts w:ascii="Arial" w:cs="Arial" w:eastAsia="Arial" w:hAnsi="Arial"/>
                <w:sz w:val="22"/>
                <w:szCs w:val="22"/>
                <w:b w:val="1"/>
                <w:bCs w:val="1"/>
                <w:color w:val="auto"/>
              </w:rPr>
              <w:t>NOT APPLICABLE. THE COMPANY DOES NOT HAVE A PROCEDURE</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6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4"/>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15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60" w:type="dxa"/>
            <w:vAlign w:val="bottom"/>
            <w:tcBorders>
              <w:bottom w:val="single" w:sz="8" w:color="2C2C2C"/>
            </w:tcBorders>
          </w:tcPr>
          <w:p>
            <w:pPr>
              <w:jc w:val="right"/>
              <w:ind w:right="26"/>
              <w:spacing w:after="0" w:line="162" w:lineRule="exact"/>
              <w:rPr>
                <w:sz w:val="20"/>
                <w:szCs w:val="20"/>
                <w:color w:val="auto"/>
              </w:rPr>
            </w:pPr>
            <w:r>
              <w:rPr>
                <w:rFonts w:ascii="Arial" w:cs="Arial" w:eastAsia="Arial" w:hAnsi="Arial"/>
                <w:sz w:val="15"/>
                <w:szCs w:val="15"/>
                <w:i w:val="1"/>
                <w:iCs w:val="1"/>
                <w:color w:val="auto"/>
                <w:w w:val="93"/>
              </w:rPr>
              <w:t>Fulfillment</w:t>
            </w:r>
          </w:p>
        </w:tc>
        <w:tc>
          <w:tcPr>
            <w:tcW w:w="3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0" w:type="dxa"/>
            <w:vAlign w:val="bottom"/>
            <w:gridSpan w:val="4"/>
            <w:vMerge w:val="continue"/>
          </w:tcPr>
          <w:p>
            <w:pPr>
              <w:spacing w:after="0"/>
              <w:rPr>
                <w:sz w:val="4"/>
                <w:szCs w:val="4"/>
                <w:color w:val="auto"/>
              </w:rPr>
            </w:pPr>
          </w:p>
        </w:tc>
        <w:tc>
          <w:tcPr>
            <w:tcW w:w="8620" w:type="dxa"/>
            <w:vAlign w:val="bottom"/>
            <w:gridSpan w:val="3"/>
            <w:vMerge w:val="restart"/>
          </w:tcPr>
          <w:p>
            <w:pPr>
              <w:jc w:val="right"/>
              <w:ind w:right="366"/>
              <w:spacing w:after="0" w:line="162" w:lineRule="exact"/>
              <w:rPr>
                <w:sz w:val="20"/>
                <w:szCs w:val="20"/>
                <w:color w:val="auto"/>
              </w:rPr>
            </w:pPr>
            <w:r>
              <w:rPr>
                <w:rFonts w:ascii="Arial" w:cs="Arial" w:eastAsia="Arial" w:hAnsi="Arial"/>
                <w:sz w:val="15"/>
                <w:szCs w:val="15"/>
                <w:i w:val="1"/>
                <w:iCs w:val="1"/>
                <w:color w:val="auto"/>
              </w:rPr>
              <w:t>0</w:t>
            </w:r>
          </w:p>
        </w:tc>
        <w:tc>
          <w:tcPr>
            <w:tcW w:w="36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780" w:type="dxa"/>
            <w:vAlign w:val="bottom"/>
            <w:vMerge w:val="restart"/>
          </w:tcPr>
          <w:p>
            <w:pPr>
              <w:jc w:val="right"/>
              <w:ind w:right="386"/>
              <w:spacing w:after="0" w:line="162" w:lineRule="exact"/>
              <w:rPr>
                <w:sz w:val="20"/>
                <w:szCs w:val="20"/>
                <w:color w:val="auto"/>
              </w:rPr>
            </w:pPr>
            <w:r>
              <w:rPr>
                <w:rFonts w:ascii="Arial" w:cs="Arial" w:eastAsia="Arial" w:hAnsi="Arial"/>
                <w:sz w:val="15"/>
                <w:szCs w:val="15"/>
                <w:i w:val="1"/>
                <w:iCs w:val="1"/>
                <w:color w:val="auto"/>
              </w:rPr>
              <w:t>3</w:t>
            </w:r>
          </w:p>
        </w:tc>
        <w:tc>
          <w:tcPr>
            <w:tcW w:w="120" w:type="dxa"/>
            <w:vAlign w:val="bottom"/>
            <w:vMerge w:val="restart"/>
          </w:tcPr>
          <w:p>
            <w:pPr>
              <w:ind w:left="20"/>
              <w:spacing w:after="0" w:line="162" w:lineRule="exact"/>
              <w:rPr>
                <w:sz w:val="20"/>
                <w:szCs w:val="20"/>
                <w:color w:val="auto"/>
              </w:rPr>
            </w:pPr>
            <w:r>
              <w:rPr>
                <w:rFonts w:ascii="Arial" w:cs="Arial" w:eastAsia="Arial" w:hAnsi="Arial"/>
                <w:sz w:val="15"/>
                <w:szCs w:val="15"/>
                <w:i w:val="1"/>
                <w:iCs w:val="1"/>
                <w:color w:val="auto"/>
                <w:w w:val="95"/>
              </w:rPr>
              <w:t>4</w:t>
            </w: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0" w:type="dxa"/>
            <w:vAlign w:val="bottom"/>
            <w:tcBorders>
              <w:top w:val="single" w:sz="8" w:color="auto"/>
              <w:bottom w:val="single" w:sz="8" w:color="2C2C2C"/>
            </w:tcBorders>
          </w:tcPr>
          <w:p>
            <w:pPr>
              <w:spacing w:after="0"/>
              <w:rPr>
                <w:sz w:val="8"/>
                <w:szCs w:val="8"/>
                <w:color w:val="auto"/>
              </w:rPr>
            </w:pPr>
          </w:p>
        </w:tc>
        <w:tc>
          <w:tcPr>
            <w:tcW w:w="300" w:type="dxa"/>
            <w:vAlign w:val="bottom"/>
            <w:tcBorders>
              <w:top w:val="single" w:sz="8" w:color="auto"/>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620" w:type="dxa"/>
            <w:vAlign w:val="bottom"/>
            <w:tcBorders>
              <w:bottom w:val="single" w:sz="8" w:color="2C2C2C"/>
            </w:tcBorders>
            <w:gridSpan w:val="3"/>
            <w:vMerge w:val="continue"/>
          </w:tcPr>
          <w:p>
            <w:pPr>
              <w:spacing w:after="0"/>
              <w:rPr>
                <w:sz w:val="8"/>
                <w:szCs w:val="8"/>
                <w:color w:val="auto"/>
              </w:rPr>
            </w:pPr>
          </w:p>
        </w:tc>
        <w:tc>
          <w:tcPr>
            <w:tcW w:w="36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780" w:type="dxa"/>
            <w:vAlign w:val="bottom"/>
            <w:tcBorders>
              <w:bottom w:val="single" w:sz="8" w:color="2C2C2C"/>
            </w:tcBorders>
            <w:vMerge w:val="continue"/>
          </w:tcPr>
          <w:p>
            <w:pPr>
              <w:spacing w:after="0"/>
              <w:rPr>
                <w:sz w:val="8"/>
                <w:szCs w:val="8"/>
                <w:color w:val="auto"/>
              </w:rPr>
            </w:pPr>
          </w:p>
        </w:tc>
        <w:tc>
          <w:tcPr>
            <w:tcW w:w="120" w:type="dxa"/>
            <w:vAlign w:val="bottom"/>
            <w:tcBorders>
              <w:bottom w:val="single" w:sz="8" w:color="2C2C2C"/>
            </w:tcBorders>
            <w:vMerge w:val="continue"/>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gridSpan w:val="7"/>
          </w:tcPr>
          <w:p>
            <w:pPr>
              <w:ind w:left="20"/>
              <w:spacing w:after="0" w:line="149" w:lineRule="exact"/>
              <w:rPr>
                <w:sz w:val="20"/>
                <w:szCs w:val="20"/>
                <w:color w:val="auto"/>
              </w:rPr>
            </w:pPr>
            <w:r>
              <w:rPr>
                <w:rFonts w:ascii="Arial" w:cs="Arial" w:eastAsia="Arial" w:hAnsi="Arial"/>
                <w:sz w:val="15"/>
                <w:szCs w:val="15"/>
                <w:i w:val="1"/>
                <w:iCs w:val="1"/>
                <w:color w:val="auto"/>
              </w:rPr>
              <w:t>21. Principle (V.F, third paragraph).- Following clearly established and defined policies, the Board of Directors decides on the hiring of</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gridSpan w:val="2"/>
          </w:tcPr>
          <w:p>
            <w:pPr>
              <w:ind w:left="40"/>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7100" w:type="dxa"/>
            <w:vAlign w:val="bottom"/>
            <w:gridSpan w:val="2"/>
            <w:vMerge w:val="restart"/>
          </w:tcPr>
          <w:p>
            <w:pPr>
              <w:jc w:val="right"/>
              <w:ind w:right="4926"/>
              <w:spacing w:after="0"/>
              <w:rPr>
                <w:sz w:val="20"/>
                <w:szCs w:val="20"/>
                <w:color w:val="auto"/>
              </w:rPr>
            </w:pPr>
            <w:r>
              <w:rPr>
                <w:rFonts w:ascii="Arial" w:cs="Arial" w:eastAsia="Arial" w:hAnsi="Arial"/>
                <w:sz w:val="15"/>
                <w:szCs w:val="15"/>
                <w:i w:val="1"/>
                <w:iCs w:val="1"/>
                <w:color w:val="auto"/>
                <w:w w:val="92"/>
              </w:rPr>
              <w:t>by the company to take decisions.</w:t>
            </w: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2C2C2C"/>
            </w:tcBorders>
          </w:tcPr>
          <w:p>
            <w:pPr>
              <w:spacing w:after="0"/>
              <w:rPr>
                <w:sz w:val="14"/>
                <w:szCs w:val="14"/>
                <w:color w:val="auto"/>
              </w:rPr>
            </w:pPr>
          </w:p>
        </w:tc>
        <w:tc>
          <w:tcPr>
            <w:tcW w:w="2220" w:type="dxa"/>
            <w:vAlign w:val="bottom"/>
            <w:tcBorders>
              <w:bottom w:val="single" w:sz="8" w:color="2C2C2C"/>
            </w:tcBorders>
            <w:gridSpan w:val="5"/>
          </w:tcPr>
          <w:p>
            <w:pPr>
              <w:ind w:left="20"/>
              <w:spacing w:after="0" w:line="156" w:lineRule="exact"/>
              <w:rPr>
                <w:sz w:val="20"/>
                <w:szCs w:val="20"/>
                <w:color w:val="auto"/>
              </w:rPr>
            </w:pPr>
            <w:r>
              <w:rPr>
                <w:rFonts w:ascii="Arial" w:cs="Arial" w:eastAsia="Arial" w:hAnsi="Arial"/>
                <w:sz w:val="15"/>
                <w:szCs w:val="15"/>
                <w:i w:val="1"/>
                <w:iCs w:val="1"/>
                <w:color w:val="auto"/>
                <w:w w:val="86"/>
              </w:rPr>
              <w:t>specialized advisory services required</w:t>
            </w:r>
          </w:p>
        </w:tc>
        <w:tc>
          <w:tcPr>
            <w:tcW w:w="7100" w:type="dxa"/>
            <w:vAlign w:val="bottom"/>
            <w:tcBorders>
              <w:bottom w:val="single" w:sz="8" w:color="2C2C2C"/>
            </w:tcBorders>
            <w:gridSpan w:val="2"/>
            <w:vMerge w:val="continue"/>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42545" cy="5054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-483870</wp:posOffset>
            </wp:positionV>
            <wp:extent cx="42545" cy="4883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2545" cy="48831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-363855</wp:posOffset>
            </wp:positionV>
            <wp:extent cx="42545" cy="3683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-363855</wp:posOffset>
            </wp:positionV>
            <wp:extent cx="42545" cy="3683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-363855</wp:posOffset>
            </wp:positionV>
            <wp:extent cx="42545" cy="3683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-492125</wp:posOffset>
            </wp:positionV>
            <wp:extent cx="42545" cy="5054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-363855</wp:posOffset>
            </wp:positionV>
            <wp:extent cx="42545" cy="3683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254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20"/>
        <w:spacing w:after="0" w:line="243" w:lineRule="auto"/>
        <w:rPr>
          <w:sz w:val="20"/>
          <w:szCs w:val="20"/>
          <w:color w:val="auto"/>
        </w:rPr>
      </w:pPr>
      <w:r>
        <w:rPr>
          <w:rFonts w:ascii="Arial" w:cs="Arial" w:eastAsia="Arial" w:hAnsi="Arial"/>
          <w:sz w:val="22"/>
          <w:szCs w:val="22"/>
          <w:b w:val="1"/>
          <w:bCs w:val="1"/>
          <w:color w:val="auto"/>
        </w:rPr>
        <w:t xml:space="preserve">a. Describe the pre-established policies on contracting specialized advisory services by on the Board or the directors. </w:t>
      </w:r>
      <w:r>
        <w:rPr>
          <w:rFonts w:ascii="Arial" w:cs="Arial" w:eastAsia="Arial" w:hAnsi="Arial"/>
          <w:sz w:val="22"/>
          <w:szCs w:val="22"/>
          <w:color w:val="auto"/>
        </w:rPr>
        <w:t>The Auditing Committee is responsible for this function, as indicated in its regulatory document. The services that are subject to approval from the Auditing Committee fall into four categories: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 Auditing Services: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Auditing services that can be approved by the Committee include:</w:t>
      </w:r>
    </w:p>
    <w:p>
      <w:pPr>
        <w:spacing w:after="0" w:line="206" w:lineRule="exact"/>
        <w:rPr>
          <w:sz w:val="20"/>
          <w:szCs w:val="20"/>
          <w:color w:val="auto"/>
        </w:rPr>
      </w:pPr>
    </w:p>
    <w:p>
      <w:pPr>
        <w:ind w:left="540" w:right="80"/>
        <w:spacing w:after="0" w:line="328" w:lineRule="auto"/>
        <w:rPr>
          <w:sz w:val="20"/>
          <w:szCs w:val="20"/>
          <w:color w:val="auto"/>
        </w:rPr>
      </w:pPr>
      <w:r>
        <w:rPr>
          <w:rFonts w:ascii="Arial" w:cs="Arial" w:eastAsia="Arial" w:hAnsi="Arial"/>
          <w:sz w:val="19"/>
          <w:szCs w:val="19"/>
          <w:color w:val="auto"/>
        </w:rPr>
        <w:t>Annual auditing of the consolidated financial balances, the subsidiaries, investments in other companies; and any procedures the external auditor may need to carry out in order to form an opinion of Credicorp’s consolidated financial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2" w:lineRule="exact"/>
        <w:rPr>
          <w:sz w:val="20"/>
          <w:szCs w:val="20"/>
          <w:color w:val="auto"/>
        </w:rPr>
      </w:pPr>
    </w:p>
    <w:p>
      <w:pPr>
        <w:ind w:left="540" w:right="300"/>
        <w:spacing w:after="0"/>
        <w:rPr>
          <w:sz w:val="20"/>
          <w:szCs w:val="20"/>
          <w:color w:val="auto"/>
        </w:rPr>
      </w:pPr>
      <w:r>
        <w:rPr>
          <w:rFonts w:ascii="Arial" w:cs="Arial" w:eastAsia="Arial" w:hAnsi="Arial"/>
          <w:sz w:val="22"/>
          <w:szCs w:val="22"/>
          <w:color w:val="auto"/>
        </w:rPr>
        <w:t>Tasks that the external auditor may need to carry out as part of an audit, such as revision of the information systems and accounting processes, and evaluations carried out in order to understand and assess the internal control systems, as well as consultations that are made in relation to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Certification of the external auditor for internal controls to which Section 404 of the Sarbanes-Oxley Act refers.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The Auditing Committee will supervise the execution of the external auditing services as necessary. It will also approve, if necessary, any modification in the terms, conditions, cost and scope of the audit.</w:t>
      </w:r>
    </w:p>
    <w:p>
      <w:pPr>
        <w:spacing w:after="0" w:line="173"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The Auditing Committee may carry out a general approval of other auditing services, which are those that only the external auditor can reasonably provide; such as auditing services required by legal standards, financial audits for subsidiaries or affiliates of Credicorp; and services associated with the presentation of documents to the SEC or other documents published in relation to the supply of bonds/securities.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 Services related to audting:</w:t>
      </w:r>
    </w:p>
    <w:p>
      <w:pPr>
        <w:spacing w:after="0" w:line="206" w:lineRule="exact"/>
        <w:rPr>
          <w:sz w:val="20"/>
          <w:szCs w:val="20"/>
          <w:color w:val="auto"/>
        </w:rPr>
      </w:pPr>
    </w:p>
    <w:p>
      <w:pPr>
        <w:ind w:right="620"/>
        <w:spacing w:after="0"/>
        <w:rPr>
          <w:sz w:val="20"/>
          <w:szCs w:val="20"/>
          <w:color w:val="auto"/>
        </w:rPr>
      </w:pPr>
      <w:r>
        <w:rPr>
          <w:rFonts w:ascii="Arial" w:cs="Arial" w:eastAsia="Arial" w:hAnsi="Arial"/>
          <w:sz w:val="22"/>
          <w:szCs w:val="22"/>
          <w:color w:val="auto"/>
        </w:rPr>
        <w:t>The services related to the audit are opinions or services that are in line with the execution of the audit or the revision of Credicorp’s financial balances, and which are traditionally carried out by the external auditor. These services include, among others: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Due diligence”</w:t>
      </w:r>
      <w:r>
        <w:rPr>
          <w:rFonts w:ascii="Arial" w:cs="Arial" w:eastAsia="Arial" w:hAnsi="Arial"/>
          <w:sz w:val="22"/>
          <w:szCs w:val="22"/>
          <w:color w:val="auto"/>
        </w:rPr>
        <w:t xml:space="preserve"> with regard to possible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Advisory services relating to accounting or financial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480"/>
        <w:spacing w:after="0" w:line="251" w:lineRule="auto"/>
        <w:rPr>
          <w:sz w:val="20"/>
          <w:szCs w:val="20"/>
          <w:color w:val="auto"/>
        </w:rPr>
      </w:pPr>
      <w:r>
        <w:rPr>
          <w:rFonts w:ascii="Arial" w:cs="Arial" w:eastAsia="Arial" w:hAnsi="Arial"/>
          <w:sz w:val="22"/>
          <w:szCs w:val="22"/>
          <w:color w:val="auto"/>
        </w:rPr>
        <w:t>Assistance in the comprehension and/or implementation of new accounting and financial rules established by regulatory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0" w:name="page61"/>
    <w:bookmarkEnd w:id="60"/>
    <w:p>
      <w:pPr>
        <w:ind w:left="540"/>
        <w:spacing w:after="0"/>
        <w:rPr>
          <w:sz w:val="20"/>
          <w:szCs w:val="20"/>
          <w:color w:val="auto"/>
        </w:rPr>
      </w:pPr>
      <w:r>
        <w:rPr>
          <w:rFonts w:ascii="Arial" w:cs="Arial" w:eastAsia="Arial" w:hAnsi="Arial"/>
          <w:sz w:val="22"/>
          <w:szCs w:val="22"/>
          <w:color w:val="auto"/>
        </w:rPr>
        <w:t>Auditing procedures relating to accounting matters previously agreed with the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-98425</wp:posOffset>
            </wp:positionV>
            <wp:extent cx="68580" cy="685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Advice on matters of internal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700"/>
        <w:spacing w:after="0" w:line="328" w:lineRule="auto"/>
        <w:rPr>
          <w:sz w:val="20"/>
          <w:szCs w:val="20"/>
          <w:color w:val="auto"/>
        </w:rPr>
      </w:pPr>
      <w:r>
        <w:rPr>
          <w:rFonts w:ascii="Arial" w:cs="Arial" w:eastAsia="Arial" w:hAnsi="Arial"/>
          <w:sz w:val="19"/>
          <w:szCs w:val="19"/>
          <w:color w:val="auto"/>
        </w:rPr>
        <w:t>The Auditing Committee can give its general approval of the services relating to the audit if its members consider that these services do not compromise the independence of the external auditor and if they are consistent with the rulings of the SEC.</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 Taxation Services:</w:t>
      </w:r>
    </w:p>
    <w:p>
      <w:pPr>
        <w:spacing w:after="0" w:line="206"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Taxation services include fulfillment of current taxation standards, planning and recommendations that do not compromise the independence of the external auditor.</w:t>
      </w:r>
    </w:p>
    <w:p>
      <w:pPr>
        <w:spacing w:after="0" w:line="173" w:lineRule="exact"/>
        <w:rPr>
          <w:sz w:val="20"/>
          <w:szCs w:val="20"/>
          <w:color w:val="auto"/>
        </w:rPr>
      </w:pPr>
    </w:p>
    <w:p>
      <w:pPr>
        <w:jc w:val="both"/>
        <w:ind w:right="640"/>
        <w:spacing w:after="0" w:line="297" w:lineRule="auto"/>
        <w:rPr>
          <w:sz w:val="20"/>
          <w:szCs w:val="20"/>
          <w:color w:val="auto"/>
        </w:rPr>
      </w:pPr>
      <w:r>
        <w:rPr>
          <w:rFonts w:ascii="Arial" w:cs="Arial" w:eastAsia="Arial" w:hAnsi="Arial"/>
          <w:sz w:val="19"/>
          <w:szCs w:val="19"/>
          <w:color w:val="auto"/>
        </w:rPr>
        <w:t>The Auditing Committee can give its general approval of those taxation services that have historically been provided by the external auditor and which are consistent with regulations regarding the independence of the auditor issued by the SEC. Any taxation service that involves complex transactions needs specific approval from the Auditing Committee.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 Other services:</w:t>
      </w:r>
    </w:p>
    <w:p>
      <w:pPr>
        <w:spacing w:after="0" w:line="206"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These are the recurring or non-recurring services that do not compromise the independence of the external auditor and which are permitted by the regulations for the independence of the auditor issued by the SEC.</w:t>
      </w:r>
    </w:p>
    <w:p>
      <w:pPr>
        <w:spacing w:after="0" w:line="167"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b w:val="1"/>
          <w:bCs w:val="1"/>
          <w:color w:val="auto"/>
        </w:rPr>
        <w:t>(...)</w:t>
      </w:r>
      <w:r>
        <w:rPr>
          <w:sz w:val="20"/>
          <w:szCs w:val="20"/>
          <w:color w:val="auto"/>
        </w:rPr>
        <w:tab/>
      </w:r>
      <w:r>
        <w:rPr>
          <w:rFonts w:ascii="Arial" w:cs="Arial" w:eastAsia="Arial" w:hAnsi="Arial"/>
          <w:sz w:val="21"/>
          <w:szCs w:val="21"/>
          <w:b w:val="1"/>
          <w:bCs w:val="1"/>
          <w:color w:val="auto"/>
        </w:rPr>
        <w:t>NOT APPLICABLE. THE COMPANY DOES NOT HAVE THE AFORE-MENTIONED POLICIES</w:t>
      </w:r>
    </w:p>
    <w:p>
      <w:pPr>
        <w:spacing w:after="0" w:line="206" w:lineRule="exact"/>
        <w:rPr>
          <w:sz w:val="20"/>
          <w:szCs w:val="20"/>
          <w:color w:val="auto"/>
        </w:rPr>
      </w:pPr>
    </w:p>
    <w:p>
      <w:pPr>
        <w:ind w:right="740"/>
        <w:spacing w:after="0" w:line="256" w:lineRule="auto"/>
        <w:rPr>
          <w:sz w:val="20"/>
          <w:szCs w:val="20"/>
          <w:color w:val="auto"/>
        </w:rPr>
      </w:pPr>
      <w:r>
        <w:rPr>
          <w:rFonts w:ascii="Arial" w:cs="Arial" w:eastAsia="Arial" w:hAnsi="Arial"/>
          <w:sz w:val="22"/>
          <w:szCs w:val="22"/>
          <w:b w:val="1"/>
          <w:bCs w:val="1"/>
          <w:color w:val="auto"/>
        </w:rPr>
        <w:t>b. Indicate whether the policies described in the previous question are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3854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2020" cy="3854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20" w:type="dxa"/>
            <w:vAlign w:val="bottom"/>
            <w:tcBorders>
              <w:top w:val="single" w:sz="8" w:color="2C2C2C"/>
              <w:bottom w:val="single" w:sz="8" w:color="2C2C2C"/>
            </w:tcBorders>
          </w:tcPr>
          <w:p>
            <w:pPr>
              <w:jc w:val="center"/>
              <w:ind w:left="326"/>
              <w:spacing w:after="0"/>
              <w:rPr>
                <w:sz w:val="20"/>
                <w:szCs w:val="20"/>
                <w:color w:val="auto"/>
              </w:rPr>
            </w:pPr>
            <w:r>
              <w:rPr>
                <w:rFonts w:ascii="Arial" w:cs="Arial" w:eastAsia="Arial" w:hAnsi="Arial"/>
                <w:sz w:val="15"/>
                <w:szCs w:val="15"/>
                <w:color w:val="auto"/>
                <w:w w:val="95"/>
              </w:rPr>
              <w:t>OTHER</w:t>
            </w:r>
          </w:p>
        </w:tc>
        <w:tc>
          <w:tcPr>
            <w:tcW w:w="2700" w:type="dxa"/>
            <w:vAlign w:val="bottom"/>
            <w:tcBorders>
              <w:top w:val="single" w:sz="8" w:color="2C2C2C"/>
              <w:bottom w:val="single" w:sz="8" w:color="2C2C2C"/>
            </w:tcBorders>
          </w:tcPr>
          <w:p>
            <w:pPr>
              <w:ind w:left="54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2000" w:type="dxa"/>
            <w:vAlign w:val="bottom"/>
          </w:tcPr>
          <w:p>
            <w:pPr>
              <w:jc w:val="right"/>
              <w:ind w:right="686"/>
              <w:spacing w:after="0" w:line="153" w:lineRule="exact"/>
              <w:rPr>
                <w:sz w:val="20"/>
                <w:szCs w:val="20"/>
                <w:color w:val="auto"/>
              </w:rPr>
            </w:pPr>
            <w:r>
              <w:rPr>
                <w:rFonts w:ascii="Arial" w:cs="Arial" w:eastAsia="Arial" w:hAnsi="Arial"/>
                <w:sz w:val="15"/>
                <w:szCs w:val="15"/>
                <w:b w:val="1"/>
                <w:bCs w:val="1"/>
                <w:color w:val="auto"/>
              </w:rPr>
              <w:t>(...)</w:t>
            </w:r>
          </w:p>
        </w:tc>
        <w:tc>
          <w:tcPr>
            <w:tcW w:w="2820" w:type="dxa"/>
            <w:vAlign w:val="bottom"/>
          </w:tcPr>
          <w:p>
            <w:pPr>
              <w:jc w:val="center"/>
              <w:spacing w:after="0" w:line="153" w:lineRule="exact"/>
              <w:rPr>
                <w:sz w:val="20"/>
                <w:szCs w:val="20"/>
                <w:color w:val="auto"/>
              </w:rPr>
            </w:pPr>
            <w:r>
              <w:rPr>
                <w:rFonts w:ascii="Arial" w:cs="Arial" w:eastAsia="Arial" w:hAnsi="Arial"/>
                <w:sz w:val="15"/>
                <w:szCs w:val="15"/>
                <w:b w:val="1"/>
                <w:bCs w:val="1"/>
                <w:color w:val="auto"/>
                <w:w w:val="99"/>
              </w:rPr>
              <w:t>(.X)</w:t>
            </w:r>
          </w:p>
        </w:tc>
        <w:tc>
          <w:tcPr>
            <w:tcW w:w="2040" w:type="dxa"/>
            <w:vAlign w:val="bottom"/>
          </w:tcPr>
          <w:p>
            <w:pPr>
              <w:jc w:val="right"/>
              <w:ind w:right="966"/>
              <w:spacing w:after="0" w:line="153" w:lineRule="exact"/>
              <w:rPr>
                <w:sz w:val="20"/>
                <w:szCs w:val="20"/>
                <w:color w:val="auto"/>
              </w:rPr>
            </w:pPr>
            <w:r>
              <w:rPr>
                <w:rFonts w:ascii="Arial" w:cs="Arial" w:eastAsia="Arial" w:hAnsi="Arial"/>
                <w:sz w:val="15"/>
                <w:szCs w:val="15"/>
                <w:b w:val="1"/>
                <w:bCs w:val="1"/>
                <w:color w:val="auto"/>
              </w:rPr>
              <w:t>(...)</w:t>
            </w:r>
          </w:p>
        </w:tc>
        <w:tc>
          <w:tcPr>
            <w:tcW w:w="1820" w:type="dxa"/>
            <w:vAlign w:val="bottom"/>
          </w:tcPr>
          <w:p>
            <w:pPr>
              <w:jc w:val="right"/>
              <w:ind w:right="526"/>
              <w:spacing w:after="0" w:line="153" w:lineRule="exact"/>
              <w:rPr>
                <w:sz w:val="20"/>
                <w:szCs w:val="20"/>
                <w:color w:val="auto"/>
              </w:rPr>
            </w:pPr>
            <w:r>
              <w:rPr>
                <w:rFonts w:ascii="Arial" w:cs="Arial" w:eastAsia="Arial" w:hAnsi="Arial"/>
                <w:sz w:val="15"/>
                <w:szCs w:val="15"/>
                <w:b w:val="1"/>
                <w:bCs w:val="1"/>
                <w:color w:val="auto"/>
              </w:rPr>
              <w:t>(...)</w:t>
            </w:r>
          </w:p>
        </w:tc>
        <w:tc>
          <w:tcPr>
            <w:tcW w:w="2700" w:type="dxa"/>
            <w:vAlign w:val="bottom"/>
          </w:tcPr>
          <w:p>
            <w:pPr>
              <w:ind w:left="460"/>
              <w:spacing w:after="0" w:line="153" w:lineRule="exact"/>
              <w:rPr>
                <w:sz w:val="20"/>
                <w:szCs w:val="20"/>
                <w:color w:val="auto"/>
              </w:rPr>
            </w:pPr>
            <w:r>
              <w:rPr>
                <w:rFonts w:ascii="Arial" w:cs="Arial" w:eastAsia="Arial" w:hAnsi="Arial"/>
                <w:sz w:val="15"/>
                <w:szCs w:val="15"/>
                <w:color w:val="auto"/>
              </w:rPr>
              <w:t>Corporate Policies –</w:t>
            </w:r>
          </w:p>
        </w:tc>
        <w:tc>
          <w:tcPr>
            <w:tcW w:w="2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720" w:type="dxa"/>
            <w:vAlign w:val="bottom"/>
            <w:gridSpan w:val="2"/>
          </w:tcPr>
          <w:p>
            <w:pPr>
              <w:ind w:left="460"/>
              <w:spacing w:after="0"/>
              <w:rPr>
                <w:sz w:val="20"/>
                <w:szCs w:val="20"/>
                <w:color w:val="auto"/>
              </w:rPr>
            </w:pPr>
            <w:r>
              <w:rPr>
                <w:rFonts w:ascii="Arial" w:cs="Arial" w:eastAsia="Arial" w:hAnsi="Arial"/>
                <w:sz w:val="15"/>
                <w:szCs w:val="15"/>
                <w:color w:val="auto"/>
              </w:rPr>
              <w:t>Auditing Committee</w:t>
            </w:r>
          </w:p>
        </w:tc>
      </w:tr>
    </w:tbl>
    <w:p>
      <w:pPr>
        <w:ind w:right="4900" w:firstLine="8"/>
        <w:spacing w:after="0" w:line="445" w:lineRule="auto"/>
        <w:tabs>
          <w:tab w:leader="none" w:pos="162"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Specify the name of the document, if not THE COMPANY’s statutes. (...) THEY ARE NOT REGULATED</w:t>
      </w:r>
    </w:p>
    <w:p>
      <w:pPr>
        <w:spacing w:after="0" w:line="206" w:lineRule="exact"/>
        <w:rPr>
          <w:sz w:val="20"/>
          <w:szCs w:val="20"/>
          <w:color w:val="auto"/>
        </w:rPr>
      </w:pPr>
    </w:p>
    <w:p>
      <w:pPr>
        <w:ind w:right="660"/>
        <w:spacing w:after="0" w:line="256" w:lineRule="auto"/>
        <w:rPr>
          <w:sz w:val="20"/>
          <w:szCs w:val="20"/>
          <w:color w:val="auto"/>
        </w:rPr>
      </w:pPr>
      <w:r>
        <w:rPr>
          <w:rFonts w:ascii="Arial" w:cs="Arial" w:eastAsia="Arial" w:hAnsi="Arial"/>
          <w:sz w:val="22"/>
          <w:szCs w:val="22"/>
          <w:b w:val="1"/>
          <w:bCs w:val="1"/>
          <w:color w:val="auto"/>
        </w:rPr>
        <w:t>c. Give the list of specialized advisors to the Board of Directors who have provided services to aid THE COMPANY’s decision making during the financial year to which this report refers.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Medina, Zaldivar Paredez y Asociados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432435</wp:posOffset>
            </wp:positionV>
            <wp:extent cx="42545" cy="5054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441325</wp:posOffset>
            </wp:positionV>
            <wp:extent cx="42545" cy="4883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2545" cy="48831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432435</wp:posOffset>
            </wp:positionV>
            <wp:extent cx="42545" cy="5054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254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5"/>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60" w:type="dxa"/>
            <w:vAlign w:val="bottom"/>
            <w:tcBorders>
              <w:top w:val="single" w:sz="8" w:color="2C2C2C"/>
              <w:bottom w:val="single" w:sz="8" w:color="2C2C2C"/>
            </w:tcBorders>
          </w:tcPr>
          <w:p>
            <w:pPr>
              <w:spacing w:after="0"/>
              <w:rPr>
                <w:sz w:val="17"/>
                <w:szCs w:val="17"/>
                <w:color w:val="auto"/>
              </w:rPr>
            </w:pPr>
          </w:p>
        </w:tc>
        <w:tc>
          <w:tcPr>
            <w:tcW w:w="260" w:type="dxa"/>
            <w:vAlign w:val="bottom"/>
            <w:tcBorders>
              <w:top w:val="single" w:sz="8" w:color="2C2C2C"/>
              <w:bottom w:val="single" w:sz="8" w:color="2C2C2C"/>
            </w:tcBorders>
          </w:tcPr>
          <w:p>
            <w:pPr>
              <w:spacing w:after="0"/>
              <w:rPr>
                <w:sz w:val="17"/>
                <w:szCs w:val="17"/>
                <w:color w:val="auto"/>
              </w:rPr>
            </w:pPr>
          </w:p>
        </w:tc>
        <w:tc>
          <w:tcPr>
            <w:tcW w:w="80" w:type="dxa"/>
            <w:vAlign w:val="bottom"/>
            <w:tcBorders>
              <w:top w:val="single" w:sz="8" w:color="2C2C2C"/>
              <w:bottom w:val="single" w:sz="8" w:color="2C2C2C"/>
            </w:tcBorders>
          </w:tcPr>
          <w:p>
            <w:pPr>
              <w:spacing w:after="0"/>
              <w:rPr>
                <w:sz w:val="17"/>
                <w:szCs w:val="17"/>
                <w:color w:val="auto"/>
              </w:rPr>
            </w:pPr>
          </w:p>
        </w:tc>
        <w:tc>
          <w:tcPr>
            <w:tcW w:w="240" w:type="dxa"/>
            <w:vAlign w:val="bottom"/>
            <w:tcBorders>
              <w:top w:val="single" w:sz="8" w:color="2C2C2C"/>
              <w:bottom w:val="single" w:sz="8" w:color="2C2C2C"/>
            </w:tcBorders>
          </w:tcPr>
          <w:p>
            <w:pPr>
              <w:spacing w:after="0"/>
              <w:rPr>
                <w:sz w:val="17"/>
                <w:szCs w:val="17"/>
                <w:color w:val="auto"/>
              </w:rPr>
            </w:pPr>
          </w:p>
        </w:tc>
        <w:tc>
          <w:tcPr>
            <w:tcW w:w="56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5"/>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6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2</w:t>
            </w:r>
          </w:p>
        </w:tc>
        <w:tc>
          <w:tcPr>
            <w:tcW w:w="340" w:type="dxa"/>
            <w:vAlign w:val="bottom"/>
            <w:gridSpan w:val="2"/>
            <w:vMerge w:val="restart"/>
          </w:tcPr>
          <w:p>
            <w:pPr>
              <w:ind w:left="260"/>
              <w:spacing w:after="0" w:line="162" w:lineRule="exact"/>
              <w:rPr>
                <w:sz w:val="20"/>
                <w:szCs w:val="20"/>
                <w:color w:val="auto"/>
              </w:rPr>
            </w:pPr>
            <w:r>
              <w:rPr>
                <w:rFonts w:ascii="Arial" w:cs="Arial" w:eastAsia="Arial" w:hAnsi="Arial"/>
                <w:sz w:val="15"/>
                <w:szCs w:val="15"/>
                <w:i w:val="1"/>
                <w:iCs w:val="1"/>
                <w:color w:val="auto"/>
                <w:w w:val="71"/>
              </w:rPr>
              <w:t>3</w:t>
            </w:r>
          </w:p>
        </w:tc>
        <w:tc>
          <w:tcPr>
            <w:tcW w:w="240" w:type="dxa"/>
            <w:vAlign w:val="bottom"/>
          </w:tcPr>
          <w:p>
            <w:pPr>
              <w:spacing w:after="0"/>
              <w:rPr>
                <w:sz w:val="4"/>
                <w:szCs w:val="4"/>
                <w:color w:val="auto"/>
              </w:rPr>
            </w:pPr>
          </w:p>
        </w:tc>
        <w:tc>
          <w:tcPr>
            <w:tcW w:w="56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4</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top w:val="single" w:sz="8" w:color="auto"/>
              <w:bottom w:val="single" w:sz="8" w:color="2C2C2C"/>
            </w:tcBorders>
          </w:tcPr>
          <w:p>
            <w:pPr>
              <w:spacing w:after="0"/>
              <w:rPr>
                <w:sz w:val="8"/>
                <w:szCs w:val="8"/>
                <w:color w:val="auto"/>
              </w:rPr>
            </w:pPr>
          </w:p>
        </w:tc>
        <w:tc>
          <w:tcPr>
            <w:tcW w:w="280" w:type="dxa"/>
            <w:vAlign w:val="bottom"/>
            <w:tcBorders>
              <w:top w:val="single" w:sz="8" w:color="auto"/>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1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340" w:type="dxa"/>
            <w:vAlign w:val="bottom"/>
            <w:tcBorders>
              <w:bottom w:val="single" w:sz="8" w:color="2C2C2C"/>
            </w:tcBorders>
            <w:gridSpan w:val="2"/>
            <w:vMerge w:val="continue"/>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5"/>
          </w:tcPr>
          <w:p>
            <w:pPr>
              <w:ind w:left="20"/>
              <w:spacing w:after="0" w:line="149" w:lineRule="exact"/>
              <w:rPr>
                <w:sz w:val="20"/>
                <w:szCs w:val="20"/>
                <w:color w:val="auto"/>
              </w:rPr>
            </w:pPr>
            <w:r>
              <w:rPr>
                <w:rFonts w:ascii="Arial" w:cs="Arial" w:eastAsia="Arial" w:hAnsi="Arial"/>
                <w:sz w:val="15"/>
                <w:szCs w:val="15"/>
                <w:i w:val="1"/>
                <w:iCs w:val="1"/>
                <w:color w:val="auto"/>
              </w:rPr>
              <w:t>22. Principle (V.H.1) .- The new directors must be instructed in their faculties and responsibilities and on the characteristics and</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gridSpan w:val="3"/>
          </w:tcPr>
          <w:p>
            <w:pPr>
              <w:ind w:left="260"/>
              <w:spacing w:after="0" w:line="149" w:lineRule="exact"/>
              <w:rPr>
                <w:sz w:val="20"/>
                <w:szCs w:val="20"/>
                <w:color w:val="auto"/>
              </w:rPr>
            </w:pPr>
            <w:r>
              <w:rPr>
                <w:rFonts w:ascii="Arial" w:cs="Arial" w:eastAsia="Arial" w:hAnsi="Arial"/>
                <w:sz w:val="15"/>
                <w:szCs w:val="15"/>
                <w:i w:val="1"/>
                <w:iCs w:val="1"/>
                <w:color w:val="auto"/>
              </w:rPr>
              <w:t>X</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714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of the company.</w:t>
            </w: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2C2C2C"/>
            </w:tcBorders>
          </w:tcPr>
          <w:p>
            <w:pPr>
              <w:spacing w:after="0"/>
              <w:rPr>
                <w:sz w:val="14"/>
                <w:szCs w:val="14"/>
                <w:color w:val="auto"/>
              </w:rPr>
            </w:pPr>
          </w:p>
        </w:tc>
        <w:tc>
          <w:tcPr>
            <w:tcW w:w="1420" w:type="dxa"/>
            <w:vAlign w:val="bottom"/>
            <w:tcBorders>
              <w:bottom w:val="single" w:sz="8" w:color="2C2C2C"/>
            </w:tcBorders>
            <w:gridSpan w:val="4"/>
          </w:tcPr>
          <w:p>
            <w:pPr>
              <w:ind w:left="20"/>
              <w:spacing w:after="0" w:line="156" w:lineRule="exact"/>
              <w:rPr>
                <w:sz w:val="20"/>
                <w:szCs w:val="20"/>
                <w:color w:val="auto"/>
              </w:rPr>
            </w:pPr>
            <w:r>
              <w:rPr>
                <w:rFonts w:ascii="Arial" w:cs="Arial" w:eastAsia="Arial" w:hAnsi="Arial"/>
                <w:sz w:val="15"/>
                <w:szCs w:val="15"/>
                <w:i w:val="1"/>
                <w:iCs w:val="1"/>
                <w:color w:val="auto"/>
                <w:w w:val="88"/>
              </w:rPr>
              <w:t>organizational structure</w:t>
            </w:r>
          </w:p>
        </w:tc>
        <w:tc>
          <w:tcPr>
            <w:tcW w:w="7140" w:type="dxa"/>
            <w:vAlign w:val="bottom"/>
            <w:tcBorders>
              <w:bottom w:val="single" w:sz="8" w:color="2C2C2C"/>
            </w:tcBorders>
            <w:vMerge w:val="continue"/>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929"/>
        </w:trPr>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-965835</wp:posOffset>
            </wp:positionV>
            <wp:extent cx="42545" cy="3683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-965835</wp:posOffset>
            </wp:positionV>
            <wp:extent cx="42545" cy="3683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-965835</wp:posOffset>
            </wp:positionV>
            <wp:extent cx="42545" cy="3683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-965835</wp:posOffset>
            </wp:positionV>
            <wp:extent cx="42545" cy="3683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ind w:right="180"/>
        <w:spacing w:after="0" w:line="256" w:lineRule="auto"/>
        <w:rPr>
          <w:sz w:val="20"/>
          <w:szCs w:val="20"/>
          <w:color w:val="auto"/>
        </w:rPr>
      </w:pPr>
      <w:r>
        <w:rPr>
          <w:rFonts w:ascii="Arial" w:cs="Arial" w:eastAsia="Arial" w:hAnsi="Arial"/>
          <w:sz w:val="22"/>
          <w:szCs w:val="22"/>
          <w:b w:val="1"/>
          <w:bCs w:val="1"/>
          <w:color w:val="auto"/>
        </w:rPr>
        <w:t>a. If THE COMPANY has induction programs for the new directors, indicate whether such programs are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2997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2020" cy="29972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60" w:type="dxa"/>
            <w:vAlign w:val="bottom"/>
            <w:tcBorders>
              <w:top w:val="single" w:sz="8" w:color="2C2C2C"/>
              <w:bottom w:val="single" w:sz="8" w:color="2C2C2C"/>
            </w:tcBorders>
          </w:tcPr>
          <w:p>
            <w:pPr>
              <w:jc w:val="center"/>
              <w:ind w:left="286"/>
              <w:spacing w:after="0"/>
              <w:rPr>
                <w:sz w:val="20"/>
                <w:szCs w:val="20"/>
                <w:color w:val="auto"/>
              </w:rPr>
            </w:pPr>
            <w:r>
              <w:rPr>
                <w:rFonts w:ascii="Arial" w:cs="Arial" w:eastAsia="Arial" w:hAnsi="Arial"/>
                <w:sz w:val="15"/>
                <w:szCs w:val="15"/>
                <w:color w:val="auto"/>
                <w:w w:val="95"/>
              </w:rPr>
              <w:t>OTHER</w:t>
            </w:r>
          </w:p>
        </w:tc>
        <w:tc>
          <w:tcPr>
            <w:tcW w:w="2660" w:type="dxa"/>
            <w:vAlign w:val="bottom"/>
            <w:tcBorders>
              <w:top w:val="single" w:sz="8" w:color="2C2C2C"/>
              <w:bottom w:val="single" w:sz="8" w:color="2C2C2C"/>
            </w:tcBorders>
          </w:tcPr>
          <w:p>
            <w:pPr>
              <w:ind w:left="50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2000" w:type="dxa"/>
            <w:vAlign w:val="bottom"/>
          </w:tcPr>
          <w:p>
            <w:pPr>
              <w:jc w:val="right"/>
              <w:ind w:right="686"/>
              <w:spacing w:after="0"/>
              <w:rPr>
                <w:sz w:val="20"/>
                <w:szCs w:val="20"/>
                <w:color w:val="auto"/>
              </w:rPr>
            </w:pPr>
            <w:r>
              <w:rPr>
                <w:rFonts w:ascii="Arial" w:cs="Arial" w:eastAsia="Arial" w:hAnsi="Arial"/>
                <w:sz w:val="15"/>
                <w:szCs w:val="15"/>
                <w:b w:val="1"/>
                <w:bCs w:val="1"/>
                <w:color w:val="auto"/>
              </w:rPr>
              <w:t>(...)</w:t>
            </w:r>
          </w:p>
        </w:tc>
        <w:tc>
          <w:tcPr>
            <w:tcW w:w="2820" w:type="dxa"/>
            <w:vAlign w:val="bottom"/>
          </w:tcPr>
          <w:p>
            <w:pPr>
              <w:jc w:val="right"/>
              <w:ind w:right="1206"/>
              <w:spacing w:after="0"/>
              <w:rPr>
                <w:sz w:val="20"/>
                <w:szCs w:val="20"/>
                <w:color w:val="auto"/>
              </w:rPr>
            </w:pPr>
            <w:r>
              <w:rPr>
                <w:rFonts w:ascii="Arial" w:cs="Arial" w:eastAsia="Arial" w:hAnsi="Arial"/>
                <w:sz w:val="15"/>
                <w:szCs w:val="15"/>
                <w:b w:val="1"/>
                <w:bCs w:val="1"/>
                <w:color w:val="auto"/>
              </w:rPr>
              <w:t>(...)</w:t>
            </w:r>
          </w:p>
        </w:tc>
        <w:tc>
          <w:tcPr>
            <w:tcW w:w="2040" w:type="dxa"/>
            <w:vAlign w:val="bottom"/>
          </w:tcPr>
          <w:p>
            <w:pPr>
              <w:jc w:val="right"/>
              <w:ind w:right="966"/>
              <w:spacing w:after="0"/>
              <w:rPr>
                <w:sz w:val="20"/>
                <w:szCs w:val="20"/>
                <w:color w:val="auto"/>
              </w:rPr>
            </w:pPr>
            <w:r>
              <w:rPr>
                <w:rFonts w:ascii="Arial" w:cs="Arial" w:eastAsia="Arial" w:hAnsi="Arial"/>
                <w:sz w:val="15"/>
                <w:szCs w:val="15"/>
                <w:b w:val="1"/>
                <w:bCs w:val="1"/>
                <w:color w:val="auto"/>
              </w:rPr>
              <w:t>(...)</w:t>
            </w:r>
          </w:p>
        </w:tc>
        <w:tc>
          <w:tcPr>
            <w:tcW w:w="1860" w:type="dxa"/>
            <w:vAlign w:val="bottom"/>
          </w:tcPr>
          <w:p>
            <w:pPr>
              <w:jc w:val="right"/>
              <w:ind w:right="5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22"/>
          <w:szCs w:val="22"/>
          <w:b w:val="1"/>
          <w:bCs w:val="1"/>
          <w:color w:val="auto"/>
        </w:rPr>
        <w:t>* Specify the name of the document, if not THE COMPANY’s statutes.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gridSpan w:val="5"/>
          </w:tcPr>
          <w:p>
            <w:pPr>
              <w:spacing w:after="0"/>
              <w:rPr>
                <w:sz w:val="20"/>
                <w:szCs w:val="20"/>
                <w:color w:val="auto"/>
              </w:rPr>
            </w:pPr>
            <w:r>
              <w:rPr>
                <w:rFonts w:ascii="Arial" w:cs="Arial" w:eastAsia="Arial" w:hAnsi="Arial"/>
                <w:sz w:val="22"/>
                <w:szCs w:val="22"/>
                <w:b w:val="1"/>
                <w:bCs w:val="1"/>
                <w:color w:val="auto"/>
              </w:rPr>
              <w:t>(.X.)</w:t>
            </w:r>
          </w:p>
        </w:tc>
        <w:tc>
          <w:tcPr>
            <w:tcW w:w="8600" w:type="dxa"/>
            <w:vAlign w:val="bottom"/>
            <w:gridSpan w:val="3"/>
          </w:tcPr>
          <w:p>
            <w:pPr>
              <w:jc w:val="right"/>
              <w:ind w:right="2826"/>
              <w:spacing w:after="0"/>
              <w:rPr>
                <w:sz w:val="20"/>
                <w:szCs w:val="20"/>
                <w:color w:val="auto"/>
              </w:rPr>
            </w:pPr>
            <w:r>
              <w:rPr>
                <w:rFonts w:ascii="Arial" w:cs="Arial" w:eastAsia="Arial" w:hAnsi="Arial"/>
                <w:sz w:val="22"/>
                <w:szCs w:val="22"/>
                <w:b w:val="1"/>
                <w:bCs w:val="1"/>
                <w:color w:val="auto"/>
              </w:rPr>
              <w:t>THE INDUCTION PROGRAMS ARE NOT REGULATED</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80" w:type="dxa"/>
            <w:vAlign w:val="bottom"/>
            <w:gridSpan w:val="4"/>
          </w:tcPr>
          <w:p>
            <w:pPr>
              <w:spacing w:after="0"/>
              <w:rPr>
                <w:sz w:val="20"/>
                <w:szCs w:val="20"/>
                <w:color w:val="auto"/>
              </w:rPr>
            </w:pPr>
            <w:r>
              <w:rPr>
                <w:rFonts w:ascii="Arial" w:cs="Arial" w:eastAsia="Arial" w:hAnsi="Arial"/>
                <w:sz w:val="22"/>
                <w:szCs w:val="22"/>
                <w:b w:val="1"/>
                <w:bCs w:val="1"/>
                <w:color w:val="auto"/>
              </w:rPr>
              <w:t>(...)</w:t>
            </w:r>
          </w:p>
        </w:tc>
        <w:tc>
          <w:tcPr>
            <w:tcW w:w="140" w:type="dxa"/>
            <w:vAlign w:val="bottom"/>
          </w:tcPr>
          <w:p>
            <w:pPr>
              <w:spacing w:after="0"/>
              <w:rPr>
                <w:sz w:val="24"/>
                <w:szCs w:val="24"/>
                <w:color w:val="auto"/>
              </w:rPr>
            </w:pPr>
          </w:p>
        </w:tc>
        <w:tc>
          <w:tcPr>
            <w:tcW w:w="9720" w:type="dxa"/>
            <w:vAlign w:val="bottom"/>
            <w:gridSpan w:val="5"/>
          </w:tcPr>
          <w:p>
            <w:pPr>
              <w:jc w:val="right"/>
              <w:spacing w:after="0"/>
              <w:rPr>
                <w:sz w:val="20"/>
                <w:szCs w:val="20"/>
                <w:color w:val="auto"/>
              </w:rPr>
            </w:pPr>
            <w:r>
              <w:rPr>
                <w:rFonts w:ascii="Arial" w:cs="Arial" w:eastAsia="Arial" w:hAnsi="Arial"/>
                <w:sz w:val="22"/>
                <w:szCs w:val="22"/>
                <w:b w:val="1"/>
                <w:bCs w:val="1"/>
                <w:color w:val="auto"/>
                <w:w w:val="99"/>
              </w:rPr>
              <w:t>NOT APPLICABLE. THE COMPANY DOES NOT HAVE THE AFORE-MENTIONED PROGRAMS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4"/>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50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740" w:type="dxa"/>
            <w:vAlign w:val="bottom"/>
            <w:tcBorders>
              <w:bottom w:val="single" w:sz="8" w:color="2C2C2C"/>
            </w:tcBorders>
          </w:tcPr>
          <w:p>
            <w:pPr>
              <w:jc w:val="right"/>
              <w:ind w:right="6"/>
              <w:spacing w:after="0" w:line="162" w:lineRule="exact"/>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0" w:type="dxa"/>
            <w:vAlign w:val="bottom"/>
            <w:gridSpan w:val="4"/>
            <w:vMerge w:val="continue"/>
          </w:tcPr>
          <w:p>
            <w:pPr>
              <w:spacing w:after="0"/>
              <w:rPr>
                <w:sz w:val="4"/>
                <w:szCs w:val="4"/>
                <w:color w:val="auto"/>
              </w:rPr>
            </w:pPr>
          </w:p>
        </w:tc>
        <w:tc>
          <w:tcPr>
            <w:tcW w:w="8600" w:type="dxa"/>
            <w:vAlign w:val="bottom"/>
            <w:gridSpan w:val="3"/>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2</w:t>
            </w:r>
          </w:p>
        </w:tc>
        <w:tc>
          <w:tcPr>
            <w:tcW w:w="620" w:type="dxa"/>
            <w:vAlign w:val="bottom"/>
            <w:vMerge w:val="restart"/>
          </w:tcPr>
          <w:p>
            <w:pPr>
              <w:jc w:val="right"/>
              <w:ind w:right="386"/>
              <w:spacing w:after="0" w:line="162" w:lineRule="exact"/>
              <w:rPr>
                <w:sz w:val="20"/>
                <w:szCs w:val="20"/>
                <w:color w:val="auto"/>
              </w:rPr>
            </w:pPr>
            <w:r>
              <w:rPr>
                <w:rFonts w:ascii="Arial" w:cs="Arial" w:eastAsia="Arial" w:hAnsi="Arial"/>
                <w:sz w:val="15"/>
                <w:szCs w:val="15"/>
                <w:i w:val="1"/>
                <w:iCs w:val="1"/>
                <w:color w:val="auto"/>
              </w:rPr>
              <w:t>3</w:t>
            </w:r>
          </w:p>
        </w:tc>
        <w:tc>
          <w:tcPr>
            <w:tcW w:w="120" w:type="dxa"/>
            <w:vAlign w:val="bottom"/>
            <w:vMerge w:val="restart"/>
          </w:tcPr>
          <w:p>
            <w:pPr>
              <w:ind w:left="20"/>
              <w:spacing w:after="0" w:line="162" w:lineRule="exact"/>
              <w:rPr>
                <w:sz w:val="20"/>
                <w:szCs w:val="20"/>
                <w:color w:val="auto"/>
              </w:rPr>
            </w:pPr>
            <w:r>
              <w:rPr>
                <w:rFonts w:ascii="Arial" w:cs="Arial" w:eastAsia="Arial" w:hAnsi="Arial"/>
                <w:sz w:val="15"/>
                <w:szCs w:val="15"/>
                <w:i w:val="1"/>
                <w:iCs w:val="1"/>
                <w:color w:val="auto"/>
                <w:w w:val="95"/>
              </w:rPr>
              <w:t>4</w:t>
            </w: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0" w:type="dxa"/>
            <w:vAlign w:val="bottom"/>
            <w:tcBorders>
              <w:top w:val="single" w:sz="8" w:color="auto"/>
              <w:bottom w:val="single" w:sz="8" w:color="2C2C2C"/>
            </w:tcBorders>
          </w:tcPr>
          <w:p>
            <w:pPr>
              <w:spacing w:after="0"/>
              <w:rPr>
                <w:sz w:val="8"/>
                <w:szCs w:val="8"/>
                <w:color w:val="auto"/>
              </w:rPr>
            </w:pPr>
          </w:p>
        </w:tc>
        <w:tc>
          <w:tcPr>
            <w:tcW w:w="320" w:type="dxa"/>
            <w:vAlign w:val="bottom"/>
            <w:tcBorders>
              <w:top w:val="single" w:sz="8" w:color="auto"/>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600" w:type="dxa"/>
            <w:vAlign w:val="bottom"/>
            <w:tcBorders>
              <w:bottom w:val="single" w:sz="8" w:color="2C2C2C"/>
            </w:tcBorders>
            <w:gridSpan w:val="3"/>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620" w:type="dxa"/>
            <w:vAlign w:val="bottom"/>
            <w:tcBorders>
              <w:bottom w:val="single" w:sz="8" w:color="2C2C2C"/>
            </w:tcBorders>
            <w:vMerge w:val="continue"/>
          </w:tcPr>
          <w:p>
            <w:pPr>
              <w:spacing w:after="0"/>
              <w:rPr>
                <w:sz w:val="8"/>
                <w:szCs w:val="8"/>
                <w:color w:val="auto"/>
              </w:rPr>
            </w:pPr>
          </w:p>
        </w:tc>
        <w:tc>
          <w:tcPr>
            <w:tcW w:w="120" w:type="dxa"/>
            <w:vAlign w:val="bottom"/>
            <w:tcBorders>
              <w:bottom w:val="single" w:sz="8" w:color="2C2C2C"/>
            </w:tcBorders>
            <w:vMerge w:val="continue"/>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gridSpan w:val="7"/>
          </w:tcPr>
          <w:p>
            <w:pPr>
              <w:ind w:left="20"/>
              <w:spacing w:after="0" w:line="149" w:lineRule="exact"/>
              <w:rPr>
                <w:sz w:val="20"/>
                <w:szCs w:val="20"/>
                <w:color w:val="auto"/>
              </w:rPr>
            </w:pPr>
            <w:r>
              <w:rPr>
                <w:rFonts w:ascii="Arial" w:cs="Arial" w:eastAsia="Arial" w:hAnsi="Arial"/>
                <w:sz w:val="15"/>
                <w:szCs w:val="15"/>
                <w:i w:val="1"/>
                <w:iCs w:val="1"/>
                <w:color w:val="auto"/>
                <w:w w:val="98"/>
              </w:rPr>
              <w:t>23. Principle V.H.3).- Procedures must be established for the Board of Directors to elect one or more replacements should a case arise where</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ind w:left="40"/>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9300" w:type="dxa"/>
            <w:vAlign w:val="bottom"/>
            <w:gridSpan w:val="7"/>
          </w:tcPr>
          <w:p>
            <w:pPr>
              <w:ind w:left="20"/>
              <w:spacing w:after="0" w:line="146" w:lineRule="exact"/>
              <w:rPr>
                <w:sz w:val="20"/>
                <w:szCs w:val="20"/>
                <w:color w:val="auto"/>
              </w:rPr>
            </w:pPr>
            <w:r>
              <w:rPr>
                <w:rFonts w:ascii="Arial" w:cs="Arial" w:eastAsia="Arial" w:hAnsi="Arial"/>
                <w:sz w:val="15"/>
                <w:szCs w:val="15"/>
                <w:i w:val="1"/>
                <w:iCs w:val="1"/>
                <w:color w:val="auto"/>
                <w:w w:val="98"/>
              </w:rPr>
              <w:t>there is a vacancy for one or more directors and there are no substitute directors, in order to complete the numbers for the remaining period, if</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2C2C2C"/>
            </w:tcBorders>
          </w:tcPr>
          <w:p>
            <w:pPr>
              <w:spacing w:after="0"/>
              <w:rPr>
                <w:sz w:val="15"/>
                <w:szCs w:val="15"/>
                <w:color w:val="auto"/>
              </w:rPr>
            </w:pPr>
          </w:p>
        </w:tc>
        <w:tc>
          <w:tcPr>
            <w:tcW w:w="9300" w:type="dxa"/>
            <w:vAlign w:val="bottom"/>
            <w:tcBorders>
              <w:bottom w:val="single" w:sz="8" w:color="2C2C2C"/>
            </w:tcBorders>
            <w:gridSpan w:val="7"/>
          </w:tcPr>
          <w:p>
            <w:pPr>
              <w:ind w:left="20"/>
              <w:spacing w:after="0" w:line="172" w:lineRule="exact"/>
              <w:rPr>
                <w:sz w:val="20"/>
                <w:szCs w:val="20"/>
                <w:color w:val="auto"/>
              </w:rPr>
            </w:pPr>
            <w:r>
              <w:rPr>
                <w:rFonts w:ascii="Arial" w:cs="Arial" w:eastAsia="Arial" w:hAnsi="Arial"/>
                <w:sz w:val="15"/>
                <w:szCs w:val="15"/>
                <w:i w:val="1"/>
                <w:iCs w:val="1"/>
                <w:color w:val="auto"/>
              </w:rPr>
              <w:t>there is no provision for a different approach in the Statutes.</w:t>
            </w:r>
          </w:p>
        </w:tc>
        <w:tc>
          <w:tcPr>
            <w:tcW w:w="3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42545" cy="6083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2545" cy="60833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-586740</wp:posOffset>
            </wp:positionV>
            <wp:extent cx="42545" cy="5911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-466725</wp:posOffset>
            </wp:positionV>
            <wp:extent cx="42545" cy="4711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-466725</wp:posOffset>
            </wp:positionV>
            <wp:extent cx="42545" cy="4711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-466725</wp:posOffset>
            </wp:positionV>
            <wp:extent cx="42545" cy="4711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2545" cy="47117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-594995</wp:posOffset>
            </wp:positionV>
            <wp:extent cx="42545" cy="6083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2545" cy="60833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-466725</wp:posOffset>
            </wp:positionV>
            <wp:extent cx="42545" cy="4711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254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During the financial year to which this report refers, has a vacancy arisen for one or more directors?</w:t>
      </w:r>
    </w:p>
    <w:p>
      <w:pPr>
        <w:spacing w:after="0" w:line="206"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 YES</w:t>
      </w:r>
      <w:r>
        <w:rPr>
          <w:sz w:val="20"/>
          <w:szCs w:val="20"/>
          <w:color w:val="auto"/>
        </w:rPr>
        <w:tab/>
      </w:r>
      <w:r>
        <w:rPr>
          <w:rFonts w:ascii="Arial" w:cs="Arial" w:eastAsia="Arial" w:hAnsi="Arial"/>
          <w:sz w:val="21"/>
          <w:szCs w:val="21"/>
          <w:b w:val="1"/>
          <w:bCs w:val="1"/>
          <w:color w:val="auto"/>
        </w:rPr>
        <w:t>(.X.) NO</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 If the answer to the previous question is affirmative, in accordance with the second paragraph of article 157 of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Companies Law, please indicate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128905</wp:posOffset>
            </wp:positionV>
            <wp:extent cx="42545" cy="2654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2545" cy="2654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120650</wp:posOffset>
            </wp:positionV>
            <wp:extent cx="42545" cy="402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120650</wp:posOffset>
            </wp:positionV>
            <wp:extent cx="42545" cy="402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128905</wp:posOffset>
            </wp:positionV>
            <wp:extent cx="42545" cy="3854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2545" cy="38544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280" w:type="dxa"/>
            <w:vAlign w:val="bottom"/>
            <w:tcBorders>
              <w:top w:val="single" w:sz="8" w:color="2C2C2C"/>
              <w:bottom w:val="single" w:sz="8" w:color="2C2C2C"/>
            </w:tcBorders>
          </w:tcPr>
          <w:p>
            <w:pPr>
              <w:spacing w:after="0"/>
              <w:rPr>
                <w:sz w:val="17"/>
                <w:szCs w:val="17"/>
                <w:color w:val="auto"/>
              </w:rPr>
            </w:pPr>
          </w:p>
        </w:tc>
        <w:tc>
          <w:tcPr>
            <w:tcW w:w="1400" w:type="dxa"/>
            <w:vAlign w:val="bottom"/>
            <w:tcBorders>
              <w:top w:val="single" w:sz="8" w:color="2C2C2C"/>
              <w:bottom w:val="single" w:sz="8" w:color="2C2C2C"/>
            </w:tcBorders>
          </w:tcPr>
          <w:p>
            <w:pPr>
              <w:jc w:val="center"/>
              <w:ind w:right="246"/>
              <w:spacing w:after="0"/>
              <w:rPr>
                <w:sz w:val="20"/>
                <w:szCs w:val="20"/>
                <w:color w:val="auto"/>
              </w:rPr>
            </w:pPr>
            <w:r>
              <w:rPr>
                <w:rFonts w:ascii="Arial" w:cs="Arial" w:eastAsia="Arial" w:hAnsi="Arial"/>
                <w:sz w:val="15"/>
                <w:szCs w:val="15"/>
                <w:color w:val="auto"/>
                <w:w w:val="93"/>
              </w:rPr>
              <w:t>YES</w:t>
            </w:r>
          </w:p>
        </w:tc>
        <w:tc>
          <w:tcPr>
            <w:tcW w:w="1700" w:type="dxa"/>
            <w:vAlign w:val="bottom"/>
            <w:tcBorders>
              <w:top w:val="single" w:sz="8" w:color="2C2C2C"/>
              <w:bottom w:val="single" w:sz="8" w:color="2C2C2C"/>
            </w:tcBorders>
          </w:tcPr>
          <w:p>
            <w:pPr>
              <w:ind w:left="720"/>
              <w:spacing w:after="0"/>
              <w:rPr>
                <w:sz w:val="20"/>
                <w:szCs w:val="20"/>
                <w:color w:val="auto"/>
              </w:rPr>
            </w:pPr>
            <w:r>
              <w:rPr>
                <w:rFonts w:ascii="Arial" w:cs="Arial" w:eastAsia="Arial" w:hAnsi="Arial"/>
                <w:sz w:val="15"/>
                <w:szCs w:val="15"/>
                <w:color w:val="auto"/>
              </w:rPr>
              <w:t>NO</w:t>
            </w:r>
          </w:p>
        </w:tc>
        <w:tc>
          <w:tcPr>
            <w:tcW w:w="20" w:type="dxa"/>
            <w:vAlign w:val="bottom"/>
            <w:tcBorders>
              <w:top w:val="single" w:sz="8" w:color="808080"/>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82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DID THE BOARD OF DIRECTORS ELECT THE REPLACEMENT?</w:t>
            </w:r>
          </w:p>
        </w:tc>
        <w:tc>
          <w:tcPr>
            <w:tcW w:w="1400" w:type="dxa"/>
            <w:vAlign w:val="bottom"/>
            <w:tcBorders>
              <w:bottom w:val="single" w:sz="8" w:color="2C2C2C"/>
            </w:tcBorders>
          </w:tcPr>
          <w:p>
            <w:pPr>
              <w:jc w:val="right"/>
              <w:ind w:right="666"/>
              <w:spacing w:after="0" w:line="162" w:lineRule="exact"/>
              <w:rPr>
                <w:sz w:val="20"/>
                <w:szCs w:val="20"/>
                <w:color w:val="auto"/>
              </w:rPr>
            </w:pPr>
            <w:r>
              <w:rPr>
                <w:rFonts w:ascii="Arial" w:cs="Arial" w:eastAsia="Arial" w:hAnsi="Arial"/>
                <w:sz w:val="15"/>
                <w:szCs w:val="15"/>
                <w:b w:val="1"/>
                <w:bCs w:val="1"/>
                <w:color w:val="auto"/>
              </w:rPr>
              <w:t>(...)</w:t>
            </w:r>
          </w:p>
        </w:tc>
        <w:tc>
          <w:tcPr>
            <w:tcW w:w="1700" w:type="dxa"/>
            <w:vAlign w:val="bottom"/>
            <w:tcBorders>
              <w:bottom w:val="single" w:sz="8" w:color="2C2C2C"/>
            </w:tcBorders>
          </w:tcPr>
          <w:p>
            <w:pPr>
              <w:ind w:left="760"/>
              <w:spacing w:after="0" w:line="162"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82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IF YES, WHAT WAS THE AVERAGE TIME TAKEN TO DESIGNATE THE NEW DIRECTOR (IN CALENDAR DAYS)?</w:t>
            </w:r>
          </w:p>
        </w:tc>
        <w:tc>
          <w:tcPr>
            <w:tcW w:w="1400" w:type="dxa"/>
            <w:vAlign w:val="bottom"/>
            <w:tcBorders>
              <w:bottom w:val="single" w:sz="8" w:color="2C2C2C"/>
            </w:tcBorders>
          </w:tcPr>
          <w:p>
            <w:pPr>
              <w:spacing w:after="0"/>
              <w:rPr>
                <w:sz w:val="14"/>
                <w:szCs w:val="14"/>
                <w:color w:val="auto"/>
              </w:rPr>
            </w:pPr>
          </w:p>
        </w:tc>
        <w:tc>
          <w:tcPr>
            <w:tcW w:w="1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Describe the pre-established procedures for electing replacements for directorship vacancies.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Majority decision of the Directors</w:t>
      </w:r>
    </w:p>
    <w:p>
      <w:pPr>
        <w:spacing w:after="0" w:line="182"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b w:val="1"/>
          <w:bCs w:val="1"/>
          <w:color w:val="auto"/>
        </w:rPr>
        <w:t>(...)</w:t>
      </w:r>
      <w:r>
        <w:rPr>
          <w:sz w:val="20"/>
          <w:szCs w:val="20"/>
          <w:color w:val="auto"/>
        </w:rPr>
        <w:tab/>
      </w:r>
      <w:r>
        <w:rPr>
          <w:rFonts w:ascii="Arial" w:cs="Arial" w:eastAsia="Arial" w:hAnsi="Arial"/>
          <w:sz w:val="21"/>
          <w:szCs w:val="21"/>
          <w:b w:val="1"/>
          <w:bCs w:val="1"/>
          <w:color w:val="auto"/>
        </w:rPr>
        <w:t>NOT APPLICABLE. THE COMPANY DOES NOT HAVE PROCEDURES</w:t>
      </w:r>
    </w:p>
    <w:p>
      <w:pPr>
        <w:spacing w:after="0" w:line="206" w:lineRule="exact"/>
        <w:rPr>
          <w:sz w:val="20"/>
          <w:szCs w:val="20"/>
          <w:color w:val="auto"/>
        </w:rPr>
      </w:pPr>
    </w:p>
    <w:p>
      <w:pPr>
        <w:ind w:right="380"/>
        <w:spacing w:after="0" w:line="256" w:lineRule="auto"/>
        <w:rPr>
          <w:sz w:val="20"/>
          <w:szCs w:val="20"/>
          <w:color w:val="auto"/>
        </w:rPr>
      </w:pPr>
      <w:r>
        <w:rPr>
          <w:rFonts w:ascii="Arial" w:cs="Arial" w:eastAsia="Arial" w:hAnsi="Arial"/>
          <w:sz w:val="22"/>
          <w:szCs w:val="22"/>
          <w:b w:val="1"/>
          <w:bCs w:val="1"/>
          <w:color w:val="auto"/>
        </w:rPr>
        <w:t>d. Indicate whether the procedures described in the previous question are contained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2997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2020" cy="29972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2000" w:type="dxa"/>
            <w:vAlign w:val="bottom"/>
            <w:tcBorders>
              <w:top w:val="single" w:sz="8" w:color="2C2C2C"/>
              <w:bottom w:val="single" w:sz="8" w:color="2C2C2C"/>
            </w:tcBorders>
          </w:tcPr>
          <w:p>
            <w:pPr>
              <w:jc w:val="center"/>
              <w:ind w:left="166"/>
              <w:spacing w:after="0"/>
              <w:rPr>
                <w:sz w:val="20"/>
                <w:szCs w:val="20"/>
                <w:color w:val="auto"/>
              </w:rPr>
            </w:pPr>
            <w:r>
              <w:rPr>
                <w:rFonts w:ascii="Arial" w:cs="Arial" w:eastAsia="Arial" w:hAnsi="Arial"/>
                <w:sz w:val="15"/>
                <w:szCs w:val="15"/>
                <w:color w:val="auto"/>
                <w:w w:val="93"/>
              </w:rPr>
              <w:t>STATUTE</w:t>
            </w:r>
          </w:p>
        </w:tc>
        <w:tc>
          <w:tcPr>
            <w:tcW w:w="28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rPr>
                <w:sz w:val="20"/>
                <w:szCs w:val="20"/>
                <w:color w:val="auto"/>
              </w:rPr>
            </w:pPr>
            <w:r>
              <w:rPr>
                <w:rFonts w:ascii="Arial" w:cs="Arial" w:eastAsia="Arial" w:hAnsi="Arial"/>
                <w:sz w:val="15"/>
                <w:szCs w:val="15"/>
                <w:color w:val="auto"/>
              </w:rPr>
              <w:t>MANUAL</w:t>
            </w:r>
          </w:p>
        </w:tc>
        <w:tc>
          <w:tcPr>
            <w:tcW w:w="1860" w:type="dxa"/>
            <w:vAlign w:val="bottom"/>
            <w:tcBorders>
              <w:top w:val="single" w:sz="8" w:color="2C2C2C"/>
              <w:bottom w:val="single" w:sz="8" w:color="2C2C2C"/>
            </w:tcBorders>
          </w:tcPr>
          <w:p>
            <w:pPr>
              <w:jc w:val="center"/>
              <w:ind w:left="286"/>
              <w:spacing w:after="0"/>
              <w:rPr>
                <w:sz w:val="20"/>
                <w:szCs w:val="20"/>
                <w:color w:val="auto"/>
              </w:rPr>
            </w:pPr>
            <w:r>
              <w:rPr>
                <w:rFonts w:ascii="Arial" w:cs="Arial" w:eastAsia="Arial" w:hAnsi="Arial"/>
                <w:sz w:val="15"/>
                <w:szCs w:val="15"/>
                <w:color w:val="auto"/>
                <w:w w:val="95"/>
              </w:rPr>
              <w:t>OTHER</w:t>
            </w:r>
          </w:p>
        </w:tc>
        <w:tc>
          <w:tcPr>
            <w:tcW w:w="2660" w:type="dxa"/>
            <w:vAlign w:val="bottom"/>
            <w:tcBorders>
              <w:top w:val="single" w:sz="8" w:color="2C2C2C"/>
              <w:bottom w:val="single" w:sz="8" w:color="2C2C2C"/>
            </w:tcBorders>
          </w:tcPr>
          <w:p>
            <w:pPr>
              <w:ind w:left="500"/>
              <w:spacing w:after="0"/>
              <w:rPr>
                <w:sz w:val="20"/>
                <w:szCs w:val="20"/>
                <w:color w:val="auto"/>
              </w:rPr>
            </w:pPr>
            <w:r>
              <w:rPr>
                <w:rFonts w:ascii="Arial" w:cs="Arial" w:eastAsia="Arial" w:hAnsi="Arial"/>
                <w:sz w:val="15"/>
                <w:szCs w:val="15"/>
                <w:b w:val="1"/>
                <w:bCs w:val="1"/>
                <w:color w:val="auto"/>
              </w:rPr>
              <w:t>NAME OF THE DOCUMENT*</w:t>
            </w:r>
          </w:p>
        </w:tc>
        <w:tc>
          <w:tcPr>
            <w:tcW w:w="20" w:type="dxa"/>
            <w:vAlign w:val="bottom"/>
            <w:tcBorders>
              <w:top w:val="single" w:sz="8" w:color="808080"/>
            </w:tcBorders>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2000" w:type="dxa"/>
            <w:vAlign w:val="bottom"/>
          </w:tcPr>
          <w:p>
            <w:pPr>
              <w:jc w:val="center"/>
              <w:ind w:left="206"/>
              <w:spacing w:after="0"/>
              <w:rPr>
                <w:sz w:val="20"/>
                <w:szCs w:val="20"/>
                <w:color w:val="auto"/>
              </w:rPr>
            </w:pPr>
            <w:r>
              <w:rPr>
                <w:rFonts w:ascii="Arial" w:cs="Arial" w:eastAsia="Arial" w:hAnsi="Arial"/>
                <w:sz w:val="15"/>
                <w:szCs w:val="15"/>
                <w:b w:val="1"/>
                <w:bCs w:val="1"/>
                <w:color w:val="auto"/>
                <w:w w:val="99"/>
              </w:rPr>
              <w:t>(.X)</w:t>
            </w:r>
          </w:p>
        </w:tc>
        <w:tc>
          <w:tcPr>
            <w:tcW w:w="2820" w:type="dxa"/>
            <w:vAlign w:val="bottom"/>
          </w:tcPr>
          <w:p>
            <w:pPr>
              <w:jc w:val="right"/>
              <w:ind w:right="1206"/>
              <w:spacing w:after="0"/>
              <w:rPr>
                <w:sz w:val="20"/>
                <w:szCs w:val="20"/>
                <w:color w:val="auto"/>
              </w:rPr>
            </w:pPr>
            <w:r>
              <w:rPr>
                <w:rFonts w:ascii="Arial" w:cs="Arial" w:eastAsia="Arial" w:hAnsi="Arial"/>
                <w:sz w:val="15"/>
                <w:szCs w:val="15"/>
                <w:b w:val="1"/>
                <w:bCs w:val="1"/>
                <w:color w:val="auto"/>
              </w:rPr>
              <w:t>(...)</w:t>
            </w:r>
          </w:p>
        </w:tc>
        <w:tc>
          <w:tcPr>
            <w:tcW w:w="2040" w:type="dxa"/>
            <w:vAlign w:val="bottom"/>
          </w:tcPr>
          <w:p>
            <w:pPr>
              <w:jc w:val="right"/>
              <w:ind w:right="966"/>
              <w:spacing w:after="0"/>
              <w:rPr>
                <w:sz w:val="20"/>
                <w:szCs w:val="20"/>
                <w:color w:val="auto"/>
              </w:rPr>
            </w:pPr>
            <w:r>
              <w:rPr>
                <w:rFonts w:ascii="Arial" w:cs="Arial" w:eastAsia="Arial" w:hAnsi="Arial"/>
                <w:sz w:val="15"/>
                <w:szCs w:val="15"/>
                <w:b w:val="1"/>
                <w:bCs w:val="1"/>
                <w:color w:val="auto"/>
              </w:rPr>
              <w:t>(...)</w:t>
            </w:r>
          </w:p>
        </w:tc>
        <w:tc>
          <w:tcPr>
            <w:tcW w:w="1860" w:type="dxa"/>
            <w:vAlign w:val="bottom"/>
          </w:tcPr>
          <w:p>
            <w:pPr>
              <w:jc w:val="right"/>
              <w:ind w:right="566"/>
              <w:spacing w:after="0"/>
              <w:rPr>
                <w:sz w:val="20"/>
                <w:szCs w:val="20"/>
                <w:color w:val="auto"/>
              </w:rPr>
            </w:pPr>
            <w:r>
              <w:rPr>
                <w:rFonts w:ascii="Arial" w:cs="Arial" w:eastAsia="Arial" w:hAnsi="Arial"/>
                <w:sz w:val="15"/>
                <w:szCs w:val="15"/>
                <w:b w:val="1"/>
                <w:bCs w:val="1"/>
                <w:color w:val="auto"/>
              </w:rPr>
              <w:t>(...)</w:t>
            </w: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ind w:left="180" w:hanging="172"/>
        <w:spacing w:after="0"/>
        <w:tabs>
          <w:tab w:leader="none" w:pos="18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Specify the name of the document, if not THE COMPANY’s statutes.</w:t>
      </w:r>
    </w:p>
    <w:p>
      <w:pPr>
        <w:spacing w:after="0" w:line="202"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w:t>
      </w:r>
      <w:r>
        <w:rPr>
          <w:rFonts w:ascii="Arial" w:cs="Arial" w:eastAsia="Arial" w:hAnsi="Arial"/>
          <w:sz w:val="21"/>
          <w:szCs w:val="21"/>
          <w:b w:val="1"/>
          <w:bCs w:val="1"/>
          <w:color w:val="auto"/>
        </w:rPr>
        <w:t>THEY ARE NOT REGULATED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6"/>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760" w:type="dxa"/>
            <w:vAlign w:val="bottom"/>
            <w:tcBorders>
              <w:top w:val="single" w:sz="8" w:color="2C2C2C"/>
              <w:bottom w:val="single" w:sz="8" w:color="2C2C2C"/>
            </w:tcBorders>
          </w:tcPr>
          <w:p>
            <w:pPr>
              <w:spacing w:after="0"/>
              <w:rPr>
                <w:sz w:val="17"/>
                <w:szCs w:val="17"/>
                <w:color w:val="auto"/>
              </w:rPr>
            </w:pPr>
          </w:p>
        </w:tc>
        <w:tc>
          <w:tcPr>
            <w:tcW w:w="100" w:type="dxa"/>
            <w:vAlign w:val="bottom"/>
            <w:tcBorders>
              <w:top w:val="single" w:sz="8" w:color="2C2C2C"/>
              <w:bottom w:val="single" w:sz="8" w:color="2C2C2C"/>
            </w:tcBorders>
          </w:tcPr>
          <w:p>
            <w:pPr>
              <w:spacing w:after="0"/>
              <w:rPr>
                <w:sz w:val="17"/>
                <w:szCs w:val="17"/>
                <w:color w:val="auto"/>
              </w:rPr>
            </w:pPr>
          </w:p>
        </w:tc>
        <w:tc>
          <w:tcPr>
            <w:tcW w:w="26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6"/>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760" w:type="dxa"/>
            <w:vAlign w:val="bottom"/>
            <w:vMerge w:val="restart"/>
          </w:tcPr>
          <w:p>
            <w:pPr>
              <w:jc w:val="right"/>
              <w:ind w:right="366"/>
              <w:spacing w:after="0" w:line="162" w:lineRule="exact"/>
              <w:rPr>
                <w:sz w:val="20"/>
                <w:szCs w:val="20"/>
                <w:color w:val="auto"/>
              </w:rPr>
            </w:pPr>
            <w:r>
              <w:rPr>
                <w:rFonts w:ascii="Arial" w:cs="Arial" w:eastAsia="Arial" w:hAnsi="Arial"/>
                <w:sz w:val="15"/>
                <w:szCs w:val="15"/>
                <w:i w:val="1"/>
                <w:iCs w:val="1"/>
                <w:color w:val="auto"/>
              </w:rPr>
              <w:t>3</w:t>
            </w:r>
          </w:p>
        </w:tc>
        <w:tc>
          <w:tcPr>
            <w:tcW w:w="360" w:type="dxa"/>
            <w:vAlign w:val="bottom"/>
            <w:gridSpan w:val="2"/>
            <w:vMerge w:val="restart"/>
          </w:tcPr>
          <w:p>
            <w:pPr>
              <w:jc w:val="right"/>
              <w:ind w:right="240"/>
              <w:spacing w:after="0" w:line="162" w:lineRule="exact"/>
              <w:rPr>
                <w:sz w:val="20"/>
                <w:szCs w:val="20"/>
                <w:color w:val="auto"/>
              </w:rPr>
            </w:pPr>
            <w:r>
              <w:rPr>
                <w:rFonts w:ascii="Arial" w:cs="Arial" w:eastAsia="Arial" w:hAnsi="Arial"/>
                <w:sz w:val="15"/>
                <w:szCs w:val="15"/>
                <w:i w:val="1"/>
                <w:iCs w:val="1"/>
                <w:color w:val="auto"/>
              </w:rPr>
              <w:t>4</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0" w:type="dxa"/>
            <w:vAlign w:val="bottom"/>
            <w:tcBorders>
              <w:top w:val="single" w:sz="8" w:color="auto"/>
              <w:bottom w:val="single" w:sz="8" w:color="2C2C2C"/>
            </w:tcBorders>
          </w:tcPr>
          <w:p>
            <w:pPr>
              <w:spacing w:after="0"/>
              <w:rPr>
                <w:sz w:val="8"/>
                <w:szCs w:val="8"/>
                <w:color w:val="auto"/>
              </w:rPr>
            </w:pPr>
          </w:p>
        </w:tc>
        <w:tc>
          <w:tcPr>
            <w:tcW w:w="320" w:type="dxa"/>
            <w:vAlign w:val="bottom"/>
            <w:tcBorders>
              <w:top w:val="single" w:sz="8" w:color="auto"/>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2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760" w:type="dxa"/>
            <w:vAlign w:val="bottom"/>
            <w:tcBorders>
              <w:bottom w:val="single" w:sz="8" w:color="2C2C2C"/>
            </w:tcBorders>
            <w:vMerge w:val="continue"/>
          </w:tcPr>
          <w:p>
            <w:pPr>
              <w:spacing w:after="0"/>
              <w:rPr>
                <w:sz w:val="8"/>
                <w:szCs w:val="8"/>
                <w:color w:val="auto"/>
              </w:rPr>
            </w:pPr>
          </w:p>
        </w:tc>
        <w:tc>
          <w:tcPr>
            <w:tcW w:w="360" w:type="dxa"/>
            <w:vAlign w:val="bottom"/>
            <w:tcBorders>
              <w:bottom w:val="single" w:sz="8" w:color="2C2C2C"/>
            </w:tcBorders>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6"/>
          </w:tcPr>
          <w:p>
            <w:pPr>
              <w:ind w:left="20"/>
              <w:spacing w:after="0" w:line="149" w:lineRule="exact"/>
              <w:rPr>
                <w:sz w:val="20"/>
                <w:szCs w:val="20"/>
                <w:color w:val="auto"/>
              </w:rPr>
            </w:pPr>
            <w:r>
              <w:rPr>
                <w:rFonts w:ascii="Arial" w:cs="Arial" w:eastAsia="Arial" w:hAnsi="Arial"/>
                <w:sz w:val="15"/>
                <w:szCs w:val="15"/>
                <w:i w:val="1"/>
                <w:iCs w:val="1"/>
                <w:color w:val="auto"/>
                <w:w w:val="93"/>
              </w:rPr>
              <w:t>24. Principle (V.I, first paragraph).- The functions of the Chairman of the Board, Executive Chairman (if relevant), and the CEO, should be</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gridSpan w:val="2"/>
          </w:tcPr>
          <w:p>
            <w:pPr>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560" w:type="dxa"/>
            <w:vAlign w:val="bottom"/>
            <w:tcBorders>
              <w:bottom w:val="single" w:sz="8" w:color="2C2C2C"/>
            </w:tcBorders>
            <w:gridSpan w:val="6"/>
          </w:tcPr>
          <w:p>
            <w:pPr>
              <w:ind w:left="20"/>
              <w:spacing w:after="0" w:line="156" w:lineRule="exact"/>
              <w:rPr>
                <w:sz w:val="20"/>
                <w:szCs w:val="20"/>
                <w:color w:val="auto"/>
              </w:rPr>
            </w:pPr>
            <w:r>
              <w:rPr>
                <w:rFonts w:ascii="Arial" w:cs="Arial" w:eastAsia="Arial" w:hAnsi="Arial"/>
                <w:sz w:val="15"/>
                <w:szCs w:val="15"/>
                <w:i w:val="1"/>
                <w:iCs w:val="1"/>
                <w:color w:val="auto"/>
                <w:w w:val="95"/>
              </w:rPr>
              <w:t>clearly defined in the statutes or the internal regulations of the company in order to avoid possible conflicts and duplication of functions.</w:t>
            </w:r>
          </w:p>
        </w:tc>
        <w:tc>
          <w:tcPr>
            <w:tcW w:w="7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6"/>
          </w:tcPr>
          <w:p>
            <w:pPr>
              <w:ind w:left="20"/>
              <w:spacing w:after="0" w:line="149" w:lineRule="exact"/>
              <w:rPr>
                <w:sz w:val="20"/>
                <w:szCs w:val="20"/>
                <w:color w:val="auto"/>
              </w:rPr>
            </w:pPr>
            <w:r>
              <w:rPr>
                <w:rFonts w:ascii="Arial" w:cs="Arial" w:eastAsia="Arial" w:hAnsi="Arial"/>
                <w:sz w:val="15"/>
                <w:szCs w:val="15"/>
                <w:i w:val="1"/>
                <w:iCs w:val="1"/>
                <w:color w:val="auto"/>
                <w:w w:val="93"/>
              </w:rPr>
              <w:t>25. Principle (V.I, second paragraph).- The organic structure of the company should prevent all the functions, responsibilities and authority</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gridSpan w:val="2"/>
          </w:tcPr>
          <w:p>
            <w:pPr>
              <w:spacing w:after="0" w:line="149" w:lineRule="exact"/>
              <w:rPr>
                <w:sz w:val="20"/>
                <w:szCs w:val="20"/>
                <w:color w:val="auto"/>
              </w:rPr>
            </w:pPr>
            <w:r>
              <w:rPr>
                <w:rFonts w:ascii="Arial" w:cs="Arial" w:eastAsia="Arial" w:hAnsi="Arial"/>
                <w:sz w:val="15"/>
                <w:szCs w:val="15"/>
                <w:i w:val="1"/>
                <w:iCs w:val="1"/>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gridSpan w:val="2"/>
          </w:tcPr>
          <w:p>
            <w:pPr>
              <w:ind w:left="20"/>
              <w:spacing w:after="0" w:line="155" w:lineRule="exact"/>
              <w:rPr>
                <w:sz w:val="20"/>
                <w:szCs w:val="20"/>
                <w:color w:val="auto"/>
              </w:rPr>
            </w:pPr>
            <w:r>
              <w:rPr>
                <w:rFonts w:ascii="Arial" w:cs="Arial" w:eastAsia="Arial" w:hAnsi="Arial"/>
                <w:sz w:val="14"/>
                <w:szCs w:val="14"/>
                <w:i w:val="1"/>
                <w:iCs w:val="1"/>
                <w:color w:val="auto"/>
                <w:w w:val="71"/>
              </w:rPr>
              <w:t>from</w:t>
            </w:r>
          </w:p>
        </w:tc>
        <w:tc>
          <w:tcPr>
            <w:tcW w:w="2040" w:type="dxa"/>
            <w:vAlign w:val="bottom"/>
            <w:tcBorders>
              <w:top w:val="single" w:sz="8" w:color="auto"/>
              <w:bottom w:val="single" w:sz="8" w:color="2C2C2C"/>
            </w:tcBorders>
            <w:gridSpan w:val="3"/>
          </w:tcPr>
          <w:p>
            <w:pPr>
              <w:ind w:left="80"/>
              <w:spacing w:after="0" w:line="156" w:lineRule="exact"/>
              <w:rPr>
                <w:sz w:val="20"/>
                <w:szCs w:val="20"/>
                <w:color w:val="auto"/>
              </w:rPr>
            </w:pPr>
            <w:r>
              <w:rPr>
                <w:rFonts w:ascii="Arial" w:cs="Arial" w:eastAsia="Arial" w:hAnsi="Arial"/>
                <w:sz w:val="15"/>
                <w:szCs w:val="15"/>
                <w:i w:val="1"/>
                <w:iCs w:val="1"/>
                <w:color w:val="auto"/>
                <w:w w:val="84"/>
              </w:rPr>
              <w:t>being centralized on the Chairman</w:t>
            </w:r>
          </w:p>
        </w:tc>
        <w:tc>
          <w:tcPr>
            <w:tcW w:w="6280" w:type="dxa"/>
            <w:vAlign w:val="bottom"/>
            <w:tcBorders>
              <w:bottom w:val="single" w:sz="8" w:color="2C2C2C"/>
            </w:tcBorders>
          </w:tcPr>
          <w:p>
            <w:pPr>
              <w:ind w:left="160"/>
              <w:spacing w:after="0" w:line="156" w:lineRule="exact"/>
              <w:rPr>
                <w:sz w:val="20"/>
                <w:szCs w:val="20"/>
                <w:color w:val="auto"/>
              </w:rPr>
            </w:pPr>
            <w:r>
              <w:rPr>
                <w:rFonts w:ascii="Arial" w:cs="Arial" w:eastAsia="Arial" w:hAnsi="Arial"/>
                <w:sz w:val="15"/>
                <w:szCs w:val="15"/>
                <w:i w:val="1"/>
                <w:iCs w:val="1"/>
                <w:color w:val="auto"/>
                <w:w w:val="91"/>
              </w:rPr>
              <w:t>of the Board, the Executive Chairman, the CEO and other officials with management responsibilities.</w:t>
            </w:r>
          </w:p>
        </w:tc>
        <w:tc>
          <w:tcPr>
            <w:tcW w:w="7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0" w:type="dxa"/>
            <w:vAlign w:val="bottom"/>
            <w:tcBorders>
              <w:top w:val="single" w:sz="8" w:color="auto"/>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42545" cy="7156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2545" cy="715645"/>
                    </a:xfrm>
                    <a:prstGeom prst="rect">
                      <a:avLst/>
                    </a:prstGeom>
                    <a:noFill/>
                  </pic:spPr>
                </pic:pic>
              </a:graphicData>
            </a:graphic>
          </wp:anchor>
        </w:drawing>
        <w:drawing>
          <wp:anchor simplePos="0" relativeHeight="251657728" behindDoc="1" locked="0" layoutInCell="0" allowOverlap="1">
            <wp:simplePos x="0" y="0"/>
            <wp:positionH relativeFrom="page">
              <wp:posOffset>5573395</wp:posOffset>
            </wp:positionH>
            <wp:positionV relativeFrom="page">
              <wp:posOffset>88900</wp:posOffset>
            </wp:positionV>
            <wp:extent cx="42545" cy="7073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2545" cy="707390"/>
                    </a:xfrm>
                    <a:prstGeom prst="rect">
                      <a:avLst/>
                    </a:prstGeom>
                    <a:noFill/>
                  </pic:spPr>
                </pic:pic>
              </a:graphicData>
            </a:graphic>
          </wp:anchor>
        </w:drawing>
        <w:drawing>
          <wp:anchor simplePos="0" relativeHeight="251657728" behindDoc="1" locked="0" layoutInCell="0" allowOverlap="1">
            <wp:simplePos x="0" y="0"/>
            <wp:positionH relativeFrom="page">
              <wp:posOffset>7374255</wp:posOffset>
            </wp:positionH>
            <wp:positionV relativeFrom="page">
              <wp:posOffset>88900</wp:posOffset>
            </wp:positionV>
            <wp:extent cx="42545" cy="7156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2545" cy="71564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-586740</wp:posOffset>
            </wp:positionV>
            <wp:extent cx="42545" cy="5911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-586740</wp:posOffset>
            </wp:positionV>
            <wp:extent cx="42545" cy="5911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-586740</wp:posOffset>
            </wp:positionV>
            <wp:extent cx="42545" cy="5911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2545" cy="591185"/>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-586740</wp:posOffset>
            </wp:positionV>
            <wp:extent cx="42545" cy="5911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254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80"/>
        <w:spacing w:after="0" w:line="261" w:lineRule="auto"/>
        <w:rPr>
          <w:sz w:val="20"/>
          <w:szCs w:val="20"/>
          <w:color w:val="auto"/>
        </w:rPr>
      </w:pPr>
      <w:r>
        <w:rPr>
          <w:rFonts w:ascii="Arial" w:cs="Arial" w:eastAsia="Arial" w:hAnsi="Arial"/>
          <w:sz w:val="21"/>
          <w:szCs w:val="21"/>
          <w:b w:val="1"/>
          <w:bCs w:val="1"/>
          <w:color w:val="auto"/>
        </w:rPr>
        <w:t>a. Should any of the replies to the previous question be affirmative, indicate whether the responsibilities of the Chairman of the Board of Directors, of the Executive Chairman (should there be one), of the CEO and of other officials with management responsibilities are contained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272020" cy="7454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2020" cy="7454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Borders>
              <w:top w:val="single" w:sz="8" w:color="808080"/>
            </w:tcBorders>
          </w:tcPr>
          <w:p>
            <w:pPr>
              <w:spacing w:after="0"/>
              <w:rPr>
                <w:sz w:val="15"/>
                <w:szCs w:val="15"/>
                <w:color w:val="auto"/>
              </w:rPr>
            </w:pPr>
          </w:p>
        </w:tc>
        <w:tc>
          <w:tcPr>
            <w:tcW w:w="2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5"/>
                <w:szCs w:val="15"/>
                <w:color w:val="auto"/>
              </w:rPr>
              <w:t>Responsibilities of:</w:t>
            </w:r>
          </w:p>
        </w:tc>
        <w:tc>
          <w:tcPr>
            <w:tcW w:w="1560" w:type="dxa"/>
            <w:vAlign w:val="bottom"/>
            <w:tcBorders>
              <w:top w:val="single" w:sz="8" w:color="2C2C2C"/>
            </w:tcBorders>
          </w:tcPr>
          <w:p>
            <w:pPr>
              <w:jc w:val="center"/>
              <w:ind w:left="646"/>
              <w:spacing w:after="0"/>
              <w:rPr>
                <w:sz w:val="20"/>
                <w:szCs w:val="20"/>
                <w:color w:val="auto"/>
              </w:rPr>
            </w:pPr>
            <w:r>
              <w:rPr>
                <w:rFonts w:ascii="Arial" w:cs="Arial" w:eastAsia="Arial" w:hAnsi="Arial"/>
                <w:sz w:val="15"/>
                <w:szCs w:val="15"/>
                <w:color w:val="auto"/>
                <w:w w:val="87"/>
              </w:rPr>
              <w:t>Statutes</w:t>
            </w:r>
          </w:p>
        </w:tc>
        <w:tc>
          <w:tcPr>
            <w:tcW w:w="1460" w:type="dxa"/>
            <w:vAlign w:val="bottom"/>
            <w:tcBorders>
              <w:top w:val="single" w:sz="8" w:color="2C2C2C"/>
            </w:tcBorders>
            <w:gridSpan w:val="2"/>
          </w:tcPr>
          <w:p>
            <w:pPr>
              <w:ind w:left="180"/>
              <w:spacing w:after="0"/>
              <w:rPr>
                <w:sz w:val="20"/>
                <w:szCs w:val="20"/>
                <w:color w:val="auto"/>
              </w:rPr>
            </w:pPr>
            <w:r>
              <w:rPr>
                <w:rFonts w:ascii="Arial" w:cs="Arial" w:eastAsia="Arial" w:hAnsi="Arial"/>
                <w:sz w:val="15"/>
                <w:szCs w:val="15"/>
                <w:color w:val="auto"/>
              </w:rPr>
              <w:t>Internal regulation</w:t>
            </w:r>
          </w:p>
        </w:tc>
        <w:tc>
          <w:tcPr>
            <w:tcW w:w="1020" w:type="dxa"/>
            <w:vAlign w:val="bottom"/>
            <w:tcBorders>
              <w:top w:val="single" w:sz="8" w:color="2C2C2C"/>
            </w:tcBorders>
            <w:gridSpan w:val="2"/>
          </w:tcPr>
          <w:p>
            <w:pPr>
              <w:jc w:val="right"/>
              <w:ind w:right="338"/>
              <w:spacing w:after="0"/>
              <w:rPr>
                <w:sz w:val="20"/>
                <w:szCs w:val="20"/>
                <w:color w:val="auto"/>
              </w:rPr>
            </w:pPr>
            <w:r>
              <w:rPr>
                <w:rFonts w:ascii="Arial" w:cs="Arial" w:eastAsia="Arial" w:hAnsi="Arial"/>
                <w:sz w:val="15"/>
                <w:szCs w:val="15"/>
                <w:color w:val="auto"/>
              </w:rPr>
              <w:t>Manual</w:t>
            </w:r>
          </w:p>
        </w:tc>
        <w:tc>
          <w:tcPr>
            <w:tcW w:w="940" w:type="dxa"/>
            <w:vAlign w:val="bottom"/>
            <w:tcBorders>
              <w:top w:val="single" w:sz="8" w:color="2C2C2C"/>
            </w:tcBorders>
            <w:gridSpan w:val="2"/>
          </w:tcPr>
          <w:p>
            <w:pPr>
              <w:jc w:val="right"/>
              <w:ind w:right="166"/>
              <w:spacing w:after="0"/>
              <w:rPr>
                <w:sz w:val="20"/>
                <w:szCs w:val="20"/>
                <w:color w:val="auto"/>
              </w:rPr>
            </w:pPr>
            <w:r>
              <w:rPr>
                <w:rFonts w:ascii="Arial" w:cs="Arial" w:eastAsia="Arial" w:hAnsi="Arial"/>
                <w:sz w:val="15"/>
                <w:szCs w:val="15"/>
                <w:color w:val="auto"/>
              </w:rPr>
              <w:t>Other</w:t>
            </w:r>
          </w:p>
        </w:tc>
        <w:tc>
          <w:tcPr>
            <w:tcW w:w="1900" w:type="dxa"/>
            <w:vAlign w:val="bottom"/>
            <w:tcBorders>
              <w:top w:val="single" w:sz="8" w:color="2C2C2C"/>
            </w:tcBorders>
            <w:vMerge w:val="restart"/>
          </w:tcPr>
          <w:p>
            <w:pPr>
              <w:jc w:val="center"/>
              <w:ind w:left="46"/>
              <w:spacing w:after="0"/>
              <w:rPr>
                <w:sz w:val="20"/>
                <w:szCs w:val="20"/>
                <w:color w:val="auto"/>
              </w:rPr>
            </w:pPr>
            <w:r>
              <w:rPr>
                <w:rFonts w:ascii="Arial" w:cs="Arial" w:eastAsia="Arial" w:hAnsi="Arial"/>
                <w:sz w:val="15"/>
                <w:szCs w:val="15"/>
                <w:b w:val="1"/>
                <w:bCs w:val="1"/>
                <w:color w:val="auto"/>
                <w:w w:val="89"/>
              </w:rPr>
              <w:t>Name of the document*</w:t>
            </w:r>
          </w:p>
        </w:tc>
        <w:tc>
          <w:tcPr>
            <w:tcW w:w="1020" w:type="dxa"/>
            <w:vAlign w:val="bottom"/>
            <w:tcBorders>
              <w:top w:val="single" w:sz="8" w:color="2C2C2C"/>
            </w:tcBorders>
            <w:gridSpan w:val="2"/>
          </w:tcPr>
          <w:p>
            <w:pPr>
              <w:jc w:val="right"/>
              <w:ind w:right="46"/>
              <w:spacing w:after="0"/>
              <w:rPr>
                <w:sz w:val="20"/>
                <w:szCs w:val="20"/>
                <w:color w:val="auto"/>
              </w:rPr>
            </w:pPr>
            <w:r>
              <w:rPr>
                <w:rFonts w:ascii="Arial" w:cs="Arial" w:eastAsia="Arial" w:hAnsi="Arial"/>
                <w:sz w:val="15"/>
                <w:szCs w:val="15"/>
                <w:color w:val="auto"/>
              </w:rPr>
              <w:t>They are not</w:t>
            </w:r>
          </w:p>
        </w:tc>
        <w:tc>
          <w:tcPr>
            <w:tcW w:w="1200" w:type="dxa"/>
            <w:vAlign w:val="bottom"/>
            <w:tcBorders>
              <w:top w:val="single" w:sz="8" w:color="2C2C2C"/>
            </w:tcBorders>
            <w:gridSpan w:val="2"/>
          </w:tcPr>
          <w:p>
            <w:pPr>
              <w:jc w:val="right"/>
              <w:spacing w:after="0"/>
              <w:rPr>
                <w:sz w:val="20"/>
                <w:szCs w:val="20"/>
                <w:color w:val="auto"/>
              </w:rPr>
            </w:pPr>
            <w:r>
              <w:rPr>
                <w:rFonts w:ascii="Arial" w:cs="Arial" w:eastAsia="Arial" w:hAnsi="Arial"/>
                <w:sz w:val="15"/>
                <w:szCs w:val="15"/>
                <w:color w:val="auto"/>
              </w:rPr>
              <w:t>Not applicable **</w:t>
            </w: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020" w:type="dxa"/>
            <w:vAlign w:val="bottom"/>
            <w:gridSpan w:val="2"/>
            <w:vMerge w:val="restart"/>
          </w:tcPr>
          <w:p>
            <w:pPr>
              <w:jc w:val="right"/>
              <w:ind w:right="146"/>
              <w:spacing w:after="0" w:line="172" w:lineRule="exact"/>
              <w:rPr>
                <w:sz w:val="20"/>
                <w:szCs w:val="20"/>
                <w:color w:val="auto"/>
              </w:rPr>
            </w:pPr>
            <w:r>
              <w:rPr>
                <w:rFonts w:ascii="Arial" w:cs="Arial" w:eastAsia="Arial" w:hAnsi="Arial"/>
                <w:sz w:val="15"/>
                <w:szCs w:val="15"/>
                <w:color w:val="auto"/>
              </w:rPr>
              <w:t>regulated</w:t>
            </w: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gridSpan w:val="2"/>
            <w:vMerge w:val="continue"/>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Chairman of the board</w:t>
            </w:r>
          </w:p>
        </w:tc>
        <w:tc>
          <w:tcPr>
            <w:tcW w:w="1560" w:type="dxa"/>
            <w:vAlign w:val="bottom"/>
            <w:tcBorders>
              <w:bottom w:val="single" w:sz="8" w:color="2C2C2C"/>
            </w:tcBorders>
          </w:tcPr>
          <w:p>
            <w:pPr>
              <w:jc w:val="center"/>
              <w:ind w:left="646"/>
              <w:spacing w:after="0" w:line="162" w:lineRule="exact"/>
              <w:rPr>
                <w:sz w:val="20"/>
                <w:szCs w:val="20"/>
                <w:color w:val="auto"/>
              </w:rPr>
            </w:pPr>
            <w:r>
              <w:rPr>
                <w:rFonts w:ascii="Arial" w:cs="Arial" w:eastAsia="Arial" w:hAnsi="Arial"/>
                <w:sz w:val="15"/>
                <w:szCs w:val="15"/>
                <w:b w:val="1"/>
                <w:bCs w:val="1"/>
                <w:color w:val="auto"/>
                <w:w w:val="98"/>
              </w:rPr>
              <w:t>(.X.)</w:t>
            </w:r>
          </w:p>
        </w:tc>
        <w:tc>
          <w:tcPr>
            <w:tcW w:w="780" w:type="dxa"/>
            <w:vAlign w:val="bottom"/>
            <w:tcBorders>
              <w:bottom w:val="single" w:sz="8" w:color="2C2C2C"/>
            </w:tcBorders>
          </w:tcPr>
          <w:p>
            <w:pPr>
              <w:ind w:left="620"/>
              <w:spacing w:after="0" w:line="162" w:lineRule="exact"/>
              <w:rPr>
                <w:sz w:val="20"/>
                <w:szCs w:val="20"/>
                <w:color w:val="auto"/>
              </w:rPr>
            </w:pPr>
            <w:r>
              <w:rPr>
                <w:rFonts w:ascii="Arial" w:cs="Arial" w:eastAsia="Arial" w:hAnsi="Arial"/>
                <w:sz w:val="15"/>
                <w:szCs w:val="15"/>
                <w:b w:val="1"/>
                <w:bCs w:val="1"/>
                <w:color w:val="auto"/>
                <w:w w:val="79"/>
              </w:rPr>
              <w:t>(...</w:t>
            </w:r>
          </w:p>
        </w:tc>
        <w:tc>
          <w:tcPr>
            <w:tcW w:w="680" w:type="dxa"/>
            <w:vAlign w:val="bottom"/>
            <w:tcBorders>
              <w:bottom w:val="single" w:sz="8" w:color="2C2C2C"/>
            </w:tcBorders>
          </w:tcPr>
          <w:p>
            <w:pPr>
              <w:jc w:val="right"/>
              <w:ind w:right="546"/>
              <w:spacing w:after="0" w:line="162" w:lineRule="exact"/>
              <w:rPr>
                <w:sz w:val="20"/>
                <w:szCs w:val="20"/>
                <w:color w:val="auto"/>
              </w:rPr>
            </w:pPr>
            <w:r>
              <w:rPr>
                <w:rFonts w:ascii="Arial" w:cs="Arial" w:eastAsia="Arial" w:hAnsi="Arial"/>
                <w:sz w:val="15"/>
                <w:szCs w:val="15"/>
                <w:b w:val="1"/>
                <w:bCs w:val="1"/>
                <w:color w:val="auto"/>
                <w:w w:val="79"/>
              </w:rPr>
              <w:t>)</w:t>
            </w:r>
          </w:p>
        </w:tc>
        <w:tc>
          <w:tcPr>
            <w:tcW w:w="480" w:type="dxa"/>
            <w:vAlign w:val="bottom"/>
            <w:tcBorders>
              <w:bottom w:val="single" w:sz="8" w:color="2C2C2C"/>
            </w:tcBorders>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540" w:type="dxa"/>
            <w:vAlign w:val="bottom"/>
            <w:tcBorders>
              <w:bottom w:val="single" w:sz="8" w:color="2C2C2C"/>
            </w:tcBorders>
          </w:tcPr>
          <w:p>
            <w:pPr>
              <w:jc w:val="right"/>
              <w:ind w:right="458"/>
              <w:spacing w:after="0"/>
              <w:rPr>
                <w:sz w:val="20"/>
                <w:szCs w:val="20"/>
                <w:color w:val="auto"/>
              </w:rPr>
            </w:pPr>
            <w:r>
              <w:rPr>
                <w:rFonts w:ascii="Arial" w:cs="Arial" w:eastAsia="Arial" w:hAnsi="Arial"/>
                <w:sz w:val="8"/>
                <w:szCs w:val="8"/>
                <w:b w:val="1"/>
                <w:bCs w:val="1"/>
                <w:color w:val="auto"/>
                <w:w w:val="73"/>
              </w:rPr>
              <w:t>)</w:t>
            </w:r>
          </w:p>
        </w:tc>
        <w:tc>
          <w:tcPr>
            <w:tcW w:w="580" w:type="dxa"/>
            <w:vAlign w:val="bottom"/>
            <w:tcBorders>
              <w:bottom w:val="single" w:sz="8" w:color="2C2C2C"/>
            </w:tcBorders>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2C2C2C"/>
            </w:tcBorders>
          </w:tcPr>
          <w:p>
            <w:pPr>
              <w:jc w:val="right"/>
              <w:ind w:right="226"/>
              <w:spacing w:after="0" w:line="162" w:lineRule="exact"/>
              <w:rPr>
                <w:sz w:val="20"/>
                <w:szCs w:val="20"/>
                <w:color w:val="auto"/>
              </w:rPr>
            </w:pPr>
            <w:r>
              <w:rPr>
                <w:rFonts w:ascii="Arial" w:cs="Arial" w:eastAsia="Arial" w:hAnsi="Arial"/>
                <w:sz w:val="15"/>
                <w:szCs w:val="15"/>
                <w:b w:val="1"/>
                <w:bCs w:val="1"/>
                <w:color w:val="auto"/>
                <w:w w:val="79"/>
              </w:rPr>
              <w:t>)</w:t>
            </w:r>
          </w:p>
        </w:tc>
        <w:tc>
          <w:tcPr>
            <w:tcW w:w="19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2C2C2C"/>
            </w:tcBorders>
          </w:tcPr>
          <w:p>
            <w:pPr>
              <w:jc w:val="right"/>
              <w:ind w:right="306"/>
              <w:spacing w:after="0" w:line="162" w:lineRule="exact"/>
              <w:rPr>
                <w:sz w:val="20"/>
                <w:szCs w:val="20"/>
                <w:color w:val="auto"/>
              </w:rPr>
            </w:pPr>
            <w:r>
              <w:rPr>
                <w:rFonts w:ascii="Arial" w:cs="Arial" w:eastAsia="Arial" w:hAnsi="Arial"/>
                <w:sz w:val="15"/>
                <w:szCs w:val="15"/>
                <w:b w:val="1"/>
                <w:bCs w:val="1"/>
                <w:color w:val="auto"/>
                <w:w w:val="79"/>
              </w:rPr>
              <w:t>)</w:t>
            </w:r>
          </w:p>
        </w:tc>
        <w:tc>
          <w:tcPr>
            <w:tcW w:w="700" w:type="dxa"/>
            <w:vAlign w:val="bottom"/>
            <w:tcBorders>
              <w:bottom w:val="single" w:sz="8" w:color="2C2C2C"/>
            </w:tcBorders>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2C2C2C"/>
            </w:tcBorders>
          </w:tcPr>
          <w:p>
            <w:pPr>
              <w:jc w:val="right"/>
              <w:ind w:right="418"/>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Executive chairman</w:t>
            </w:r>
          </w:p>
        </w:tc>
        <w:tc>
          <w:tcPr>
            <w:tcW w:w="1560" w:type="dxa"/>
            <w:vAlign w:val="bottom"/>
            <w:tcBorders>
              <w:bottom w:val="single" w:sz="8" w:color="2C2C2C"/>
            </w:tcBorders>
          </w:tcPr>
          <w:p>
            <w:pPr>
              <w:jc w:val="center"/>
              <w:ind w:left="646"/>
              <w:spacing w:after="0" w:line="162" w:lineRule="exact"/>
              <w:rPr>
                <w:sz w:val="20"/>
                <w:szCs w:val="20"/>
                <w:color w:val="auto"/>
              </w:rPr>
            </w:pPr>
            <w:r>
              <w:rPr>
                <w:rFonts w:ascii="Arial" w:cs="Arial" w:eastAsia="Arial" w:hAnsi="Arial"/>
                <w:sz w:val="15"/>
                <w:szCs w:val="15"/>
                <w:b w:val="1"/>
                <w:bCs w:val="1"/>
                <w:color w:val="auto"/>
                <w:w w:val="98"/>
              </w:rPr>
              <w:t>(.X.)</w:t>
            </w:r>
          </w:p>
        </w:tc>
        <w:tc>
          <w:tcPr>
            <w:tcW w:w="780" w:type="dxa"/>
            <w:vAlign w:val="bottom"/>
            <w:tcBorders>
              <w:bottom w:val="single" w:sz="8" w:color="2C2C2C"/>
            </w:tcBorders>
          </w:tcPr>
          <w:p>
            <w:pPr>
              <w:ind w:left="620"/>
              <w:spacing w:after="0" w:line="162" w:lineRule="exact"/>
              <w:rPr>
                <w:sz w:val="20"/>
                <w:szCs w:val="20"/>
                <w:color w:val="auto"/>
              </w:rPr>
            </w:pPr>
            <w:r>
              <w:rPr>
                <w:rFonts w:ascii="Arial" w:cs="Arial" w:eastAsia="Arial" w:hAnsi="Arial"/>
                <w:sz w:val="15"/>
                <w:szCs w:val="15"/>
                <w:b w:val="1"/>
                <w:bCs w:val="1"/>
                <w:color w:val="auto"/>
                <w:w w:val="79"/>
              </w:rPr>
              <w:t>(...</w:t>
            </w:r>
          </w:p>
        </w:tc>
        <w:tc>
          <w:tcPr>
            <w:tcW w:w="680" w:type="dxa"/>
            <w:vAlign w:val="bottom"/>
            <w:tcBorders>
              <w:bottom w:val="single" w:sz="8" w:color="2C2C2C"/>
            </w:tcBorders>
          </w:tcPr>
          <w:p>
            <w:pPr>
              <w:jc w:val="right"/>
              <w:ind w:right="546"/>
              <w:spacing w:after="0" w:line="162" w:lineRule="exact"/>
              <w:rPr>
                <w:sz w:val="20"/>
                <w:szCs w:val="20"/>
                <w:color w:val="auto"/>
              </w:rPr>
            </w:pPr>
            <w:r>
              <w:rPr>
                <w:rFonts w:ascii="Arial" w:cs="Arial" w:eastAsia="Arial" w:hAnsi="Arial"/>
                <w:sz w:val="15"/>
                <w:szCs w:val="15"/>
                <w:b w:val="1"/>
                <w:bCs w:val="1"/>
                <w:color w:val="auto"/>
                <w:w w:val="79"/>
              </w:rPr>
              <w:t>)</w:t>
            </w:r>
          </w:p>
        </w:tc>
        <w:tc>
          <w:tcPr>
            <w:tcW w:w="480" w:type="dxa"/>
            <w:vAlign w:val="bottom"/>
            <w:tcBorders>
              <w:bottom w:val="single" w:sz="8" w:color="2C2C2C"/>
            </w:tcBorders>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540" w:type="dxa"/>
            <w:vAlign w:val="bottom"/>
            <w:tcBorders>
              <w:bottom w:val="single" w:sz="8" w:color="2C2C2C"/>
            </w:tcBorders>
          </w:tcPr>
          <w:p>
            <w:pPr>
              <w:jc w:val="right"/>
              <w:ind w:right="458"/>
              <w:spacing w:after="0"/>
              <w:rPr>
                <w:sz w:val="20"/>
                <w:szCs w:val="20"/>
                <w:color w:val="auto"/>
              </w:rPr>
            </w:pPr>
            <w:r>
              <w:rPr>
                <w:rFonts w:ascii="Arial" w:cs="Arial" w:eastAsia="Arial" w:hAnsi="Arial"/>
                <w:sz w:val="8"/>
                <w:szCs w:val="8"/>
                <w:b w:val="1"/>
                <w:bCs w:val="1"/>
                <w:color w:val="auto"/>
                <w:w w:val="73"/>
              </w:rPr>
              <w:t>)</w:t>
            </w:r>
          </w:p>
        </w:tc>
        <w:tc>
          <w:tcPr>
            <w:tcW w:w="580" w:type="dxa"/>
            <w:vAlign w:val="bottom"/>
            <w:tcBorders>
              <w:bottom w:val="single" w:sz="8" w:color="2C2C2C"/>
            </w:tcBorders>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2C2C2C"/>
            </w:tcBorders>
          </w:tcPr>
          <w:p>
            <w:pPr>
              <w:jc w:val="right"/>
              <w:ind w:right="226"/>
              <w:spacing w:after="0" w:line="162" w:lineRule="exact"/>
              <w:rPr>
                <w:sz w:val="20"/>
                <w:szCs w:val="20"/>
                <w:color w:val="auto"/>
              </w:rPr>
            </w:pPr>
            <w:r>
              <w:rPr>
                <w:rFonts w:ascii="Arial" w:cs="Arial" w:eastAsia="Arial" w:hAnsi="Arial"/>
                <w:sz w:val="15"/>
                <w:szCs w:val="15"/>
                <w:b w:val="1"/>
                <w:bCs w:val="1"/>
                <w:color w:val="auto"/>
                <w:w w:val="79"/>
              </w:rPr>
              <w:t>)</w:t>
            </w:r>
          </w:p>
        </w:tc>
        <w:tc>
          <w:tcPr>
            <w:tcW w:w="19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2C2C2C"/>
            </w:tcBorders>
          </w:tcPr>
          <w:p>
            <w:pPr>
              <w:jc w:val="right"/>
              <w:ind w:right="306"/>
              <w:spacing w:after="0" w:line="162" w:lineRule="exact"/>
              <w:rPr>
                <w:sz w:val="20"/>
                <w:szCs w:val="20"/>
                <w:color w:val="auto"/>
              </w:rPr>
            </w:pPr>
            <w:r>
              <w:rPr>
                <w:rFonts w:ascii="Arial" w:cs="Arial" w:eastAsia="Arial" w:hAnsi="Arial"/>
                <w:sz w:val="15"/>
                <w:szCs w:val="15"/>
                <w:b w:val="1"/>
                <w:bCs w:val="1"/>
                <w:color w:val="auto"/>
                <w:w w:val="79"/>
              </w:rPr>
              <w:t>)</w:t>
            </w:r>
          </w:p>
        </w:tc>
        <w:tc>
          <w:tcPr>
            <w:tcW w:w="700" w:type="dxa"/>
            <w:vAlign w:val="bottom"/>
            <w:tcBorders>
              <w:bottom w:val="single" w:sz="8" w:color="2C2C2C"/>
            </w:tcBorders>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2C2C2C"/>
            </w:tcBorders>
          </w:tcPr>
          <w:p>
            <w:pPr>
              <w:jc w:val="right"/>
              <w:ind w:right="418"/>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CEO</w:t>
            </w:r>
          </w:p>
        </w:tc>
        <w:tc>
          <w:tcPr>
            <w:tcW w:w="1560" w:type="dxa"/>
            <w:vAlign w:val="bottom"/>
            <w:tcBorders>
              <w:bottom w:val="single" w:sz="8" w:color="2C2C2C"/>
            </w:tcBorders>
          </w:tcPr>
          <w:p>
            <w:pPr>
              <w:jc w:val="center"/>
              <w:ind w:left="646"/>
              <w:spacing w:after="0" w:line="162" w:lineRule="exact"/>
              <w:rPr>
                <w:sz w:val="20"/>
                <w:szCs w:val="20"/>
                <w:color w:val="auto"/>
              </w:rPr>
            </w:pPr>
            <w:r>
              <w:rPr>
                <w:rFonts w:ascii="Arial" w:cs="Arial" w:eastAsia="Arial" w:hAnsi="Arial"/>
                <w:sz w:val="15"/>
                <w:szCs w:val="15"/>
                <w:b w:val="1"/>
                <w:bCs w:val="1"/>
                <w:color w:val="auto"/>
                <w:w w:val="98"/>
              </w:rPr>
              <w:t>(X..)</w:t>
            </w:r>
          </w:p>
        </w:tc>
        <w:tc>
          <w:tcPr>
            <w:tcW w:w="780" w:type="dxa"/>
            <w:vAlign w:val="bottom"/>
            <w:tcBorders>
              <w:bottom w:val="single" w:sz="8" w:color="2C2C2C"/>
            </w:tcBorders>
          </w:tcPr>
          <w:p>
            <w:pPr>
              <w:ind w:left="620"/>
              <w:spacing w:after="0" w:line="162" w:lineRule="exact"/>
              <w:rPr>
                <w:sz w:val="20"/>
                <w:szCs w:val="20"/>
                <w:color w:val="auto"/>
              </w:rPr>
            </w:pPr>
            <w:r>
              <w:rPr>
                <w:rFonts w:ascii="Arial" w:cs="Arial" w:eastAsia="Arial" w:hAnsi="Arial"/>
                <w:sz w:val="15"/>
                <w:szCs w:val="15"/>
                <w:b w:val="1"/>
                <w:bCs w:val="1"/>
                <w:color w:val="auto"/>
                <w:w w:val="79"/>
              </w:rPr>
              <w:t>(...</w:t>
            </w:r>
          </w:p>
        </w:tc>
        <w:tc>
          <w:tcPr>
            <w:tcW w:w="680" w:type="dxa"/>
            <w:vAlign w:val="bottom"/>
            <w:tcBorders>
              <w:bottom w:val="single" w:sz="8" w:color="2C2C2C"/>
            </w:tcBorders>
          </w:tcPr>
          <w:p>
            <w:pPr>
              <w:jc w:val="right"/>
              <w:ind w:right="546"/>
              <w:spacing w:after="0" w:line="162" w:lineRule="exact"/>
              <w:rPr>
                <w:sz w:val="20"/>
                <w:szCs w:val="20"/>
                <w:color w:val="auto"/>
              </w:rPr>
            </w:pPr>
            <w:r>
              <w:rPr>
                <w:rFonts w:ascii="Arial" w:cs="Arial" w:eastAsia="Arial" w:hAnsi="Arial"/>
                <w:sz w:val="15"/>
                <w:szCs w:val="15"/>
                <w:b w:val="1"/>
                <w:bCs w:val="1"/>
                <w:color w:val="auto"/>
                <w:w w:val="79"/>
              </w:rPr>
              <w:t>)</w:t>
            </w:r>
          </w:p>
        </w:tc>
        <w:tc>
          <w:tcPr>
            <w:tcW w:w="480" w:type="dxa"/>
            <w:vAlign w:val="bottom"/>
            <w:tcBorders>
              <w:bottom w:val="single" w:sz="8" w:color="2C2C2C"/>
            </w:tcBorders>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540" w:type="dxa"/>
            <w:vAlign w:val="bottom"/>
            <w:tcBorders>
              <w:bottom w:val="single" w:sz="8" w:color="2C2C2C"/>
            </w:tcBorders>
          </w:tcPr>
          <w:p>
            <w:pPr>
              <w:jc w:val="right"/>
              <w:ind w:right="458"/>
              <w:spacing w:after="0"/>
              <w:rPr>
                <w:sz w:val="20"/>
                <w:szCs w:val="20"/>
                <w:color w:val="auto"/>
              </w:rPr>
            </w:pPr>
            <w:r>
              <w:rPr>
                <w:rFonts w:ascii="Arial" w:cs="Arial" w:eastAsia="Arial" w:hAnsi="Arial"/>
                <w:sz w:val="8"/>
                <w:szCs w:val="8"/>
                <w:b w:val="1"/>
                <w:bCs w:val="1"/>
                <w:color w:val="auto"/>
                <w:w w:val="73"/>
              </w:rPr>
              <w:t>)</w:t>
            </w:r>
          </w:p>
        </w:tc>
        <w:tc>
          <w:tcPr>
            <w:tcW w:w="580" w:type="dxa"/>
            <w:vAlign w:val="bottom"/>
            <w:tcBorders>
              <w:bottom w:val="single" w:sz="8" w:color="2C2C2C"/>
            </w:tcBorders>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2C2C2C"/>
            </w:tcBorders>
          </w:tcPr>
          <w:p>
            <w:pPr>
              <w:jc w:val="right"/>
              <w:ind w:right="226"/>
              <w:spacing w:after="0" w:line="162" w:lineRule="exact"/>
              <w:rPr>
                <w:sz w:val="20"/>
                <w:szCs w:val="20"/>
                <w:color w:val="auto"/>
              </w:rPr>
            </w:pPr>
            <w:r>
              <w:rPr>
                <w:rFonts w:ascii="Arial" w:cs="Arial" w:eastAsia="Arial" w:hAnsi="Arial"/>
                <w:sz w:val="15"/>
                <w:szCs w:val="15"/>
                <w:b w:val="1"/>
                <w:bCs w:val="1"/>
                <w:color w:val="auto"/>
                <w:w w:val="79"/>
              </w:rPr>
              <w:t>)</w:t>
            </w:r>
          </w:p>
        </w:tc>
        <w:tc>
          <w:tcPr>
            <w:tcW w:w="19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2C2C2C"/>
            </w:tcBorders>
          </w:tcPr>
          <w:p>
            <w:pPr>
              <w:jc w:val="right"/>
              <w:ind w:right="306"/>
              <w:spacing w:after="0" w:line="162" w:lineRule="exact"/>
              <w:rPr>
                <w:sz w:val="20"/>
                <w:szCs w:val="20"/>
                <w:color w:val="auto"/>
              </w:rPr>
            </w:pPr>
            <w:r>
              <w:rPr>
                <w:rFonts w:ascii="Arial" w:cs="Arial" w:eastAsia="Arial" w:hAnsi="Arial"/>
                <w:sz w:val="15"/>
                <w:szCs w:val="15"/>
                <w:b w:val="1"/>
                <w:bCs w:val="1"/>
                <w:color w:val="auto"/>
                <w:w w:val="79"/>
              </w:rPr>
              <w:t>)</w:t>
            </w:r>
          </w:p>
        </w:tc>
        <w:tc>
          <w:tcPr>
            <w:tcW w:w="700" w:type="dxa"/>
            <w:vAlign w:val="bottom"/>
            <w:tcBorders>
              <w:bottom w:val="single" w:sz="8" w:color="2C2C2C"/>
            </w:tcBorders>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2C2C2C"/>
            </w:tcBorders>
          </w:tcPr>
          <w:p>
            <w:pPr>
              <w:jc w:val="right"/>
              <w:ind w:right="418"/>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5"/>
                <w:szCs w:val="15"/>
                <w:color w:val="auto"/>
              </w:rPr>
              <w:t>Management staff</w:t>
            </w:r>
          </w:p>
        </w:tc>
        <w:tc>
          <w:tcPr>
            <w:tcW w:w="1560" w:type="dxa"/>
            <w:vAlign w:val="bottom"/>
          </w:tcPr>
          <w:p>
            <w:pPr>
              <w:jc w:val="center"/>
              <w:ind w:left="666"/>
              <w:spacing w:after="0"/>
              <w:rPr>
                <w:sz w:val="20"/>
                <w:szCs w:val="20"/>
                <w:color w:val="auto"/>
              </w:rPr>
            </w:pPr>
            <w:r>
              <w:rPr>
                <w:rFonts w:ascii="Arial" w:cs="Arial" w:eastAsia="Arial" w:hAnsi="Arial"/>
                <w:sz w:val="15"/>
                <w:szCs w:val="15"/>
                <w:b w:val="1"/>
                <w:bCs w:val="1"/>
                <w:color w:val="auto"/>
                <w:w w:val="97"/>
              </w:rPr>
              <w:t>(...)</w:t>
            </w:r>
          </w:p>
        </w:tc>
        <w:tc>
          <w:tcPr>
            <w:tcW w:w="1460" w:type="dxa"/>
            <w:vAlign w:val="bottom"/>
            <w:gridSpan w:val="2"/>
          </w:tcPr>
          <w:p>
            <w:pPr>
              <w:ind w:left="620"/>
              <w:spacing w:after="0"/>
              <w:rPr>
                <w:sz w:val="20"/>
                <w:szCs w:val="20"/>
                <w:color w:val="auto"/>
              </w:rPr>
            </w:pPr>
            <w:r>
              <w:rPr>
                <w:rFonts w:ascii="Arial" w:cs="Arial" w:eastAsia="Arial" w:hAnsi="Arial"/>
                <w:sz w:val="15"/>
                <w:szCs w:val="15"/>
                <w:b w:val="1"/>
                <w:bCs w:val="1"/>
                <w:color w:val="auto"/>
              </w:rPr>
              <w:t>(.X)</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jc w:val="right"/>
              <w:ind w:right="458"/>
              <w:spacing w:after="0"/>
              <w:rPr>
                <w:sz w:val="20"/>
                <w:szCs w:val="20"/>
                <w:color w:val="auto"/>
              </w:rPr>
            </w:pPr>
            <w:r>
              <w:rPr>
                <w:rFonts w:ascii="Arial" w:cs="Arial" w:eastAsia="Arial" w:hAnsi="Arial"/>
                <w:sz w:val="8"/>
                <w:szCs w:val="8"/>
                <w:b w:val="1"/>
                <w:bCs w:val="1"/>
                <w:color w:val="auto"/>
                <w:w w:val="73"/>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ind w:right="226"/>
              <w:spacing w:after="0"/>
              <w:rPr>
                <w:sz w:val="20"/>
                <w:szCs w:val="20"/>
                <w:color w:val="auto"/>
              </w:rPr>
            </w:pPr>
            <w:r>
              <w:rPr>
                <w:rFonts w:ascii="Arial" w:cs="Arial" w:eastAsia="Arial" w:hAnsi="Arial"/>
                <w:sz w:val="15"/>
                <w:szCs w:val="15"/>
                <w:b w:val="1"/>
                <w:bCs w:val="1"/>
                <w:color w:val="auto"/>
                <w:w w:val="79"/>
              </w:rPr>
              <w:t>)</w:t>
            </w:r>
          </w:p>
        </w:tc>
        <w:tc>
          <w:tcPr>
            <w:tcW w:w="1900" w:type="dxa"/>
            <w:vAlign w:val="bottom"/>
          </w:tcPr>
          <w:p>
            <w:pPr>
              <w:jc w:val="center"/>
              <w:ind w:left="46"/>
              <w:spacing w:after="0"/>
              <w:rPr>
                <w:sz w:val="20"/>
                <w:szCs w:val="20"/>
                <w:color w:val="auto"/>
              </w:rPr>
            </w:pPr>
            <w:r>
              <w:rPr>
                <w:rFonts w:ascii="Arial" w:cs="Arial" w:eastAsia="Arial" w:hAnsi="Arial"/>
                <w:sz w:val="15"/>
                <w:szCs w:val="15"/>
                <w:color w:val="auto"/>
                <w:w w:val="89"/>
              </w:rPr>
              <w:t>Structure and functions</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40" w:type="dxa"/>
            <w:vAlign w:val="bottom"/>
          </w:tcPr>
          <w:p>
            <w:pPr>
              <w:jc w:val="right"/>
              <w:ind w:right="306"/>
              <w:spacing w:after="0"/>
              <w:rPr>
                <w:sz w:val="20"/>
                <w:szCs w:val="20"/>
                <w:color w:val="auto"/>
              </w:rPr>
            </w:pPr>
            <w:r>
              <w:rPr>
                <w:rFonts w:ascii="Arial" w:cs="Arial" w:eastAsia="Arial" w:hAnsi="Arial"/>
                <w:sz w:val="15"/>
                <w:szCs w:val="15"/>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00" w:type="dxa"/>
            <w:vAlign w:val="bottom"/>
          </w:tcPr>
          <w:p>
            <w:pPr>
              <w:jc w:val="right"/>
              <w:ind w:right="418"/>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line="230" w:lineRule="auto"/>
        <w:tabs>
          <w:tab w:leader="none" w:pos="180"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Specify the name of the document, if not THE COMPANY’s statutes.</w:t>
      </w:r>
    </w:p>
    <w:p>
      <w:pPr>
        <w:spacing w:after="0" w:line="1"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The functions and responsibilities of the officeholder indicated are not defined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42545" cy="5054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2545" cy="50546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146050</wp:posOffset>
            </wp:positionV>
            <wp:extent cx="42545" cy="4883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2545" cy="48831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137795</wp:posOffset>
            </wp:positionV>
            <wp:extent cx="42545" cy="5054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2545" cy="50546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8560" w:type="dxa"/>
            <w:vAlign w:val="bottom"/>
            <w:tcBorders>
              <w:top w:val="single" w:sz="8" w:color="2C2C2C"/>
              <w:bottom w:val="single" w:sz="8" w:color="2C2C2C"/>
            </w:tcBorders>
            <w:gridSpan w:val="5"/>
            <w:vMerge w:val="restart"/>
          </w:tcPr>
          <w:p>
            <w:pPr>
              <w:ind w:left="20"/>
              <w:spacing w:after="0"/>
              <w:rPr>
                <w:sz w:val="20"/>
                <w:szCs w:val="20"/>
                <w:color w:val="auto"/>
              </w:rPr>
            </w:pPr>
            <w:r>
              <w:rPr>
                <w:rFonts w:ascii="Arial" w:cs="Arial" w:eastAsia="Arial" w:hAnsi="Arial"/>
                <w:sz w:val="15"/>
                <w:szCs w:val="15"/>
                <w:i w:val="1"/>
                <w:iCs w:val="1"/>
                <w:color w:val="auto"/>
              </w:rPr>
              <w:t>Principle</w:t>
            </w:r>
          </w:p>
        </w:tc>
        <w:tc>
          <w:tcPr>
            <w:tcW w:w="740" w:type="dxa"/>
            <w:vAlign w:val="bottom"/>
            <w:tcBorders>
              <w:top w:val="single" w:sz="8" w:color="2C2C2C"/>
              <w:bottom w:val="single" w:sz="8" w:color="2C2C2C"/>
            </w:tcBorders>
          </w:tcPr>
          <w:p>
            <w:pPr>
              <w:jc w:val="right"/>
              <w:ind w:right="6"/>
              <w:spacing w:after="0"/>
              <w:rPr>
                <w:sz w:val="20"/>
                <w:szCs w:val="20"/>
                <w:color w:val="auto"/>
              </w:rPr>
            </w:pPr>
            <w:r>
              <w:rPr>
                <w:rFonts w:ascii="Arial" w:cs="Arial" w:eastAsia="Arial" w:hAnsi="Arial"/>
                <w:sz w:val="15"/>
                <w:szCs w:val="15"/>
                <w:i w:val="1"/>
                <w:iCs w:val="1"/>
                <w:color w:val="auto"/>
                <w:w w:val="93"/>
              </w:rPr>
              <w:t>Fulfillment</w:t>
            </w:r>
          </w:p>
        </w:tc>
        <w:tc>
          <w:tcPr>
            <w:tcW w:w="380" w:type="dxa"/>
            <w:vAlign w:val="bottom"/>
            <w:tcBorders>
              <w:top w:val="single" w:sz="8" w:color="2C2C2C"/>
              <w:bottom w:val="single" w:sz="8" w:color="2C2C2C"/>
            </w:tcBorders>
          </w:tcPr>
          <w:p>
            <w:pPr>
              <w:spacing w:after="0"/>
              <w:rPr>
                <w:sz w:val="17"/>
                <w:szCs w:val="17"/>
                <w:color w:val="auto"/>
              </w:rPr>
            </w:pPr>
          </w:p>
        </w:tc>
        <w:tc>
          <w:tcPr>
            <w:tcW w:w="580" w:type="dxa"/>
            <w:vAlign w:val="bottom"/>
            <w:tcBorders>
              <w:top w:val="single" w:sz="8" w:color="2C2C2C"/>
              <w:bottom w:val="single" w:sz="8" w:color="2C2C2C"/>
            </w:tcBorders>
          </w:tcPr>
          <w:p>
            <w:pPr>
              <w:spacing w:after="0"/>
              <w:rPr>
                <w:sz w:val="17"/>
                <w:szCs w:val="17"/>
                <w:color w:val="auto"/>
              </w:rPr>
            </w:pPr>
          </w:p>
        </w:tc>
        <w:tc>
          <w:tcPr>
            <w:tcW w:w="760" w:type="dxa"/>
            <w:vAlign w:val="bottom"/>
            <w:tcBorders>
              <w:top w:val="single" w:sz="8" w:color="2C2C2C"/>
              <w:bottom w:val="single" w:sz="8" w:color="2C2C2C"/>
            </w:tcBorders>
          </w:tcPr>
          <w:p>
            <w:pPr>
              <w:spacing w:after="0"/>
              <w:rPr>
                <w:sz w:val="17"/>
                <w:szCs w:val="17"/>
                <w:color w:val="auto"/>
              </w:rPr>
            </w:pPr>
          </w:p>
        </w:tc>
        <w:tc>
          <w:tcPr>
            <w:tcW w:w="100" w:type="dxa"/>
            <w:vAlign w:val="bottom"/>
            <w:tcBorders>
              <w:top w:val="single" w:sz="8" w:color="2C2C2C"/>
              <w:bottom w:val="single" w:sz="8" w:color="2C2C2C"/>
            </w:tcBorders>
          </w:tcPr>
          <w:p>
            <w:pPr>
              <w:spacing w:after="0"/>
              <w:rPr>
                <w:sz w:val="17"/>
                <w:szCs w:val="17"/>
                <w:color w:val="auto"/>
              </w:rPr>
            </w:pPr>
          </w:p>
        </w:tc>
        <w:tc>
          <w:tcPr>
            <w:tcW w:w="26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gridSpan w:val="5"/>
            <w:vMerge w:val="continue"/>
          </w:tcPr>
          <w:p>
            <w:pPr>
              <w:spacing w:after="0"/>
              <w:rPr>
                <w:sz w:val="4"/>
                <w:szCs w:val="4"/>
                <w:color w:val="auto"/>
              </w:rPr>
            </w:pPr>
          </w:p>
        </w:tc>
        <w:tc>
          <w:tcPr>
            <w:tcW w:w="740" w:type="dxa"/>
            <w:vAlign w:val="bottom"/>
            <w:vMerge w:val="restart"/>
          </w:tcPr>
          <w:p>
            <w:pPr>
              <w:jc w:val="right"/>
              <w:ind w:right="346"/>
              <w:spacing w:after="0" w:line="162" w:lineRule="exact"/>
              <w:rPr>
                <w:sz w:val="20"/>
                <w:szCs w:val="20"/>
                <w:color w:val="auto"/>
              </w:rPr>
            </w:pPr>
            <w:r>
              <w:rPr>
                <w:rFonts w:ascii="Arial" w:cs="Arial" w:eastAsia="Arial" w:hAnsi="Arial"/>
                <w:sz w:val="15"/>
                <w:szCs w:val="15"/>
                <w:i w:val="1"/>
                <w:iCs w:val="1"/>
                <w:color w:val="auto"/>
              </w:rPr>
              <w:t>0</w:t>
            </w:r>
          </w:p>
        </w:tc>
        <w:tc>
          <w:tcPr>
            <w:tcW w:w="380" w:type="dxa"/>
            <w:vAlign w:val="bottom"/>
            <w:vMerge w:val="restart"/>
          </w:tcPr>
          <w:p>
            <w:pPr>
              <w:jc w:val="right"/>
              <w:ind w:right="166"/>
              <w:spacing w:after="0" w:line="162" w:lineRule="exact"/>
              <w:rPr>
                <w:sz w:val="20"/>
                <w:szCs w:val="20"/>
                <w:color w:val="auto"/>
              </w:rPr>
            </w:pPr>
            <w:r>
              <w:rPr>
                <w:rFonts w:ascii="Arial" w:cs="Arial" w:eastAsia="Arial" w:hAnsi="Arial"/>
                <w:sz w:val="15"/>
                <w:szCs w:val="15"/>
                <w:i w:val="1"/>
                <w:iCs w:val="1"/>
                <w:color w:val="auto"/>
              </w:rPr>
              <w:t>1</w:t>
            </w:r>
          </w:p>
        </w:tc>
        <w:tc>
          <w:tcPr>
            <w:tcW w:w="580" w:type="dxa"/>
            <w:vAlign w:val="bottom"/>
            <w:vMerge w:val="restart"/>
          </w:tcPr>
          <w:p>
            <w:pPr>
              <w:jc w:val="right"/>
              <w:ind w:right="186"/>
              <w:spacing w:after="0" w:line="162" w:lineRule="exact"/>
              <w:rPr>
                <w:sz w:val="20"/>
                <w:szCs w:val="20"/>
                <w:color w:val="auto"/>
              </w:rPr>
            </w:pPr>
            <w:r>
              <w:rPr>
                <w:rFonts w:ascii="Arial" w:cs="Arial" w:eastAsia="Arial" w:hAnsi="Arial"/>
                <w:sz w:val="15"/>
                <w:szCs w:val="15"/>
                <w:i w:val="1"/>
                <w:iCs w:val="1"/>
                <w:color w:val="auto"/>
              </w:rPr>
              <w:t>2</w:t>
            </w:r>
          </w:p>
        </w:tc>
        <w:tc>
          <w:tcPr>
            <w:tcW w:w="760" w:type="dxa"/>
            <w:vAlign w:val="bottom"/>
            <w:vMerge w:val="restart"/>
          </w:tcPr>
          <w:p>
            <w:pPr>
              <w:jc w:val="right"/>
              <w:ind w:right="366"/>
              <w:spacing w:after="0" w:line="162" w:lineRule="exact"/>
              <w:rPr>
                <w:sz w:val="20"/>
                <w:szCs w:val="20"/>
                <w:color w:val="auto"/>
              </w:rPr>
            </w:pPr>
            <w:r>
              <w:rPr>
                <w:rFonts w:ascii="Arial" w:cs="Arial" w:eastAsia="Arial" w:hAnsi="Arial"/>
                <w:sz w:val="15"/>
                <w:szCs w:val="15"/>
                <w:i w:val="1"/>
                <w:iCs w:val="1"/>
                <w:color w:val="auto"/>
              </w:rPr>
              <w:t>3</w:t>
            </w:r>
          </w:p>
        </w:tc>
        <w:tc>
          <w:tcPr>
            <w:tcW w:w="360" w:type="dxa"/>
            <w:vAlign w:val="bottom"/>
            <w:gridSpan w:val="2"/>
            <w:vMerge w:val="restart"/>
          </w:tcPr>
          <w:p>
            <w:pPr>
              <w:jc w:val="right"/>
              <w:ind w:right="240"/>
              <w:spacing w:after="0" w:line="162" w:lineRule="exact"/>
              <w:rPr>
                <w:sz w:val="20"/>
                <w:szCs w:val="20"/>
                <w:color w:val="auto"/>
              </w:rPr>
            </w:pPr>
            <w:r>
              <w:rPr>
                <w:rFonts w:ascii="Arial" w:cs="Arial" w:eastAsia="Arial" w:hAnsi="Arial"/>
                <w:sz w:val="15"/>
                <w:szCs w:val="15"/>
                <w:i w:val="1"/>
                <w:iCs w:val="1"/>
                <w:color w:val="auto"/>
              </w:rPr>
              <w:t>4</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0" w:type="dxa"/>
            <w:vAlign w:val="bottom"/>
            <w:tcBorders>
              <w:top w:val="single" w:sz="8" w:color="auto"/>
              <w:bottom w:val="single" w:sz="8" w:color="2C2C2C"/>
            </w:tcBorders>
          </w:tcPr>
          <w:p>
            <w:pPr>
              <w:spacing w:after="0"/>
              <w:rPr>
                <w:sz w:val="8"/>
                <w:szCs w:val="8"/>
                <w:color w:val="auto"/>
              </w:rPr>
            </w:pPr>
          </w:p>
        </w:tc>
        <w:tc>
          <w:tcPr>
            <w:tcW w:w="300" w:type="dxa"/>
            <w:vAlign w:val="bottom"/>
            <w:tcBorders>
              <w:top w:val="single" w:sz="8" w:color="auto"/>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3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vMerge w:val="continue"/>
          </w:tcPr>
          <w:p>
            <w:pPr>
              <w:spacing w:after="0"/>
              <w:rPr>
                <w:sz w:val="8"/>
                <w:szCs w:val="8"/>
                <w:color w:val="auto"/>
              </w:rPr>
            </w:pPr>
          </w:p>
        </w:tc>
        <w:tc>
          <w:tcPr>
            <w:tcW w:w="380" w:type="dxa"/>
            <w:vAlign w:val="bottom"/>
            <w:tcBorders>
              <w:bottom w:val="single" w:sz="8" w:color="2C2C2C"/>
            </w:tcBorders>
            <w:vMerge w:val="continue"/>
          </w:tcPr>
          <w:p>
            <w:pPr>
              <w:spacing w:after="0"/>
              <w:rPr>
                <w:sz w:val="8"/>
                <w:szCs w:val="8"/>
                <w:color w:val="auto"/>
              </w:rPr>
            </w:pPr>
          </w:p>
        </w:tc>
        <w:tc>
          <w:tcPr>
            <w:tcW w:w="580" w:type="dxa"/>
            <w:vAlign w:val="bottom"/>
            <w:tcBorders>
              <w:bottom w:val="single" w:sz="8" w:color="2C2C2C"/>
            </w:tcBorders>
            <w:vMerge w:val="continue"/>
          </w:tcPr>
          <w:p>
            <w:pPr>
              <w:spacing w:after="0"/>
              <w:rPr>
                <w:sz w:val="8"/>
                <w:szCs w:val="8"/>
                <w:color w:val="auto"/>
              </w:rPr>
            </w:pPr>
          </w:p>
        </w:tc>
        <w:tc>
          <w:tcPr>
            <w:tcW w:w="760" w:type="dxa"/>
            <w:vAlign w:val="bottom"/>
            <w:tcBorders>
              <w:bottom w:val="single" w:sz="8" w:color="2C2C2C"/>
            </w:tcBorders>
            <w:vMerge w:val="continue"/>
          </w:tcPr>
          <w:p>
            <w:pPr>
              <w:spacing w:after="0"/>
              <w:rPr>
                <w:sz w:val="8"/>
                <w:szCs w:val="8"/>
                <w:color w:val="auto"/>
              </w:rPr>
            </w:pPr>
          </w:p>
        </w:tc>
        <w:tc>
          <w:tcPr>
            <w:tcW w:w="360" w:type="dxa"/>
            <w:vAlign w:val="bottom"/>
            <w:tcBorders>
              <w:bottom w:val="single" w:sz="8" w:color="2C2C2C"/>
            </w:tcBorders>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gridSpan w:val="5"/>
          </w:tcPr>
          <w:p>
            <w:pPr>
              <w:ind w:left="20"/>
              <w:spacing w:after="0" w:line="149" w:lineRule="exact"/>
              <w:rPr>
                <w:sz w:val="20"/>
                <w:szCs w:val="20"/>
                <w:color w:val="auto"/>
              </w:rPr>
            </w:pPr>
            <w:r>
              <w:rPr>
                <w:rFonts w:ascii="Arial" w:cs="Arial" w:eastAsia="Arial" w:hAnsi="Arial"/>
                <w:sz w:val="15"/>
                <w:szCs w:val="15"/>
                <w:i w:val="1"/>
                <w:iCs w:val="1"/>
                <w:color w:val="auto"/>
                <w:w w:val="93"/>
              </w:rPr>
              <w:t>26. Principle V.I.5).- It is recommended that Management receive at least part of their payment on the basis of the company’s results, thus</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gridSpan w:val="2"/>
          </w:tcPr>
          <w:p>
            <w:pPr>
              <w:jc w:val="right"/>
              <w:ind w:right="260"/>
              <w:spacing w:after="0" w:line="149" w:lineRule="exact"/>
              <w:rPr>
                <w:sz w:val="20"/>
                <w:szCs w:val="20"/>
                <w:color w:val="auto"/>
              </w:rPr>
            </w:pPr>
            <w:r>
              <w:rPr>
                <w:rFonts w:ascii="Arial" w:cs="Arial" w:eastAsia="Arial" w:hAnsi="Arial"/>
                <w:sz w:val="15"/>
                <w:szCs w:val="15"/>
                <w:i w:val="1"/>
                <w:iCs w:val="1"/>
                <w:color w:val="auto"/>
                <w:w w:val="79"/>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7380" w:type="dxa"/>
            <w:vAlign w:val="bottom"/>
            <w:vMerge w:val="restart"/>
          </w:tcPr>
          <w:p>
            <w:pPr>
              <w:spacing w:after="0"/>
              <w:rPr>
                <w:sz w:val="20"/>
                <w:szCs w:val="20"/>
                <w:color w:val="auto"/>
              </w:rPr>
            </w:pPr>
            <w:r>
              <w:rPr>
                <w:rFonts w:ascii="Arial" w:cs="Arial" w:eastAsia="Arial" w:hAnsi="Arial"/>
                <w:sz w:val="15"/>
                <w:szCs w:val="15"/>
                <w:i w:val="1"/>
                <w:iCs w:val="1"/>
                <w:color w:val="auto"/>
              </w:rPr>
              <w:t>objective of maximizing the value of the company in favor of the shareholders is achieved.</w:t>
            </w: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gridSpan w:val="4"/>
          </w:tcPr>
          <w:p>
            <w:pPr>
              <w:ind w:left="20"/>
              <w:spacing w:after="0" w:line="156" w:lineRule="exact"/>
              <w:rPr>
                <w:sz w:val="20"/>
                <w:szCs w:val="20"/>
                <w:color w:val="auto"/>
              </w:rPr>
            </w:pPr>
            <w:r>
              <w:rPr>
                <w:rFonts w:ascii="Arial" w:cs="Arial" w:eastAsia="Arial" w:hAnsi="Arial"/>
                <w:sz w:val="15"/>
                <w:szCs w:val="15"/>
                <w:i w:val="1"/>
                <w:iCs w:val="1"/>
                <w:color w:val="auto"/>
              </w:rPr>
              <w:t>ensuring that the</w:t>
            </w:r>
          </w:p>
        </w:tc>
        <w:tc>
          <w:tcPr>
            <w:tcW w:w="7380" w:type="dxa"/>
            <w:vAlign w:val="bottom"/>
            <w:tcBorders>
              <w:bottom w:val="single" w:sz="8" w:color="2C2C2C"/>
            </w:tcBorders>
            <w:vMerge w:val="continue"/>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-363855</wp:posOffset>
            </wp:positionV>
            <wp:extent cx="42545" cy="3683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-363855</wp:posOffset>
            </wp:positionV>
            <wp:extent cx="42545" cy="3683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-363855</wp:posOffset>
            </wp:positionV>
            <wp:extent cx="42545" cy="3683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2545" cy="36830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-363855</wp:posOffset>
            </wp:positionV>
            <wp:extent cx="42545" cy="3683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2545" cy="36830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With regard to the bonus policy for management staff, indicate the way(s) in which bonuses are given: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AWARDING OF SHARES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(X) AWARDING OF OPTIONS</w:t>
      </w:r>
    </w:p>
    <w:p>
      <w:pPr>
        <w:spacing w:after="0" w:line="230" w:lineRule="auto"/>
        <w:rPr>
          <w:sz w:val="20"/>
          <w:szCs w:val="20"/>
          <w:color w:val="auto"/>
        </w:rPr>
      </w:pPr>
      <w:r>
        <w:rPr>
          <w:rFonts w:ascii="Arial" w:cs="Arial" w:eastAsia="Arial" w:hAnsi="Arial"/>
          <w:sz w:val="22"/>
          <w:szCs w:val="22"/>
          <w:b w:val="1"/>
          <w:bCs w:val="1"/>
          <w:color w:val="auto"/>
        </w:rPr>
        <w:t>(...) MONETARY AWARDS</w:t>
      </w:r>
    </w:p>
    <w:p>
      <w:pPr>
        <w:spacing w:after="0" w:line="231" w:lineRule="auto"/>
        <w:rPr>
          <w:sz w:val="20"/>
          <w:szCs w:val="20"/>
          <w:color w:val="auto"/>
        </w:rPr>
      </w:pPr>
      <w:r>
        <w:rPr>
          <w:rFonts w:ascii="Arial" w:cs="Arial" w:eastAsia="Arial" w:hAnsi="Arial"/>
          <w:sz w:val="22"/>
          <w:szCs w:val="22"/>
          <w:b w:val="1"/>
          <w:bCs w:val="1"/>
          <w:color w:val="auto"/>
        </w:rPr>
        <w:t>(...) OTHER. Give details ...............................................................................................................</w:t>
      </w:r>
    </w:p>
    <w:p>
      <w:pPr>
        <w:spacing w:after="0"/>
        <w:rPr>
          <w:sz w:val="20"/>
          <w:szCs w:val="20"/>
          <w:color w:val="auto"/>
        </w:rPr>
      </w:pPr>
      <w:r>
        <w:rPr>
          <w:rFonts w:ascii="Arial" w:cs="Arial" w:eastAsia="Arial" w:hAnsi="Arial"/>
          <w:sz w:val="22"/>
          <w:szCs w:val="22"/>
          <w:b w:val="1"/>
          <w:bCs w:val="1"/>
          <w:color w:val="auto"/>
        </w:rPr>
        <w:t>(...) NOT APPLICABLE. THE COMPANY DOES NOT HAVE BONUS PROGRAMS FOR MANAGEMENT STAFF.</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 Indicate whether the payment (without taking bonuses into account) received by the CEO and management staff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72020" cy="5054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2020" cy="50546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Borders>
              <w:top w:val="single" w:sz="8" w:color="808080"/>
            </w:tcBorders>
          </w:tcPr>
          <w:p>
            <w:pPr>
              <w:spacing w:after="0"/>
              <w:rPr>
                <w:sz w:val="15"/>
                <w:szCs w:val="15"/>
                <w:color w:val="auto"/>
              </w:rPr>
            </w:pPr>
          </w:p>
        </w:tc>
        <w:tc>
          <w:tcPr>
            <w:tcW w:w="4160" w:type="dxa"/>
            <w:vAlign w:val="bottom"/>
            <w:tcBorders>
              <w:top w:val="single" w:sz="8" w:color="2C2C2C"/>
            </w:tcBorders>
          </w:tcPr>
          <w:p>
            <w:pPr>
              <w:spacing w:after="0"/>
              <w:rPr>
                <w:sz w:val="15"/>
                <w:szCs w:val="15"/>
                <w:color w:val="auto"/>
              </w:rPr>
            </w:pPr>
          </w:p>
        </w:tc>
        <w:tc>
          <w:tcPr>
            <w:tcW w:w="3220" w:type="dxa"/>
            <w:vAlign w:val="bottom"/>
            <w:tcBorders>
              <w:top w:val="single" w:sz="8" w:color="2C2C2C"/>
            </w:tcBorders>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1540" w:type="dxa"/>
            <w:vAlign w:val="bottom"/>
            <w:tcBorders>
              <w:top w:val="single" w:sz="8" w:color="2C2C2C"/>
            </w:tcBorders>
            <w:gridSpan w:val="2"/>
          </w:tcPr>
          <w:p>
            <w:pPr>
              <w:jc w:val="center"/>
              <w:ind w:right="58"/>
              <w:spacing w:after="0"/>
              <w:rPr>
                <w:sz w:val="20"/>
                <w:szCs w:val="20"/>
                <w:color w:val="auto"/>
              </w:rPr>
            </w:pPr>
            <w:r>
              <w:rPr>
                <w:rFonts w:ascii="Arial" w:cs="Arial" w:eastAsia="Arial" w:hAnsi="Arial"/>
                <w:sz w:val="15"/>
                <w:szCs w:val="15"/>
                <w:color w:val="auto"/>
              </w:rPr>
              <w:t>A VARIABLE</w:t>
            </w:r>
          </w:p>
        </w:tc>
        <w:tc>
          <w:tcPr>
            <w:tcW w:w="162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060" w:type="dxa"/>
            <w:vAlign w:val="bottom"/>
            <w:gridSpan w:val="2"/>
          </w:tcPr>
          <w:p>
            <w:pPr>
              <w:jc w:val="center"/>
              <w:ind w:left="2146"/>
              <w:spacing w:after="0" w:line="172" w:lineRule="exact"/>
              <w:rPr>
                <w:sz w:val="20"/>
                <w:szCs w:val="20"/>
                <w:color w:val="auto"/>
              </w:rPr>
            </w:pPr>
            <w:r>
              <w:rPr>
                <w:rFonts w:ascii="Arial" w:cs="Arial" w:eastAsia="Arial" w:hAnsi="Arial"/>
                <w:sz w:val="15"/>
                <w:szCs w:val="15"/>
                <w:color w:val="auto"/>
              </w:rPr>
              <w:t>A FIXED AMOUNT</w:t>
            </w:r>
          </w:p>
        </w:tc>
        <w:tc>
          <w:tcPr>
            <w:tcW w:w="1540" w:type="dxa"/>
            <w:vAlign w:val="bottom"/>
            <w:gridSpan w:val="2"/>
          </w:tcPr>
          <w:p>
            <w:pPr>
              <w:jc w:val="center"/>
              <w:ind w:right="78"/>
              <w:spacing w:after="0" w:line="172" w:lineRule="exact"/>
              <w:rPr>
                <w:sz w:val="20"/>
                <w:szCs w:val="20"/>
                <w:color w:val="auto"/>
              </w:rPr>
            </w:pPr>
            <w:r>
              <w:rPr>
                <w:rFonts w:ascii="Arial" w:cs="Arial" w:eastAsia="Arial" w:hAnsi="Arial"/>
                <w:sz w:val="15"/>
                <w:szCs w:val="15"/>
                <w:color w:val="auto"/>
              </w:rPr>
              <w:t>AMOUNT</w:t>
            </w:r>
          </w:p>
        </w:tc>
        <w:tc>
          <w:tcPr>
            <w:tcW w:w="1640" w:type="dxa"/>
            <w:vAlign w:val="bottom"/>
            <w:gridSpan w:val="2"/>
          </w:tcPr>
          <w:p>
            <w:pPr>
              <w:ind w:left="280"/>
              <w:spacing w:after="0" w:line="172" w:lineRule="exact"/>
              <w:rPr>
                <w:sz w:val="20"/>
                <w:szCs w:val="20"/>
                <w:color w:val="auto"/>
              </w:rPr>
            </w:pPr>
            <w:r>
              <w:rPr>
                <w:rFonts w:ascii="Arial" w:cs="Arial" w:eastAsia="Arial" w:hAnsi="Arial"/>
                <w:sz w:val="15"/>
                <w:szCs w:val="15"/>
                <w:color w:val="auto"/>
              </w:rPr>
              <w:t>PAYMENT (%)*</w:t>
            </w:r>
          </w:p>
        </w:tc>
      </w:tr>
      <w:tr>
        <w:trPr>
          <w:trHeight w:val="169"/>
        </w:trPr>
        <w:tc>
          <w:tcPr>
            <w:tcW w:w="20" w:type="dxa"/>
            <w:vAlign w:val="bottom"/>
          </w:tcPr>
          <w:p>
            <w:pPr>
              <w:spacing w:after="0"/>
              <w:rPr>
                <w:sz w:val="14"/>
                <w:szCs w:val="14"/>
                <w:color w:val="auto"/>
              </w:rPr>
            </w:pPr>
          </w:p>
        </w:tc>
        <w:tc>
          <w:tcPr>
            <w:tcW w:w="4160" w:type="dxa"/>
            <w:vAlign w:val="bottom"/>
            <w:tcBorders>
              <w:top w:val="single" w:sz="8" w:color="2C2C2C"/>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CEO</w:t>
            </w:r>
          </w:p>
        </w:tc>
        <w:tc>
          <w:tcPr>
            <w:tcW w:w="3220" w:type="dxa"/>
            <w:vAlign w:val="bottom"/>
            <w:tcBorders>
              <w:top w:val="single" w:sz="8" w:color="2C2C2C"/>
              <w:bottom w:val="single" w:sz="8" w:color="2C2C2C"/>
            </w:tcBorders>
          </w:tcPr>
          <w:p>
            <w:pPr>
              <w:jc w:val="center"/>
              <w:ind w:left="2986"/>
              <w:spacing w:after="0" w:line="162" w:lineRule="exact"/>
              <w:rPr>
                <w:sz w:val="20"/>
                <w:szCs w:val="20"/>
                <w:color w:val="auto"/>
              </w:rPr>
            </w:pPr>
            <w:r>
              <w:rPr>
                <w:rFonts w:ascii="Arial" w:cs="Arial" w:eastAsia="Arial" w:hAnsi="Arial"/>
                <w:sz w:val="15"/>
                <w:szCs w:val="15"/>
                <w:b w:val="1"/>
                <w:bCs w:val="1"/>
                <w:color w:val="auto"/>
                <w:w w:val="91"/>
              </w:rPr>
              <w:t>(...</w:t>
            </w:r>
          </w:p>
        </w:tc>
        <w:tc>
          <w:tcPr>
            <w:tcW w:w="840" w:type="dxa"/>
            <w:vAlign w:val="bottom"/>
            <w:tcBorders>
              <w:top w:val="single" w:sz="8" w:color="2C2C2C"/>
              <w:bottom w:val="single" w:sz="8" w:color="2C2C2C"/>
            </w:tcBorders>
          </w:tcPr>
          <w:p>
            <w:pPr>
              <w:jc w:val="right"/>
              <w:ind w:right="758"/>
              <w:spacing w:after="0"/>
              <w:rPr>
                <w:sz w:val="20"/>
                <w:szCs w:val="20"/>
                <w:color w:val="auto"/>
              </w:rPr>
            </w:pPr>
            <w:r>
              <w:rPr>
                <w:rFonts w:ascii="Arial" w:cs="Arial" w:eastAsia="Arial" w:hAnsi="Arial"/>
                <w:sz w:val="8"/>
                <w:szCs w:val="8"/>
                <w:b w:val="1"/>
                <w:bCs w:val="1"/>
                <w:color w:val="auto"/>
                <w:w w:val="73"/>
              </w:rPr>
              <w:t>)</w:t>
            </w:r>
          </w:p>
        </w:tc>
        <w:tc>
          <w:tcPr>
            <w:tcW w:w="780" w:type="dxa"/>
            <w:vAlign w:val="bottom"/>
            <w:tcBorders>
              <w:top w:val="single" w:sz="8" w:color="2C2C2C"/>
              <w:bottom w:val="single" w:sz="8" w:color="2C2C2C"/>
            </w:tcBorders>
          </w:tcPr>
          <w:p>
            <w:pPr>
              <w:jc w:val="center"/>
              <w:ind w:left="546"/>
              <w:spacing w:after="0" w:line="162" w:lineRule="exact"/>
              <w:rPr>
                <w:sz w:val="20"/>
                <w:szCs w:val="20"/>
                <w:color w:val="auto"/>
              </w:rPr>
            </w:pPr>
            <w:r>
              <w:rPr>
                <w:rFonts w:ascii="Arial" w:cs="Arial" w:eastAsia="Arial" w:hAnsi="Arial"/>
                <w:sz w:val="15"/>
                <w:szCs w:val="15"/>
                <w:b w:val="1"/>
                <w:bCs w:val="1"/>
                <w:color w:val="auto"/>
                <w:w w:val="91"/>
              </w:rPr>
              <w:t>(...</w:t>
            </w:r>
          </w:p>
        </w:tc>
        <w:tc>
          <w:tcPr>
            <w:tcW w:w="760" w:type="dxa"/>
            <w:vAlign w:val="bottom"/>
            <w:tcBorders>
              <w:top w:val="single" w:sz="8" w:color="2C2C2C"/>
              <w:bottom w:val="single" w:sz="8" w:color="2C2C2C"/>
            </w:tcBorders>
          </w:tcPr>
          <w:p>
            <w:pPr>
              <w:jc w:val="right"/>
              <w:ind w:right="678"/>
              <w:spacing w:after="0"/>
              <w:rPr>
                <w:sz w:val="20"/>
                <w:szCs w:val="20"/>
                <w:color w:val="auto"/>
              </w:rPr>
            </w:pPr>
            <w:r>
              <w:rPr>
                <w:rFonts w:ascii="Arial" w:cs="Arial" w:eastAsia="Arial" w:hAnsi="Arial"/>
                <w:sz w:val="8"/>
                <w:szCs w:val="8"/>
                <w:b w:val="1"/>
                <w:bCs w:val="1"/>
                <w:color w:val="auto"/>
                <w:w w:val="73"/>
              </w:rPr>
              <w:t>)</w:t>
            </w:r>
          </w:p>
        </w:tc>
        <w:tc>
          <w:tcPr>
            <w:tcW w:w="1620" w:type="dxa"/>
            <w:vAlign w:val="bottom"/>
            <w:tcBorders>
              <w:top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Arial" w:cs="Arial" w:eastAsia="Arial" w:hAnsi="Arial"/>
                <w:sz w:val="15"/>
                <w:szCs w:val="15"/>
                <w:b w:val="1"/>
                <w:bCs w:val="1"/>
                <w:color w:val="auto"/>
              </w:rPr>
              <w:t>MANAGEMENT STAFF</w:t>
            </w:r>
          </w:p>
        </w:tc>
        <w:tc>
          <w:tcPr>
            <w:tcW w:w="3220" w:type="dxa"/>
            <w:vAlign w:val="bottom"/>
          </w:tcPr>
          <w:p>
            <w:pPr>
              <w:jc w:val="center"/>
              <w:ind w:left="2986"/>
              <w:spacing w:after="0"/>
              <w:rPr>
                <w:sz w:val="20"/>
                <w:szCs w:val="20"/>
                <w:color w:val="auto"/>
              </w:rPr>
            </w:pPr>
            <w:r>
              <w:rPr>
                <w:rFonts w:ascii="Arial" w:cs="Arial" w:eastAsia="Arial" w:hAnsi="Arial"/>
                <w:sz w:val="15"/>
                <w:szCs w:val="15"/>
                <w:b w:val="1"/>
                <w:bCs w:val="1"/>
                <w:color w:val="auto"/>
                <w:w w:val="91"/>
              </w:rPr>
              <w:t>(...</w:t>
            </w:r>
          </w:p>
        </w:tc>
        <w:tc>
          <w:tcPr>
            <w:tcW w:w="840" w:type="dxa"/>
            <w:vAlign w:val="bottom"/>
          </w:tcPr>
          <w:p>
            <w:pPr>
              <w:jc w:val="right"/>
              <w:ind w:right="758"/>
              <w:spacing w:after="0"/>
              <w:rPr>
                <w:sz w:val="20"/>
                <w:szCs w:val="20"/>
                <w:color w:val="auto"/>
              </w:rPr>
            </w:pPr>
            <w:r>
              <w:rPr>
                <w:rFonts w:ascii="Arial" w:cs="Arial" w:eastAsia="Arial" w:hAnsi="Arial"/>
                <w:sz w:val="8"/>
                <w:szCs w:val="8"/>
                <w:b w:val="1"/>
                <w:bCs w:val="1"/>
                <w:color w:val="auto"/>
                <w:w w:val="73"/>
              </w:rPr>
              <w:t>)</w:t>
            </w:r>
          </w:p>
        </w:tc>
        <w:tc>
          <w:tcPr>
            <w:tcW w:w="780" w:type="dxa"/>
            <w:vAlign w:val="bottom"/>
          </w:tcPr>
          <w:p>
            <w:pPr>
              <w:jc w:val="center"/>
              <w:ind w:left="546"/>
              <w:spacing w:after="0"/>
              <w:rPr>
                <w:sz w:val="20"/>
                <w:szCs w:val="20"/>
                <w:color w:val="auto"/>
              </w:rPr>
            </w:pPr>
            <w:r>
              <w:rPr>
                <w:rFonts w:ascii="Arial" w:cs="Arial" w:eastAsia="Arial" w:hAnsi="Arial"/>
                <w:sz w:val="15"/>
                <w:szCs w:val="15"/>
                <w:b w:val="1"/>
                <w:bCs w:val="1"/>
                <w:color w:val="auto"/>
                <w:w w:val="91"/>
              </w:rPr>
              <w:t>(...</w:t>
            </w:r>
          </w:p>
        </w:tc>
        <w:tc>
          <w:tcPr>
            <w:tcW w:w="760" w:type="dxa"/>
            <w:vAlign w:val="bottom"/>
          </w:tcPr>
          <w:p>
            <w:pPr>
              <w:jc w:val="right"/>
              <w:ind w:right="678"/>
              <w:spacing w:after="0"/>
              <w:rPr>
                <w:sz w:val="20"/>
                <w:szCs w:val="20"/>
                <w:color w:val="auto"/>
              </w:rPr>
            </w:pPr>
            <w:r>
              <w:rPr>
                <w:rFonts w:ascii="Arial" w:cs="Arial" w:eastAsia="Arial" w:hAnsi="Arial"/>
                <w:sz w:val="8"/>
                <w:szCs w:val="8"/>
                <w:b w:val="1"/>
                <w:bCs w:val="1"/>
                <w:color w:val="auto"/>
                <w:w w:val="73"/>
              </w:rPr>
              <w:t>)</w:t>
            </w: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ind w:right="360" w:firstLine="8"/>
        <w:spacing w:after="0" w:line="308" w:lineRule="auto"/>
        <w:tabs>
          <w:tab w:leader="none" w:pos="162"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Indicate the percentage represented by the total amount of annual payments made to the members of the management staff and the CEO, in relation to THE COMPANY’s level of net income, according to the financial statements.</w:t>
      </w:r>
    </w:p>
    <w:p>
      <w:pPr>
        <w:spacing w:after="0" w:line="117" w:lineRule="exact"/>
        <w:rPr>
          <w:sz w:val="20"/>
          <w:szCs w:val="20"/>
          <w:color w:val="auto"/>
        </w:rPr>
      </w:pPr>
    </w:p>
    <w:p>
      <w:pPr>
        <w:ind w:right="460"/>
        <w:spacing w:after="0" w:line="256" w:lineRule="auto"/>
        <w:rPr>
          <w:sz w:val="20"/>
          <w:szCs w:val="20"/>
          <w:color w:val="auto"/>
        </w:rPr>
      </w:pPr>
      <w:r>
        <w:rPr>
          <w:rFonts w:ascii="Arial" w:cs="Arial" w:eastAsia="Arial" w:hAnsi="Arial"/>
          <w:sz w:val="22"/>
          <w:szCs w:val="22"/>
          <w:b w:val="1"/>
          <w:bCs w:val="1"/>
          <w:color w:val="auto"/>
        </w:rPr>
        <w:t>c. Indicate whether THE COMPANY has some kind of established guarantees or similar in the case of dismissals of the CEO and/or management staff.</w:t>
      </w:r>
    </w:p>
    <w:p>
      <w:pPr>
        <w:spacing w:after="0" w:line="163"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 YES</w:t>
      </w:r>
      <w:r>
        <w:rPr>
          <w:sz w:val="20"/>
          <w:szCs w:val="20"/>
          <w:color w:val="auto"/>
        </w:rPr>
        <w:tab/>
      </w:r>
      <w:r>
        <w:rPr>
          <w:rFonts w:ascii="Arial" w:cs="Arial" w:eastAsia="Arial" w:hAnsi="Arial"/>
          <w:sz w:val="19"/>
          <w:szCs w:val="19"/>
          <w:b w:val="1"/>
          <w:bCs w:val="1"/>
          <w:color w:val="auto"/>
        </w:rPr>
        <w: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II. SECOND SECTION: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RIGHTS OF THE SHAREHOLDERS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 Describe the means used to communicate to new shareholders their rights and how they can exercise them.</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ELECTRONIC MAIL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DIRECTLY WITHIN THE COMPANY</w:t>
      </w:r>
    </w:p>
    <w:p>
      <w:pPr>
        <w:spacing w:after="0" w:line="230" w:lineRule="auto"/>
        <w:rPr>
          <w:sz w:val="20"/>
          <w:szCs w:val="20"/>
          <w:color w:val="auto"/>
        </w:rPr>
      </w:pPr>
      <w:r>
        <w:rPr>
          <w:rFonts w:ascii="Arial" w:cs="Arial" w:eastAsia="Arial" w:hAnsi="Arial"/>
          <w:sz w:val="22"/>
          <w:szCs w:val="22"/>
          <w:b w:val="1"/>
          <w:bCs w:val="1"/>
          <w:color w:val="auto"/>
        </w:rPr>
        <w:t>(..) BY TELEPHONE</w:t>
      </w:r>
    </w:p>
    <w:p>
      <w:pPr>
        <w:spacing w:after="0" w:line="231" w:lineRule="auto"/>
        <w:rPr>
          <w:sz w:val="20"/>
          <w:szCs w:val="20"/>
          <w:color w:val="auto"/>
        </w:rPr>
      </w:pPr>
      <w:r>
        <w:rPr>
          <w:rFonts w:ascii="Arial" w:cs="Arial" w:eastAsia="Arial" w:hAnsi="Arial"/>
          <w:sz w:val="22"/>
          <w:szCs w:val="22"/>
          <w:b w:val="1"/>
          <w:bCs w:val="1"/>
          <w:color w:val="auto"/>
        </w:rPr>
        <w:t>(..) WEB PAGE</w:t>
      </w:r>
    </w:p>
    <w:p>
      <w:pPr>
        <w:spacing w:after="0" w:line="230" w:lineRule="auto"/>
        <w:rPr>
          <w:sz w:val="20"/>
          <w:szCs w:val="20"/>
          <w:color w:val="auto"/>
        </w:rPr>
      </w:pPr>
      <w:r>
        <w:rPr>
          <w:rFonts w:ascii="Arial" w:cs="Arial" w:eastAsia="Arial" w:hAnsi="Arial"/>
          <w:sz w:val="22"/>
          <w:szCs w:val="22"/>
          <w:b w:val="1"/>
          <w:bCs w:val="1"/>
          <w:color w:val="auto"/>
        </w:rPr>
        <w:t>(..) VIA MAIL</w:t>
      </w:r>
    </w:p>
    <w:p>
      <w:pPr>
        <w:spacing w:after="0" w:line="231" w:lineRule="auto"/>
        <w:rPr>
          <w:sz w:val="20"/>
          <w:szCs w:val="20"/>
          <w:color w:val="auto"/>
        </w:rPr>
      </w:pPr>
      <w:r>
        <w:rPr>
          <w:rFonts w:ascii="Arial" w:cs="Arial" w:eastAsia="Arial" w:hAnsi="Arial"/>
          <w:sz w:val="22"/>
          <w:szCs w:val="22"/>
          <w:b w:val="1"/>
          <w:bCs w:val="1"/>
          <w:color w:val="auto"/>
        </w:rPr>
        <w:t>(..) OTHER. PLEASE SPECIFY ..................................................................................................</w:t>
      </w:r>
    </w:p>
    <w:p>
      <w:pPr>
        <w:spacing w:after="0" w:line="1" w:lineRule="exact"/>
        <w:rPr>
          <w:sz w:val="20"/>
          <w:szCs w:val="20"/>
          <w:color w:val="auto"/>
        </w:rPr>
      </w:pPr>
    </w:p>
    <w:p>
      <w:pPr>
        <w:ind w:right="1120" w:firstLine="8"/>
        <w:spacing w:after="0" w:line="237" w:lineRule="auto"/>
        <w:tabs>
          <w:tab w:leader="none" w:pos="354"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NOT APPLICABLE. NEW SHAREHOLDERS ARE NOT TOLD OF THEIR RIGHTS NOR OF HOW TO EXERCISE THEM</w:t>
      </w:r>
    </w:p>
    <w:p>
      <w:pPr>
        <w:spacing w:after="0" w:line="179" w:lineRule="exact"/>
        <w:rPr>
          <w:sz w:val="20"/>
          <w:szCs w:val="20"/>
          <w:color w:val="auto"/>
        </w:rPr>
      </w:pPr>
    </w:p>
    <w:p>
      <w:pPr>
        <w:ind w:right="280"/>
        <w:spacing w:after="0" w:line="256" w:lineRule="auto"/>
        <w:rPr>
          <w:sz w:val="20"/>
          <w:szCs w:val="20"/>
          <w:color w:val="auto"/>
        </w:rPr>
      </w:pPr>
      <w:r>
        <w:rPr>
          <w:rFonts w:ascii="Arial" w:cs="Arial" w:eastAsia="Arial" w:hAnsi="Arial"/>
          <w:sz w:val="22"/>
          <w:szCs w:val="22"/>
          <w:b w:val="1"/>
          <w:bCs w:val="1"/>
          <w:color w:val="auto"/>
        </w:rPr>
        <w:t>b. Indicate whether the shareholders have a hard copy of the points to be discussed on the agenda during the shareholder meeting and the documents that give the background to them.</w:t>
      </w:r>
    </w:p>
    <w:p>
      <w:pPr>
        <w:spacing w:after="0" w:line="163"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b w:val="1"/>
          <w:bCs w:val="1"/>
          <w:color w:val="auto"/>
        </w:rPr>
        <w:t>(.x.) YES</w:t>
      </w:r>
      <w:r>
        <w:rPr>
          <w:sz w:val="20"/>
          <w:szCs w:val="20"/>
          <w:color w:val="auto"/>
        </w:rPr>
        <w:tab/>
      </w:r>
      <w:r>
        <w:rPr>
          <w:rFonts w:ascii="Arial" w:cs="Arial" w:eastAsia="Arial" w:hAnsi="Arial"/>
          <w:sz w:val="19"/>
          <w:szCs w:val="19"/>
          <w:b w:val="1"/>
          <w:bCs w:val="1"/>
          <w:color w:val="auto"/>
        </w:rPr>
        <w:t>(...) NO</w:t>
      </w:r>
    </w:p>
    <w:p>
      <w:pPr>
        <w:spacing w:after="0" w:line="206" w:lineRule="exact"/>
        <w:rPr>
          <w:sz w:val="20"/>
          <w:szCs w:val="20"/>
          <w:color w:val="auto"/>
        </w:rPr>
      </w:pPr>
    </w:p>
    <w:p>
      <w:pPr>
        <w:ind w:right="760"/>
        <w:spacing w:after="0" w:line="335" w:lineRule="auto"/>
        <w:rPr>
          <w:sz w:val="20"/>
          <w:szCs w:val="20"/>
          <w:color w:val="auto"/>
        </w:rPr>
      </w:pPr>
      <w:r>
        <w:rPr>
          <w:rFonts w:ascii="Arial" w:cs="Arial" w:eastAsia="Arial" w:hAnsi="Arial"/>
          <w:sz w:val="19"/>
          <w:szCs w:val="19"/>
          <w:b w:val="1"/>
          <w:bCs w:val="1"/>
          <w:color w:val="auto"/>
        </w:rPr>
        <w:t>c. Indicate which person or entity of THE COMPANY is responsible for following up the agreements adopted in the Shareholder Meetings. If it is a person, please include his/her position and the area in which he/she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42545" cy="162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63500</wp:posOffset>
            </wp:positionV>
            <wp:extent cx="42545" cy="1625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71755</wp:posOffset>
            </wp:positionV>
            <wp:extent cx="42545" cy="1454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2545" cy="14541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bottom w:val="single" w:sz="8" w:color="2C2C2C"/>
            </w:tcBorders>
          </w:tcPr>
          <w:p>
            <w:pPr>
              <w:spacing w:after="0"/>
              <w:rPr>
                <w:sz w:val="17"/>
                <w:szCs w:val="17"/>
                <w:color w:val="auto"/>
              </w:rPr>
            </w:pPr>
          </w:p>
        </w:tc>
        <w:tc>
          <w:tcPr>
            <w:tcW w:w="3840" w:type="dxa"/>
            <w:vAlign w:val="bottom"/>
            <w:tcBorders>
              <w:top w:val="single" w:sz="8" w:color="2C2C2C"/>
              <w:bottom w:val="single" w:sz="8" w:color="2C2C2C"/>
            </w:tcBorders>
          </w:tcPr>
          <w:p>
            <w:pPr>
              <w:jc w:val="center"/>
              <w:ind w:right="26"/>
              <w:spacing w:after="0"/>
              <w:rPr>
                <w:sz w:val="20"/>
                <w:szCs w:val="20"/>
                <w:color w:val="auto"/>
              </w:rPr>
            </w:pPr>
            <w:r>
              <w:rPr>
                <w:rFonts w:ascii="Arial" w:cs="Arial" w:eastAsia="Arial" w:hAnsi="Arial"/>
                <w:sz w:val="15"/>
                <w:szCs w:val="15"/>
                <w:color w:val="auto"/>
              </w:rPr>
              <w:t>AREA</w:t>
            </w:r>
          </w:p>
        </w:tc>
        <w:tc>
          <w:tcPr>
            <w:tcW w:w="2880" w:type="dxa"/>
            <w:vAlign w:val="bottom"/>
            <w:tcBorders>
              <w:top w:val="single" w:sz="8" w:color="2C2C2C"/>
              <w:bottom w:val="single" w:sz="8" w:color="2C2C2C"/>
            </w:tcBorders>
          </w:tcPr>
          <w:p>
            <w:pPr>
              <w:spacing w:after="0"/>
              <w:rPr>
                <w:sz w:val="17"/>
                <w:szCs w:val="17"/>
                <w:color w:val="auto"/>
              </w:rPr>
            </w:pPr>
          </w:p>
        </w:tc>
        <w:tc>
          <w:tcPr>
            <w:tcW w:w="4660" w:type="dxa"/>
            <w:vAlign w:val="bottom"/>
            <w:tcBorders>
              <w:top w:val="single" w:sz="8" w:color="2C2C2C"/>
              <w:bottom w:val="single" w:sz="8" w:color="2C2C2C"/>
            </w:tcBorders>
          </w:tcPr>
          <w:p>
            <w:pPr>
              <w:ind w:left="240"/>
              <w:spacing w:after="0"/>
              <w:rPr>
                <w:sz w:val="20"/>
                <w:szCs w:val="20"/>
                <w:color w:val="auto"/>
              </w:rPr>
            </w:pPr>
            <w:r>
              <w:rPr>
                <w:rFonts w:ascii="Arial" w:cs="Arial" w:eastAsia="Arial" w:hAnsi="Arial"/>
                <w:sz w:val="15"/>
                <w:szCs w:val="15"/>
                <w:color w:val="auto"/>
              </w:rPr>
              <w:t>Corporate Secretary</w:t>
            </w:r>
          </w:p>
        </w:tc>
        <w:tc>
          <w:tcPr>
            <w:tcW w:w="20" w:type="dxa"/>
            <w:vAlign w:val="bottom"/>
            <w:tcBorders>
              <w:top w:val="single" w:sz="8" w:color="808080"/>
              <w:bottom w:val="single" w:sz="8" w:color="2C2C2C"/>
            </w:tcBorders>
          </w:tcPr>
          <w:p>
            <w:pPr>
              <w:spacing w:after="0"/>
              <w:rPr>
                <w:sz w:val="17"/>
                <w:szCs w:val="17"/>
                <w:color w:val="auto"/>
              </w:rPr>
            </w:pPr>
          </w:p>
        </w:tc>
      </w:tr>
      <w:tr>
        <w:trPr>
          <w:trHeight w:val="250"/>
        </w:trPr>
        <w:tc>
          <w:tcPr>
            <w:tcW w:w="20" w:type="dxa"/>
            <w:vAlign w:val="bottom"/>
            <w:tcBorders>
              <w:bottom w:val="single" w:sz="8" w:color="808080"/>
            </w:tcBorders>
          </w:tcPr>
          <w:p>
            <w:pPr>
              <w:spacing w:after="0"/>
              <w:rPr>
                <w:sz w:val="21"/>
                <w:szCs w:val="21"/>
                <w:color w:val="auto"/>
              </w:rPr>
            </w:pPr>
          </w:p>
        </w:tc>
        <w:tc>
          <w:tcPr>
            <w:tcW w:w="3840" w:type="dxa"/>
            <w:vAlign w:val="bottom"/>
            <w:tcBorders>
              <w:bottom w:val="single" w:sz="8" w:color="2C2C2C"/>
            </w:tcBorders>
          </w:tcPr>
          <w:p>
            <w:pPr>
              <w:spacing w:after="0"/>
              <w:rPr>
                <w:sz w:val="21"/>
                <w:szCs w:val="21"/>
                <w:color w:val="auto"/>
              </w:rPr>
            </w:pPr>
          </w:p>
        </w:tc>
        <w:tc>
          <w:tcPr>
            <w:tcW w:w="2880" w:type="dxa"/>
            <w:vAlign w:val="bottom"/>
            <w:tcBorders>
              <w:bottom w:val="single" w:sz="8" w:color="2C2C2C"/>
            </w:tcBorders>
          </w:tcPr>
          <w:p>
            <w:pPr>
              <w:spacing w:after="0"/>
              <w:rPr>
                <w:sz w:val="21"/>
                <w:szCs w:val="21"/>
                <w:color w:val="auto"/>
              </w:rPr>
            </w:pPr>
          </w:p>
        </w:tc>
        <w:tc>
          <w:tcPr>
            <w:tcW w:w="4660" w:type="dxa"/>
            <w:vAlign w:val="bottom"/>
            <w:tcBorders>
              <w:bottom w:val="single" w:sz="8" w:color="2C2C2C"/>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r>
      <w:tr>
        <w:trPr>
          <w:trHeight w:val="169"/>
        </w:trPr>
        <w:tc>
          <w:tcPr>
            <w:tcW w:w="20" w:type="dxa"/>
            <w:vAlign w:val="bottom"/>
          </w:tcPr>
          <w:p>
            <w:pPr>
              <w:spacing w:after="0"/>
              <w:rPr>
                <w:sz w:val="14"/>
                <w:szCs w:val="14"/>
                <w:color w:val="auto"/>
              </w:rPr>
            </w:pPr>
          </w:p>
        </w:tc>
        <w:tc>
          <w:tcPr>
            <w:tcW w:w="3840" w:type="dxa"/>
            <w:vAlign w:val="bottom"/>
            <w:tcBorders>
              <w:bottom w:val="single" w:sz="8" w:color="2C2C2C"/>
            </w:tcBorders>
          </w:tcPr>
          <w:p>
            <w:pPr>
              <w:spacing w:after="0"/>
              <w:rPr>
                <w:sz w:val="14"/>
                <w:szCs w:val="14"/>
                <w:color w:val="auto"/>
              </w:rPr>
            </w:pPr>
          </w:p>
        </w:tc>
        <w:tc>
          <w:tcPr>
            <w:tcW w:w="2880" w:type="dxa"/>
            <w:vAlign w:val="bottom"/>
            <w:tcBorders>
              <w:bottom w:val="single" w:sz="8" w:color="2C2C2C"/>
            </w:tcBorders>
          </w:tcPr>
          <w:p>
            <w:pPr>
              <w:jc w:val="center"/>
              <w:ind w:left="726"/>
              <w:spacing w:after="0" w:line="162" w:lineRule="exact"/>
              <w:rPr>
                <w:sz w:val="20"/>
                <w:szCs w:val="20"/>
                <w:color w:val="auto"/>
              </w:rPr>
            </w:pPr>
            <w:r>
              <w:rPr>
                <w:rFonts w:ascii="Arial" w:cs="Arial" w:eastAsia="Arial" w:hAnsi="Arial"/>
                <w:sz w:val="15"/>
                <w:szCs w:val="15"/>
                <w:color w:val="auto"/>
                <w:w w:val="92"/>
              </w:rPr>
              <w:t>PERSON RESPONSIBLE</w:t>
            </w:r>
          </w:p>
        </w:tc>
        <w:tc>
          <w:tcPr>
            <w:tcW w:w="4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840" w:type="dxa"/>
            <w:vAlign w:val="bottom"/>
            <w:tcBorders>
              <w:bottom w:val="single" w:sz="8" w:color="2C2C2C"/>
            </w:tcBorders>
          </w:tcPr>
          <w:p>
            <w:pPr>
              <w:jc w:val="center"/>
              <w:ind w:right="46"/>
              <w:spacing w:after="0" w:line="162" w:lineRule="exact"/>
              <w:rPr>
                <w:sz w:val="20"/>
                <w:szCs w:val="20"/>
                <w:color w:val="auto"/>
              </w:rPr>
            </w:pPr>
            <w:r>
              <w:rPr>
                <w:rFonts w:ascii="Arial" w:cs="Arial" w:eastAsia="Arial" w:hAnsi="Arial"/>
                <w:sz w:val="15"/>
                <w:szCs w:val="15"/>
                <w:color w:val="auto"/>
                <w:w w:val="97"/>
              </w:rPr>
              <w:t>NAMES AND LAST NAMES</w:t>
            </w:r>
          </w:p>
        </w:tc>
        <w:tc>
          <w:tcPr>
            <w:tcW w:w="2880" w:type="dxa"/>
            <w:vAlign w:val="bottom"/>
            <w:tcBorders>
              <w:bottom w:val="single" w:sz="8" w:color="2C2C2C"/>
            </w:tcBorders>
          </w:tcPr>
          <w:p>
            <w:pPr>
              <w:jc w:val="center"/>
              <w:ind w:left="726"/>
              <w:spacing w:after="0" w:line="162" w:lineRule="exact"/>
              <w:rPr>
                <w:sz w:val="20"/>
                <w:szCs w:val="20"/>
                <w:color w:val="auto"/>
              </w:rPr>
            </w:pPr>
            <w:r>
              <w:rPr>
                <w:rFonts w:ascii="Arial" w:cs="Arial" w:eastAsia="Arial" w:hAnsi="Arial"/>
                <w:sz w:val="15"/>
                <w:szCs w:val="15"/>
                <w:color w:val="auto"/>
                <w:w w:val="94"/>
              </w:rPr>
              <w:t>POSITION</w:t>
            </w:r>
          </w:p>
        </w:tc>
        <w:tc>
          <w:tcPr>
            <w:tcW w:w="4660" w:type="dxa"/>
            <w:vAlign w:val="bottom"/>
            <w:tcBorders>
              <w:bottom w:val="single" w:sz="8" w:color="2C2C2C"/>
            </w:tcBorders>
          </w:tcPr>
          <w:p>
            <w:pPr>
              <w:jc w:val="center"/>
              <w:ind w:left="826"/>
              <w:spacing w:after="0" w:line="162" w:lineRule="exact"/>
              <w:rPr>
                <w:sz w:val="20"/>
                <w:szCs w:val="20"/>
                <w:color w:val="auto"/>
              </w:rPr>
            </w:pPr>
            <w:r>
              <w:rPr>
                <w:rFonts w:ascii="Arial" w:cs="Arial" w:eastAsia="Arial" w:hAnsi="Arial"/>
                <w:sz w:val="15"/>
                <w:szCs w:val="15"/>
                <w:color w:val="auto"/>
                <w:w w:val="97"/>
              </w:rPr>
              <w:t>AREA</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3840" w:type="dxa"/>
            <w:vAlign w:val="bottom"/>
            <w:tcBorders>
              <w:bottom w:val="single" w:sz="8" w:color="2C2C2C"/>
            </w:tcBorders>
          </w:tcPr>
          <w:p>
            <w:pPr>
              <w:jc w:val="center"/>
              <w:ind w:right="26"/>
              <w:spacing w:after="0" w:line="162" w:lineRule="exact"/>
              <w:rPr>
                <w:sz w:val="20"/>
                <w:szCs w:val="20"/>
                <w:color w:val="auto"/>
              </w:rPr>
            </w:pPr>
            <w:r>
              <w:rPr>
                <w:rFonts w:ascii="Arial" w:cs="Arial" w:eastAsia="Arial" w:hAnsi="Arial"/>
                <w:sz w:val="15"/>
                <w:szCs w:val="15"/>
                <w:color w:val="auto"/>
                <w:w w:val="88"/>
              </w:rPr>
              <w:t>Fernando Palao</w:t>
            </w:r>
          </w:p>
        </w:tc>
        <w:tc>
          <w:tcPr>
            <w:tcW w:w="2880" w:type="dxa"/>
            <w:vAlign w:val="bottom"/>
            <w:tcBorders>
              <w:bottom w:val="single" w:sz="8" w:color="2C2C2C"/>
            </w:tcBorders>
          </w:tcPr>
          <w:p>
            <w:pPr>
              <w:jc w:val="center"/>
              <w:ind w:left="726"/>
              <w:spacing w:after="0" w:line="162" w:lineRule="exact"/>
              <w:rPr>
                <w:sz w:val="20"/>
                <w:szCs w:val="20"/>
                <w:color w:val="auto"/>
              </w:rPr>
            </w:pPr>
            <w:r>
              <w:rPr>
                <w:rFonts w:ascii="Arial" w:cs="Arial" w:eastAsia="Arial" w:hAnsi="Arial"/>
                <w:sz w:val="15"/>
                <w:szCs w:val="15"/>
                <w:color w:val="auto"/>
                <w:w w:val="88"/>
              </w:rPr>
              <w:t>Corporate Secretary</w:t>
            </w:r>
          </w:p>
        </w:tc>
        <w:tc>
          <w:tcPr>
            <w:tcW w:w="4660" w:type="dxa"/>
            <w:vAlign w:val="bottom"/>
            <w:tcBorders>
              <w:bottom w:val="single" w:sz="8" w:color="2C2C2C"/>
            </w:tcBorders>
          </w:tcPr>
          <w:p>
            <w:pPr>
              <w:jc w:val="center"/>
              <w:ind w:left="806"/>
              <w:spacing w:after="0" w:line="162" w:lineRule="exact"/>
              <w:rPr>
                <w:sz w:val="20"/>
                <w:szCs w:val="20"/>
                <w:color w:val="auto"/>
              </w:rPr>
            </w:pPr>
            <w:r>
              <w:rPr>
                <w:rFonts w:ascii="Arial" w:cs="Arial" w:eastAsia="Arial" w:hAnsi="Arial"/>
                <w:sz w:val="15"/>
                <w:szCs w:val="15"/>
                <w:color w:val="auto"/>
                <w:w w:val="87"/>
              </w:rPr>
              <w:t>Corporate Secretary</w:t>
            </w:r>
          </w:p>
        </w:tc>
        <w:tc>
          <w:tcPr>
            <w:tcW w:w="20" w:type="dxa"/>
            <w:vAlign w:val="bottom"/>
            <w:tcBorders>
              <w:bottom w:val="single" w:sz="8" w:color="2C2C2C"/>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-389255</wp:posOffset>
            </wp:positionV>
            <wp:extent cx="42545" cy="402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-260985</wp:posOffset>
            </wp:positionV>
            <wp:extent cx="42545" cy="2654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2545" cy="26543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-389255</wp:posOffset>
            </wp:positionV>
            <wp:extent cx="42545" cy="402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-260985</wp:posOffset>
            </wp:positionV>
            <wp:extent cx="42545" cy="2654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2545" cy="2654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Indicate whether the information relating to the possessions of THE COMPANY’S shareholders is in:</w:t>
      </w:r>
    </w:p>
    <w:p>
      <w:pPr>
        <w:sectPr>
          <w:pgSz w:w="11900" w:h="16838" w:orient="portrait"/>
          <w:cols w:equalWidth="0" w:num="1">
            <w:col w:w="11420"/>
          </w:cols>
          <w:pgMar w:left="240" w:top="118"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(..X.)</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THE COMPANY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COMPENSATION AND LIQUIDATION INSTITUTION</w:t>
      </w:r>
    </w:p>
    <w:p>
      <w:pPr>
        <w:spacing w:after="0" w:line="182" w:lineRule="exact"/>
        <w:rPr>
          <w:sz w:val="20"/>
          <w:szCs w:val="20"/>
          <w:color w:val="auto"/>
        </w:rPr>
      </w:pPr>
    </w:p>
    <w:p>
      <w:pPr>
        <w:sectPr>
          <w:pgSz w:w="11900" w:h="16838" w:orient="portrait"/>
          <w:cols w:equalWidth="0" w:num="2">
            <w:col w:w="480" w:space="300"/>
            <w:col w:w="10640"/>
          </w:cols>
          <w:pgMar w:left="240" w:top="118" w:right="2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e. Indicate how frequently THE COMPANY updates the data referring to shareholders who appear in their share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42545" cy="8832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2545" cy="8832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166370</wp:posOffset>
            </wp:positionV>
            <wp:extent cx="42545" cy="8661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2545" cy="86614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157480</wp:posOffset>
            </wp:positionV>
            <wp:extent cx="42545" cy="8832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2545" cy="88328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6260" w:type="dxa"/>
            <w:vAlign w:val="bottom"/>
            <w:tcBorders>
              <w:top w:val="single" w:sz="8" w:color="2C2C2C"/>
              <w:bottom w:val="single" w:sz="8" w:color="2C2C2C"/>
            </w:tcBorders>
            <w:vMerge w:val="restart"/>
          </w:tcPr>
          <w:p>
            <w:pPr>
              <w:ind w:left="500"/>
              <w:spacing w:after="0"/>
              <w:rPr>
                <w:sz w:val="20"/>
                <w:szCs w:val="20"/>
                <w:color w:val="auto"/>
              </w:rPr>
            </w:pPr>
            <w:r>
              <w:rPr>
                <w:rFonts w:ascii="Arial" w:cs="Arial" w:eastAsia="Arial" w:hAnsi="Arial"/>
                <w:sz w:val="15"/>
                <w:szCs w:val="15"/>
                <w:color w:val="auto"/>
              </w:rPr>
              <w:t>FREQUENCY</w:t>
            </w:r>
          </w:p>
        </w:tc>
        <w:tc>
          <w:tcPr>
            <w:tcW w:w="920" w:type="dxa"/>
            <w:vAlign w:val="bottom"/>
            <w:tcBorders>
              <w:top w:val="single" w:sz="8" w:color="2C2C2C"/>
              <w:bottom w:val="single" w:sz="8" w:color="2C2C2C"/>
            </w:tcBorders>
          </w:tcPr>
          <w:p>
            <w:pPr>
              <w:spacing w:after="0"/>
              <w:rPr>
                <w:sz w:val="17"/>
                <w:szCs w:val="17"/>
                <w:color w:val="auto"/>
              </w:rPr>
            </w:pPr>
          </w:p>
        </w:tc>
        <w:tc>
          <w:tcPr>
            <w:tcW w:w="3420" w:type="dxa"/>
            <w:vAlign w:val="bottom"/>
            <w:tcBorders>
              <w:top w:val="single" w:sz="8" w:color="2C2C2C"/>
              <w:bottom w:val="single" w:sz="8" w:color="2C2C2C"/>
            </w:tcBorders>
            <w:gridSpan w:val="4"/>
          </w:tcPr>
          <w:p>
            <w:pPr>
              <w:jc w:val="center"/>
              <w:ind w:right="86"/>
              <w:spacing w:after="0"/>
              <w:rPr>
                <w:sz w:val="20"/>
                <w:szCs w:val="20"/>
                <w:color w:val="auto"/>
              </w:rPr>
            </w:pPr>
            <w:r>
              <w:rPr>
                <w:rFonts w:ascii="Arial" w:cs="Arial" w:eastAsia="Arial" w:hAnsi="Arial"/>
                <w:sz w:val="15"/>
                <w:szCs w:val="15"/>
                <w:color w:val="auto"/>
                <w:w w:val="94"/>
              </w:rPr>
              <w:t>INFORMATION SUBJECT TO UPDATING</w:t>
            </w:r>
          </w:p>
        </w:tc>
        <w:tc>
          <w:tcPr>
            <w:tcW w:w="780" w:type="dxa"/>
            <w:vAlign w:val="bottom"/>
            <w:tcBorders>
              <w:top w:val="single" w:sz="8" w:color="2C2C2C"/>
              <w:bottom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260" w:type="dxa"/>
            <w:vAlign w:val="bottom"/>
            <w:vMerge w:val="continue"/>
          </w:tcPr>
          <w:p>
            <w:pPr>
              <w:spacing w:after="0"/>
              <w:rPr>
                <w:sz w:val="7"/>
                <w:szCs w:val="7"/>
                <w:color w:val="auto"/>
              </w:rPr>
            </w:pPr>
          </w:p>
        </w:tc>
        <w:tc>
          <w:tcPr>
            <w:tcW w:w="1660" w:type="dxa"/>
            <w:vAlign w:val="bottom"/>
            <w:gridSpan w:val="2"/>
            <w:vMerge w:val="restart"/>
          </w:tcPr>
          <w:p>
            <w:pPr>
              <w:jc w:val="center"/>
              <w:spacing w:after="0" w:line="162" w:lineRule="exact"/>
              <w:rPr>
                <w:sz w:val="20"/>
                <w:szCs w:val="20"/>
                <w:color w:val="auto"/>
              </w:rPr>
            </w:pPr>
            <w:r>
              <w:rPr>
                <w:rFonts w:ascii="Arial" w:cs="Arial" w:eastAsia="Arial" w:hAnsi="Arial"/>
                <w:sz w:val="15"/>
                <w:szCs w:val="15"/>
                <w:color w:val="auto"/>
                <w:w w:val="93"/>
              </w:rPr>
              <w:t>HOME ADDRESS</w:t>
            </w:r>
          </w:p>
        </w:tc>
        <w:tc>
          <w:tcPr>
            <w:tcW w:w="1700" w:type="dxa"/>
            <w:vAlign w:val="bottom"/>
            <w:gridSpan w:val="2"/>
            <w:vMerge w:val="restart"/>
          </w:tcPr>
          <w:p>
            <w:pPr>
              <w:jc w:val="center"/>
              <w:ind w:left="6"/>
              <w:spacing w:after="0" w:line="162" w:lineRule="exact"/>
              <w:rPr>
                <w:sz w:val="20"/>
                <w:szCs w:val="20"/>
                <w:color w:val="auto"/>
              </w:rPr>
            </w:pPr>
            <w:r>
              <w:rPr>
                <w:rFonts w:ascii="Arial" w:cs="Arial" w:eastAsia="Arial" w:hAnsi="Arial"/>
                <w:sz w:val="15"/>
                <w:szCs w:val="15"/>
                <w:color w:val="auto"/>
                <w:w w:val="98"/>
              </w:rPr>
              <w:t>ELECTRONIC MAIL</w:t>
            </w:r>
          </w:p>
        </w:tc>
        <w:tc>
          <w:tcPr>
            <w:tcW w:w="1780" w:type="dxa"/>
            <w:vAlign w:val="bottom"/>
            <w:gridSpan w:val="3"/>
            <w:vMerge w:val="restart"/>
          </w:tcPr>
          <w:p>
            <w:pPr>
              <w:jc w:val="center"/>
              <w:spacing w:after="0" w:line="162" w:lineRule="exact"/>
              <w:rPr>
                <w:sz w:val="20"/>
                <w:szCs w:val="20"/>
                <w:color w:val="auto"/>
              </w:rPr>
            </w:pPr>
            <w:r>
              <w:rPr>
                <w:rFonts w:ascii="Arial" w:cs="Arial" w:eastAsia="Arial" w:hAnsi="Arial"/>
                <w:sz w:val="15"/>
                <w:szCs w:val="15"/>
                <w:color w:val="auto"/>
                <w:w w:val="94"/>
              </w:rPr>
              <w:t>TELEPHONE NUMBER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26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60" w:type="dxa"/>
            <w:vAlign w:val="bottom"/>
            <w:tcBorders>
              <w:top w:val="single" w:sz="8" w:color="2C2C2C"/>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MORE THAN MONTHLY</w:t>
            </w:r>
          </w:p>
        </w:tc>
        <w:tc>
          <w:tcPr>
            <w:tcW w:w="920" w:type="dxa"/>
            <w:vAlign w:val="bottom"/>
            <w:tcBorders>
              <w:top w:val="single" w:sz="8" w:color="2C2C2C"/>
              <w:bottom w:val="single" w:sz="8" w:color="2C2C2C"/>
            </w:tcBorders>
          </w:tcPr>
          <w:p>
            <w:pPr>
              <w:jc w:val="center"/>
              <w:ind w:left="686"/>
              <w:spacing w:after="0" w:line="162" w:lineRule="exact"/>
              <w:rPr>
                <w:sz w:val="20"/>
                <w:szCs w:val="20"/>
                <w:color w:val="auto"/>
              </w:rPr>
            </w:pPr>
            <w:r>
              <w:rPr>
                <w:rFonts w:ascii="Arial" w:cs="Arial" w:eastAsia="Arial" w:hAnsi="Arial"/>
                <w:sz w:val="15"/>
                <w:szCs w:val="15"/>
                <w:b w:val="1"/>
                <w:bCs w:val="1"/>
                <w:color w:val="auto"/>
                <w:w w:val="91"/>
              </w:rPr>
              <w:t>(...</w:t>
            </w:r>
          </w:p>
        </w:tc>
        <w:tc>
          <w:tcPr>
            <w:tcW w:w="740" w:type="dxa"/>
            <w:vAlign w:val="bottom"/>
            <w:tcBorders>
              <w:top w:val="single" w:sz="8" w:color="2C2C2C"/>
              <w:bottom w:val="single" w:sz="8" w:color="2C2C2C"/>
            </w:tcBorders>
          </w:tcPr>
          <w:p>
            <w:pPr>
              <w:jc w:val="right"/>
              <w:ind w:right="606"/>
              <w:spacing w:after="0" w:line="162" w:lineRule="exact"/>
              <w:rPr>
                <w:sz w:val="20"/>
                <w:szCs w:val="20"/>
                <w:color w:val="auto"/>
              </w:rPr>
            </w:pPr>
            <w:r>
              <w:rPr>
                <w:rFonts w:ascii="Arial" w:cs="Arial" w:eastAsia="Arial" w:hAnsi="Arial"/>
                <w:sz w:val="15"/>
                <w:szCs w:val="15"/>
                <w:b w:val="1"/>
                <w:bCs w:val="1"/>
                <w:color w:val="auto"/>
                <w:w w:val="79"/>
              </w:rPr>
              <w:t>)</w:t>
            </w:r>
          </w:p>
        </w:tc>
        <w:tc>
          <w:tcPr>
            <w:tcW w:w="960" w:type="dxa"/>
            <w:vAlign w:val="bottom"/>
            <w:tcBorders>
              <w:top w:val="single" w:sz="8" w:color="2C2C2C"/>
              <w:bottom w:val="single" w:sz="8" w:color="2C2C2C"/>
            </w:tcBorders>
          </w:tcPr>
          <w:p>
            <w:pPr>
              <w:jc w:val="center"/>
              <w:ind w:left="726"/>
              <w:spacing w:after="0" w:line="162" w:lineRule="exact"/>
              <w:rPr>
                <w:sz w:val="20"/>
                <w:szCs w:val="20"/>
                <w:color w:val="auto"/>
              </w:rPr>
            </w:pPr>
            <w:r>
              <w:rPr>
                <w:rFonts w:ascii="Arial" w:cs="Arial" w:eastAsia="Arial" w:hAnsi="Arial"/>
                <w:sz w:val="15"/>
                <w:szCs w:val="15"/>
                <w:b w:val="1"/>
                <w:bCs w:val="1"/>
                <w:color w:val="auto"/>
                <w:w w:val="91"/>
              </w:rPr>
              <w:t>(...</w:t>
            </w:r>
          </w:p>
        </w:tc>
        <w:tc>
          <w:tcPr>
            <w:tcW w:w="740" w:type="dxa"/>
            <w:vAlign w:val="bottom"/>
            <w:tcBorders>
              <w:top w:val="single" w:sz="8" w:color="2C2C2C"/>
              <w:bottom w:val="single" w:sz="8" w:color="2C2C2C"/>
            </w:tcBorders>
          </w:tcPr>
          <w:p>
            <w:pPr>
              <w:jc w:val="right"/>
              <w:ind w:right="606"/>
              <w:spacing w:after="0" w:line="162" w:lineRule="exact"/>
              <w:rPr>
                <w:sz w:val="20"/>
                <w:szCs w:val="20"/>
                <w:color w:val="auto"/>
              </w:rPr>
            </w:pPr>
            <w:r>
              <w:rPr>
                <w:rFonts w:ascii="Arial" w:cs="Arial" w:eastAsia="Arial" w:hAnsi="Arial"/>
                <w:sz w:val="15"/>
                <w:szCs w:val="15"/>
                <w:b w:val="1"/>
                <w:bCs w:val="1"/>
                <w:color w:val="auto"/>
                <w:w w:val="79"/>
              </w:rPr>
              <w:t>)</w:t>
            </w:r>
          </w:p>
        </w:tc>
        <w:tc>
          <w:tcPr>
            <w:tcW w:w="980" w:type="dxa"/>
            <w:vAlign w:val="bottom"/>
            <w:tcBorders>
              <w:top w:val="single" w:sz="8" w:color="2C2C2C"/>
              <w:bottom w:val="single" w:sz="8" w:color="2C2C2C"/>
            </w:tcBorders>
          </w:tcPr>
          <w:p>
            <w:pPr>
              <w:jc w:val="center"/>
              <w:ind w:left="746"/>
              <w:spacing w:after="0" w:line="162" w:lineRule="exact"/>
              <w:rPr>
                <w:sz w:val="20"/>
                <w:szCs w:val="20"/>
                <w:color w:val="auto"/>
              </w:rPr>
            </w:pPr>
            <w:r>
              <w:rPr>
                <w:rFonts w:ascii="Arial" w:cs="Arial" w:eastAsia="Arial" w:hAnsi="Arial"/>
                <w:sz w:val="15"/>
                <w:szCs w:val="15"/>
                <w:b w:val="1"/>
                <w:bCs w:val="1"/>
                <w:color w:val="auto"/>
                <w:w w:val="91"/>
              </w:rPr>
              <w:t>(...</w:t>
            </w:r>
          </w:p>
        </w:tc>
        <w:tc>
          <w:tcPr>
            <w:tcW w:w="780" w:type="dxa"/>
            <w:vAlign w:val="bottom"/>
            <w:tcBorders>
              <w:top w:val="single" w:sz="8" w:color="2C2C2C"/>
              <w:bottom w:val="single" w:sz="8" w:color="2C2C2C"/>
            </w:tcBorders>
          </w:tcPr>
          <w:p>
            <w:pPr>
              <w:jc w:val="right"/>
              <w:ind w:right="698"/>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6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MONTHLY</w:t>
            </w:r>
          </w:p>
        </w:tc>
        <w:tc>
          <w:tcPr>
            <w:tcW w:w="920" w:type="dxa"/>
            <w:vAlign w:val="bottom"/>
            <w:tcBorders>
              <w:bottom w:val="single" w:sz="8" w:color="2C2C2C"/>
            </w:tcBorders>
          </w:tcPr>
          <w:p>
            <w:pPr>
              <w:jc w:val="center"/>
              <w:ind w:left="686"/>
              <w:spacing w:after="0" w:line="162" w:lineRule="exact"/>
              <w:rPr>
                <w:sz w:val="20"/>
                <w:szCs w:val="20"/>
                <w:color w:val="auto"/>
              </w:rPr>
            </w:pPr>
            <w:r>
              <w:rPr>
                <w:rFonts w:ascii="Arial" w:cs="Arial" w:eastAsia="Arial" w:hAnsi="Arial"/>
                <w:sz w:val="15"/>
                <w:szCs w:val="15"/>
                <w:b w:val="1"/>
                <w:bCs w:val="1"/>
                <w:color w:val="auto"/>
                <w:w w:val="91"/>
              </w:rPr>
              <w:t>(...</w:t>
            </w:r>
          </w:p>
        </w:tc>
        <w:tc>
          <w:tcPr>
            <w:tcW w:w="740" w:type="dxa"/>
            <w:vAlign w:val="bottom"/>
            <w:tcBorders>
              <w:bottom w:val="single" w:sz="8" w:color="2C2C2C"/>
            </w:tcBorders>
          </w:tcPr>
          <w:p>
            <w:pPr>
              <w:jc w:val="right"/>
              <w:ind w:right="606"/>
              <w:spacing w:after="0" w:line="162" w:lineRule="exact"/>
              <w:rPr>
                <w:sz w:val="20"/>
                <w:szCs w:val="20"/>
                <w:color w:val="auto"/>
              </w:rPr>
            </w:pPr>
            <w:r>
              <w:rPr>
                <w:rFonts w:ascii="Arial" w:cs="Arial" w:eastAsia="Arial" w:hAnsi="Arial"/>
                <w:sz w:val="15"/>
                <w:szCs w:val="15"/>
                <w:b w:val="1"/>
                <w:bCs w:val="1"/>
                <w:color w:val="auto"/>
                <w:w w:val="79"/>
              </w:rPr>
              <w:t>)</w:t>
            </w:r>
          </w:p>
        </w:tc>
        <w:tc>
          <w:tcPr>
            <w:tcW w:w="960" w:type="dxa"/>
            <w:vAlign w:val="bottom"/>
            <w:tcBorders>
              <w:bottom w:val="single" w:sz="8" w:color="2C2C2C"/>
            </w:tcBorders>
          </w:tcPr>
          <w:p>
            <w:pPr>
              <w:jc w:val="center"/>
              <w:ind w:left="726"/>
              <w:spacing w:after="0" w:line="162" w:lineRule="exact"/>
              <w:rPr>
                <w:sz w:val="20"/>
                <w:szCs w:val="20"/>
                <w:color w:val="auto"/>
              </w:rPr>
            </w:pPr>
            <w:r>
              <w:rPr>
                <w:rFonts w:ascii="Arial" w:cs="Arial" w:eastAsia="Arial" w:hAnsi="Arial"/>
                <w:sz w:val="15"/>
                <w:szCs w:val="15"/>
                <w:b w:val="1"/>
                <w:bCs w:val="1"/>
                <w:color w:val="auto"/>
                <w:w w:val="91"/>
              </w:rPr>
              <w:t>(...</w:t>
            </w:r>
          </w:p>
        </w:tc>
        <w:tc>
          <w:tcPr>
            <w:tcW w:w="740" w:type="dxa"/>
            <w:vAlign w:val="bottom"/>
            <w:tcBorders>
              <w:bottom w:val="single" w:sz="8" w:color="2C2C2C"/>
            </w:tcBorders>
          </w:tcPr>
          <w:p>
            <w:pPr>
              <w:jc w:val="right"/>
              <w:ind w:right="606"/>
              <w:spacing w:after="0" w:line="162" w:lineRule="exact"/>
              <w:rPr>
                <w:sz w:val="20"/>
                <w:szCs w:val="20"/>
                <w:color w:val="auto"/>
              </w:rPr>
            </w:pPr>
            <w:r>
              <w:rPr>
                <w:rFonts w:ascii="Arial" w:cs="Arial" w:eastAsia="Arial" w:hAnsi="Arial"/>
                <w:sz w:val="15"/>
                <w:szCs w:val="15"/>
                <w:b w:val="1"/>
                <w:bCs w:val="1"/>
                <w:color w:val="auto"/>
                <w:w w:val="79"/>
              </w:rPr>
              <w:t>)</w:t>
            </w:r>
          </w:p>
        </w:tc>
        <w:tc>
          <w:tcPr>
            <w:tcW w:w="980" w:type="dxa"/>
            <w:vAlign w:val="bottom"/>
            <w:tcBorders>
              <w:bottom w:val="single" w:sz="8" w:color="2C2C2C"/>
            </w:tcBorders>
          </w:tcPr>
          <w:p>
            <w:pPr>
              <w:jc w:val="center"/>
              <w:ind w:left="746"/>
              <w:spacing w:after="0" w:line="162" w:lineRule="exact"/>
              <w:rPr>
                <w:sz w:val="20"/>
                <w:szCs w:val="20"/>
                <w:color w:val="auto"/>
              </w:rPr>
            </w:pPr>
            <w:r>
              <w:rPr>
                <w:rFonts w:ascii="Arial" w:cs="Arial" w:eastAsia="Arial" w:hAnsi="Arial"/>
                <w:sz w:val="15"/>
                <w:szCs w:val="15"/>
                <w:b w:val="1"/>
                <w:bCs w:val="1"/>
                <w:color w:val="auto"/>
                <w:w w:val="91"/>
              </w:rPr>
              <w:t>(...</w:t>
            </w:r>
          </w:p>
        </w:tc>
        <w:tc>
          <w:tcPr>
            <w:tcW w:w="780" w:type="dxa"/>
            <w:vAlign w:val="bottom"/>
            <w:tcBorders>
              <w:bottom w:val="single" w:sz="8" w:color="2C2C2C"/>
            </w:tcBorders>
          </w:tcPr>
          <w:p>
            <w:pPr>
              <w:jc w:val="right"/>
              <w:ind w:right="698"/>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6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QUARTERLY</w:t>
            </w:r>
          </w:p>
        </w:tc>
        <w:tc>
          <w:tcPr>
            <w:tcW w:w="920" w:type="dxa"/>
            <w:vAlign w:val="bottom"/>
            <w:tcBorders>
              <w:bottom w:val="single" w:sz="8" w:color="2C2C2C"/>
            </w:tcBorders>
          </w:tcPr>
          <w:p>
            <w:pPr>
              <w:jc w:val="center"/>
              <w:ind w:left="686"/>
              <w:spacing w:after="0" w:line="162" w:lineRule="exact"/>
              <w:rPr>
                <w:sz w:val="20"/>
                <w:szCs w:val="20"/>
                <w:color w:val="auto"/>
              </w:rPr>
            </w:pPr>
            <w:r>
              <w:rPr>
                <w:rFonts w:ascii="Arial" w:cs="Arial" w:eastAsia="Arial" w:hAnsi="Arial"/>
                <w:sz w:val="15"/>
                <w:szCs w:val="15"/>
                <w:b w:val="1"/>
                <w:bCs w:val="1"/>
                <w:color w:val="auto"/>
                <w:w w:val="91"/>
              </w:rPr>
              <w:t>(...</w:t>
            </w:r>
          </w:p>
        </w:tc>
        <w:tc>
          <w:tcPr>
            <w:tcW w:w="740" w:type="dxa"/>
            <w:vAlign w:val="bottom"/>
            <w:tcBorders>
              <w:bottom w:val="single" w:sz="8" w:color="2C2C2C"/>
            </w:tcBorders>
          </w:tcPr>
          <w:p>
            <w:pPr>
              <w:jc w:val="right"/>
              <w:ind w:right="606"/>
              <w:spacing w:after="0" w:line="162" w:lineRule="exact"/>
              <w:rPr>
                <w:sz w:val="20"/>
                <w:szCs w:val="20"/>
                <w:color w:val="auto"/>
              </w:rPr>
            </w:pPr>
            <w:r>
              <w:rPr>
                <w:rFonts w:ascii="Arial" w:cs="Arial" w:eastAsia="Arial" w:hAnsi="Arial"/>
                <w:sz w:val="15"/>
                <w:szCs w:val="15"/>
                <w:b w:val="1"/>
                <w:bCs w:val="1"/>
                <w:color w:val="auto"/>
                <w:w w:val="79"/>
              </w:rPr>
              <w:t>)</w:t>
            </w:r>
          </w:p>
        </w:tc>
        <w:tc>
          <w:tcPr>
            <w:tcW w:w="960" w:type="dxa"/>
            <w:vAlign w:val="bottom"/>
            <w:tcBorders>
              <w:bottom w:val="single" w:sz="8" w:color="2C2C2C"/>
            </w:tcBorders>
          </w:tcPr>
          <w:p>
            <w:pPr>
              <w:jc w:val="center"/>
              <w:ind w:left="726"/>
              <w:spacing w:after="0" w:line="162" w:lineRule="exact"/>
              <w:rPr>
                <w:sz w:val="20"/>
                <w:szCs w:val="20"/>
                <w:color w:val="auto"/>
              </w:rPr>
            </w:pPr>
            <w:r>
              <w:rPr>
                <w:rFonts w:ascii="Arial" w:cs="Arial" w:eastAsia="Arial" w:hAnsi="Arial"/>
                <w:sz w:val="15"/>
                <w:szCs w:val="15"/>
                <w:b w:val="1"/>
                <w:bCs w:val="1"/>
                <w:color w:val="auto"/>
                <w:w w:val="91"/>
              </w:rPr>
              <w:t>(...</w:t>
            </w:r>
          </w:p>
        </w:tc>
        <w:tc>
          <w:tcPr>
            <w:tcW w:w="740" w:type="dxa"/>
            <w:vAlign w:val="bottom"/>
            <w:tcBorders>
              <w:bottom w:val="single" w:sz="8" w:color="2C2C2C"/>
            </w:tcBorders>
          </w:tcPr>
          <w:p>
            <w:pPr>
              <w:jc w:val="right"/>
              <w:ind w:right="606"/>
              <w:spacing w:after="0" w:line="162" w:lineRule="exact"/>
              <w:rPr>
                <w:sz w:val="20"/>
                <w:szCs w:val="20"/>
                <w:color w:val="auto"/>
              </w:rPr>
            </w:pPr>
            <w:r>
              <w:rPr>
                <w:rFonts w:ascii="Arial" w:cs="Arial" w:eastAsia="Arial" w:hAnsi="Arial"/>
                <w:sz w:val="15"/>
                <w:szCs w:val="15"/>
                <w:b w:val="1"/>
                <w:bCs w:val="1"/>
                <w:color w:val="auto"/>
                <w:w w:val="79"/>
              </w:rPr>
              <w:t>)</w:t>
            </w:r>
          </w:p>
        </w:tc>
        <w:tc>
          <w:tcPr>
            <w:tcW w:w="980" w:type="dxa"/>
            <w:vAlign w:val="bottom"/>
            <w:tcBorders>
              <w:bottom w:val="single" w:sz="8" w:color="2C2C2C"/>
            </w:tcBorders>
          </w:tcPr>
          <w:p>
            <w:pPr>
              <w:jc w:val="center"/>
              <w:ind w:left="746"/>
              <w:spacing w:after="0" w:line="162" w:lineRule="exact"/>
              <w:rPr>
                <w:sz w:val="20"/>
                <w:szCs w:val="20"/>
                <w:color w:val="auto"/>
              </w:rPr>
            </w:pPr>
            <w:r>
              <w:rPr>
                <w:rFonts w:ascii="Arial" w:cs="Arial" w:eastAsia="Arial" w:hAnsi="Arial"/>
                <w:sz w:val="15"/>
                <w:szCs w:val="15"/>
                <w:b w:val="1"/>
                <w:bCs w:val="1"/>
                <w:color w:val="auto"/>
                <w:w w:val="91"/>
              </w:rPr>
              <w:t>(...</w:t>
            </w:r>
          </w:p>
        </w:tc>
        <w:tc>
          <w:tcPr>
            <w:tcW w:w="780" w:type="dxa"/>
            <w:vAlign w:val="bottom"/>
            <w:tcBorders>
              <w:bottom w:val="single" w:sz="8" w:color="2C2C2C"/>
            </w:tcBorders>
          </w:tcPr>
          <w:p>
            <w:pPr>
              <w:jc w:val="right"/>
              <w:ind w:right="698"/>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6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ANNUALLY</w:t>
            </w:r>
          </w:p>
        </w:tc>
        <w:tc>
          <w:tcPr>
            <w:tcW w:w="920" w:type="dxa"/>
            <w:vAlign w:val="bottom"/>
            <w:tcBorders>
              <w:bottom w:val="single" w:sz="8" w:color="2C2C2C"/>
            </w:tcBorders>
          </w:tcPr>
          <w:p>
            <w:pPr>
              <w:jc w:val="center"/>
              <w:ind w:left="686"/>
              <w:spacing w:after="0" w:line="162" w:lineRule="exact"/>
              <w:rPr>
                <w:sz w:val="20"/>
                <w:szCs w:val="20"/>
                <w:color w:val="auto"/>
              </w:rPr>
            </w:pPr>
            <w:r>
              <w:rPr>
                <w:rFonts w:ascii="Arial" w:cs="Arial" w:eastAsia="Arial" w:hAnsi="Arial"/>
                <w:sz w:val="15"/>
                <w:szCs w:val="15"/>
                <w:b w:val="1"/>
                <w:bCs w:val="1"/>
                <w:color w:val="auto"/>
                <w:w w:val="91"/>
              </w:rPr>
              <w:t>(...</w:t>
            </w:r>
          </w:p>
        </w:tc>
        <w:tc>
          <w:tcPr>
            <w:tcW w:w="740" w:type="dxa"/>
            <w:vAlign w:val="bottom"/>
            <w:tcBorders>
              <w:bottom w:val="single" w:sz="8" w:color="2C2C2C"/>
            </w:tcBorders>
          </w:tcPr>
          <w:p>
            <w:pPr>
              <w:jc w:val="right"/>
              <w:ind w:right="606"/>
              <w:spacing w:after="0" w:line="162" w:lineRule="exact"/>
              <w:rPr>
                <w:sz w:val="20"/>
                <w:szCs w:val="20"/>
                <w:color w:val="auto"/>
              </w:rPr>
            </w:pPr>
            <w:r>
              <w:rPr>
                <w:rFonts w:ascii="Arial" w:cs="Arial" w:eastAsia="Arial" w:hAnsi="Arial"/>
                <w:sz w:val="15"/>
                <w:szCs w:val="15"/>
                <w:b w:val="1"/>
                <w:bCs w:val="1"/>
                <w:color w:val="auto"/>
                <w:w w:val="79"/>
              </w:rPr>
              <w:t>)</w:t>
            </w:r>
          </w:p>
        </w:tc>
        <w:tc>
          <w:tcPr>
            <w:tcW w:w="960" w:type="dxa"/>
            <w:vAlign w:val="bottom"/>
            <w:tcBorders>
              <w:bottom w:val="single" w:sz="8" w:color="2C2C2C"/>
            </w:tcBorders>
          </w:tcPr>
          <w:p>
            <w:pPr>
              <w:jc w:val="center"/>
              <w:ind w:left="726"/>
              <w:spacing w:after="0" w:line="162" w:lineRule="exact"/>
              <w:rPr>
                <w:sz w:val="20"/>
                <w:szCs w:val="20"/>
                <w:color w:val="auto"/>
              </w:rPr>
            </w:pPr>
            <w:r>
              <w:rPr>
                <w:rFonts w:ascii="Arial" w:cs="Arial" w:eastAsia="Arial" w:hAnsi="Arial"/>
                <w:sz w:val="15"/>
                <w:szCs w:val="15"/>
                <w:b w:val="1"/>
                <w:bCs w:val="1"/>
                <w:color w:val="auto"/>
                <w:w w:val="91"/>
              </w:rPr>
              <w:t>(...</w:t>
            </w:r>
          </w:p>
        </w:tc>
        <w:tc>
          <w:tcPr>
            <w:tcW w:w="740" w:type="dxa"/>
            <w:vAlign w:val="bottom"/>
            <w:tcBorders>
              <w:bottom w:val="single" w:sz="8" w:color="2C2C2C"/>
            </w:tcBorders>
          </w:tcPr>
          <w:p>
            <w:pPr>
              <w:jc w:val="right"/>
              <w:ind w:right="606"/>
              <w:spacing w:after="0" w:line="162" w:lineRule="exact"/>
              <w:rPr>
                <w:sz w:val="20"/>
                <w:szCs w:val="20"/>
                <w:color w:val="auto"/>
              </w:rPr>
            </w:pPr>
            <w:r>
              <w:rPr>
                <w:rFonts w:ascii="Arial" w:cs="Arial" w:eastAsia="Arial" w:hAnsi="Arial"/>
                <w:sz w:val="15"/>
                <w:szCs w:val="15"/>
                <w:b w:val="1"/>
                <w:bCs w:val="1"/>
                <w:color w:val="auto"/>
                <w:w w:val="79"/>
              </w:rPr>
              <w:t>)</w:t>
            </w:r>
          </w:p>
        </w:tc>
        <w:tc>
          <w:tcPr>
            <w:tcW w:w="980" w:type="dxa"/>
            <w:vAlign w:val="bottom"/>
            <w:tcBorders>
              <w:bottom w:val="single" w:sz="8" w:color="2C2C2C"/>
            </w:tcBorders>
          </w:tcPr>
          <w:p>
            <w:pPr>
              <w:jc w:val="center"/>
              <w:ind w:left="746"/>
              <w:spacing w:after="0" w:line="162" w:lineRule="exact"/>
              <w:rPr>
                <w:sz w:val="20"/>
                <w:szCs w:val="20"/>
                <w:color w:val="auto"/>
              </w:rPr>
            </w:pPr>
            <w:r>
              <w:rPr>
                <w:rFonts w:ascii="Arial" w:cs="Arial" w:eastAsia="Arial" w:hAnsi="Arial"/>
                <w:sz w:val="15"/>
                <w:szCs w:val="15"/>
                <w:b w:val="1"/>
                <w:bCs w:val="1"/>
                <w:color w:val="auto"/>
                <w:w w:val="91"/>
              </w:rPr>
              <w:t>(...</w:t>
            </w:r>
          </w:p>
        </w:tc>
        <w:tc>
          <w:tcPr>
            <w:tcW w:w="780" w:type="dxa"/>
            <w:vAlign w:val="bottom"/>
            <w:tcBorders>
              <w:bottom w:val="single" w:sz="8" w:color="2C2C2C"/>
            </w:tcBorders>
          </w:tcPr>
          <w:p>
            <w:pPr>
              <w:jc w:val="right"/>
              <w:ind w:right="698"/>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626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LESS THAN ANNUALLY</w:t>
            </w:r>
          </w:p>
        </w:tc>
        <w:tc>
          <w:tcPr>
            <w:tcW w:w="920" w:type="dxa"/>
            <w:vAlign w:val="bottom"/>
            <w:tcBorders>
              <w:bottom w:val="single" w:sz="8" w:color="2C2C2C"/>
            </w:tcBorders>
          </w:tcPr>
          <w:p>
            <w:pPr>
              <w:jc w:val="center"/>
              <w:ind w:left="686"/>
              <w:spacing w:after="0" w:line="162" w:lineRule="exact"/>
              <w:rPr>
                <w:sz w:val="20"/>
                <w:szCs w:val="20"/>
                <w:color w:val="auto"/>
              </w:rPr>
            </w:pPr>
            <w:r>
              <w:rPr>
                <w:rFonts w:ascii="Arial" w:cs="Arial" w:eastAsia="Arial" w:hAnsi="Arial"/>
                <w:sz w:val="15"/>
                <w:szCs w:val="15"/>
                <w:b w:val="1"/>
                <w:bCs w:val="1"/>
                <w:color w:val="auto"/>
                <w:w w:val="91"/>
              </w:rPr>
              <w:t>(...</w:t>
            </w:r>
          </w:p>
        </w:tc>
        <w:tc>
          <w:tcPr>
            <w:tcW w:w="740" w:type="dxa"/>
            <w:vAlign w:val="bottom"/>
            <w:tcBorders>
              <w:bottom w:val="single" w:sz="8" w:color="2C2C2C"/>
            </w:tcBorders>
          </w:tcPr>
          <w:p>
            <w:pPr>
              <w:jc w:val="right"/>
              <w:ind w:right="606"/>
              <w:spacing w:after="0" w:line="162" w:lineRule="exact"/>
              <w:rPr>
                <w:sz w:val="20"/>
                <w:szCs w:val="20"/>
                <w:color w:val="auto"/>
              </w:rPr>
            </w:pPr>
            <w:r>
              <w:rPr>
                <w:rFonts w:ascii="Arial" w:cs="Arial" w:eastAsia="Arial" w:hAnsi="Arial"/>
                <w:sz w:val="15"/>
                <w:szCs w:val="15"/>
                <w:b w:val="1"/>
                <w:bCs w:val="1"/>
                <w:color w:val="auto"/>
                <w:w w:val="79"/>
              </w:rPr>
              <w:t>)</w:t>
            </w:r>
          </w:p>
        </w:tc>
        <w:tc>
          <w:tcPr>
            <w:tcW w:w="960" w:type="dxa"/>
            <w:vAlign w:val="bottom"/>
            <w:tcBorders>
              <w:bottom w:val="single" w:sz="8" w:color="2C2C2C"/>
            </w:tcBorders>
          </w:tcPr>
          <w:p>
            <w:pPr>
              <w:jc w:val="center"/>
              <w:ind w:left="726"/>
              <w:spacing w:after="0" w:line="162" w:lineRule="exact"/>
              <w:rPr>
                <w:sz w:val="20"/>
                <w:szCs w:val="20"/>
                <w:color w:val="auto"/>
              </w:rPr>
            </w:pPr>
            <w:r>
              <w:rPr>
                <w:rFonts w:ascii="Arial" w:cs="Arial" w:eastAsia="Arial" w:hAnsi="Arial"/>
                <w:sz w:val="15"/>
                <w:szCs w:val="15"/>
                <w:b w:val="1"/>
                <w:bCs w:val="1"/>
                <w:color w:val="auto"/>
                <w:w w:val="91"/>
              </w:rPr>
              <w:t>(...</w:t>
            </w:r>
          </w:p>
        </w:tc>
        <w:tc>
          <w:tcPr>
            <w:tcW w:w="740" w:type="dxa"/>
            <w:vAlign w:val="bottom"/>
            <w:tcBorders>
              <w:bottom w:val="single" w:sz="8" w:color="2C2C2C"/>
            </w:tcBorders>
          </w:tcPr>
          <w:p>
            <w:pPr>
              <w:jc w:val="right"/>
              <w:ind w:right="606"/>
              <w:spacing w:after="0" w:line="162" w:lineRule="exact"/>
              <w:rPr>
                <w:sz w:val="20"/>
                <w:szCs w:val="20"/>
                <w:color w:val="auto"/>
              </w:rPr>
            </w:pPr>
            <w:r>
              <w:rPr>
                <w:rFonts w:ascii="Arial" w:cs="Arial" w:eastAsia="Arial" w:hAnsi="Arial"/>
                <w:sz w:val="15"/>
                <w:szCs w:val="15"/>
                <w:b w:val="1"/>
                <w:bCs w:val="1"/>
                <w:color w:val="auto"/>
                <w:w w:val="79"/>
              </w:rPr>
              <w:t>)</w:t>
            </w:r>
          </w:p>
        </w:tc>
        <w:tc>
          <w:tcPr>
            <w:tcW w:w="980" w:type="dxa"/>
            <w:vAlign w:val="bottom"/>
            <w:tcBorders>
              <w:bottom w:val="single" w:sz="8" w:color="2C2C2C"/>
            </w:tcBorders>
          </w:tcPr>
          <w:p>
            <w:pPr>
              <w:jc w:val="center"/>
              <w:ind w:left="746"/>
              <w:spacing w:after="0" w:line="162" w:lineRule="exact"/>
              <w:rPr>
                <w:sz w:val="20"/>
                <w:szCs w:val="20"/>
                <w:color w:val="auto"/>
              </w:rPr>
            </w:pPr>
            <w:r>
              <w:rPr>
                <w:rFonts w:ascii="Arial" w:cs="Arial" w:eastAsia="Arial" w:hAnsi="Arial"/>
                <w:sz w:val="15"/>
                <w:szCs w:val="15"/>
                <w:b w:val="1"/>
                <w:bCs w:val="1"/>
                <w:color w:val="auto"/>
                <w:w w:val="91"/>
              </w:rPr>
              <w:t>(...</w:t>
            </w:r>
          </w:p>
        </w:tc>
        <w:tc>
          <w:tcPr>
            <w:tcW w:w="780" w:type="dxa"/>
            <w:vAlign w:val="bottom"/>
            <w:tcBorders>
              <w:bottom w:val="single" w:sz="8" w:color="2C2C2C"/>
            </w:tcBorders>
          </w:tcPr>
          <w:p>
            <w:pPr>
              <w:jc w:val="right"/>
              <w:ind w:right="698"/>
              <w:spacing w:after="0"/>
              <w:rPr>
                <w:sz w:val="20"/>
                <w:szCs w:val="20"/>
                <w:color w:val="auto"/>
              </w:rPr>
            </w:pPr>
            <w:r>
              <w:rPr>
                <w:rFonts w:ascii="Arial" w:cs="Arial" w:eastAsia="Arial" w:hAnsi="Arial"/>
                <w:sz w:val="8"/>
                <w:szCs w:val="8"/>
                <w:b w:val="1"/>
                <w:bCs w:val="1"/>
                <w:color w:val="auto"/>
                <w:w w:val="73"/>
              </w:rPr>
              <w:t>)</w:t>
            </w: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-741045</wp:posOffset>
            </wp:positionV>
            <wp:extent cx="42545" cy="7454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2545" cy="7454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-741045</wp:posOffset>
            </wp:positionV>
            <wp:extent cx="42545" cy="7454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2545" cy="7454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700"/>
        <w:spacing w:after="0" w:line="256" w:lineRule="auto"/>
        <w:rPr>
          <w:sz w:val="20"/>
          <w:szCs w:val="20"/>
          <w:color w:val="auto"/>
        </w:rPr>
      </w:pPr>
      <w:r>
        <w:rPr>
          <w:rFonts w:ascii="Arial" w:cs="Arial" w:eastAsia="Arial" w:hAnsi="Arial"/>
          <w:sz w:val="22"/>
          <w:szCs w:val="22"/>
          <w:b w:val="1"/>
          <w:bCs w:val="1"/>
          <w:color w:val="auto"/>
        </w:rPr>
        <w:t xml:space="preserve">(.X.) OTHER, please specify </w:t>
      </w:r>
      <w:r>
        <w:rPr>
          <w:rFonts w:ascii="Arial" w:cs="Arial" w:eastAsia="Arial" w:hAnsi="Arial"/>
          <w:sz w:val="22"/>
          <w:szCs w:val="22"/>
          <w:color w:val="auto"/>
        </w:rPr>
        <w:t>The agent who registers the shares is The Bank of New York and the SAP are responsible for</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communicating changes to CAVALI.</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 Describe THE COMPANY’s dividend policy applicable to the financial year to which this report refers.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4" w:name="page65"/>
    <w:bookmarkEnd w:id="64"/>
    <w:p>
      <w:pPr>
        <w:ind w:left="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5132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2020" cy="1513205"/>
                    </a:xfrm>
                    <a:prstGeom prst="rect">
                      <a:avLst/>
                    </a:prstGeom>
                    <a:noFill/>
                  </pic:spPr>
                </pic:pic>
              </a:graphicData>
            </a:graphic>
          </wp:anchor>
        </w:drawing>
        <w:t>Date of approval</w:t>
      </w:r>
    </w:p>
    <w:p>
      <w:pPr>
        <w:spacing w:after="0" w:line="17" w:lineRule="exact"/>
        <w:rPr>
          <w:sz w:val="20"/>
          <w:szCs w:val="20"/>
          <w:color w:val="auto"/>
        </w:rPr>
      </w:pPr>
    </w:p>
    <w:p>
      <w:pPr>
        <w:ind w:left="40"/>
        <w:spacing w:after="0"/>
        <w:tabs>
          <w:tab w:leader="none" w:pos="6280" w:val="left"/>
        </w:tabs>
        <w:rPr>
          <w:sz w:val="20"/>
          <w:szCs w:val="20"/>
          <w:color w:val="auto"/>
        </w:rPr>
      </w:pPr>
      <w:r>
        <w:rPr>
          <w:rFonts w:ascii="Arial" w:cs="Arial" w:eastAsia="Arial" w:hAnsi="Arial"/>
          <w:sz w:val="15"/>
          <w:szCs w:val="15"/>
          <w:color w:val="auto"/>
        </w:rPr>
        <w:t>Entity that approved it</w:t>
      </w:r>
      <w:r>
        <w:rPr>
          <w:sz w:val="20"/>
          <w:szCs w:val="20"/>
          <w:color w:val="auto"/>
        </w:rPr>
        <w:tab/>
      </w:r>
      <w:r>
        <w:rPr>
          <w:rFonts w:ascii="Arial" w:cs="Arial" w:eastAsia="Arial" w:hAnsi="Arial"/>
          <w:sz w:val="13"/>
          <w:szCs w:val="13"/>
          <w:color w:val="auto"/>
        </w:rPr>
        <w:t>Board of Directors</w:t>
      </w:r>
    </w:p>
    <w:p>
      <w:pPr>
        <w:sectPr>
          <w:pgSz w:w="11900" w:h="16838" w:orient="portrait"/>
          <w:cols w:equalWidth="0" w:num="1">
            <w:col w:w="11420"/>
          </w:cols>
          <w:pgMar w:left="240" w:top="157" w:right="239" w:bottom="1440" w:gutter="0" w:footer="0" w:header="0"/>
        </w:sectPr>
      </w:pPr>
    </w:p>
    <w:p>
      <w:pPr>
        <w:spacing w:after="0" w:line="17" w:lineRule="exact"/>
        <w:rPr>
          <w:sz w:val="20"/>
          <w:szCs w:val="20"/>
          <w:color w:val="auto"/>
        </w:rPr>
      </w:pPr>
    </w:p>
    <w:p>
      <w:pPr>
        <w:ind w:left="40"/>
        <w:spacing w:after="0" w:line="247" w:lineRule="auto"/>
        <w:rPr>
          <w:sz w:val="20"/>
          <w:szCs w:val="20"/>
          <w:color w:val="auto"/>
        </w:rPr>
      </w:pPr>
      <w:r>
        <w:rPr>
          <w:rFonts w:ascii="Arial" w:cs="Arial" w:eastAsia="Arial" w:hAnsi="Arial"/>
          <w:sz w:val="15"/>
          <w:szCs w:val="15"/>
          <w:color w:val="auto"/>
        </w:rPr>
        <w:t>Divident Policy (criteria for the distribution of profits)</w:t>
      </w:r>
    </w:p>
    <w:p>
      <w:pPr>
        <w:spacing w:after="0" w:line="20" w:lineRule="exact"/>
        <w:rPr>
          <w:sz w:val="20"/>
          <w:szCs w:val="20"/>
          <w:color w:val="auto"/>
        </w:rPr>
      </w:pPr>
      <w:r>
        <w:rPr>
          <w:sz w:val="20"/>
          <w:szCs w:val="20"/>
          <w:color w:val="auto"/>
        </w:rPr>
        <w:br w:type="column"/>
      </w:r>
    </w:p>
    <w:p>
      <w:pPr>
        <w:jc w:val="both"/>
        <w:ind w:right="20"/>
        <w:spacing w:after="0" w:line="247" w:lineRule="auto"/>
        <w:rPr>
          <w:sz w:val="20"/>
          <w:szCs w:val="20"/>
          <w:color w:val="auto"/>
        </w:rPr>
      </w:pPr>
      <w:r>
        <w:rPr>
          <w:rFonts w:ascii="Arial" w:cs="Arial" w:eastAsia="Arial" w:hAnsi="Arial"/>
          <w:sz w:val="14"/>
          <w:szCs w:val="14"/>
          <w:color w:val="auto"/>
        </w:rPr>
        <w:t>According to the Law of The Bermudas, the dividends can be declared and paid periodically, on the condition that Credicorp can pay its obligations on the deadlines, and the attainable value of Credicorp's assets is not less than the aggregate of its obligations and the accounts of the premiums of the shares and the social capital issued after the payment of said dividends. If it is not possible to ensure that dividends will be paid, or the amount of the dividends if there were any, Credicorp expects to announce and pay dividends annually, and Credicorp's Board of Directors currently intends to authorize payment to shareholders of annual dividends of not less than 25% of the net consolidated profits. However, the payment of dividends remains subject to the Law of The Bermudas and to the discretion of the Board of Directors of Credicorp and will depend on the general situation of Credicorp's business and financial performance, the availability of dividends fr om Credicorp's subsidiaries and the restrictions to their payment and other factors that Credicorp's Board of Directors considers relevant.</w:t>
      </w:r>
    </w:p>
    <w:p>
      <w:pPr>
        <w:spacing w:after="0" w:line="120" w:lineRule="exact"/>
        <w:rPr>
          <w:sz w:val="20"/>
          <w:szCs w:val="20"/>
          <w:color w:val="auto"/>
        </w:rPr>
      </w:pPr>
    </w:p>
    <w:p>
      <w:pPr>
        <w:jc w:val="both"/>
        <w:ind w:right="40"/>
        <w:spacing w:after="0" w:line="237" w:lineRule="auto"/>
        <w:rPr>
          <w:sz w:val="20"/>
          <w:szCs w:val="20"/>
          <w:color w:val="auto"/>
        </w:rPr>
      </w:pPr>
      <w:r>
        <w:rPr>
          <w:rFonts w:ascii="Arial" w:cs="Arial" w:eastAsia="Arial" w:hAnsi="Arial"/>
          <w:sz w:val="15"/>
          <w:szCs w:val="15"/>
          <w:color w:val="auto"/>
        </w:rPr>
        <w:t>For the payment of dividends to the holders of Credicorp's Common Shares and to cover the company's costs, Credicorp depends almost exclusively on the dividends from its subsidiaries, and will be able to determine that its subsidiaries declare dividends subject to the certain demands on reserves and capital, according to the laws applicable to the banking and insurance industry.</w:t>
      </w:r>
    </w:p>
    <w:p>
      <w:pPr>
        <w:spacing w:after="0" w:line="200" w:lineRule="exact"/>
        <w:rPr>
          <w:sz w:val="20"/>
          <w:szCs w:val="20"/>
          <w:color w:val="auto"/>
        </w:rPr>
      </w:pPr>
    </w:p>
    <w:p>
      <w:pPr>
        <w:sectPr>
          <w:pgSz w:w="11900" w:h="16838" w:orient="portrait"/>
          <w:cols w:equalWidth="0" w:num="2">
            <w:col w:w="1900" w:space="420"/>
            <w:col w:w="9100"/>
          </w:cols>
          <w:pgMar w:left="240" w:top="157" w:right="2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ind w:right="200"/>
        <w:spacing w:after="0" w:line="256" w:lineRule="auto"/>
        <w:rPr>
          <w:sz w:val="20"/>
          <w:szCs w:val="20"/>
          <w:color w:val="auto"/>
        </w:rPr>
      </w:pPr>
      <w:r>
        <w:rPr>
          <w:rFonts w:ascii="Arial" w:cs="Arial" w:eastAsia="Arial" w:hAnsi="Arial"/>
          <w:sz w:val="22"/>
          <w:szCs w:val="22"/>
          <w:b w:val="1"/>
          <w:bCs w:val="1"/>
          <w:color w:val="auto"/>
        </w:rPr>
        <w:t>g. If relevant, specify which dividends are in cash and which are in shares distributed by THE COMPANY in the financial year to which this report refers and in the previous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13633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2020" cy="13633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7980" w:type="dxa"/>
            <w:vAlign w:val="bottom"/>
            <w:tcBorders>
              <w:top w:val="single" w:sz="8" w:color="2C2C2C"/>
              <w:bottom w:val="single" w:sz="8" w:color="2C2C2C"/>
            </w:tcBorders>
            <w:vMerge w:val="restart"/>
          </w:tcPr>
          <w:p>
            <w:pPr>
              <w:ind w:left="1460"/>
              <w:spacing w:after="0"/>
              <w:rPr>
                <w:sz w:val="20"/>
                <w:szCs w:val="20"/>
                <w:color w:val="auto"/>
              </w:rPr>
            </w:pPr>
            <w:r>
              <w:rPr>
                <w:rFonts w:ascii="Arial" w:cs="Arial" w:eastAsia="Arial" w:hAnsi="Arial"/>
                <w:sz w:val="15"/>
                <w:szCs w:val="15"/>
                <w:b w:val="1"/>
                <w:bCs w:val="1"/>
                <w:color w:val="auto"/>
              </w:rPr>
              <w:t>DATE OF DELIVERY</w:t>
            </w:r>
          </w:p>
        </w:tc>
        <w:tc>
          <w:tcPr>
            <w:tcW w:w="3400" w:type="dxa"/>
            <w:vAlign w:val="bottom"/>
            <w:tcBorders>
              <w:top w:val="single" w:sz="8" w:color="2C2C2C"/>
              <w:bottom w:val="single" w:sz="8" w:color="2C2C2C"/>
            </w:tcBorders>
            <w:gridSpan w:val="2"/>
          </w:tcPr>
          <w:p>
            <w:pPr>
              <w:ind w:left="900"/>
              <w:spacing w:after="0"/>
              <w:rPr>
                <w:sz w:val="20"/>
                <w:szCs w:val="20"/>
                <w:color w:val="auto"/>
              </w:rPr>
            </w:pPr>
            <w:r>
              <w:rPr>
                <w:rFonts w:ascii="Arial" w:cs="Arial" w:eastAsia="Arial" w:hAnsi="Arial"/>
                <w:sz w:val="15"/>
                <w:szCs w:val="15"/>
                <w:color w:val="auto"/>
              </w:rPr>
              <w:t>DIVIDEND PER SHARE</w:t>
            </w: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980" w:type="dxa"/>
            <w:vAlign w:val="bottom"/>
            <w:vMerge w:val="continue"/>
          </w:tcPr>
          <w:p>
            <w:pPr>
              <w:spacing w:after="0"/>
              <w:rPr>
                <w:sz w:val="7"/>
                <w:szCs w:val="7"/>
                <w:color w:val="auto"/>
              </w:rPr>
            </w:pPr>
          </w:p>
        </w:tc>
        <w:tc>
          <w:tcPr>
            <w:tcW w:w="1640" w:type="dxa"/>
            <w:vAlign w:val="bottom"/>
            <w:vMerge w:val="restart"/>
          </w:tcPr>
          <w:p>
            <w:pPr>
              <w:ind w:left="540"/>
              <w:spacing w:after="0" w:line="162" w:lineRule="exact"/>
              <w:rPr>
                <w:sz w:val="20"/>
                <w:szCs w:val="20"/>
                <w:color w:val="auto"/>
              </w:rPr>
            </w:pPr>
            <w:r>
              <w:rPr>
                <w:rFonts w:ascii="Arial" w:cs="Arial" w:eastAsia="Arial" w:hAnsi="Arial"/>
                <w:sz w:val="15"/>
                <w:szCs w:val="15"/>
                <w:color w:val="auto"/>
              </w:rPr>
              <w:t>IN CASH</w:t>
            </w:r>
          </w:p>
        </w:tc>
        <w:tc>
          <w:tcPr>
            <w:tcW w:w="1780" w:type="dxa"/>
            <w:vAlign w:val="bottom"/>
            <w:gridSpan w:val="2"/>
            <w:vMerge w:val="restart"/>
          </w:tcPr>
          <w:p>
            <w:pPr>
              <w:ind w:left="520"/>
              <w:spacing w:after="0" w:line="162" w:lineRule="exact"/>
              <w:rPr>
                <w:sz w:val="20"/>
                <w:szCs w:val="20"/>
                <w:color w:val="auto"/>
              </w:rPr>
            </w:pPr>
            <w:r>
              <w:rPr>
                <w:rFonts w:ascii="Arial" w:cs="Arial" w:eastAsia="Arial" w:hAnsi="Arial"/>
                <w:sz w:val="15"/>
                <w:szCs w:val="15"/>
                <w:color w:val="auto"/>
              </w:rPr>
              <w:t>IN SHARES</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80" w:type="dxa"/>
            <w:vAlign w:val="bottom"/>
            <w:tcBorders>
              <w:top w:val="single" w:sz="8" w:color="2C2C2C"/>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TYPE OF UNIQUE SHARE</w:t>
            </w:r>
          </w:p>
        </w:tc>
        <w:tc>
          <w:tcPr>
            <w:tcW w:w="1640" w:type="dxa"/>
            <w:vAlign w:val="bottom"/>
            <w:tcBorders>
              <w:top w:val="single" w:sz="8" w:color="2C2C2C"/>
              <w:bottom w:val="single" w:sz="8" w:color="2C2C2C"/>
            </w:tcBorders>
          </w:tcPr>
          <w:p>
            <w:pPr>
              <w:spacing w:after="0"/>
              <w:rPr>
                <w:sz w:val="14"/>
                <w:szCs w:val="14"/>
                <w:color w:val="auto"/>
              </w:rPr>
            </w:pPr>
          </w:p>
        </w:tc>
        <w:tc>
          <w:tcPr>
            <w:tcW w:w="1760" w:type="dxa"/>
            <w:vAlign w:val="bottom"/>
            <w:tcBorders>
              <w:top w:val="single" w:sz="8" w:color="2C2C2C"/>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FINANCIAL YEAR N-1</w:t>
            </w:r>
            <w:r>
              <w:rPr>
                <w:rFonts w:ascii="Arial" w:cs="Arial" w:eastAsia="Arial" w:hAnsi="Arial"/>
                <w:sz w:val="15"/>
                <w:szCs w:val="15"/>
                <w:color w:val="auto"/>
              </w:rPr>
              <w:t>- MAY 2, 2005</w:t>
            </w:r>
          </w:p>
        </w:tc>
        <w:tc>
          <w:tcPr>
            <w:tcW w:w="1640" w:type="dxa"/>
            <w:vAlign w:val="bottom"/>
            <w:tcBorders>
              <w:bottom w:val="single" w:sz="8" w:color="2C2C2C"/>
            </w:tcBorders>
          </w:tcPr>
          <w:p>
            <w:pPr>
              <w:ind w:left="560"/>
              <w:spacing w:after="0" w:line="162" w:lineRule="exact"/>
              <w:rPr>
                <w:sz w:val="20"/>
                <w:szCs w:val="20"/>
                <w:color w:val="auto"/>
              </w:rPr>
            </w:pPr>
            <w:r>
              <w:rPr>
                <w:rFonts w:ascii="Arial" w:cs="Arial" w:eastAsia="Arial" w:hAnsi="Arial"/>
                <w:sz w:val="15"/>
                <w:szCs w:val="15"/>
                <w:color w:val="auto"/>
              </w:rPr>
              <w:t>US$ 0.80</w:t>
            </w:r>
          </w:p>
        </w:tc>
        <w:tc>
          <w:tcPr>
            <w:tcW w:w="17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 xml:space="preserve">FINANCIAL YEAR N 2- </w:t>
            </w:r>
            <w:r>
              <w:rPr>
                <w:rFonts w:ascii="Arial" w:cs="Arial" w:eastAsia="Arial" w:hAnsi="Arial"/>
                <w:sz w:val="15"/>
                <w:szCs w:val="15"/>
                <w:color w:val="auto"/>
              </w:rPr>
              <w:t>APRIL 30, 2004</w:t>
            </w:r>
          </w:p>
        </w:tc>
        <w:tc>
          <w:tcPr>
            <w:tcW w:w="1640" w:type="dxa"/>
            <w:vAlign w:val="bottom"/>
            <w:tcBorders>
              <w:bottom w:val="single" w:sz="8" w:color="2C2C2C"/>
            </w:tcBorders>
          </w:tcPr>
          <w:p>
            <w:pPr>
              <w:ind w:left="560"/>
              <w:spacing w:after="0" w:line="162" w:lineRule="exact"/>
              <w:rPr>
                <w:sz w:val="20"/>
                <w:szCs w:val="20"/>
                <w:color w:val="auto"/>
              </w:rPr>
            </w:pPr>
            <w:r>
              <w:rPr>
                <w:rFonts w:ascii="Arial" w:cs="Arial" w:eastAsia="Arial" w:hAnsi="Arial"/>
                <w:sz w:val="15"/>
                <w:szCs w:val="15"/>
                <w:color w:val="auto"/>
              </w:rPr>
              <w:t>US$ 0.40</w:t>
            </w:r>
          </w:p>
        </w:tc>
        <w:tc>
          <w:tcPr>
            <w:tcW w:w="17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TYPE OF SHARE</w:t>
            </w:r>
          </w:p>
        </w:tc>
        <w:tc>
          <w:tcPr>
            <w:tcW w:w="16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FINANCIAL YEAR N-1</w:t>
            </w:r>
          </w:p>
        </w:tc>
        <w:tc>
          <w:tcPr>
            <w:tcW w:w="1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sz w:val="1"/>
          <w:szCs w:val="1"/>
          <w:color w:val="auto"/>
        </w:rPr>
        <w:drawing>
          <wp:inline distT="0" distB="0" distL="0" distR="0">
            <wp:extent cx="34290" cy="11430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r>
        <w:rPr>
          <w:rFonts w:ascii="Arial" w:cs="Arial" w:eastAsia="Arial" w:hAnsi="Arial"/>
          <w:sz w:val="15"/>
          <w:szCs w:val="15"/>
          <w:b w:val="1"/>
          <w:bCs w:val="1"/>
          <w:color w:val="auto"/>
        </w:rPr>
        <w:t>FINANCIAL YEAR N</w:t>
      </w:r>
    </w:p>
    <w:p>
      <w:pPr>
        <w:ind w:left="40"/>
        <w:spacing w:after="0" w:line="231" w:lineRule="auto"/>
        <w:rPr>
          <w:sz w:val="20"/>
          <w:szCs w:val="20"/>
          <w:color w:val="auto"/>
        </w:rPr>
      </w:pPr>
      <w:r>
        <w:rPr>
          <w:rFonts w:ascii="Arial" w:cs="Arial" w:eastAsia="Arial" w:hAnsi="Arial"/>
          <w:sz w:val="15"/>
          <w:szCs w:val="15"/>
          <w:color w:val="auto"/>
        </w:rPr>
        <w:t>INVESTMENT SHARES</w:t>
      </w:r>
    </w:p>
    <w:p>
      <w:pPr>
        <w:spacing w:after="0"/>
        <w:rPr>
          <w:sz w:val="20"/>
          <w:szCs w:val="20"/>
          <w:color w:val="auto"/>
        </w:rPr>
      </w:pPr>
      <w:r>
        <w:rPr>
          <w:sz w:val="1"/>
          <w:szCs w:val="1"/>
          <w:color w:val="auto"/>
        </w:rPr>
        <w:drawing>
          <wp:inline distT="0" distB="0" distL="0" distR="0">
            <wp:extent cx="34290" cy="11430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r>
        <w:rPr>
          <w:rFonts w:ascii="Arial" w:cs="Arial" w:eastAsia="Arial" w:hAnsi="Arial"/>
          <w:sz w:val="15"/>
          <w:szCs w:val="15"/>
          <w:b w:val="1"/>
          <w:bCs w:val="1"/>
          <w:color w:val="auto"/>
        </w:rPr>
        <w:t>FINANCIAL YEAR N-1</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FINANCIAL YEAR 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BOARD OF DIRECTORS</w:t>
      </w:r>
    </w:p>
    <w:p>
      <w:pPr>
        <w:spacing w:after="0" w:line="200"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h. Please provide the following information on the sessions of THE COMPANY’s Board of Directors carried out during the financial year to which this report refers: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42545" cy="402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107950</wp:posOffset>
            </wp:positionV>
            <wp:extent cx="42545" cy="402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116840</wp:posOffset>
            </wp:positionV>
            <wp:extent cx="42545" cy="3854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2545" cy="3854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1008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15"/>
                <w:szCs w:val="15"/>
                <w:b w:val="1"/>
                <w:bCs w:val="1"/>
                <w:color w:val="auto"/>
              </w:rPr>
              <w:t>NUMBER OF SESSIONS CARRIED OUT:</w:t>
            </w:r>
          </w:p>
        </w:tc>
        <w:tc>
          <w:tcPr>
            <w:tcW w:w="1300" w:type="dxa"/>
            <w:vAlign w:val="bottom"/>
            <w:tcBorders>
              <w:top w:val="single" w:sz="8" w:color="2C2C2C"/>
              <w:bottom w:val="single" w:sz="8" w:color="2C2C2C"/>
            </w:tcBorders>
          </w:tcPr>
          <w:p>
            <w:pPr>
              <w:jc w:val="center"/>
              <w:ind w:left="66"/>
              <w:spacing w:after="0"/>
              <w:rPr>
                <w:sz w:val="20"/>
                <w:szCs w:val="20"/>
                <w:color w:val="auto"/>
              </w:rPr>
            </w:pPr>
            <w:r>
              <w:rPr>
                <w:rFonts w:ascii="Arial" w:cs="Arial" w:eastAsia="Arial" w:hAnsi="Arial"/>
                <w:sz w:val="15"/>
                <w:szCs w:val="15"/>
                <w:color w:val="auto"/>
                <w:w w:val="95"/>
              </w:rPr>
              <w:t>19</w:t>
            </w:r>
          </w:p>
        </w:tc>
        <w:tc>
          <w:tcPr>
            <w:tcW w:w="20" w:type="dxa"/>
            <w:vAlign w:val="bottom"/>
            <w:tcBorders>
              <w:top w:val="single" w:sz="8" w:color="808080"/>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100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NUMBER OF SESSIONS IN WHICH ONE OR MORE DIRECTORS WERE REPRESENTED BY SUBSTITUTE OR ALTERNATE DIRECTORS</w:t>
            </w:r>
          </w:p>
        </w:tc>
        <w:tc>
          <w:tcPr>
            <w:tcW w:w="1300" w:type="dxa"/>
            <w:vAlign w:val="bottom"/>
            <w:tcBorders>
              <w:bottom w:val="single" w:sz="8" w:color="2C2C2C"/>
            </w:tcBorders>
          </w:tcPr>
          <w:p>
            <w:pPr>
              <w:jc w:val="center"/>
              <w:ind w:left="66"/>
              <w:spacing w:after="0" w:line="162" w:lineRule="exact"/>
              <w:rPr>
                <w:sz w:val="20"/>
                <w:szCs w:val="20"/>
                <w:color w:val="auto"/>
              </w:rPr>
            </w:pPr>
            <w:r>
              <w:rPr>
                <w:rFonts w:ascii="Arial" w:cs="Arial" w:eastAsia="Arial" w:hAnsi="Arial"/>
                <w:sz w:val="15"/>
                <w:szCs w:val="15"/>
                <w:color w:val="auto"/>
                <w:w w:val="95"/>
              </w:rPr>
              <w:t>0</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1008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NUMBER OF TITLED DIRECTORS WHO WERE REPRESENTED ON AT LEAST ONE OCCASION</w:t>
            </w:r>
          </w:p>
        </w:tc>
        <w:tc>
          <w:tcPr>
            <w:tcW w:w="1300" w:type="dxa"/>
            <w:vAlign w:val="bottom"/>
            <w:tcBorders>
              <w:bottom w:val="single" w:sz="8" w:color="2C2C2C"/>
            </w:tcBorders>
          </w:tcPr>
          <w:p>
            <w:pPr>
              <w:jc w:val="center"/>
              <w:ind w:left="66"/>
              <w:spacing w:after="0" w:line="162" w:lineRule="exact"/>
              <w:rPr>
                <w:sz w:val="20"/>
                <w:szCs w:val="20"/>
                <w:color w:val="auto"/>
              </w:rPr>
            </w:pPr>
            <w:r>
              <w:rPr>
                <w:rFonts w:ascii="Arial" w:cs="Arial" w:eastAsia="Arial" w:hAnsi="Arial"/>
                <w:sz w:val="15"/>
                <w:szCs w:val="15"/>
                <w:color w:val="auto"/>
                <w:w w:val="95"/>
              </w:rPr>
              <w:t>0</w:t>
            </w:r>
          </w:p>
        </w:tc>
        <w:tc>
          <w:tcPr>
            <w:tcW w:w="20" w:type="dxa"/>
            <w:vAlign w:val="bottom"/>
            <w:tcBorders>
              <w:bottom w:val="single" w:sz="8" w:color="2C2C2C"/>
            </w:tcBorders>
          </w:tcPr>
          <w:p>
            <w:pPr>
              <w:spacing w:after="0"/>
              <w:rPr>
                <w:sz w:val="14"/>
                <w:szCs w:val="14"/>
                <w:color w:val="auto"/>
              </w:rPr>
            </w:pPr>
          </w:p>
        </w:tc>
      </w:tr>
    </w:tbl>
    <w:p>
      <w:pPr>
        <w:spacing w:after="0" w:line="200" w:lineRule="exact"/>
        <w:rPr>
          <w:sz w:val="20"/>
          <w:szCs w:val="20"/>
          <w:color w:val="auto"/>
        </w:rPr>
      </w:pPr>
    </w:p>
    <w:p>
      <w:pPr>
        <w:spacing w:after="0" w:line="232" w:lineRule="exact"/>
        <w:rPr>
          <w:sz w:val="20"/>
          <w:szCs w:val="20"/>
          <w:color w:val="auto"/>
        </w:rPr>
      </w:pPr>
    </w:p>
    <w:p>
      <w:pPr>
        <w:ind w:right="1380"/>
        <w:spacing w:after="0" w:line="256" w:lineRule="auto"/>
        <w:rPr>
          <w:sz w:val="20"/>
          <w:szCs w:val="20"/>
          <w:color w:val="auto"/>
        </w:rPr>
      </w:pPr>
      <w:r>
        <w:rPr>
          <w:rFonts w:ascii="Arial" w:cs="Arial" w:eastAsia="Arial" w:hAnsi="Arial"/>
          <w:sz w:val="22"/>
          <w:szCs w:val="22"/>
          <w:b w:val="1"/>
          <w:bCs w:val="1"/>
          <w:color w:val="auto"/>
        </w:rPr>
        <w:t xml:space="preserve">i. Indicate the type of bonuses received by the Board of Directors for fulfillment of goals in THE COMPANY. </w:t>
      </w:r>
      <w:r>
        <w:rPr>
          <w:rFonts w:ascii="Arial" w:cs="Arial" w:eastAsia="Arial" w:hAnsi="Arial"/>
          <w:sz w:val="22"/>
          <w:szCs w:val="22"/>
          <w:color w:val="auto"/>
        </w:rPr>
        <w:t>None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20" w:type="dxa"/>
            <w:vAlign w:val="bottom"/>
            <w:gridSpan w:val="2"/>
          </w:tcPr>
          <w:p>
            <w:pPr>
              <w:spacing w:after="0"/>
              <w:rPr>
                <w:sz w:val="20"/>
                <w:szCs w:val="20"/>
                <w:color w:val="auto"/>
              </w:rPr>
            </w:pPr>
            <w:r>
              <w:rPr>
                <w:rFonts w:ascii="Arial" w:cs="Arial" w:eastAsia="Arial" w:hAnsi="Arial"/>
                <w:sz w:val="22"/>
                <w:szCs w:val="22"/>
                <w:b w:val="1"/>
                <w:bCs w:val="1"/>
                <w:color w:val="auto"/>
              </w:rPr>
              <w:t>(.X.)</w:t>
            </w:r>
          </w:p>
        </w:tc>
        <w:tc>
          <w:tcPr>
            <w:tcW w:w="10800" w:type="dxa"/>
            <w:vAlign w:val="bottom"/>
            <w:gridSpan w:val="6"/>
          </w:tcPr>
          <w:p>
            <w:pPr>
              <w:ind w:left="440"/>
              <w:spacing w:after="0"/>
              <w:rPr>
                <w:sz w:val="20"/>
                <w:szCs w:val="20"/>
                <w:color w:val="auto"/>
              </w:rPr>
            </w:pPr>
            <w:r>
              <w:rPr>
                <w:rFonts w:ascii="Arial" w:cs="Arial" w:eastAsia="Arial" w:hAnsi="Arial"/>
                <w:sz w:val="22"/>
                <w:szCs w:val="22"/>
                <w:b w:val="1"/>
                <w:bCs w:val="1"/>
                <w:color w:val="auto"/>
              </w:rPr>
              <w:t>NOT APPLICABLE. THE COMPANY DOES NOT HAVE BONUS PROGRAMS FOR DIRECTORS</w:t>
            </w:r>
          </w:p>
        </w:tc>
      </w:tr>
      <w:tr>
        <w:trPr>
          <w:trHeight w:val="422"/>
        </w:trPr>
        <w:tc>
          <w:tcPr>
            <w:tcW w:w="11420" w:type="dxa"/>
            <w:vAlign w:val="bottom"/>
            <w:gridSpan w:val="8"/>
          </w:tcPr>
          <w:p>
            <w:pPr>
              <w:spacing w:after="0"/>
              <w:rPr>
                <w:sz w:val="20"/>
                <w:szCs w:val="20"/>
                <w:color w:val="auto"/>
              </w:rPr>
            </w:pPr>
            <w:r>
              <w:rPr>
                <w:rFonts w:ascii="Arial" w:cs="Arial" w:eastAsia="Arial" w:hAnsi="Arial"/>
                <w:sz w:val="22"/>
                <w:szCs w:val="22"/>
                <w:b w:val="1"/>
                <w:bCs w:val="1"/>
                <w:color w:val="auto"/>
                <w:w w:val="98"/>
              </w:rPr>
              <w:t>j. Indicate whether the types of bonuses described in the previous question are regulated in one or any of THE</w:t>
            </w:r>
          </w:p>
        </w:tc>
      </w:tr>
      <w:tr>
        <w:trPr>
          <w:trHeight w:val="281"/>
        </w:trPr>
        <w:tc>
          <w:tcPr>
            <w:tcW w:w="2480" w:type="dxa"/>
            <w:vAlign w:val="bottom"/>
            <w:gridSpan w:val="3"/>
          </w:tcPr>
          <w:p>
            <w:pPr>
              <w:spacing w:after="0"/>
              <w:rPr>
                <w:sz w:val="20"/>
                <w:szCs w:val="20"/>
                <w:color w:val="auto"/>
              </w:rPr>
            </w:pPr>
            <w:r>
              <w:rPr>
                <w:rFonts w:ascii="Arial" w:cs="Arial" w:eastAsia="Arial" w:hAnsi="Arial"/>
                <w:sz w:val="22"/>
                <w:szCs w:val="22"/>
                <w:b w:val="1"/>
                <w:bCs w:val="1"/>
                <w:color w:val="auto"/>
                <w:w w:val="94"/>
              </w:rPr>
              <w:t>COMPANY’s documents.</w:t>
            </w:r>
          </w:p>
        </w:tc>
        <w:tc>
          <w:tcPr>
            <w:tcW w:w="2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600" w:type="dxa"/>
            <w:vAlign w:val="bottom"/>
            <w:tcBorders>
              <w:top w:val="single" w:sz="8" w:color="2C2C2C"/>
              <w:bottom w:val="single" w:sz="8" w:color="2C2C2C"/>
            </w:tcBorders>
          </w:tcPr>
          <w:p>
            <w:pPr>
              <w:spacing w:after="0"/>
              <w:rPr>
                <w:sz w:val="13"/>
                <w:szCs w:val="13"/>
                <w:color w:val="auto"/>
              </w:rPr>
            </w:pPr>
          </w:p>
        </w:tc>
        <w:tc>
          <w:tcPr>
            <w:tcW w:w="1860" w:type="dxa"/>
            <w:vAlign w:val="bottom"/>
            <w:tcBorders>
              <w:top w:val="single" w:sz="8" w:color="2C2C2C"/>
              <w:bottom w:val="single" w:sz="8" w:color="2C2C2C"/>
            </w:tcBorders>
          </w:tcPr>
          <w:p>
            <w:pPr>
              <w:ind w:left="200"/>
              <w:spacing w:after="0" w:line="149" w:lineRule="exact"/>
              <w:rPr>
                <w:sz w:val="20"/>
                <w:szCs w:val="20"/>
                <w:color w:val="auto"/>
              </w:rPr>
            </w:pPr>
            <w:r>
              <w:rPr>
                <w:rFonts w:ascii="Arial" w:cs="Arial" w:eastAsia="Arial" w:hAnsi="Arial"/>
                <w:sz w:val="15"/>
                <w:szCs w:val="15"/>
                <w:color w:val="auto"/>
              </w:rPr>
              <w:t>STATUTE</w:t>
            </w:r>
          </w:p>
        </w:tc>
        <w:tc>
          <w:tcPr>
            <w:tcW w:w="2360" w:type="dxa"/>
            <w:vAlign w:val="bottom"/>
            <w:tcBorders>
              <w:top w:val="single" w:sz="8" w:color="2C2C2C"/>
              <w:bottom w:val="single" w:sz="8" w:color="2C2C2C"/>
            </w:tcBorders>
          </w:tcPr>
          <w:p>
            <w:pPr>
              <w:jc w:val="center"/>
              <w:ind w:right="366"/>
              <w:spacing w:after="0" w:line="149" w:lineRule="exact"/>
              <w:rPr>
                <w:sz w:val="20"/>
                <w:szCs w:val="20"/>
                <w:color w:val="auto"/>
              </w:rPr>
            </w:pPr>
            <w:r>
              <w:rPr>
                <w:rFonts w:ascii="Arial" w:cs="Arial" w:eastAsia="Arial" w:hAnsi="Arial"/>
                <w:sz w:val="15"/>
                <w:szCs w:val="15"/>
                <w:color w:val="auto"/>
                <w:w w:val="97"/>
              </w:rPr>
              <w:t>INTERNAL REGULATION</w:t>
            </w:r>
          </w:p>
        </w:tc>
        <w:tc>
          <w:tcPr>
            <w:tcW w:w="2040" w:type="dxa"/>
            <w:vAlign w:val="bottom"/>
            <w:tcBorders>
              <w:top w:val="single" w:sz="8" w:color="2C2C2C"/>
              <w:bottom w:val="single" w:sz="8" w:color="2C2C2C"/>
            </w:tcBorders>
          </w:tcPr>
          <w:p>
            <w:pPr>
              <w:jc w:val="center"/>
              <w:ind w:right="226"/>
              <w:spacing w:after="0" w:line="149" w:lineRule="exact"/>
              <w:rPr>
                <w:sz w:val="20"/>
                <w:szCs w:val="20"/>
                <w:color w:val="auto"/>
              </w:rPr>
            </w:pPr>
            <w:r>
              <w:rPr>
                <w:rFonts w:ascii="Arial" w:cs="Arial" w:eastAsia="Arial" w:hAnsi="Arial"/>
                <w:sz w:val="15"/>
                <w:szCs w:val="15"/>
                <w:color w:val="auto"/>
              </w:rPr>
              <w:t>MANUAL</w:t>
            </w:r>
          </w:p>
        </w:tc>
        <w:tc>
          <w:tcPr>
            <w:tcW w:w="1860" w:type="dxa"/>
            <w:vAlign w:val="bottom"/>
            <w:tcBorders>
              <w:top w:val="single" w:sz="8" w:color="2C2C2C"/>
              <w:bottom w:val="single" w:sz="8" w:color="2C2C2C"/>
            </w:tcBorders>
          </w:tcPr>
          <w:p>
            <w:pPr>
              <w:jc w:val="center"/>
              <w:ind w:left="286"/>
              <w:spacing w:after="0" w:line="149" w:lineRule="exact"/>
              <w:rPr>
                <w:sz w:val="20"/>
                <w:szCs w:val="20"/>
                <w:color w:val="auto"/>
              </w:rPr>
            </w:pPr>
            <w:r>
              <w:rPr>
                <w:rFonts w:ascii="Arial" w:cs="Arial" w:eastAsia="Arial" w:hAnsi="Arial"/>
                <w:sz w:val="15"/>
                <w:szCs w:val="15"/>
                <w:color w:val="auto"/>
                <w:w w:val="95"/>
              </w:rPr>
              <w:t>OTHER</w:t>
            </w:r>
          </w:p>
        </w:tc>
        <w:tc>
          <w:tcPr>
            <w:tcW w:w="2660" w:type="dxa"/>
            <w:vAlign w:val="bottom"/>
            <w:tcBorders>
              <w:top w:val="single" w:sz="8" w:color="2C2C2C"/>
              <w:bottom w:val="single" w:sz="8" w:color="2C2C2C"/>
            </w:tcBorders>
          </w:tcPr>
          <w:p>
            <w:pPr>
              <w:ind w:left="500"/>
              <w:spacing w:after="0" w:line="149" w:lineRule="exact"/>
              <w:rPr>
                <w:sz w:val="20"/>
                <w:szCs w:val="20"/>
                <w:color w:val="auto"/>
              </w:rPr>
            </w:pPr>
            <w:r>
              <w:rPr>
                <w:rFonts w:ascii="Arial" w:cs="Arial" w:eastAsia="Arial" w:hAnsi="Arial"/>
                <w:sz w:val="15"/>
                <w:szCs w:val="15"/>
                <w:b w:val="1"/>
                <w:bCs w:val="1"/>
                <w:color w:val="auto"/>
              </w:rPr>
              <w:t>NAME OF THE DOCUMENT*</w:t>
            </w:r>
          </w:p>
        </w:tc>
        <w:tc>
          <w:tcPr>
            <w:tcW w:w="20" w:type="dxa"/>
            <w:vAlign w:val="bottom"/>
          </w:tcPr>
          <w:p>
            <w:pPr>
              <w:spacing w:after="0"/>
              <w:rPr>
                <w:sz w:val="13"/>
                <w:szCs w:val="13"/>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860" w:type="dxa"/>
            <w:vAlign w:val="bottom"/>
            <w:tcBorders>
              <w:bottom w:val="single" w:sz="8" w:color="2C2C2C"/>
            </w:tcBorders>
          </w:tcPr>
          <w:p>
            <w:pPr>
              <w:ind w:left="440"/>
              <w:spacing w:after="0"/>
              <w:rPr>
                <w:sz w:val="20"/>
                <w:szCs w:val="20"/>
                <w:color w:val="auto"/>
              </w:rPr>
            </w:pPr>
            <w:r>
              <w:rPr>
                <w:rFonts w:ascii="Arial" w:cs="Arial" w:eastAsia="Arial" w:hAnsi="Arial"/>
                <w:sz w:val="15"/>
                <w:szCs w:val="15"/>
                <w:b w:val="1"/>
                <w:bCs w:val="1"/>
                <w:color w:val="auto"/>
              </w:rPr>
              <w:t>(...)</w:t>
            </w:r>
          </w:p>
        </w:tc>
        <w:tc>
          <w:tcPr>
            <w:tcW w:w="2360" w:type="dxa"/>
            <w:vAlign w:val="bottom"/>
            <w:tcBorders>
              <w:bottom w:val="single" w:sz="8" w:color="2C2C2C"/>
            </w:tcBorders>
          </w:tcPr>
          <w:p>
            <w:pPr>
              <w:jc w:val="right"/>
              <w:ind w:right="1206"/>
              <w:spacing w:after="0"/>
              <w:rPr>
                <w:sz w:val="20"/>
                <w:szCs w:val="20"/>
                <w:color w:val="auto"/>
              </w:rPr>
            </w:pPr>
            <w:r>
              <w:rPr>
                <w:rFonts w:ascii="Arial" w:cs="Arial" w:eastAsia="Arial" w:hAnsi="Arial"/>
                <w:sz w:val="15"/>
                <w:szCs w:val="15"/>
                <w:b w:val="1"/>
                <w:bCs w:val="1"/>
                <w:color w:val="auto"/>
              </w:rPr>
              <w:t>(...)</w:t>
            </w:r>
          </w:p>
        </w:tc>
        <w:tc>
          <w:tcPr>
            <w:tcW w:w="2040" w:type="dxa"/>
            <w:vAlign w:val="bottom"/>
            <w:tcBorders>
              <w:bottom w:val="single" w:sz="8" w:color="2C2C2C"/>
            </w:tcBorders>
          </w:tcPr>
          <w:p>
            <w:pPr>
              <w:jc w:val="right"/>
              <w:ind w:right="966"/>
              <w:spacing w:after="0"/>
              <w:rPr>
                <w:sz w:val="20"/>
                <w:szCs w:val="20"/>
                <w:color w:val="auto"/>
              </w:rPr>
            </w:pPr>
            <w:r>
              <w:rPr>
                <w:rFonts w:ascii="Arial" w:cs="Arial" w:eastAsia="Arial" w:hAnsi="Arial"/>
                <w:sz w:val="15"/>
                <w:szCs w:val="15"/>
                <w:b w:val="1"/>
                <w:bCs w:val="1"/>
                <w:color w:val="auto"/>
              </w:rPr>
              <w:t>(...)</w:t>
            </w:r>
          </w:p>
        </w:tc>
        <w:tc>
          <w:tcPr>
            <w:tcW w:w="1860" w:type="dxa"/>
            <w:vAlign w:val="bottom"/>
            <w:tcBorders>
              <w:bottom w:val="single" w:sz="8" w:color="2C2C2C"/>
            </w:tcBorders>
          </w:tcPr>
          <w:p>
            <w:pPr>
              <w:jc w:val="right"/>
              <w:ind w:right="566"/>
              <w:spacing w:after="0"/>
              <w:rPr>
                <w:sz w:val="20"/>
                <w:szCs w:val="20"/>
                <w:color w:val="auto"/>
              </w:rPr>
            </w:pPr>
            <w:r>
              <w:rPr>
                <w:rFonts w:ascii="Arial" w:cs="Arial" w:eastAsia="Arial" w:hAnsi="Arial"/>
                <w:sz w:val="15"/>
                <w:szCs w:val="15"/>
                <w:b w:val="1"/>
                <w:bCs w:val="1"/>
                <w:color w:val="auto"/>
              </w:rPr>
              <w:t>(...)</w:t>
            </w:r>
          </w:p>
        </w:tc>
        <w:tc>
          <w:tcPr>
            <w:tcW w:w="26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r>
      <w:tr>
        <w:trPr>
          <w:trHeight w:val="361"/>
        </w:trPr>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42545" cy="2997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2545" cy="299720"/>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-520065</wp:posOffset>
            </wp:positionV>
            <wp:extent cx="42545" cy="2825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2545" cy="28257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-520065</wp:posOffset>
            </wp:positionV>
            <wp:extent cx="42545" cy="2825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2545" cy="28257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-520065</wp:posOffset>
            </wp:positionV>
            <wp:extent cx="42545" cy="2825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2545" cy="28257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-528955</wp:posOffset>
            </wp:positionV>
            <wp:extent cx="42545" cy="2997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2545" cy="29972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-520065</wp:posOffset>
            </wp:positionV>
            <wp:extent cx="42545" cy="2825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2545" cy="28257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57"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22"/>
          <w:szCs w:val="22"/>
          <w:b w:val="1"/>
          <w:bCs w:val="1"/>
          <w:color w:val="auto"/>
        </w:rPr>
        <w:t>* Specify the name of the document, if not THE COMPANY’s statutes.</w:t>
      </w:r>
    </w:p>
    <w:p>
      <w:pPr>
        <w:spacing w:after="0" w:line="206"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b w:val="1"/>
          <w:bCs w:val="1"/>
          <w:color w:val="auto"/>
        </w:rPr>
        <w:t>(.X.)</w:t>
      </w:r>
      <w:r>
        <w:rPr>
          <w:sz w:val="20"/>
          <w:szCs w:val="20"/>
          <w:color w:val="auto"/>
        </w:rPr>
        <w:tab/>
      </w:r>
      <w:r>
        <w:rPr>
          <w:rFonts w:ascii="Arial" w:cs="Arial" w:eastAsia="Arial" w:hAnsi="Arial"/>
          <w:sz w:val="22"/>
          <w:szCs w:val="22"/>
          <w:b w:val="1"/>
          <w:bCs w:val="1"/>
          <w:color w:val="auto"/>
        </w:rPr>
        <w:t>THEY ARE NOT REGULATED</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b w:val="1"/>
          <w:bCs w:val="1"/>
          <w:color w:val="auto"/>
        </w:rPr>
        <w:t>k. Indicate the percentage represented by the total amount of annual payments to the directors, compared to the level of net income, according to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42545" cy="402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107950</wp:posOffset>
            </wp:positionV>
            <wp:extent cx="42545" cy="402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116840</wp:posOffset>
            </wp:positionV>
            <wp:extent cx="42545" cy="3854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2545" cy="3854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tcBorders>
          </w:tcPr>
          <w:p>
            <w:pPr>
              <w:spacing w:after="0"/>
              <w:rPr>
                <w:sz w:val="17"/>
                <w:szCs w:val="17"/>
                <w:color w:val="auto"/>
              </w:rPr>
            </w:pPr>
          </w:p>
        </w:tc>
        <w:tc>
          <w:tcPr>
            <w:tcW w:w="3860" w:type="dxa"/>
            <w:vAlign w:val="bottom"/>
            <w:tcBorders>
              <w:top w:val="single" w:sz="8" w:color="2C2C2C"/>
              <w:bottom w:val="single" w:sz="8" w:color="2C2C2C"/>
            </w:tcBorders>
          </w:tcPr>
          <w:p>
            <w:pPr>
              <w:spacing w:after="0"/>
              <w:rPr>
                <w:sz w:val="17"/>
                <w:szCs w:val="17"/>
                <w:color w:val="auto"/>
              </w:rPr>
            </w:pPr>
          </w:p>
        </w:tc>
        <w:tc>
          <w:tcPr>
            <w:tcW w:w="7520" w:type="dxa"/>
            <w:vAlign w:val="bottom"/>
            <w:tcBorders>
              <w:top w:val="single" w:sz="8" w:color="2C2C2C"/>
              <w:bottom w:val="single" w:sz="8" w:color="2C2C2C"/>
            </w:tcBorders>
          </w:tcPr>
          <w:p>
            <w:pPr>
              <w:ind w:left="1860"/>
              <w:spacing w:after="0"/>
              <w:rPr>
                <w:sz w:val="20"/>
                <w:szCs w:val="20"/>
                <w:color w:val="auto"/>
              </w:rPr>
            </w:pPr>
            <w:r>
              <w:rPr>
                <w:rFonts w:ascii="Arial" w:cs="Arial" w:eastAsia="Arial" w:hAnsi="Arial"/>
                <w:sz w:val="15"/>
                <w:szCs w:val="15"/>
                <w:color w:val="auto"/>
              </w:rPr>
              <w:t>TOTAL PAYMENTS (%)</w:t>
            </w:r>
          </w:p>
        </w:tc>
        <w:tc>
          <w:tcPr>
            <w:tcW w:w="20" w:type="dxa"/>
            <w:vAlign w:val="bottom"/>
            <w:tcBorders>
              <w:top w:val="single" w:sz="8" w:color="808080"/>
            </w:tcBorders>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386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INDEPENDENT DIRECTORS</w:t>
            </w:r>
          </w:p>
        </w:tc>
        <w:tc>
          <w:tcPr>
            <w:tcW w:w="7520" w:type="dxa"/>
            <w:vAlign w:val="bottom"/>
            <w:tcBorders>
              <w:bottom w:val="single" w:sz="8" w:color="2C2C2C"/>
            </w:tcBorders>
          </w:tcPr>
          <w:p>
            <w:pPr>
              <w:ind w:left="1860"/>
              <w:spacing w:after="0" w:line="162" w:lineRule="exact"/>
              <w:rPr>
                <w:sz w:val="20"/>
                <w:szCs w:val="20"/>
                <w:color w:val="auto"/>
              </w:rPr>
            </w:pPr>
            <w:r>
              <w:rPr>
                <w:rFonts w:ascii="Arial" w:cs="Arial" w:eastAsia="Arial" w:hAnsi="Arial"/>
                <w:sz w:val="15"/>
                <w:szCs w:val="15"/>
                <w:color w:val="auto"/>
              </w:rPr>
              <w:t>0.01%</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386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DEPENDENT DIRECTORS</w:t>
            </w:r>
          </w:p>
        </w:tc>
        <w:tc>
          <w:tcPr>
            <w:tcW w:w="7520" w:type="dxa"/>
            <w:vAlign w:val="bottom"/>
            <w:tcBorders>
              <w:bottom w:val="single" w:sz="8" w:color="2C2C2C"/>
            </w:tcBorders>
          </w:tcPr>
          <w:p>
            <w:pPr>
              <w:ind w:left="1860"/>
              <w:spacing w:after="0" w:line="162" w:lineRule="exact"/>
              <w:rPr>
                <w:sz w:val="20"/>
                <w:szCs w:val="20"/>
                <w:color w:val="auto"/>
              </w:rPr>
            </w:pPr>
            <w:r>
              <w:rPr>
                <w:rFonts w:ascii="Arial" w:cs="Arial" w:eastAsia="Arial" w:hAnsi="Arial"/>
                <w:sz w:val="15"/>
                <w:szCs w:val="15"/>
                <w:color w:val="auto"/>
              </w:rPr>
              <w:t>N/A</w:t>
            </w:r>
          </w:p>
        </w:tc>
        <w:tc>
          <w:tcPr>
            <w:tcW w:w="20" w:type="dxa"/>
            <w:vAlign w:val="bottom"/>
            <w:tcBorders>
              <w:bottom w:val="single" w:sz="8" w:color="2C2C2C"/>
            </w:tcBorders>
          </w:tcPr>
          <w:p>
            <w:pPr>
              <w:spacing w:after="0"/>
              <w:rPr>
                <w:sz w:val="14"/>
                <w:szCs w:val="14"/>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 Indicate whether Board discussions on management performance took place without the presence of the CEO.</w:t>
      </w:r>
    </w:p>
    <w:p>
      <w:pPr>
        <w:spacing w:after="0" w:line="218"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 YES</w:t>
      </w:r>
      <w:r>
        <w:rPr>
          <w:sz w:val="20"/>
          <w:szCs w:val="20"/>
          <w:color w:val="auto"/>
        </w:rPr>
        <w:tab/>
      </w:r>
      <w:r>
        <w:rPr>
          <w:rFonts w:ascii="Arial" w:cs="Arial" w:eastAsia="Arial" w:hAnsi="Arial"/>
          <w:sz w:val="21"/>
          <w:szCs w:val="21"/>
          <w:b w:val="1"/>
          <w:bCs w:val="1"/>
          <w:color w:val="auto"/>
        </w:rPr>
        <w:t>(.X..) NO</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SHAREHOLDERS AND POSSESSIONS</w:t>
      </w:r>
    </w:p>
    <w:p>
      <w:pPr>
        <w:spacing w:after="0" w:line="200" w:lineRule="exact"/>
        <w:rPr>
          <w:sz w:val="20"/>
          <w:szCs w:val="20"/>
          <w:color w:val="auto"/>
        </w:rPr>
      </w:pPr>
    </w:p>
    <w:p>
      <w:pPr>
        <w:jc w:val="both"/>
        <w:ind w:right="180"/>
        <w:spacing w:after="0" w:line="335" w:lineRule="auto"/>
        <w:rPr>
          <w:sz w:val="20"/>
          <w:szCs w:val="20"/>
          <w:color w:val="auto"/>
        </w:rPr>
      </w:pPr>
      <w:r>
        <w:rPr>
          <w:rFonts w:ascii="Arial" w:cs="Arial" w:eastAsia="Arial" w:hAnsi="Arial"/>
          <w:sz w:val="19"/>
          <w:szCs w:val="19"/>
          <w:b w:val="1"/>
          <w:bCs w:val="1"/>
          <w:color w:val="auto"/>
        </w:rPr>
        <w:t>m. Indicate the number of shareholders with the right to vote, shareholders without the right to vote (if there are any) and investment shareholders (if there are any) of THE COMPANY at the close of the financial year to which this report refers.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42545" cy="7454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2545" cy="7454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63500</wp:posOffset>
            </wp:positionV>
            <wp:extent cx="42545" cy="7454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2545" cy="74549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71755</wp:posOffset>
            </wp:positionV>
            <wp:extent cx="42545" cy="7283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2545" cy="72834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top w:val="single" w:sz="8" w:color="808080"/>
            </w:tcBorders>
          </w:tcPr>
          <w:p>
            <w:pPr>
              <w:spacing w:after="0"/>
              <w:rPr>
                <w:sz w:val="15"/>
                <w:szCs w:val="15"/>
                <w:color w:val="auto"/>
              </w:rPr>
            </w:pPr>
          </w:p>
        </w:tc>
        <w:tc>
          <w:tcPr>
            <w:tcW w:w="5220" w:type="dxa"/>
            <w:vAlign w:val="bottom"/>
            <w:tcBorders>
              <w:top w:val="single" w:sz="8" w:color="2C2C2C"/>
            </w:tcBorders>
          </w:tcPr>
          <w:p>
            <w:pPr>
              <w:ind w:left="20"/>
              <w:spacing w:after="0"/>
              <w:rPr>
                <w:sz w:val="20"/>
                <w:szCs w:val="20"/>
                <w:color w:val="auto"/>
              </w:rPr>
            </w:pPr>
            <w:r>
              <w:rPr>
                <w:rFonts w:ascii="Arial" w:cs="Arial" w:eastAsia="Arial" w:hAnsi="Arial"/>
                <w:sz w:val="15"/>
                <w:szCs w:val="15"/>
                <w:color w:val="auto"/>
              </w:rPr>
              <w:t>TYPE OF SHARE</w:t>
            </w:r>
          </w:p>
        </w:tc>
        <w:tc>
          <w:tcPr>
            <w:tcW w:w="6160" w:type="dxa"/>
            <w:vAlign w:val="bottom"/>
            <w:tcBorders>
              <w:top w:val="single" w:sz="8" w:color="2C2C2C"/>
            </w:tcBorders>
          </w:tcPr>
          <w:p>
            <w:pPr>
              <w:jc w:val="center"/>
              <w:ind w:left="346"/>
              <w:spacing w:after="0"/>
              <w:rPr>
                <w:sz w:val="20"/>
                <w:szCs w:val="20"/>
                <w:color w:val="auto"/>
              </w:rPr>
            </w:pPr>
            <w:r>
              <w:rPr>
                <w:rFonts w:ascii="Arial" w:cs="Arial" w:eastAsia="Arial" w:hAnsi="Arial"/>
                <w:sz w:val="15"/>
                <w:szCs w:val="15"/>
                <w:color w:val="auto"/>
                <w:w w:val="94"/>
              </w:rPr>
              <w:t>NUMBER OF HOLDERS</w:t>
            </w:r>
          </w:p>
        </w:tc>
        <w:tc>
          <w:tcPr>
            <w:tcW w:w="20" w:type="dxa"/>
            <w:vAlign w:val="bottom"/>
            <w:tcBorders>
              <w:top w:val="single" w:sz="8" w:color="808080"/>
            </w:tcBorders>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220" w:type="dxa"/>
            <w:vAlign w:val="bottom"/>
          </w:tcPr>
          <w:p>
            <w:pPr>
              <w:ind w:left="60"/>
              <w:spacing w:after="0"/>
              <w:rPr>
                <w:sz w:val="20"/>
                <w:szCs w:val="20"/>
                <w:color w:val="auto"/>
              </w:rPr>
            </w:pPr>
            <w:r>
              <w:rPr>
                <w:rFonts w:ascii="Arial" w:cs="Arial" w:eastAsia="Arial" w:hAnsi="Arial"/>
                <w:sz w:val="15"/>
                <w:szCs w:val="15"/>
                <w:b w:val="1"/>
                <w:bCs w:val="1"/>
                <w:color w:val="auto"/>
              </w:rPr>
              <w:t>(including investment shares)</w:t>
            </w:r>
          </w:p>
        </w:tc>
        <w:tc>
          <w:tcPr>
            <w:tcW w:w="6180" w:type="dxa"/>
            <w:vAlign w:val="bottom"/>
            <w:gridSpan w:val="2"/>
          </w:tcPr>
          <w:p>
            <w:pPr>
              <w:jc w:val="center"/>
              <w:ind w:left="346"/>
              <w:spacing w:after="0"/>
              <w:rPr>
                <w:sz w:val="20"/>
                <w:szCs w:val="20"/>
                <w:color w:val="auto"/>
              </w:rPr>
            </w:pPr>
            <w:r>
              <w:rPr>
                <w:rFonts w:ascii="Arial" w:cs="Arial" w:eastAsia="Arial" w:hAnsi="Arial"/>
                <w:sz w:val="15"/>
                <w:szCs w:val="15"/>
                <w:b w:val="1"/>
                <w:bCs w:val="1"/>
                <w:color w:val="auto"/>
                <w:w w:val="89"/>
              </w:rPr>
              <w:t>(at the close of the financial year)</w:t>
            </w:r>
          </w:p>
        </w:tc>
      </w:tr>
      <w:tr>
        <w:trPr>
          <w:trHeight w:val="169"/>
        </w:trPr>
        <w:tc>
          <w:tcPr>
            <w:tcW w:w="20" w:type="dxa"/>
            <w:vAlign w:val="bottom"/>
          </w:tcPr>
          <w:p>
            <w:pPr>
              <w:spacing w:after="0"/>
              <w:rPr>
                <w:sz w:val="14"/>
                <w:szCs w:val="14"/>
                <w:color w:val="auto"/>
              </w:rPr>
            </w:pPr>
          </w:p>
        </w:tc>
        <w:tc>
          <w:tcPr>
            <w:tcW w:w="5220" w:type="dxa"/>
            <w:vAlign w:val="bottom"/>
            <w:tcBorders>
              <w:top w:val="single" w:sz="8" w:color="2C2C2C"/>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SHARES WITH THE RIGHT TO VOTE</w:t>
            </w:r>
          </w:p>
        </w:tc>
        <w:tc>
          <w:tcPr>
            <w:tcW w:w="6160" w:type="dxa"/>
            <w:vAlign w:val="bottom"/>
            <w:tcBorders>
              <w:top w:val="single" w:sz="8" w:color="2C2C2C"/>
              <w:bottom w:val="single" w:sz="8" w:color="2C2C2C"/>
            </w:tcBorders>
          </w:tcPr>
          <w:p>
            <w:pPr>
              <w:jc w:val="center"/>
              <w:ind w:left="306"/>
              <w:spacing w:after="0" w:line="162" w:lineRule="exact"/>
              <w:rPr>
                <w:sz w:val="20"/>
                <w:szCs w:val="20"/>
                <w:color w:val="auto"/>
              </w:rPr>
            </w:pPr>
            <w:r>
              <w:rPr>
                <w:rFonts w:ascii="Arial" w:cs="Arial" w:eastAsia="Arial" w:hAnsi="Arial"/>
                <w:sz w:val="15"/>
                <w:szCs w:val="15"/>
                <w:color w:val="auto"/>
                <w:w w:val="90"/>
              </w:rPr>
              <w:t>4.884</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22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SHARES WITHOUT THE RIGHT TO VOTE</w:t>
            </w:r>
          </w:p>
        </w:tc>
        <w:tc>
          <w:tcPr>
            <w:tcW w:w="6160" w:type="dxa"/>
            <w:vAlign w:val="bottom"/>
            <w:tcBorders>
              <w:bottom w:val="single" w:sz="8" w:color="2C2C2C"/>
            </w:tcBorders>
          </w:tcPr>
          <w:p>
            <w:pPr>
              <w:jc w:val="center"/>
              <w:ind w:left="286"/>
              <w:spacing w:after="0" w:line="162" w:lineRule="exact"/>
              <w:rPr>
                <w:sz w:val="20"/>
                <w:szCs w:val="20"/>
                <w:color w:val="auto"/>
              </w:rPr>
            </w:pPr>
            <w:r>
              <w:rPr>
                <w:rFonts w:ascii="Arial" w:cs="Arial" w:eastAsia="Arial" w:hAnsi="Arial"/>
                <w:sz w:val="15"/>
                <w:szCs w:val="15"/>
                <w:color w:val="auto"/>
                <w:w w:val="79"/>
              </w:rPr>
              <w:t>-</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22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b w:val="1"/>
                <w:bCs w:val="1"/>
                <w:color w:val="auto"/>
              </w:rPr>
              <w:t>INVESTMENT SHARES</w:t>
            </w:r>
          </w:p>
        </w:tc>
        <w:tc>
          <w:tcPr>
            <w:tcW w:w="6160" w:type="dxa"/>
            <w:vAlign w:val="bottom"/>
            <w:tcBorders>
              <w:bottom w:val="single" w:sz="8" w:color="2C2C2C"/>
            </w:tcBorders>
          </w:tcPr>
          <w:p>
            <w:pPr>
              <w:jc w:val="center"/>
              <w:ind w:left="286"/>
              <w:spacing w:after="0" w:line="162" w:lineRule="exact"/>
              <w:rPr>
                <w:sz w:val="20"/>
                <w:szCs w:val="20"/>
                <w:color w:val="auto"/>
              </w:rPr>
            </w:pPr>
            <w:r>
              <w:rPr>
                <w:rFonts w:ascii="Arial" w:cs="Arial" w:eastAsia="Arial" w:hAnsi="Arial"/>
                <w:sz w:val="15"/>
                <w:szCs w:val="15"/>
                <w:color w:val="auto"/>
                <w:w w:val="79"/>
              </w:rPr>
              <w:t>-</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522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TOTAL</w:t>
            </w:r>
          </w:p>
        </w:tc>
        <w:tc>
          <w:tcPr>
            <w:tcW w:w="6160" w:type="dxa"/>
            <w:vAlign w:val="bottom"/>
            <w:tcBorders>
              <w:bottom w:val="single" w:sz="8" w:color="2C2C2C"/>
            </w:tcBorders>
          </w:tcPr>
          <w:p>
            <w:pPr>
              <w:jc w:val="center"/>
              <w:ind w:left="306"/>
              <w:spacing w:after="0" w:line="162" w:lineRule="exact"/>
              <w:rPr>
                <w:sz w:val="20"/>
                <w:szCs w:val="20"/>
                <w:color w:val="auto"/>
              </w:rPr>
            </w:pPr>
            <w:r>
              <w:rPr>
                <w:rFonts w:ascii="Arial" w:cs="Arial" w:eastAsia="Arial" w:hAnsi="Arial"/>
                <w:sz w:val="15"/>
                <w:szCs w:val="15"/>
                <w:color w:val="auto"/>
                <w:w w:val="90"/>
              </w:rPr>
              <w:t>4.884</w:t>
            </w:r>
          </w:p>
        </w:tc>
        <w:tc>
          <w:tcPr>
            <w:tcW w:w="20" w:type="dxa"/>
            <w:vAlign w:val="bottom"/>
            <w:tcBorders>
              <w:bottom w:val="single" w:sz="8" w:color="2C2C2C"/>
            </w:tcBorders>
          </w:tcPr>
          <w:p>
            <w:pPr>
              <w:spacing w:after="0"/>
              <w:rPr>
                <w:sz w:val="14"/>
                <w:szCs w:val="14"/>
                <w:color w:val="auto"/>
              </w:rPr>
            </w:pPr>
          </w:p>
        </w:tc>
      </w:tr>
    </w:tbl>
    <w:p>
      <w:pPr>
        <w:spacing w:after="0" w:line="200" w:lineRule="exact"/>
        <w:rPr>
          <w:sz w:val="20"/>
          <w:szCs w:val="20"/>
          <w:color w:val="auto"/>
        </w:rPr>
      </w:pPr>
    </w:p>
    <w:p>
      <w:pPr>
        <w:spacing w:after="0" w:line="232" w:lineRule="exact"/>
        <w:rPr>
          <w:sz w:val="20"/>
          <w:szCs w:val="20"/>
          <w:color w:val="auto"/>
        </w:rPr>
      </w:pPr>
    </w:p>
    <w:p>
      <w:pPr>
        <w:ind w:right="100"/>
        <w:spacing w:after="0" w:line="242" w:lineRule="auto"/>
        <w:rPr>
          <w:sz w:val="20"/>
          <w:szCs w:val="20"/>
          <w:color w:val="auto"/>
        </w:rPr>
      </w:pPr>
      <w:r>
        <w:rPr>
          <w:rFonts w:ascii="Arial" w:cs="Arial" w:eastAsia="Arial" w:hAnsi="Arial"/>
          <w:sz w:val="22"/>
          <w:szCs w:val="22"/>
          <w:color w:val="auto"/>
        </w:rPr>
        <w:t xml:space="preserve">n. </w:t>
      </w:r>
      <w:r>
        <w:rPr>
          <w:rFonts w:ascii="Arial" w:cs="Arial" w:eastAsia="Arial" w:hAnsi="Arial"/>
          <w:sz w:val="22"/>
          <w:szCs w:val="22"/>
          <w:b w:val="1"/>
          <w:bCs w:val="1"/>
          <w:color w:val="auto"/>
        </w:rPr>
        <w:t>Give the following information on shareholders and investment shareholders with a participation greater than 5% at the</w:t>
      </w:r>
      <w:r>
        <w:rPr>
          <w:rFonts w:ascii="Arial" w:cs="Arial" w:eastAsia="Arial" w:hAnsi="Arial"/>
          <w:sz w:val="22"/>
          <w:szCs w:val="22"/>
          <w:color w:val="auto"/>
        </w:rPr>
        <w:t xml:space="preserve"> </w:t>
      </w:r>
      <w:r>
        <w:rPr>
          <w:rFonts w:ascii="Arial" w:cs="Arial" w:eastAsia="Arial" w:hAnsi="Arial"/>
          <w:sz w:val="22"/>
          <w:szCs w:val="22"/>
          <w:b w:val="1"/>
          <w:bCs w:val="1"/>
          <w:color w:val="auto"/>
        </w:rPr>
        <w:t>close of the financial year to which this report refers.</w:t>
      </w:r>
    </w:p>
    <w:tbl>
      <w:tblPr>
        <w:tblLayout w:type="fixed"/>
        <w:tblInd w:w="0" w:type="dxa"/>
        <w:tblCellMar>
          <w:top w:w="0" w:type="dxa"/>
          <w:left w:w="0" w:type="dxa"/>
          <w:bottom w:w="0" w:type="dxa"/>
          <w:right w:w="0" w:type="dxa"/>
        </w:tblCellMar>
      </w:tblPr>
      <w:tr>
        <w:trPr>
          <w:trHeight w:val="275"/>
        </w:trPr>
        <w:tc>
          <w:tcPr>
            <w:tcW w:w="1660" w:type="dxa"/>
            <w:vAlign w:val="bottom"/>
            <w:gridSpan w:val="2"/>
          </w:tcPr>
          <w:p>
            <w:pPr>
              <w:spacing w:after="0"/>
              <w:rPr>
                <w:sz w:val="20"/>
                <w:szCs w:val="20"/>
                <w:color w:val="auto"/>
              </w:rPr>
            </w:pPr>
            <w:r>
              <w:rPr>
                <w:rFonts w:ascii="Arial" w:cs="Arial" w:eastAsia="Arial" w:hAnsi="Arial"/>
                <w:sz w:val="22"/>
                <w:szCs w:val="22"/>
                <w:color w:val="auto"/>
                <w:w w:val="87"/>
              </w:rPr>
              <w:t>Type of Share: ......</w:t>
            </w:r>
          </w:p>
        </w:tc>
        <w:tc>
          <w:tcPr>
            <w:tcW w:w="4060" w:type="dxa"/>
            <w:vAlign w:val="bottom"/>
          </w:tcPr>
          <w:p>
            <w:pPr>
              <w:spacing w:after="0"/>
              <w:rPr>
                <w:sz w:val="20"/>
                <w:szCs w:val="20"/>
                <w:color w:val="auto"/>
              </w:rPr>
            </w:pPr>
            <w:r>
              <w:rPr>
                <w:rFonts w:ascii="Arial" w:cs="Arial" w:eastAsia="Arial" w:hAnsi="Arial"/>
                <w:sz w:val="22"/>
                <w:szCs w:val="22"/>
                <w:color w:val="auto"/>
                <w:w w:val="95"/>
              </w:rPr>
              <w:t>ONLY ONE TYPE .......................................</w:t>
            </w:r>
          </w:p>
        </w:tc>
        <w:tc>
          <w:tcPr>
            <w:tcW w:w="19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8"/>
        </w:trPr>
        <w:tc>
          <w:tcPr>
            <w:tcW w:w="20" w:type="dxa"/>
            <w:vAlign w:val="bottom"/>
            <w:tcBorders>
              <w:bottom w:val="single" w:sz="8" w:color="808080"/>
            </w:tcBorders>
          </w:tcPr>
          <w:p>
            <w:pPr>
              <w:spacing w:after="0"/>
              <w:rPr>
                <w:sz w:val="18"/>
                <w:szCs w:val="18"/>
                <w:color w:val="auto"/>
              </w:rPr>
            </w:pPr>
          </w:p>
        </w:tc>
        <w:tc>
          <w:tcPr>
            <w:tcW w:w="1640" w:type="dxa"/>
            <w:vAlign w:val="bottom"/>
            <w:tcBorders>
              <w:bottom w:val="single" w:sz="8" w:color="2C2C2C"/>
            </w:tcBorders>
          </w:tcPr>
          <w:p>
            <w:pPr>
              <w:spacing w:after="0"/>
              <w:rPr>
                <w:sz w:val="18"/>
                <w:szCs w:val="18"/>
                <w:color w:val="auto"/>
              </w:rPr>
            </w:pPr>
          </w:p>
        </w:tc>
        <w:tc>
          <w:tcPr>
            <w:tcW w:w="4060" w:type="dxa"/>
            <w:vAlign w:val="bottom"/>
            <w:tcBorders>
              <w:bottom w:val="single" w:sz="8" w:color="2C2C2C"/>
            </w:tcBorders>
          </w:tcPr>
          <w:p>
            <w:pPr>
              <w:spacing w:after="0"/>
              <w:rPr>
                <w:sz w:val="18"/>
                <w:szCs w:val="18"/>
                <w:color w:val="auto"/>
              </w:rPr>
            </w:pPr>
          </w:p>
        </w:tc>
        <w:tc>
          <w:tcPr>
            <w:tcW w:w="1960" w:type="dxa"/>
            <w:vAlign w:val="bottom"/>
            <w:tcBorders>
              <w:bottom w:val="single" w:sz="8" w:color="2C2C2C"/>
            </w:tcBorders>
          </w:tcPr>
          <w:p>
            <w:pPr>
              <w:spacing w:after="0"/>
              <w:rPr>
                <w:sz w:val="18"/>
                <w:szCs w:val="18"/>
                <w:color w:val="auto"/>
              </w:rPr>
            </w:pPr>
          </w:p>
        </w:tc>
        <w:tc>
          <w:tcPr>
            <w:tcW w:w="1920" w:type="dxa"/>
            <w:vAlign w:val="bottom"/>
            <w:tcBorders>
              <w:bottom w:val="single" w:sz="8" w:color="2C2C2C"/>
            </w:tcBorders>
          </w:tcPr>
          <w:p>
            <w:pPr>
              <w:spacing w:after="0"/>
              <w:rPr>
                <w:sz w:val="18"/>
                <w:szCs w:val="18"/>
                <w:color w:val="auto"/>
              </w:rPr>
            </w:pPr>
          </w:p>
        </w:tc>
        <w:tc>
          <w:tcPr>
            <w:tcW w:w="1800" w:type="dxa"/>
            <w:vAlign w:val="bottom"/>
            <w:tcBorders>
              <w:bottom w:val="single" w:sz="8" w:color="2C2C2C"/>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4060" w:type="dxa"/>
            <w:vAlign w:val="bottom"/>
            <w:tcBorders>
              <w:bottom w:val="single" w:sz="8" w:color="2C2C2C"/>
            </w:tcBorders>
          </w:tcPr>
          <w:p>
            <w:pPr>
              <w:ind w:left="300"/>
              <w:spacing w:after="0" w:line="149" w:lineRule="exact"/>
              <w:rPr>
                <w:sz w:val="20"/>
                <w:szCs w:val="20"/>
                <w:color w:val="auto"/>
              </w:rPr>
            </w:pPr>
            <w:r>
              <w:rPr>
                <w:rFonts w:ascii="Arial" w:cs="Arial" w:eastAsia="Arial" w:hAnsi="Arial"/>
                <w:sz w:val="15"/>
                <w:szCs w:val="15"/>
                <w:color w:val="auto"/>
              </w:rPr>
              <w:t>NAMES AND LAST NAMES</w:t>
            </w:r>
          </w:p>
        </w:tc>
        <w:tc>
          <w:tcPr>
            <w:tcW w:w="1960" w:type="dxa"/>
            <w:vAlign w:val="bottom"/>
            <w:tcBorders>
              <w:bottom w:val="single" w:sz="8" w:color="2C2C2C"/>
            </w:tcBorders>
          </w:tcPr>
          <w:p>
            <w:pPr>
              <w:ind w:left="240"/>
              <w:spacing w:after="0" w:line="149" w:lineRule="exact"/>
              <w:rPr>
                <w:sz w:val="20"/>
                <w:szCs w:val="20"/>
                <w:color w:val="auto"/>
              </w:rPr>
            </w:pPr>
            <w:r>
              <w:rPr>
                <w:rFonts w:ascii="Arial" w:cs="Arial" w:eastAsia="Arial" w:hAnsi="Arial"/>
                <w:sz w:val="15"/>
                <w:szCs w:val="15"/>
                <w:color w:val="auto"/>
              </w:rPr>
              <w:t>NUMBER OF SHARES</w:t>
            </w:r>
          </w:p>
        </w:tc>
        <w:tc>
          <w:tcPr>
            <w:tcW w:w="1920" w:type="dxa"/>
            <w:vAlign w:val="bottom"/>
            <w:tcBorders>
              <w:bottom w:val="single" w:sz="8" w:color="2C2C2C"/>
            </w:tcBorders>
          </w:tcPr>
          <w:p>
            <w:pPr>
              <w:ind w:left="240"/>
              <w:spacing w:after="0" w:line="149" w:lineRule="exact"/>
              <w:rPr>
                <w:sz w:val="20"/>
                <w:szCs w:val="20"/>
                <w:color w:val="auto"/>
              </w:rPr>
            </w:pPr>
            <w:r>
              <w:rPr>
                <w:rFonts w:ascii="Arial" w:cs="Arial" w:eastAsia="Arial" w:hAnsi="Arial"/>
                <w:sz w:val="15"/>
                <w:szCs w:val="15"/>
                <w:color w:val="auto"/>
              </w:rPr>
              <w:t>PARTICIPATION (%)</w:t>
            </w:r>
          </w:p>
        </w:tc>
        <w:tc>
          <w:tcPr>
            <w:tcW w:w="1800" w:type="dxa"/>
            <w:vAlign w:val="bottom"/>
            <w:tcBorders>
              <w:bottom w:val="single" w:sz="8" w:color="2C2C2C"/>
            </w:tcBorders>
          </w:tcPr>
          <w:p>
            <w:pPr>
              <w:jc w:val="center"/>
              <w:ind w:right="6"/>
              <w:spacing w:after="0" w:line="149" w:lineRule="exact"/>
              <w:rPr>
                <w:sz w:val="20"/>
                <w:szCs w:val="20"/>
                <w:color w:val="auto"/>
              </w:rPr>
            </w:pPr>
            <w:r>
              <w:rPr>
                <w:rFonts w:ascii="Arial" w:cs="Arial" w:eastAsia="Arial" w:hAnsi="Arial"/>
                <w:sz w:val="15"/>
                <w:szCs w:val="15"/>
                <w:color w:val="auto"/>
              </w:rPr>
              <w:t>NATIONALITY</w:t>
            </w:r>
          </w:p>
        </w:tc>
        <w:tc>
          <w:tcPr>
            <w:tcW w:w="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1640" w:type="dxa"/>
            <w:vAlign w:val="bottom"/>
          </w:tcPr>
          <w:p>
            <w:pPr>
              <w:ind w:left="20"/>
              <w:spacing w:after="0" w:line="153" w:lineRule="exact"/>
              <w:rPr>
                <w:sz w:val="20"/>
                <w:szCs w:val="20"/>
                <w:color w:val="auto"/>
              </w:rPr>
            </w:pPr>
            <w:r>
              <w:rPr>
                <w:rFonts w:ascii="Arial" w:cs="Arial" w:eastAsia="Arial" w:hAnsi="Arial"/>
                <w:sz w:val="15"/>
                <w:szCs w:val="15"/>
                <w:color w:val="auto"/>
              </w:rPr>
              <w:t>ÁTLANTIC SECURITY</w:t>
            </w:r>
          </w:p>
        </w:tc>
        <w:tc>
          <w:tcPr>
            <w:tcW w:w="4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920" w:type="dxa"/>
            <w:vAlign w:val="bottom"/>
          </w:tcPr>
          <w:p>
            <w:pPr>
              <w:jc w:val="center"/>
              <w:ind w:right="66"/>
              <w:spacing w:after="0" w:line="153" w:lineRule="exact"/>
              <w:rPr>
                <w:sz w:val="20"/>
                <w:szCs w:val="20"/>
                <w:color w:val="auto"/>
              </w:rPr>
            </w:pPr>
            <w:r>
              <w:rPr>
                <w:rFonts w:ascii="Arial" w:cs="Arial" w:eastAsia="Arial" w:hAnsi="Arial"/>
                <w:sz w:val="15"/>
                <w:szCs w:val="15"/>
                <w:color w:val="auto"/>
                <w:w w:val="90"/>
              </w:rPr>
              <w:t>15.49</w:t>
            </w:r>
          </w:p>
        </w:tc>
        <w:tc>
          <w:tcPr>
            <w:tcW w:w="1800" w:type="dxa"/>
            <w:vAlign w:val="bottom"/>
          </w:tcPr>
          <w:p>
            <w:pPr>
              <w:jc w:val="center"/>
              <w:spacing w:after="0" w:line="153" w:lineRule="exact"/>
              <w:rPr>
                <w:sz w:val="20"/>
                <w:szCs w:val="20"/>
                <w:color w:val="auto"/>
              </w:rPr>
            </w:pPr>
            <w:r>
              <w:rPr>
                <w:rFonts w:ascii="Arial" w:cs="Arial" w:eastAsia="Arial" w:hAnsi="Arial"/>
                <w:sz w:val="15"/>
                <w:szCs w:val="15"/>
                <w:color w:val="auto"/>
                <w:w w:val="96"/>
              </w:rPr>
              <w:t>GRAN</w:t>
            </w:r>
          </w:p>
        </w:tc>
        <w:tc>
          <w:tcPr>
            <w:tcW w:w="2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1640" w:type="dxa"/>
            <w:vAlign w:val="bottom"/>
          </w:tcPr>
          <w:p>
            <w:pPr>
              <w:ind w:left="20"/>
              <w:spacing w:after="0" w:line="172" w:lineRule="exact"/>
              <w:rPr>
                <w:sz w:val="20"/>
                <w:szCs w:val="20"/>
                <w:color w:val="auto"/>
              </w:rPr>
            </w:pPr>
            <w:r>
              <w:rPr>
                <w:rFonts w:ascii="Arial" w:cs="Arial" w:eastAsia="Arial" w:hAnsi="Arial"/>
                <w:sz w:val="15"/>
                <w:szCs w:val="15"/>
                <w:color w:val="auto"/>
              </w:rPr>
              <w:t>HOLDING CORP</w:t>
            </w:r>
          </w:p>
        </w:tc>
        <w:tc>
          <w:tcPr>
            <w:tcW w:w="4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20" w:type="dxa"/>
            <w:vAlign w:val="bottom"/>
            <w:gridSpan w:val="2"/>
          </w:tcPr>
          <w:p>
            <w:pPr>
              <w:jc w:val="center"/>
              <w:ind w:right="120"/>
              <w:spacing w:after="0" w:line="172" w:lineRule="exact"/>
              <w:rPr>
                <w:sz w:val="20"/>
                <w:szCs w:val="20"/>
                <w:color w:val="auto"/>
              </w:rPr>
            </w:pPr>
            <w:r>
              <w:rPr>
                <w:rFonts w:ascii="Arial" w:cs="Arial" w:eastAsia="Arial" w:hAnsi="Arial"/>
                <w:sz w:val="15"/>
                <w:szCs w:val="15"/>
                <w:color w:val="auto"/>
              </w:rPr>
              <w:t>CAYMAN</w:t>
            </w:r>
          </w:p>
        </w:tc>
      </w:tr>
      <w:tr>
        <w:trPr>
          <w:trHeight w:val="169"/>
        </w:trPr>
        <w:tc>
          <w:tcPr>
            <w:tcW w:w="20" w:type="dxa"/>
            <w:vAlign w:val="bottom"/>
          </w:tcPr>
          <w:p>
            <w:pPr>
              <w:spacing w:after="0"/>
              <w:rPr>
                <w:sz w:val="14"/>
                <w:szCs w:val="14"/>
                <w:color w:val="auto"/>
              </w:rPr>
            </w:pPr>
          </w:p>
        </w:tc>
        <w:tc>
          <w:tcPr>
            <w:tcW w:w="1640" w:type="dxa"/>
            <w:vAlign w:val="bottom"/>
            <w:tcBorders>
              <w:top w:val="single" w:sz="8" w:color="2C2C2C"/>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IN-FONDOS</w:t>
            </w:r>
          </w:p>
        </w:tc>
        <w:tc>
          <w:tcPr>
            <w:tcW w:w="4060" w:type="dxa"/>
            <w:vAlign w:val="bottom"/>
            <w:tcBorders>
              <w:top w:val="single" w:sz="8" w:color="2C2C2C"/>
              <w:bottom w:val="single" w:sz="8" w:color="2C2C2C"/>
            </w:tcBorders>
          </w:tcPr>
          <w:p>
            <w:pPr>
              <w:spacing w:after="0"/>
              <w:rPr>
                <w:sz w:val="14"/>
                <w:szCs w:val="14"/>
                <w:color w:val="auto"/>
              </w:rPr>
            </w:pPr>
          </w:p>
        </w:tc>
        <w:tc>
          <w:tcPr>
            <w:tcW w:w="1960" w:type="dxa"/>
            <w:vAlign w:val="bottom"/>
            <w:tcBorders>
              <w:top w:val="single" w:sz="8" w:color="2C2C2C"/>
              <w:bottom w:val="single" w:sz="8" w:color="2C2C2C"/>
            </w:tcBorders>
          </w:tcPr>
          <w:p>
            <w:pPr>
              <w:spacing w:after="0"/>
              <w:rPr>
                <w:sz w:val="14"/>
                <w:szCs w:val="14"/>
                <w:color w:val="auto"/>
              </w:rPr>
            </w:pPr>
          </w:p>
        </w:tc>
        <w:tc>
          <w:tcPr>
            <w:tcW w:w="1920" w:type="dxa"/>
            <w:vAlign w:val="bottom"/>
            <w:tcBorders>
              <w:top w:val="single" w:sz="8" w:color="2C2C2C"/>
              <w:bottom w:val="single" w:sz="8" w:color="2C2C2C"/>
            </w:tcBorders>
          </w:tcPr>
          <w:p>
            <w:pPr>
              <w:jc w:val="center"/>
              <w:ind w:right="66"/>
              <w:spacing w:after="0" w:line="162" w:lineRule="exact"/>
              <w:rPr>
                <w:sz w:val="20"/>
                <w:szCs w:val="20"/>
                <w:color w:val="auto"/>
              </w:rPr>
            </w:pPr>
            <w:r>
              <w:rPr>
                <w:rFonts w:ascii="Arial" w:cs="Arial" w:eastAsia="Arial" w:hAnsi="Arial"/>
                <w:sz w:val="15"/>
                <w:szCs w:val="15"/>
                <w:color w:val="auto"/>
                <w:w w:val="90"/>
              </w:rPr>
              <w:t>10.84</w:t>
            </w:r>
          </w:p>
        </w:tc>
        <w:tc>
          <w:tcPr>
            <w:tcW w:w="1800" w:type="dxa"/>
            <w:vAlign w:val="bottom"/>
            <w:tcBorders>
              <w:top w:val="single" w:sz="8" w:color="2C2C2C"/>
              <w:bottom w:val="single" w:sz="8" w:color="2C2C2C"/>
            </w:tcBorders>
          </w:tcPr>
          <w:p>
            <w:pPr>
              <w:jc w:val="center"/>
              <w:ind w:right="26"/>
              <w:spacing w:after="0" w:line="162" w:lineRule="exact"/>
              <w:rPr>
                <w:sz w:val="20"/>
                <w:szCs w:val="20"/>
                <w:color w:val="auto"/>
              </w:rPr>
            </w:pPr>
            <w:r>
              <w:rPr>
                <w:rFonts w:ascii="Arial" w:cs="Arial" w:eastAsia="Arial" w:hAnsi="Arial"/>
                <w:sz w:val="15"/>
                <w:szCs w:val="15"/>
                <w:color w:val="auto"/>
                <w:w w:val="91"/>
              </w:rPr>
              <w:t>PERU</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NV-FONDOS</w:t>
            </w:r>
          </w:p>
        </w:tc>
        <w:tc>
          <w:tcPr>
            <w:tcW w:w="4060" w:type="dxa"/>
            <w:vAlign w:val="bottom"/>
            <w:tcBorders>
              <w:bottom w:val="single" w:sz="8" w:color="2C2C2C"/>
            </w:tcBorders>
          </w:tcPr>
          <w:p>
            <w:pPr>
              <w:spacing w:after="0"/>
              <w:rPr>
                <w:sz w:val="14"/>
                <w:szCs w:val="14"/>
                <w:color w:val="auto"/>
              </w:rPr>
            </w:pPr>
          </w:p>
        </w:tc>
        <w:tc>
          <w:tcPr>
            <w:tcW w:w="1960" w:type="dxa"/>
            <w:vAlign w:val="bottom"/>
            <w:tcBorders>
              <w:bottom w:val="single" w:sz="8" w:color="2C2C2C"/>
            </w:tcBorders>
          </w:tcPr>
          <w:p>
            <w:pPr>
              <w:spacing w:after="0"/>
              <w:rPr>
                <w:sz w:val="14"/>
                <w:szCs w:val="14"/>
                <w:color w:val="auto"/>
              </w:rPr>
            </w:pPr>
          </w:p>
        </w:tc>
        <w:tc>
          <w:tcPr>
            <w:tcW w:w="1920" w:type="dxa"/>
            <w:vAlign w:val="bottom"/>
            <w:tcBorders>
              <w:bottom w:val="single" w:sz="8" w:color="2C2C2C"/>
            </w:tcBorders>
          </w:tcPr>
          <w:p>
            <w:pPr>
              <w:jc w:val="center"/>
              <w:ind w:right="66"/>
              <w:spacing w:after="0" w:line="162" w:lineRule="exact"/>
              <w:rPr>
                <w:sz w:val="20"/>
                <w:szCs w:val="20"/>
                <w:color w:val="auto"/>
              </w:rPr>
            </w:pPr>
            <w:r>
              <w:rPr>
                <w:rFonts w:ascii="Arial" w:cs="Arial" w:eastAsia="Arial" w:hAnsi="Arial"/>
                <w:sz w:val="15"/>
                <w:szCs w:val="15"/>
                <w:color w:val="auto"/>
                <w:w w:val="88"/>
              </w:rPr>
              <w:t>7.60</w:t>
            </w:r>
          </w:p>
        </w:tc>
        <w:tc>
          <w:tcPr>
            <w:tcW w:w="1800" w:type="dxa"/>
            <w:vAlign w:val="bottom"/>
            <w:tcBorders>
              <w:bottom w:val="single" w:sz="8" w:color="2C2C2C"/>
            </w:tcBorders>
          </w:tcPr>
          <w:p>
            <w:pPr>
              <w:jc w:val="center"/>
              <w:ind w:right="26"/>
              <w:spacing w:after="0" w:line="162" w:lineRule="exact"/>
              <w:rPr>
                <w:sz w:val="20"/>
                <w:szCs w:val="20"/>
                <w:color w:val="auto"/>
              </w:rPr>
            </w:pPr>
            <w:r>
              <w:rPr>
                <w:rFonts w:ascii="Arial" w:cs="Arial" w:eastAsia="Arial" w:hAnsi="Arial"/>
                <w:sz w:val="15"/>
                <w:szCs w:val="15"/>
                <w:color w:val="auto"/>
                <w:w w:val="91"/>
              </w:rPr>
              <w:t>PERU</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HO-FONDOS</w:t>
            </w:r>
          </w:p>
        </w:tc>
        <w:tc>
          <w:tcPr>
            <w:tcW w:w="4060" w:type="dxa"/>
            <w:vAlign w:val="bottom"/>
            <w:tcBorders>
              <w:bottom w:val="single" w:sz="8" w:color="2C2C2C"/>
            </w:tcBorders>
          </w:tcPr>
          <w:p>
            <w:pPr>
              <w:spacing w:after="0"/>
              <w:rPr>
                <w:sz w:val="14"/>
                <w:szCs w:val="14"/>
                <w:color w:val="auto"/>
              </w:rPr>
            </w:pPr>
          </w:p>
        </w:tc>
        <w:tc>
          <w:tcPr>
            <w:tcW w:w="1960" w:type="dxa"/>
            <w:vAlign w:val="bottom"/>
            <w:tcBorders>
              <w:bottom w:val="single" w:sz="8" w:color="2C2C2C"/>
            </w:tcBorders>
          </w:tcPr>
          <w:p>
            <w:pPr>
              <w:spacing w:after="0"/>
              <w:rPr>
                <w:sz w:val="14"/>
                <w:szCs w:val="14"/>
                <w:color w:val="auto"/>
              </w:rPr>
            </w:pPr>
          </w:p>
        </w:tc>
        <w:tc>
          <w:tcPr>
            <w:tcW w:w="1920" w:type="dxa"/>
            <w:vAlign w:val="bottom"/>
            <w:tcBorders>
              <w:bottom w:val="single" w:sz="8" w:color="2C2C2C"/>
            </w:tcBorders>
          </w:tcPr>
          <w:p>
            <w:pPr>
              <w:jc w:val="center"/>
              <w:ind w:right="66"/>
              <w:spacing w:after="0" w:line="162" w:lineRule="exact"/>
              <w:rPr>
                <w:sz w:val="20"/>
                <w:szCs w:val="20"/>
                <w:color w:val="auto"/>
              </w:rPr>
            </w:pPr>
            <w:r>
              <w:rPr>
                <w:rFonts w:ascii="Arial" w:cs="Arial" w:eastAsia="Arial" w:hAnsi="Arial"/>
                <w:sz w:val="15"/>
                <w:szCs w:val="15"/>
                <w:color w:val="auto"/>
                <w:w w:val="88"/>
              </w:rPr>
              <w:t>8.91</w:t>
            </w:r>
          </w:p>
        </w:tc>
        <w:tc>
          <w:tcPr>
            <w:tcW w:w="1800" w:type="dxa"/>
            <w:vAlign w:val="bottom"/>
            <w:tcBorders>
              <w:bottom w:val="single" w:sz="8" w:color="2C2C2C"/>
            </w:tcBorders>
          </w:tcPr>
          <w:p>
            <w:pPr>
              <w:jc w:val="center"/>
              <w:ind w:right="26"/>
              <w:spacing w:after="0" w:line="162" w:lineRule="exact"/>
              <w:rPr>
                <w:sz w:val="20"/>
                <w:szCs w:val="20"/>
                <w:color w:val="auto"/>
              </w:rPr>
            </w:pPr>
            <w:r>
              <w:rPr>
                <w:rFonts w:ascii="Arial" w:cs="Arial" w:eastAsia="Arial" w:hAnsi="Arial"/>
                <w:sz w:val="15"/>
                <w:szCs w:val="15"/>
                <w:color w:val="auto"/>
                <w:w w:val="91"/>
              </w:rPr>
              <w:t>PERU</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62" w:lineRule="exact"/>
              <w:rPr>
                <w:sz w:val="20"/>
                <w:szCs w:val="20"/>
                <w:color w:val="auto"/>
              </w:rPr>
            </w:pPr>
            <w:r>
              <w:rPr>
                <w:rFonts w:ascii="Arial" w:cs="Arial" w:eastAsia="Arial" w:hAnsi="Arial"/>
                <w:sz w:val="15"/>
                <w:szCs w:val="15"/>
                <w:color w:val="auto"/>
              </w:rPr>
              <w:t>PR-FONDOS</w:t>
            </w:r>
          </w:p>
        </w:tc>
        <w:tc>
          <w:tcPr>
            <w:tcW w:w="4060" w:type="dxa"/>
            <w:vAlign w:val="bottom"/>
            <w:tcBorders>
              <w:bottom w:val="single" w:sz="8" w:color="2C2C2C"/>
            </w:tcBorders>
          </w:tcPr>
          <w:p>
            <w:pPr>
              <w:spacing w:after="0"/>
              <w:rPr>
                <w:sz w:val="14"/>
                <w:szCs w:val="14"/>
                <w:color w:val="auto"/>
              </w:rPr>
            </w:pPr>
          </w:p>
        </w:tc>
        <w:tc>
          <w:tcPr>
            <w:tcW w:w="1960" w:type="dxa"/>
            <w:vAlign w:val="bottom"/>
            <w:tcBorders>
              <w:bottom w:val="single" w:sz="8" w:color="2C2C2C"/>
            </w:tcBorders>
          </w:tcPr>
          <w:p>
            <w:pPr>
              <w:spacing w:after="0"/>
              <w:rPr>
                <w:sz w:val="14"/>
                <w:szCs w:val="14"/>
                <w:color w:val="auto"/>
              </w:rPr>
            </w:pPr>
          </w:p>
        </w:tc>
        <w:tc>
          <w:tcPr>
            <w:tcW w:w="1920" w:type="dxa"/>
            <w:vAlign w:val="bottom"/>
            <w:tcBorders>
              <w:bottom w:val="single" w:sz="8" w:color="2C2C2C"/>
            </w:tcBorders>
          </w:tcPr>
          <w:p>
            <w:pPr>
              <w:jc w:val="center"/>
              <w:ind w:right="66"/>
              <w:spacing w:after="0" w:line="162" w:lineRule="exact"/>
              <w:rPr>
                <w:sz w:val="20"/>
                <w:szCs w:val="20"/>
                <w:color w:val="auto"/>
              </w:rPr>
            </w:pPr>
            <w:r>
              <w:rPr>
                <w:rFonts w:ascii="Arial" w:cs="Arial" w:eastAsia="Arial" w:hAnsi="Arial"/>
                <w:sz w:val="15"/>
                <w:szCs w:val="15"/>
                <w:color w:val="auto"/>
                <w:w w:val="88"/>
              </w:rPr>
              <w:t>5.66</w:t>
            </w:r>
          </w:p>
        </w:tc>
        <w:tc>
          <w:tcPr>
            <w:tcW w:w="1800" w:type="dxa"/>
            <w:vAlign w:val="bottom"/>
            <w:tcBorders>
              <w:bottom w:val="single" w:sz="8" w:color="2C2C2C"/>
            </w:tcBorders>
          </w:tcPr>
          <w:p>
            <w:pPr>
              <w:jc w:val="center"/>
              <w:ind w:right="26"/>
              <w:spacing w:after="0" w:line="162" w:lineRule="exact"/>
              <w:rPr>
                <w:sz w:val="20"/>
                <w:szCs w:val="20"/>
                <w:color w:val="auto"/>
              </w:rPr>
            </w:pPr>
            <w:r>
              <w:rPr>
                <w:rFonts w:ascii="Arial" w:cs="Arial" w:eastAsia="Arial" w:hAnsi="Arial"/>
                <w:sz w:val="15"/>
                <w:szCs w:val="15"/>
                <w:color w:val="auto"/>
                <w:w w:val="91"/>
              </w:rPr>
              <w:t>PERU</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5700" w:type="dxa"/>
            <w:vAlign w:val="bottom"/>
            <w:tcBorders>
              <w:bottom w:val="single" w:sz="8" w:color="2C2C2C"/>
            </w:tcBorders>
            <w:gridSpan w:val="2"/>
          </w:tcPr>
          <w:p>
            <w:pPr>
              <w:ind w:left="20"/>
              <w:spacing w:after="0" w:line="162" w:lineRule="exact"/>
              <w:rPr>
                <w:sz w:val="20"/>
                <w:szCs w:val="20"/>
                <w:color w:val="auto"/>
              </w:rPr>
            </w:pPr>
            <w:r>
              <w:rPr>
                <w:rFonts w:ascii="Arial" w:cs="Arial" w:eastAsia="Arial" w:hAnsi="Arial"/>
                <w:sz w:val="15"/>
                <w:szCs w:val="15"/>
                <w:color w:val="auto"/>
              </w:rPr>
              <w:t>URIGELER INTERNATIONAL</w:t>
            </w:r>
          </w:p>
        </w:tc>
        <w:tc>
          <w:tcPr>
            <w:tcW w:w="1960" w:type="dxa"/>
            <w:vAlign w:val="bottom"/>
            <w:tcBorders>
              <w:bottom w:val="single" w:sz="8" w:color="2C2C2C"/>
            </w:tcBorders>
          </w:tcPr>
          <w:p>
            <w:pPr>
              <w:spacing w:after="0"/>
              <w:rPr>
                <w:sz w:val="14"/>
                <w:szCs w:val="14"/>
                <w:color w:val="auto"/>
              </w:rPr>
            </w:pPr>
          </w:p>
        </w:tc>
        <w:tc>
          <w:tcPr>
            <w:tcW w:w="1920" w:type="dxa"/>
            <w:vAlign w:val="bottom"/>
            <w:tcBorders>
              <w:bottom w:val="single" w:sz="8" w:color="2C2C2C"/>
            </w:tcBorders>
          </w:tcPr>
          <w:p>
            <w:pPr>
              <w:jc w:val="center"/>
              <w:ind w:right="66"/>
              <w:spacing w:after="0" w:line="162" w:lineRule="exact"/>
              <w:rPr>
                <w:sz w:val="20"/>
                <w:szCs w:val="20"/>
                <w:color w:val="auto"/>
              </w:rPr>
            </w:pPr>
            <w:r>
              <w:rPr>
                <w:rFonts w:ascii="Arial" w:cs="Arial" w:eastAsia="Arial" w:hAnsi="Arial"/>
                <w:sz w:val="15"/>
                <w:szCs w:val="15"/>
                <w:color w:val="auto"/>
                <w:w w:val="88"/>
              </w:rPr>
              <w:t>5.60</w:t>
            </w:r>
          </w:p>
        </w:tc>
        <w:tc>
          <w:tcPr>
            <w:tcW w:w="1800" w:type="dxa"/>
            <w:vAlign w:val="bottom"/>
            <w:tcBorders>
              <w:bottom w:val="single" w:sz="8" w:color="2C2C2C"/>
            </w:tcBorders>
          </w:tcPr>
          <w:p>
            <w:pPr>
              <w:jc w:val="center"/>
              <w:ind w:right="26"/>
              <w:spacing w:after="0" w:line="162" w:lineRule="exact"/>
              <w:rPr>
                <w:sz w:val="20"/>
                <w:szCs w:val="20"/>
                <w:color w:val="auto"/>
              </w:rPr>
            </w:pPr>
            <w:r>
              <w:rPr>
                <w:rFonts w:ascii="Arial" w:cs="Arial" w:eastAsia="Arial" w:hAnsi="Arial"/>
                <w:sz w:val="15"/>
                <w:szCs w:val="15"/>
                <w:color w:val="auto"/>
                <w:w w:val="97"/>
              </w:rPr>
              <w:t>PANAMA</w:t>
            </w:r>
          </w:p>
        </w:tc>
        <w:tc>
          <w:tcPr>
            <w:tcW w:w="20" w:type="dxa"/>
            <w:vAlign w:val="bottom"/>
            <w:tcBorders>
              <w:bottom w:val="single" w:sz="8" w:color="2C2C2C"/>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-972820</wp:posOffset>
            </wp:positionV>
            <wp:extent cx="42545" cy="9861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2545" cy="9861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-963930</wp:posOffset>
            </wp:positionV>
            <wp:extent cx="42545" cy="9690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2545" cy="96901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-963930</wp:posOffset>
            </wp:positionV>
            <wp:extent cx="42545" cy="9690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2545" cy="96901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-972820</wp:posOffset>
            </wp:positionV>
            <wp:extent cx="42545" cy="9861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2545" cy="986155"/>
                    </a:xfrm>
                    <a:prstGeom prst="rect">
                      <a:avLst/>
                    </a:prstGeom>
                    <a:noFill/>
                  </pic:spPr>
                </pic:pic>
              </a:graphicData>
            </a:graphic>
          </wp:anchor>
        </w:drawing>
        <w:drawing>
          <wp:anchor simplePos="0" relativeHeight="251657728" behindDoc="1" locked="0" layoutInCell="0" allowOverlap="1">
            <wp:simplePos x="0" y="0"/>
            <wp:positionH relativeFrom="column">
              <wp:posOffset>6029960</wp:posOffset>
            </wp:positionH>
            <wp:positionV relativeFrom="paragraph">
              <wp:posOffset>-963930</wp:posOffset>
            </wp:positionV>
            <wp:extent cx="42545" cy="9690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2545" cy="96901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00" w:type="dxa"/>
            <w:vAlign w:val="bottom"/>
            <w:gridSpan w:val="2"/>
          </w:tcPr>
          <w:p>
            <w:pPr>
              <w:spacing w:after="0"/>
              <w:rPr>
                <w:sz w:val="20"/>
                <w:szCs w:val="20"/>
                <w:color w:val="auto"/>
              </w:rPr>
            </w:pPr>
            <w:r>
              <w:rPr>
                <w:rFonts w:ascii="Arial" w:cs="Arial" w:eastAsia="Arial" w:hAnsi="Arial"/>
                <w:sz w:val="22"/>
                <w:szCs w:val="22"/>
                <w:color w:val="auto"/>
                <w:w w:val="87"/>
              </w:rPr>
              <w:t>Type of Share: .....</w:t>
            </w:r>
          </w:p>
        </w:tc>
        <w:tc>
          <w:tcPr>
            <w:tcW w:w="4280" w:type="dxa"/>
            <w:vAlign w:val="bottom"/>
          </w:tcPr>
          <w:p>
            <w:pPr>
              <w:spacing w:after="0"/>
              <w:rPr>
                <w:sz w:val="20"/>
                <w:szCs w:val="20"/>
                <w:color w:val="auto"/>
              </w:rPr>
            </w:pPr>
            <w:r>
              <w:rPr>
                <w:rFonts w:ascii="Arial" w:cs="Arial" w:eastAsia="Arial" w:hAnsi="Arial"/>
                <w:sz w:val="22"/>
                <w:szCs w:val="22"/>
                <w:color w:val="auto"/>
                <w:w w:val="99"/>
              </w:rPr>
              <w:t>NEGATIVE ...................................................</w:t>
            </w:r>
          </w:p>
        </w:tc>
        <w:tc>
          <w:tcPr>
            <w:tcW w:w="21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6"/>
        </w:trPr>
        <w:tc>
          <w:tcPr>
            <w:tcW w:w="2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gridSpan w:val="2"/>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5860" w:type="dxa"/>
            <w:vAlign w:val="bottom"/>
            <w:tcBorders>
              <w:top w:val="single" w:sz="8" w:color="2C2C2C"/>
              <w:bottom w:val="single" w:sz="8" w:color="2C2C2C"/>
            </w:tcBorders>
            <w:gridSpan w:val="2"/>
          </w:tcPr>
          <w:p>
            <w:pPr>
              <w:ind w:left="20"/>
              <w:spacing w:after="0" w:line="149" w:lineRule="exact"/>
              <w:rPr>
                <w:sz w:val="20"/>
                <w:szCs w:val="20"/>
                <w:color w:val="auto"/>
              </w:rPr>
            </w:pPr>
            <w:r>
              <w:rPr>
                <w:rFonts w:ascii="Arial" w:cs="Arial" w:eastAsia="Arial" w:hAnsi="Arial"/>
                <w:sz w:val="15"/>
                <w:szCs w:val="15"/>
                <w:color w:val="auto"/>
              </w:rPr>
              <w:t>NAMES AND LAST NAMES</w:t>
            </w:r>
          </w:p>
        </w:tc>
        <w:tc>
          <w:tcPr>
            <w:tcW w:w="2160" w:type="dxa"/>
            <w:vAlign w:val="bottom"/>
            <w:tcBorders>
              <w:top w:val="single" w:sz="8" w:color="2C2C2C"/>
              <w:bottom w:val="single" w:sz="8" w:color="2C2C2C"/>
            </w:tcBorders>
          </w:tcPr>
          <w:p>
            <w:pPr>
              <w:jc w:val="right"/>
              <w:ind w:right="66"/>
              <w:spacing w:after="0" w:line="149" w:lineRule="exact"/>
              <w:rPr>
                <w:sz w:val="20"/>
                <w:szCs w:val="20"/>
                <w:color w:val="auto"/>
              </w:rPr>
            </w:pPr>
            <w:r>
              <w:rPr>
                <w:rFonts w:ascii="Arial" w:cs="Arial" w:eastAsia="Arial" w:hAnsi="Arial"/>
                <w:sz w:val="15"/>
                <w:szCs w:val="15"/>
                <w:color w:val="auto"/>
              </w:rPr>
              <w:t>NUMBER OF SHARES</w:t>
            </w:r>
          </w:p>
        </w:tc>
        <w:tc>
          <w:tcPr>
            <w:tcW w:w="1740" w:type="dxa"/>
            <w:vAlign w:val="bottom"/>
            <w:tcBorders>
              <w:top w:val="single" w:sz="8" w:color="2C2C2C"/>
              <w:bottom w:val="single" w:sz="8" w:color="2C2C2C"/>
            </w:tcBorders>
          </w:tcPr>
          <w:p>
            <w:pPr>
              <w:ind w:left="140"/>
              <w:spacing w:after="0" w:line="149" w:lineRule="exact"/>
              <w:rPr>
                <w:sz w:val="20"/>
                <w:szCs w:val="20"/>
                <w:color w:val="auto"/>
              </w:rPr>
            </w:pPr>
            <w:r>
              <w:rPr>
                <w:rFonts w:ascii="Arial" w:cs="Arial" w:eastAsia="Arial" w:hAnsi="Arial"/>
                <w:sz w:val="15"/>
                <w:szCs w:val="15"/>
                <w:color w:val="auto"/>
              </w:rPr>
              <w:t>PARTICIPATION (%)</w:t>
            </w:r>
          </w:p>
        </w:tc>
        <w:tc>
          <w:tcPr>
            <w:tcW w:w="1620" w:type="dxa"/>
            <w:vAlign w:val="bottom"/>
            <w:tcBorders>
              <w:top w:val="single" w:sz="8" w:color="2C2C2C"/>
              <w:bottom w:val="single" w:sz="8" w:color="2C2C2C"/>
            </w:tcBorders>
          </w:tcPr>
          <w:p>
            <w:pPr>
              <w:ind w:left="260"/>
              <w:spacing w:after="0" w:line="149" w:lineRule="exact"/>
              <w:rPr>
                <w:sz w:val="20"/>
                <w:szCs w:val="20"/>
                <w:color w:val="auto"/>
              </w:rPr>
            </w:pPr>
            <w:r>
              <w:rPr>
                <w:rFonts w:ascii="Arial" w:cs="Arial" w:eastAsia="Arial" w:hAnsi="Arial"/>
                <w:sz w:val="15"/>
                <w:szCs w:val="15"/>
                <w:color w:val="auto"/>
              </w:rPr>
              <w:t>NATIONALITY</w:t>
            </w:r>
          </w:p>
        </w:tc>
        <w:tc>
          <w:tcPr>
            <w:tcW w:w="20" w:type="dxa"/>
            <w:vAlign w:val="bottom"/>
          </w:tcPr>
          <w:p>
            <w:pPr>
              <w:spacing w:after="0"/>
              <w:rPr>
                <w:sz w:val="13"/>
                <w:szCs w:val="13"/>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1580" w:type="dxa"/>
            <w:vAlign w:val="bottom"/>
            <w:tcBorders>
              <w:bottom w:val="single" w:sz="8" w:color="2C2C2C"/>
            </w:tcBorders>
          </w:tcPr>
          <w:p>
            <w:pPr>
              <w:spacing w:after="0"/>
              <w:rPr>
                <w:sz w:val="14"/>
                <w:szCs w:val="14"/>
                <w:color w:val="auto"/>
              </w:rPr>
            </w:pPr>
          </w:p>
        </w:tc>
        <w:tc>
          <w:tcPr>
            <w:tcW w:w="4280" w:type="dxa"/>
            <w:vAlign w:val="bottom"/>
            <w:tcBorders>
              <w:bottom w:val="single" w:sz="8" w:color="2C2C2C"/>
            </w:tcBorders>
          </w:tcPr>
          <w:p>
            <w:pPr>
              <w:spacing w:after="0"/>
              <w:rPr>
                <w:sz w:val="14"/>
                <w:szCs w:val="14"/>
                <w:color w:val="auto"/>
              </w:rPr>
            </w:pPr>
          </w:p>
        </w:tc>
        <w:tc>
          <w:tcPr>
            <w:tcW w:w="2160" w:type="dxa"/>
            <w:vAlign w:val="bottom"/>
            <w:tcBorders>
              <w:bottom w:val="single" w:sz="8" w:color="2C2C2C"/>
            </w:tcBorders>
          </w:tcPr>
          <w:p>
            <w:pPr>
              <w:jc w:val="right"/>
              <w:ind w:right="1486"/>
              <w:spacing w:after="0" w:line="162" w:lineRule="exact"/>
              <w:rPr>
                <w:sz w:val="20"/>
                <w:szCs w:val="20"/>
                <w:color w:val="auto"/>
              </w:rPr>
            </w:pPr>
            <w:r>
              <w:rPr>
                <w:rFonts w:ascii="Arial" w:cs="Arial" w:eastAsia="Arial" w:hAnsi="Arial"/>
                <w:sz w:val="15"/>
                <w:szCs w:val="15"/>
                <w:b w:val="1"/>
                <w:bCs w:val="1"/>
                <w:color w:val="auto"/>
              </w:rPr>
              <w:t>-0-</w:t>
            </w:r>
          </w:p>
        </w:tc>
        <w:tc>
          <w:tcPr>
            <w:tcW w:w="174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r>
        <w:trPr>
          <w:trHeight w:val="712"/>
        </w:trPr>
        <w:tc>
          <w:tcPr>
            <w:tcW w:w="5880" w:type="dxa"/>
            <w:vAlign w:val="bottom"/>
            <w:gridSpan w:val="3"/>
          </w:tcPr>
          <w:p>
            <w:pPr>
              <w:spacing w:after="0"/>
              <w:rPr>
                <w:sz w:val="20"/>
                <w:szCs w:val="20"/>
                <w:color w:val="auto"/>
              </w:rPr>
            </w:pPr>
            <w:r>
              <w:rPr>
                <w:rFonts w:ascii="Arial" w:cs="Arial" w:eastAsia="Arial" w:hAnsi="Arial"/>
                <w:sz w:val="22"/>
                <w:szCs w:val="22"/>
                <w:color w:val="auto"/>
              </w:rPr>
              <w:t>Investment Shares NEGATIVE</w:t>
            </w:r>
          </w:p>
        </w:tc>
        <w:tc>
          <w:tcPr>
            <w:tcW w:w="2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gridSpan w:val="2"/>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gridSpan w:val="2"/>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5860" w:type="dxa"/>
            <w:vAlign w:val="bottom"/>
            <w:tcBorders>
              <w:top w:val="single" w:sz="8" w:color="2C2C2C"/>
              <w:bottom w:val="single" w:sz="8" w:color="2C2C2C"/>
            </w:tcBorders>
            <w:gridSpan w:val="2"/>
          </w:tcPr>
          <w:p>
            <w:pPr>
              <w:ind w:left="20"/>
              <w:spacing w:after="0" w:line="149" w:lineRule="exact"/>
              <w:rPr>
                <w:sz w:val="20"/>
                <w:szCs w:val="20"/>
                <w:color w:val="auto"/>
              </w:rPr>
            </w:pPr>
            <w:r>
              <w:rPr>
                <w:rFonts w:ascii="Arial" w:cs="Arial" w:eastAsia="Arial" w:hAnsi="Arial"/>
                <w:sz w:val="15"/>
                <w:szCs w:val="15"/>
                <w:color w:val="auto"/>
              </w:rPr>
              <w:t>NAMES AND LAST NAMES</w:t>
            </w:r>
          </w:p>
        </w:tc>
        <w:tc>
          <w:tcPr>
            <w:tcW w:w="2160" w:type="dxa"/>
            <w:vAlign w:val="bottom"/>
            <w:tcBorders>
              <w:top w:val="single" w:sz="8" w:color="2C2C2C"/>
              <w:bottom w:val="single" w:sz="8" w:color="2C2C2C"/>
            </w:tcBorders>
          </w:tcPr>
          <w:p>
            <w:pPr>
              <w:jc w:val="right"/>
              <w:ind w:right="66"/>
              <w:spacing w:after="0" w:line="149" w:lineRule="exact"/>
              <w:rPr>
                <w:sz w:val="20"/>
                <w:szCs w:val="20"/>
                <w:color w:val="auto"/>
              </w:rPr>
            </w:pPr>
            <w:r>
              <w:rPr>
                <w:rFonts w:ascii="Arial" w:cs="Arial" w:eastAsia="Arial" w:hAnsi="Arial"/>
                <w:sz w:val="15"/>
                <w:szCs w:val="15"/>
                <w:color w:val="auto"/>
              </w:rPr>
              <w:t>NUMBER OF SHARES</w:t>
            </w:r>
          </w:p>
        </w:tc>
        <w:tc>
          <w:tcPr>
            <w:tcW w:w="1740" w:type="dxa"/>
            <w:vAlign w:val="bottom"/>
            <w:tcBorders>
              <w:top w:val="single" w:sz="8" w:color="2C2C2C"/>
              <w:bottom w:val="single" w:sz="8" w:color="2C2C2C"/>
            </w:tcBorders>
          </w:tcPr>
          <w:p>
            <w:pPr>
              <w:ind w:left="140"/>
              <w:spacing w:after="0" w:line="149" w:lineRule="exact"/>
              <w:rPr>
                <w:sz w:val="20"/>
                <w:szCs w:val="20"/>
                <w:color w:val="auto"/>
              </w:rPr>
            </w:pPr>
            <w:r>
              <w:rPr>
                <w:rFonts w:ascii="Arial" w:cs="Arial" w:eastAsia="Arial" w:hAnsi="Arial"/>
                <w:sz w:val="15"/>
                <w:szCs w:val="15"/>
                <w:color w:val="auto"/>
              </w:rPr>
              <w:t>PARTICIPATION (%)</w:t>
            </w:r>
          </w:p>
        </w:tc>
        <w:tc>
          <w:tcPr>
            <w:tcW w:w="1620" w:type="dxa"/>
            <w:vAlign w:val="bottom"/>
            <w:tcBorders>
              <w:top w:val="single" w:sz="8" w:color="2C2C2C"/>
              <w:bottom w:val="single" w:sz="8" w:color="2C2C2C"/>
            </w:tcBorders>
          </w:tcPr>
          <w:p>
            <w:pPr>
              <w:ind w:left="260"/>
              <w:spacing w:after="0" w:line="149" w:lineRule="exact"/>
              <w:rPr>
                <w:sz w:val="20"/>
                <w:szCs w:val="20"/>
                <w:color w:val="auto"/>
              </w:rPr>
            </w:pPr>
            <w:r>
              <w:rPr>
                <w:rFonts w:ascii="Arial" w:cs="Arial" w:eastAsia="Arial" w:hAnsi="Arial"/>
                <w:sz w:val="15"/>
                <w:szCs w:val="15"/>
                <w:color w:val="auto"/>
              </w:rPr>
              <w:t>NATIONALITY</w:t>
            </w:r>
          </w:p>
        </w:tc>
        <w:tc>
          <w:tcPr>
            <w:tcW w:w="20" w:type="dxa"/>
            <w:vAlign w:val="bottom"/>
          </w:tcPr>
          <w:p>
            <w:pPr>
              <w:spacing w:after="0"/>
              <w:rPr>
                <w:sz w:val="13"/>
                <w:szCs w:val="13"/>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1580" w:type="dxa"/>
            <w:vAlign w:val="bottom"/>
            <w:tcBorders>
              <w:bottom w:val="single" w:sz="8" w:color="2C2C2C"/>
            </w:tcBorders>
          </w:tcPr>
          <w:p>
            <w:pPr>
              <w:spacing w:after="0"/>
              <w:rPr>
                <w:sz w:val="14"/>
                <w:szCs w:val="14"/>
                <w:color w:val="auto"/>
              </w:rPr>
            </w:pPr>
          </w:p>
        </w:tc>
        <w:tc>
          <w:tcPr>
            <w:tcW w:w="4280" w:type="dxa"/>
            <w:vAlign w:val="bottom"/>
            <w:tcBorders>
              <w:bottom w:val="single" w:sz="8" w:color="2C2C2C"/>
            </w:tcBorders>
          </w:tcPr>
          <w:p>
            <w:pPr>
              <w:spacing w:after="0"/>
              <w:rPr>
                <w:sz w:val="14"/>
                <w:szCs w:val="14"/>
                <w:color w:val="auto"/>
              </w:rPr>
            </w:pPr>
          </w:p>
        </w:tc>
        <w:tc>
          <w:tcPr>
            <w:tcW w:w="2160" w:type="dxa"/>
            <w:vAlign w:val="bottom"/>
            <w:tcBorders>
              <w:bottom w:val="single" w:sz="8" w:color="2C2C2C"/>
            </w:tcBorders>
          </w:tcPr>
          <w:p>
            <w:pPr>
              <w:jc w:val="right"/>
              <w:ind w:right="1486"/>
              <w:spacing w:after="0" w:line="162" w:lineRule="exact"/>
              <w:rPr>
                <w:sz w:val="20"/>
                <w:szCs w:val="20"/>
                <w:color w:val="auto"/>
              </w:rPr>
            </w:pPr>
            <w:r>
              <w:rPr>
                <w:rFonts w:ascii="Arial" w:cs="Arial" w:eastAsia="Arial" w:hAnsi="Arial"/>
                <w:sz w:val="15"/>
                <w:szCs w:val="15"/>
                <w:b w:val="1"/>
                <w:bCs w:val="1"/>
                <w:color w:val="auto"/>
              </w:rPr>
              <w:t>-0-</w:t>
            </w:r>
          </w:p>
        </w:tc>
        <w:tc>
          <w:tcPr>
            <w:tcW w:w="174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r>
        <w:trPr>
          <w:trHeight w:val="361"/>
        </w:trPr>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-1351915</wp:posOffset>
            </wp:positionV>
            <wp:extent cx="42545" cy="2825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2545" cy="28257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-1343660</wp:posOffset>
            </wp:positionV>
            <wp:extent cx="42545" cy="2654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2545" cy="26543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-1343660</wp:posOffset>
            </wp:positionV>
            <wp:extent cx="42545" cy="2654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2545" cy="26543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-1351915</wp:posOffset>
            </wp:positionV>
            <wp:extent cx="42545" cy="2825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2545" cy="28257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-1343660</wp:posOffset>
            </wp:positionV>
            <wp:extent cx="42545" cy="2654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2545" cy="2654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-511810</wp:posOffset>
            </wp:positionV>
            <wp:extent cx="42545" cy="2825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2545" cy="28257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-502920</wp:posOffset>
            </wp:positionV>
            <wp:extent cx="42545" cy="2654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2545" cy="26543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-502920</wp:posOffset>
            </wp:positionV>
            <wp:extent cx="42545" cy="2654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2545" cy="26543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-511810</wp:posOffset>
            </wp:positionV>
            <wp:extent cx="42545" cy="2825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2545" cy="28257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-502920</wp:posOffset>
            </wp:positionV>
            <wp:extent cx="42545" cy="2654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2545" cy="26543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6" w:name="page67"/>
    <w:bookmarkEnd w:id="66"/>
    <w:p>
      <w:pPr>
        <w:spacing w:after="0"/>
        <w:rPr>
          <w:sz w:val="20"/>
          <w:szCs w:val="20"/>
          <w:color w:val="auto"/>
        </w:rPr>
      </w:pPr>
      <w:r>
        <w:rPr>
          <w:rFonts w:ascii="Arial" w:cs="Arial" w:eastAsia="Arial" w:hAnsi="Arial"/>
          <w:sz w:val="22"/>
          <w:szCs w:val="22"/>
          <w:u w:val="single" w:color="auto"/>
          <w:color w:val="auto"/>
        </w:rPr>
        <w:t>OTHER</w:t>
      </w:r>
    </w:p>
    <w:p>
      <w:pPr>
        <w:spacing w:after="0" w:line="201" w:lineRule="exact"/>
        <w:rPr>
          <w:sz w:val="20"/>
          <w:szCs w:val="20"/>
          <w:color w:val="auto"/>
        </w:rPr>
      </w:pPr>
    </w:p>
    <w:p>
      <w:pPr>
        <w:ind w:right="740" w:firstLine="8"/>
        <w:spacing w:after="0" w:line="256" w:lineRule="auto"/>
        <w:tabs>
          <w:tab w:leader="none" w:pos="27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Indicate whether the company has an internal code of conduct or similar document concerning ethical criteria or professional responsibility.</w:t>
      </w:r>
    </w:p>
    <w:p>
      <w:pPr>
        <w:spacing w:after="0" w:line="163"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b w:val="1"/>
          <w:bCs w:val="1"/>
          <w:color w:val="auto"/>
        </w:rPr>
        <w:t>(.X) YES</w:t>
      </w:r>
      <w:r>
        <w:rPr>
          <w:sz w:val="20"/>
          <w:szCs w:val="20"/>
          <w:color w:val="auto"/>
        </w:rPr>
        <w:tab/>
      </w:r>
      <w:r>
        <w:rPr>
          <w:rFonts w:ascii="Arial" w:cs="Arial" w:eastAsia="Arial" w:hAnsi="Arial"/>
          <w:sz w:val="19"/>
          <w:szCs w:val="19"/>
          <w:b w:val="1"/>
          <w:bCs w:val="1"/>
          <w:color w:val="auto"/>
        </w:rPr>
        <w:t>( ) NO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 the answer is affirmative, give the exact name of the document: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Code of Ethics</w:t>
      </w:r>
    </w:p>
    <w:p>
      <w:pPr>
        <w:spacing w:after="0"/>
        <w:rPr>
          <w:sz w:val="20"/>
          <w:szCs w:val="20"/>
          <w:color w:val="auto"/>
        </w:rPr>
      </w:pPr>
      <w:r>
        <w:rPr>
          <w:rFonts w:ascii="Arial" w:cs="Arial" w:eastAsia="Arial" w:hAnsi="Arial"/>
          <w:sz w:val="22"/>
          <w:szCs w:val="22"/>
          <w:color w:val="auto"/>
        </w:rPr>
        <w:t>Code of Ethics for Professionals with financial responsibility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 Are records kept of cases where the afore-mentioned regulations (question a) have not been fulfilled?</w:t>
      </w:r>
    </w:p>
    <w:p>
      <w:pPr>
        <w:spacing w:after="0" w:line="206"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b w:val="1"/>
          <w:bCs w:val="1"/>
          <w:color w:val="auto"/>
        </w:rPr>
        <w:t>(.X) YES</w:t>
      </w:r>
      <w:r>
        <w:rPr>
          <w:sz w:val="20"/>
          <w:szCs w:val="20"/>
          <w:color w:val="auto"/>
        </w:rPr>
        <w:tab/>
      </w:r>
      <w:r>
        <w:rPr>
          <w:rFonts w:ascii="Arial" w:cs="Arial" w:eastAsia="Arial" w:hAnsi="Arial"/>
          <w:sz w:val="19"/>
          <w:szCs w:val="19"/>
          <w:b w:val="1"/>
          <w:bCs w:val="1"/>
          <w:color w:val="auto"/>
        </w:rPr>
        <w:t>( ) NO</w:t>
      </w:r>
    </w:p>
    <w:p>
      <w:pPr>
        <w:spacing w:after="0" w:line="206" w:lineRule="exact"/>
        <w:rPr>
          <w:sz w:val="20"/>
          <w:szCs w:val="20"/>
          <w:color w:val="auto"/>
        </w:rPr>
      </w:pPr>
    </w:p>
    <w:p>
      <w:pPr>
        <w:ind w:right="860" w:firstLine="8"/>
        <w:spacing w:after="0" w:line="256" w:lineRule="auto"/>
        <w:tabs>
          <w:tab w:leader="none" w:pos="282"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If the answer to the previous question is affirmative, please give the name of the person or entity responsible for maintaining said records in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42545" cy="1625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135890</wp:posOffset>
            </wp:positionV>
            <wp:extent cx="42545" cy="1625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2162175</wp:posOffset>
            </wp:positionH>
            <wp:positionV relativeFrom="paragraph">
              <wp:posOffset>144145</wp:posOffset>
            </wp:positionV>
            <wp:extent cx="42545" cy="1454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2545" cy="14541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808080"/>
              <w:bottom w:val="single" w:sz="8" w:color="2C2C2C"/>
            </w:tcBorders>
          </w:tcPr>
          <w:p>
            <w:pPr>
              <w:spacing w:after="0"/>
              <w:rPr>
                <w:sz w:val="17"/>
                <w:szCs w:val="17"/>
                <w:color w:val="auto"/>
              </w:rPr>
            </w:pPr>
          </w:p>
        </w:tc>
        <w:tc>
          <w:tcPr>
            <w:tcW w:w="34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15"/>
                <w:szCs w:val="15"/>
                <w:color w:val="auto"/>
              </w:rPr>
              <w:t>AREA RESPONSIBLE</w:t>
            </w:r>
          </w:p>
        </w:tc>
        <w:tc>
          <w:tcPr>
            <w:tcW w:w="7980" w:type="dxa"/>
            <w:vAlign w:val="bottom"/>
            <w:tcBorders>
              <w:top w:val="single" w:sz="8" w:color="2C2C2C"/>
              <w:bottom w:val="single" w:sz="8" w:color="2C2C2C"/>
            </w:tcBorders>
            <w:gridSpan w:val="2"/>
          </w:tcPr>
          <w:p>
            <w:pPr>
              <w:ind w:left="1660"/>
              <w:spacing w:after="0"/>
              <w:rPr>
                <w:sz w:val="20"/>
                <w:szCs w:val="20"/>
                <w:color w:val="auto"/>
              </w:rPr>
            </w:pPr>
            <w:r>
              <w:rPr>
                <w:rFonts w:ascii="Arial" w:cs="Arial" w:eastAsia="Arial" w:hAnsi="Arial"/>
                <w:sz w:val="15"/>
                <w:szCs w:val="15"/>
                <w:color w:val="auto"/>
              </w:rPr>
              <w:t>LABOR RELATIONS DEPARTMENT – HUMAN RESOURCES DIVISION</w:t>
            </w:r>
          </w:p>
        </w:tc>
        <w:tc>
          <w:tcPr>
            <w:tcW w:w="20" w:type="dxa"/>
            <w:vAlign w:val="bottom"/>
            <w:tcBorders>
              <w:top w:val="single" w:sz="8" w:color="808080"/>
              <w:bottom w:val="single" w:sz="8" w:color="2C2C2C"/>
            </w:tcBorders>
          </w:tcPr>
          <w:p>
            <w:pPr>
              <w:spacing w:after="0"/>
              <w:rPr>
                <w:sz w:val="17"/>
                <w:szCs w:val="17"/>
                <w:color w:val="auto"/>
              </w:rPr>
            </w:pPr>
          </w:p>
        </w:tc>
      </w:tr>
      <w:tr>
        <w:trPr>
          <w:trHeight w:val="250"/>
        </w:trPr>
        <w:tc>
          <w:tcPr>
            <w:tcW w:w="20" w:type="dxa"/>
            <w:vAlign w:val="bottom"/>
            <w:tcBorders>
              <w:bottom w:val="single" w:sz="8" w:color="808080"/>
            </w:tcBorders>
          </w:tcPr>
          <w:p>
            <w:pPr>
              <w:spacing w:after="0"/>
              <w:rPr>
                <w:sz w:val="21"/>
                <w:szCs w:val="21"/>
                <w:color w:val="auto"/>
              </w:rPr>
            </w:pPr>
          </w:p>
        </w:tc>
        <w:tc>
          <w:tcPr>
            <w:tcW w:w="3400" w:type="dxa"/>
            <w:vAlign w:val="bottom"/>
            <w:tcBorders>
              <w:bottom w:val="single" w:sz="8" w:color="2C2C2C"/>
            </w:tcBorders>
          </w:tcPr>
          <w:p>
            <w:pPr>
              <w:spacing w:after="0"/>
              <w:rPr>
                <w:sz w:val="21"/>
                <w:szCs w:val="21"/>
                <w:color w:val="auto"/>
              </w:rPr>
            </w:pPr>
          </w:p>
        </w:tc>
        <w:tc>
          <w:tcPr>
            <w:tcW w:w="4680" w:type="dxa"/>
            <w:vAlign w:val="bottom"/>
            <w:tcBorders>
              <w:bottom w:val="single" w:sz="8" w:color="2C2C2C"/>
            </w:tcBorders>
          </w:tcPr>
          <w:p>
            <w:pPr>
              <w:spacing w:after="0"/>
              <w:rPr>
                <w:sz w:val="21"/>
                <w:szCs w:val="21"/>
                <w:color w:val="auto"/>
              </w:rPr>
            </w:pPr>
          </w:p>
        </w:tc>
        <w:tc>
          <w:tcPr>
            <w:tcW w:w="3300" w:type="dxa"/>
            <w:vAlign w:val="bottom"/>
            <w:tcBorders>
              <w:bottom w:val="single" w:sz="8" w:color="2C2C2C"/>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r>
      <w:tr>
        <w:trPr>
          <w:trHeight w:val="169"/>
        </w:trPr>
        <w:tc>
          <w:tcPr>
            <w:tcW w:w="20" w:type="dxa"/>
            <w:vAlign w:val="bottom"/>
          </w:tcPr>
          <w:p>
            <w:pPr>
              <w:spacing w:after="0"/>
              <w:rPr>
                <w:sz w:val="14"/>
                <w:szCs w:val="14"/>
                <w:color w:val="auto"/>
              </w:rPr>
            </w:pPr>
          </w:p>
        </w:tc>
        <w:tc>
          <w:tcPr>
            <w:tcW w:w="3400" w:type="dxa"/>
            <w:vAlign w:val="bottom"/>
            <w:tcBorders>
              <w:bottom w:val="single" w:sz="8" w:color="2C2C2C"/>
            </w:tcBorders>
          </w:tcPr>
          <w:p>
            <w:pPr>
              <w:spacing w:after="0"/>
              <w:rPr>
                <w:sz w:val="14"/>
                <w:szCs w:val="14"/>
                <w:color w:val="auto"/>
              </w:rPr>
            </w:pPr>
          </w:p>
        </w:tc>
        <w:tc>
          <w:tcPr>
            <w:tcW w:w="4680" w:type="dxa"/>
            <w:vAlign w:val="bottom"/>
            <w:tcBorders>
              <w:bottom w:val="single" w:sz="8" w:color="2C2C2C"/>
            </w:tcBorders>
          </w:tcPr>
          <w:p>
            <w:pPr>
              <w:jc w:val="center"/>
              <w:ind w:right="46"/>
              <w:spacing w:after="0" w:line="162" w:lineRule="exact"/>
              <w:rPr>
                <w:sz w:val="20"/>
                <w:szCs w:val="20"/>
                <w:color w:val="auto"/>
              </w:rPr>
            </w:pPr>
            <w:r>
              <w:rPr>
                <w:rFonts w:ascii="Arial" w:cs="Arial" w:eastAsia="Arial" w:hAnsi="Arial"/>
                <w:sz w:val="15"/>
                <w:szCs w:val="15"/>
                <w:color w:val="auto"/>
                <w:w w:val="92"/>
              </w:rPr>
              <w:t>PERSON RESPONSIBLE</w:t>
            </w:r>
          </w:p>
        </w:tc>
        <w:tc>
          <w:tcPr>
            <w:tcW w:w="33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400" w:type="dxa"/>
            <w:vAlign w:val="bottom"/>
            <w:tcBorders>
              <w:bottom w:val="single" w:sz="8" w:color="2C2C2C"/>
            </w:tcBorders>
          </w:tcPr>
          <w:p>
            <w:pPr>
              <w:jc w:val="center"/>
              <w:ind w:left="246"/>
              <w:spacing w:after="0" w:line="162" w:lineRule="exact"/>
              <w:rPr>
                <w:sz w:val="20"/>
                <w:szCs w:val="20"/>
                <w:color w:val="auto"/>
              </w:rPr>
            </w:pPr>
            <w:r>
              <w:rPr>
                <w:rFonts w:ascii="Arial" w:cs="Arial" w:eastAsia="Arial" w:hAnsi="Arial"/>
                <w:sz w:val="15"/>
                <w:szCs w:val="15"/>
                <w:color w:val="auto"/>
                <w:w w:val="97"/>
              </w:rPr>
              <w:t>NAMES AND LAST NAMES</w:t>
            </w:r>
          </w:p>
        </w:tc>
        <w:tc>
          <w:tcPr>
            <w:tcW w:w="4680" w:type="dxa"/>
            <w:vAlign w:val="bottom"/>
            <w:tcBorders>
              <w:bottom w:val="single" w:sz="8" w:color="2C2C2C"/>
            </w:tcBorders>
          </w:tcPr>
          <w:p>
            <w:pPr>
              <w:jc w:val="center"/>
              <w:ind w:right="46"/>
              <w:spacing w:after="0" w:line="162" w:lineRule="exact"/>
              <w:rPr>
                <w:sz w:val="20"/>
                <w:szCs w:val="20"/>
                <w:color w:val="auto"/>
              </w:rPr>
            </w:pPr>
            <w:r>
              <w:rPr>
                <w:rFonts w:ascii="Arial" w:cs="Arial" w:eastAsia="Arial" w:hAnsi="Arial"/>
                <w:sz w:val="15"/>
                <w:szCs w:val="15"/>
                <w:color w:val="auto"/>
                <w:w w:val="97"/>
              </w:rPr>
              <w:t>TITLE</w:t>
            </w:r>
          </w:p>
        </w:tc>
        <w:tc>
          <w:tcPr>
            <w:tcW w:w="3300" w:type="dxa"/>
            <w:vAlign w:val="bottom"/>
            <w:tcBorders>
              <w:bottom w:val="single" w:sz="8" w:color="2C2C2C"/>
            </w:tcBorders>
          </w:tcPr>
          <w:p>
            <w:pPr>
              <w:jc w:val="center"/>
              <w:ind w:right="386"/>
              <w:spacing w:after="0" w:line="162" w:lineRule="exact"/>
              <w:rPr>
                <w:sz w:val="20"/>
                <w:szCs w:val="20"/>
                <w:color w:val="auto"/>
              </w:rPr>
            </w:pPr>
            <w:r>
              <w:rPr>
                <w:rFonts w:ascii="Arial" w:cs="Arial" w:eastAsia="Arial" w:hAnsi="Arial"/>
                <w:sz w:val="15"/>
                <w:szCs w:val="15"/>
                <w:color w:val="auto"/>
                <w:w w:val="97"/>
              </w:rPr>
              <w:t>AREA</w:t>
            </w:r>
          </w:p>
        </w:tc>
        <w:tc>
          <w:tcPr>
            <w:tcW w:w="20" w:type="dxa"/>
            <w:vAlign w:val="bottom"/>
          </w:tcPr>
          <w:p>
            <w:pPr>
              <w:spacing w:after="0"/>
              <w:rPr>
                <w:sz w:val="14"/>
                <w:szCs w:val="14"/>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3400" w:type="dxa"/>
            <w:vAlign w:val="bottom"/>
            <w:tcBorders>
              <w:bottom w:val="single" w:sz="8" w:color="2C2C2C"/>
            </w:tcBorders>
          </w:tcPr>
          <w:p>
            <w:pPr>
              <w:jc w:val="center"/>
              <w:ind w:left="266"/>
              <w:spacing w:after="0" w:line="162" w:lineRule="exact"/>
              <w:rPr>
                <w:sz w:val="20"/>
                <w:szCs w:val="20"/>
                <w:color w:val="auto"/>
              </w:rPr>
            </w:pPr>
            <w:r>
              <w:rPr>
                <w:rFonts w:ascii="Arial" w:cs="Arial" w:eastAsia="Arial" w:hAnsi="Arial"/>
                <w:sz w:val="15"/>
                <w:szCs w:val="15"/>
                <w:color w:val="auto"/>
                <w:w w:val="89"/>
              </w:rPr>
              <w:t>Rocio vignes pareja</w:t>
            </w:r>
          </w:p>
        </w:tc>
        <w:tc>
          <w:tcPr>
            <w:tcW w:w="4680" w:type="dxa"/>
            <w:vAlign w:val="bottom"/>
            <w:tcBorders>
              <w:bottom w:val="single" w:sz="8" w:color="2C2C2C"/>
            </w:tcBorders>
          </w:tcPr>
          <w:p>
            <w:pPr>
              <w:jc w:val="center"/>
              <w:ind w:right="6"/>
              <w:spacing w:after="0" w:line="162" w:lineRule="exact"/>
              <w:rPr>
                <w:sz w:val="20"/>
                <w:szCs w:val="20"/>
                <w:color w:val="auto"/>
              </w:rPr>
            </w:pPr>
            <w:r>
              <w:rPr>
                <w:rFonts w:ascii="Arial" w:cs="Arial" w:eastAsia="Arial" w:hAnsi="Arial"/>
                <w:sz w:val="15"/>
                <w:szCs w:val="15"/>
                <w:color w:val="auto"/>
                <w:w w:val="95"/>
              </w:rPr>
              <w:t>HEAD OF THE LABOR RELATIONS DEPARTMENT</w:t>
            </w:r>
          </w:p>
        </w:tc>
        <w:tc>
          <w:tcPr>
            <w:tcW w:w="3300" w:type="dxa"/>
            <w:vAlign w:val="bottom"/>
            <w:tcBorders>
              <w:bottom w:val="single" w:sz="8" w:color="2C2C2C"/>
            </w:tcBorders>
          </w:tcPr>
          <w:p>
            <w:pPr>
              <w:jc w:val="center"/>
              <w:ind w:right="406"/>
              <w:spacing w:after="0" w:line="162" w:lineRule="exact"/>
              <w:rPr>
                <w:sz w:val="20"/>
                <w:szCs w:val="20"/>
                <w:color w:val="auto"/>
              </w:rPr>
            </w:pPr>
            <w:r>
              <w:rPr>
                <w:rFonts w:ascii="Arial" w:cs="Arial" w:eastAsia="Arial" w:hAnsi="Arial"/>
                <w:sz w:val="15"/>
                <w:szCs w:val="15"/>
                <w:color w:val="auto"/>
                <w:w w:val="94"/>
              </w:rPr>
              <w:t>HUMAN RESOURCES</w:t>
            </w:r>
          </w:p>
        </w:tc>
        <w:tc>
          <w:tcPr>
            <w:tcW w:w="20" w:type="dxa"/>
            <w:vAlign w:val="bottom"/>
            <w:tcBorders>
              <w:bottom w:val="single" w:sz="8" w:color="2C2C2C"/>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-389255</wp:posOffset>
            </wp:positionV>
            <wp:extent cx="42545" cy="402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-260985</wp:posOffset>
            </wp:positionV>
            <wp:extent cx="42545" cy="2654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2545" cy="26543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-389255</wp:posOffset>
            </wp:positionV>
            <wp:extent cx="42545" cy="402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2545" cy="4025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-260985</wp:posOffset>
            </wp:positionV>
            <wp:extent cx="42545" cy="2654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2545" cy="2654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240"/>
        <w:spacing w:after="0" w:line="256" w:lineRule="auto"/>
        <w:rPr>
          <w:sz w:val="20"/>
          <w:szCs w:val="20"/>
          <w:color w:val="auto"/>
        </w:rPr>
      </w:pPr>
      <w:r>
        <w:rPr>
          <w:rFonts w:ascii="Arial" w:cs="Arial" w:eastAsia="Arial" w:hAnsi="Arial"/>
          <w:sz w:val="22"/>
          <w:szCs w:val="22"/>
          <w:b w:val="1"/>
          <w:bCs w:val="1"/>
          <w:color w:val="auto"/>
        </w:rPr>
        <w:t>s. Please give the following information for all documents mentioned in the present report (Statutes, Internal Regulations, Manual or other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42545" cy="7112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2545" cy="71120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116840</wp:posOffset>
            </wp:positionV>
            <wp:extent cx="42545" cy="6940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2545" cy="6940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116840</wp:posOffset>
            </wp:positionV>
            <wp:extent cx="42545" cy="6940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2545" cy="69405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107950</wp:posOffset>
            </wp:positionV>
            <wp:extent cx="42545" cy="7112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2545" cy="71120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116840</wp:posOffset>
            </wp:positionV>
            <wp:extent cx="42545" cy="6940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2545" cy="6940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Borders>
              <w:top w:val="single" w:sz="8" w:color="808080"/>
            </w:tcBorders>
          </w:tcPr>
          <w:p>
            <w:pPr>
              <w:spacing w:after="0"/>
              <w:rPr>
                <w:sz w:val="15"/>
                <w:szCs w:val="15"/>
                <w:color w:val="auto"/>
              </w:rPr>
            </w:pPr>
          </w:p>
        </w:tc>
        <w:tc>
          <w:tcPr>
            <w:tcW w:w="5860" w:type="dxa"/>
            <w:vAlign w:val="bottom"/>
            <w:tcBorders>
              <w:top w:val="single" w:sz="8" w:color="2C2C2C"/>
            </w:tcBorders>
            <w:vMerge w:val="restart"/>
          </w:tcPr>
          <w:p>
            <w:pPr>
              <w:ind w:left="20"/>
              <w:spacing w:after="0"/>
              <w:rPr>
                <w:sz w:val="20"/>
                <w:szCs w:val="20"/>
                <w:color w:val="auto"/>
              </w:rPr>
            </w:pPr>
            <w:r>
              <w:rPr>
                <w:rFonts w:ascii="Arial" w:cs="Arial" w:eastAsia="Arial" w:hAnsi="Arial"/>
                <w:sz w:val="15"/>
                <w:szCs w:val="15"/>
                <w:b w:val="1"/>
                <w:bCs w:val="1"/>
                <w:color w:val="auto"/>
              </w:rPr>
              <w:t>NAME OF THE DOCUMENT</w:t>
            </w:r>
          </w:p>
        </w:tc>
        <w:tc>
          <w:tcPr>
            <w:tcW w:w="1880" w:type="dxa"/>
            <w:vAlign w:val="bottom"/>
            <w:tcBorders>
              <w:top w:val="single" w:sz="8" w:color="2C2C2C"/>
            </w:tcBorders>
          </w:tcPr>
          <w:p>
            <w:pPr>
              <w:spacing w:after="0"/>
              <w:rPr>
                <w:sz w:val="15"/>
                <w:szCs w:val="15"/>
                <w:color w:val="auto"/>
              </w:rPr>
            </w:pPr>
          </w:p>
        </w:tc>
        <w:tc>
          <w:tcPr>
            <w:tcW w:w="3640" w:type="dxa"/>
            <w:vAlign w:val="bottom"/>
            <w:tcBorders>
              <w:top w:val="single" w:sz="8" w:color="2C2C2C"/>
            </w:tcBorders>
          </w:tcPr>
          <w:p>
            <w:pPr>
              <w:ind w:left="1960"/>
              <w:spacing w:after="0"/>
              <w:rPr>
                <w:sz w:val="20"/>
                <w:szCs w:val="20"/>
                <w:color w:val="auto"/>
              </w:rPr>
            </w:pPr>
            <w:r>
              <w:rPr>
                <w:rFonts w:ascii="Arial" w:cs="Arial" w:eastAsia="Arial" w:hAnsi="Arial"/>
                <w:sz w:val="15"/>
                <w:szCs w:val="15"/>
                <w:color w:val="auto"/>
              </w:rPr>
              <w:t>DATE OF</w:t>
            </w: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60" w:type="dxa"/>
            <w:vAlign w:val="bottom"/>
            <w:tcBorders>
              <w:bottom w:val="single" w:sz="8" w:color="2C2C2C"/>
            </w:tcBorders>
            <w:vMerge w:val="continue"/>
          </w:tcPr>
          <w:p>
            <w:pPr>
              <w:spacing w:after="0"/>
              <w:rPr>
                <w:sz w:val="15"/>
                <w:szCs w:val="15"/>
                <w:color w:val="auto"/>
              </w:rPr>
            </w:pPr>
          </w:p>
        </w:tc>
        <w:tc>
          <w:tcPr>
            <w:tcW w:w="1880" w:type="dxa"/>
            <w:vAlign w:val="bottom"/>
            <w:tcBorders>
              <w:bottom w:val="single" w:sz="8" w:color="2C2C2C"/>
            </w:tcBorders>
          </w:tcPr>
          <w:p>
            <w:pPr>
              <w:ind w:left="420"/>
              <w:spacing w:after="0" w:line="172" w:lineRule="exact"/>
              <w:rPr>
                <w:sz w:val="20"/>
                <w:szCs w:val="20"/>
                <w:color w:val="auto"/>
              </w:rPr>
            </w:pPr>
            <w:r>
              <w:rPr>
                <w:rFonts w:ascii="Arial" w:cs="Arial" w:eastAsia="Arial" w:hAnsi="Arial"/>
                <w:sz w:val="15"/>
                <w:szCs w:val="15"/>
                <w:color w:val="auto"/>
              </w:rPr>
              <w:t>APPROVAL BODY</w:t>
            </w:r>
          </w:p>
        </w:tc>
        <w:tc>
          <w:tcPr>
            <w:tcW w:w="3640" w:type="dxa"/>
            <w:vAlign w:val="bottom"/>
            <w:tcBorders>
              <w:bottom w:val="single" w:sz="8" w:color="2C2C2C"/>
            </w:tcBorders>
          </w:tcPr>
          <w:p>
            <w:pPr>
              <w:ind w:left="260"/>
              <w:spacing w:after="0" w:line="172" w:lineRule="exact"/>
              <w:rPr>
                <w:sz w:val="20"/>
                <w:szCs w:val="20"/>
                <w:color w:val="auto"/>
              </w:rPr>
            </w:pPr>
            <w:r>
              <w:rPr>
                <w:rFonts w:ascii="Arial" w:cs="Arial" w:eastAsia="Arial" w:hAnsi="Arial"/>
                <w:sz w:val="15"/>
                <w:szCs w:val="15"/>
                <w:color w:val="auto"/>
                <w:w w:val="98"/>
              </w:rPr>
              <w:t>DATE OF APPROVALLAST MODIFICATION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60" w:type="dxa"/>
            <w:vAlign w:val="bottom"/>
          </w:tcPr>
          <w:p>
            <w:pPr>
              <w:ind w:left="20"/>
              <w:spacing w:after="0"/>
              <w:rPr>
                <w:sz w:val="20"/>
                <w:szCs w:val="20"/>
                <w:color w:val="auto"/>
              </w:rPr>
            </w:pPr>
            <w:r>
              <w:rPr>
                <w:rFonts w:ascii="Arial" w:cs="Arial" w:eastAsia="Arial" w:hAnsi="Arial"/>
                <w:sz w:val="15"/>
                <w:szCs w:val="15"/>
                <w:color w:val="auto"/>
              </w:rPr>
              <w:t>CREDICORP’S CODE OF ETHICS</w:t>
            </w:r>
          </w:p>
        </w:tc>
        <w:tc>
          <w:tcPr>
            <w:tcW w:w="1880" w:type="dxa"/>
            <w:vAlign w:val="bottom"/>
            <w:vMerge w:val="restart"/>
          </w:tcPr>
          <w:p>
            <w:pPr>
              <w:ind w:left="420"/>
              <w:spacing w:after="0"/>
              <w:rPr>
                <w:sz w:val="20"/>
                <w:szCs w:val="20"/>
                <w:color w:val="auto"/>
              </w:rPr>
            </w:pPr>
            <w:r>
              <w:rPr>
                <w:rFonts w:ascii="Arial" w:cs="Arial" w:eastAsia="Arial" w:hAnsi="Arial"/>
                <w:sz w:val="15"/>
                <w:szCs w:val="15"/>
                <w:color w:val="auto"/>
              </w:rPr>
              <w:t>N/A</w:t>
            </w:r>
          </w:p>
        </w:tc>
        <w:tc>
          <w:tcPr>
            <w:tcW w:w="3660" w:type="dxa"/>
            <w:vAlign w:val="bottom"/>
            <w:gridSpan w:val="2"/>
            <w:vMerge w:val="restart"/>
          </w:tcPr>
          <w:p>
            <w:pPr>
              <w:ind w:left="260"/>
              <w:spacing w:after="0"/>
              <w:rPr>
                <w:sz w:val="20"/>
                <w:szCs w:val="20"/>
                <w:color w:val="auto"/>
              </w:rPr>
            </w:pPr>
            <w:r>
              <w:rPr>
                <w:rFonts w:ascii="Arial" w:cs="Arial" w:eastAsia="Arial" w:hAnsi="Arial"/>
                <w:sz w:val="15"/>
                <w:szCs w:val="15"/>
                <w:color w:val="auto"/>
              </w:rPr>
              <w:t>PENDING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3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60" w:type="dxa"/>
            <w:vAlign w:val="bottom"/>
            <w:tcBorders>
              <w:top w:val="single" w:sz="8" w:color="2C2C2C"/>
            </w:tcBorders>
          </w:tcPr>
          <w:p>
            <w:pPr>
              <w:ind w:left="20"/>
              <w:spacing w:after="0" w:line="153" w:lineRule="exact"/>
              <w:rPr>
                <w:sz w:val="20"/>
                <w:szCs w:val="20"/>
                <w:color w:val="auto"/>
              </w:rPr>
            </w:pPr>
            <w:r>
              <w:rPr>
                <w:rFonts w:ascii="Arial" w:cs="Arial" w:eastAsia="Arial" w:hAnsi="Arial"/>
                <w:sz w:val="15"/>
                <w:szCs w:val="15"/>
                <w:color w:val="auto"/>
              </w:rPr>
              <w:t>CODE OF ETHICS FOR PROFESSIONALS WITH FINANCIAL RESPONSIBILITIES -</w:t>
            </w:r>
          </w:p>
        </w:tc>
        <w:tc>
          <w:tcPr>
            <w:tcW w:w="1880" w:type="dxa"/>
            <w:vAlign w:val="bottom"/>
            <w:tcBorders>
              <w:top w:val="single" w:sz="8" w:color="2C2C2C"/>
            </w:tcBorders>
          </w:tcPr>
          <w:p>
            <w:pPr>
              <w:spacing w:after="0"/>
              <w:rPr>
                <w:sz w:val="13"/>
                <w:szCs w:val="13"/>
                <w:color w:val="auto"/>
              </w:rPr>
            </w:pPr>
          </w:p>
        </w:tc>
        <w:tc>
          <w:tcPr>
            <w:tcW w:w="3640" w:type="dxa"/>
            <w:vAlign w:val="bottom"/>
            <w:tcBorders>
              <w:top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2C2C2C"/>
            </w:tcBorders>
          </w:tcPr>
          <w:p>
            <w:pPr>
              <w:spacing w:after="0"/>
              <w:rPr>
                <w:sz w:val="15"/>
                <w:szCs w:val="15"/>
                <w:color w:val="auto"/>
              </w:rPr>
            </w:pPr>
          </w:p>
        </w:tc>
        <w:tc>
          <w:tcPr>
            <w:tcW w:w="5860" w:type="dxa"/>
            <w:vAlign w:val="bottom"/>
            <w:tcBorders>
              <w:bottom w:val="single" w:sz="8" w:color="2C2C2C"/>
            </w:tcBorders>
          </w:tcPr>
          <w:p>
            <w:pPr>
              <w:ind w:left="20"/>
              <w:spacing w:after="0" w:line="172" w:lineRule="exact"/>
              <w:rPr>
                <w:sz w:val="20"/>
                <w:szCs w:val="20"/>
                <w:color w:val="auto"/>
              </w:rPr>
            </w:pPr>
            <w:r>
              <w:rPr>
                <w:rFonts w:ascii="Arial" w:cs="Arial" w:eastAsia="Arial" w:hAnsi="Arial"/>
                <w:sz w:val="15"/>
                <w:szCs w:val="15"/>
                <w:color w:val="auto"/>
              </w:rPr>
              <w:t>CREDICORP</w:t>
            </w:r>
          </w:p>
        </w:tc>
        <w:tc>
          <w:tcPr>
            <w:tcW w:w="1880" w:type="dxa"/>
            <w:vAlign w:val="bottom"/>
            <w:tcBorders>
              <w:bottom w:val="single" w:sz="8" w:color="2C2C2C"/>
            </w:tcBorders>
          </w:tcPr>
          <w:p>
            <w:pPr>
              <w:ind w:left="420"/>
              <w:spacing w:after="0" w:line="172" w:lineRule="exact"/>
              <w:rPr>
                <w:sz w:val="20"/>
                <w:szCs w:val="20"/>
                <w:color w:val="auto"/>
              </w:rPr>
            </w:pPr>
            <w:r>
              <w:rPr>
                <w:rFonts w:ascii="Arial" w:cs="Arial" w:eastAsia="Arial" w:hAnsi="Arial"/>
                <w:sz w:val="15"/>
                <w:szCs w:val="15"/>
                <w:color w:val="auto"/>
              </w:rPr>
              <w:t>N/A</w:t>
            </w:r>
          </w:p>
        </w:tc>
        <w:tc>
          <w:tcPr>
            <w:tcW w:w="3660" w:type="dxa"/>
            <w:vAlign w:val="bottom"/>
            <w:tcBorders>
              <w:bottom w:val="single" w:sz="8" w:color="2C2C2C"/>
            </w:tcBorders>
            <w:gridSpan w:val="2"/>
          </w:tcPr>
          <w:p>
            <w:pPr>
              <w:ind w:left="260"/>
              <w:spacing w:after="0" w:line="172" w:lineRule="exact"/>
              <w:rPr>
                <w:sz w:val="20"/>
                <w:szCs w:val="20"/>
                <w:color w:val="auto"/>
              </w:rPr>
            </w:pPr>
            <w:r>
              <w:rPr>
                <w:rFonts w:ascii="Arial" w:cs="Arial" w:eastAsia="Arial" w:hAnsi="Arial"/>
                <w:sz w:val="15"/>
                <w:szCs w:val="15"/>
                <w:color w:val="auto"/>
              </w:rPr>
              <w:t>PENDING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Include any other information you consider relevant.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_________________________________________________________________________________________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_________________________________________________________________________________________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_________________________________________________________________________________________</w:t>
      </w:r>
    </w:p>
    <w:p>
      <w:pPr>
        <w:sectPr>
          <w:pgSz w:w="11900" w:h="16838" w:orient="portrait"/>
          <w:cols w:equalWidth="0" w:num="1">
            <w:col w:w="11420"/>
          </w:cols>
          <w:pgMar w:left="240" w:top="118"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February 28, 2006</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lowerRoman"/>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lowerLetter"/>
      <w:start w:val="2"/>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lowerRoman"/>
      <w:start w:val="10"/>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3"/>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o"/>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o"/>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upperLetter"/>
      <w:start w:val="24"/>
    </w:lvl>
  </w:abstractNum>
  <w:abstractNum w:abstractNumId="37">
    <w:nsid w:val="2463B9EA"/>
    <w:multiLevelType w:val="hybridMultilevel"/>
    <w:lvl w:ilvl="0">
      <w:lvlJc w:val="left"/>
      <w:lvlText w:val="%1."/>
      <w:numFmt w:val="lowerLetter"/>
      <w:start w:val="15"/>
    </w:lvl>
  </w:abstractNum>
  <w:abstractNum w:abstractNumId="38">
    <w:nsid w:val="5E884ADC"/>
    <w:multiLevelType w:val="hybridMultilevel"/>
    <w:lvl w:ilvl="0">
      <w:lvlJc w:val="left"/>
      <w:lvlText w:val="%1."/>
      <w:numFmt w:val="lowerLetter"/>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2019-12-14T06:48:59Z</dcterms:created>
  <dcterms:modified xsi:type="dcterms:W3CDTF">2019-12-14T06:48:59Z</dcterms:modified>
</cp:coreProperties>
</file>