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April,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March 31st,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Credicorp Ltd. - Report on Form 6-K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Report contains a copy of the following:</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Notice of Material Event, submitted to CONASEV and the “Bolsa de Valores de Lima” on March 13, 2003.</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Please direct any questions or comments you may have regarding this filing to the undersigned at 156 Calle Centenario, La Molina, Lima – 12 Peru.</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Ray Campos</w:t>
      </w:r>
    </w:p>
    <w:p>
      <w:pPr>
        <w:ind w:left="4640"/>
        <w:spacing w:after="0" w:line="238" w:lineRule="auto"/>
        <w:tabs>
          <w:tab w:leader="none" w:pos="5460" w:val="left"/>
        </w:tabs>
        <w:rPr>
          <w:sz w:val="20"/>
          <w:szCs w:val="20"/>
          <w:color w:val="auto"/>
        </w:rPr>
      </w:pPr>
      <w:r>
        <w:rPr>
          <w:rFonts w:ascii="Courier New" w:cs="Courier New" w:eastAsia="Courier New" w:hAnsi="Courier New"/>
          <w:sz w:val="18"/>
          <w:szCs w:val="18"/>
          <w:color w:val="auto"/>
        </w:rPr>
        <w:t>Title:</w:t>
        <w:tab/>
        <w:t>Authorized Representative</w:t>
      </w:r>
    </w:p>
    <w:p>
      <w:pPr>
        <w:sectPr>
          <w:pgSz w:w="11900" w:h="16838" w:orient="portrait"/>
          <w:cols w:equalWidth="0" w:num="1">
            <w:col w:w="10219"/>
          </w:cols>
          <w:pgMar w:left="240" w:top="59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March 13,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Comisión Nacional Supervisora</w:t>
      </w:r>
    </w:p>
    <w:p>
      <w:pPr>
        <w:spacing w:after="0" w:line="238" w:lineRule="auto"/>
        <w:rPr>
          <w:sz w:val="20"/>
          <w:szCs w:val="20"/>
          <w:color w:val="auto"/>
        </w:rPr>
      </w:pPr>
      <w:r>
        <w:rPr>
          <w:rFonts w:ascii="Courier New" w:cs="Courier New" w:eastAsia="Courier New" w:hAnsi="Courier New"/>
          <w:sz w:val="18"/>
          <w:szCs w:val="18"/>
          <w:color w:val="auto"/>
        </w:rPr>
        <w:t>de Empresas y Valores</w:t>
      </w:r>
    </w:p>
    <w:p>
      <w:pPr>
        <w:spacing w:after="0"/>
        <w:rPr>
          <w:sz w:val="20"/>
          <w:szCs w:val="20"/>
          <w:color w:val="auto"/>
        </w:rPr>
      </w:pPr>
      <w:r>
        <w:rPr>
          <w:rFonts w:ascii="Courier New" w:cs="Courier New" w:eastAsia="Courier New" w:hAnsi="Courier New"/>
          <w:sz w:val="18"/>
          <w:szCs w:val="18"/>
          <w:color w:val="auto"/>
        </w:rPr>
        <w:t>CONASEV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Reference: Material Event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Our company, Credicorp Ltd. (NYSE: BAP) in accordance with the amended Peruvian Capital Market Law (TUO - Texto Unico Ordenado) approved by the Supreme Decree N° 093-2002-EF and the Material Event Regulation, Private Information and Other Communications, approved by the CONASEV resolution N° 107-2002-EF/94.10.0 (The Rule), hereby notify you of the following “Material Event”:</w:t>
      </w:r>
    </w:p>
    <w:p>
      <w:pPr>
        <w:spacing w:after="0" w:line="18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Credicorp Ltd has been authorized by the authorities of the State of Florida, United States of America, to constitute a company called Credicorp Securities Inc., which is a broker dealer, member NASD and SIPC. It is 100% owned by Credicorp Ltd. with an initial capital investment of US$ 1,000,000.00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Benedicto Cigüeñas</w:t>
      </w:r>
    </w:p>
    <w:p>
      <w:pPr>
        <w:spacing w:after="0" w:line="238" w:lineRule="auto"/>
        <w:rPr>
          <w:sz w:val="20"/>
          <w:szCs w:val="20"/>
          <w:color w:val="auto"/>
        </w:rPr>
      </w:pPr>
      <w:r>
        <w:rPr>
          <w:rFonts w:ascii="Courier New" w:cs="Courier New" w:eastAsia="Courier New" w:hAnsi="Courier New"/>
          <w:sz w:val="18"/>
          <w:szCs w:val="18"/>
          <w:color w:val="auto"/>
        </w:rPr>
        <w:t>Representative</w:t>
      </w:r>
    </w:p>
    <w:p>
      <w:pPr>
        <w:spacing w:after="0"/>
        <w:rPr>
          <w:sz w:val="20"/>
          <w:szCs w:val="20"/>
          <w:color w:val="auto"/>
        </w:rPr>
      </w:pPr>
      <w:r>
        <w:rPr>
          <w:rFonts w:ascii="Courier New" w:cs="Courier New" w:eastAsia="Courier New" w:hAnsi="Courier New"/>
          <w:sz w:val="18"/>
          <w:szCs w:val="18"/>
          <w:color w:val="auto"/>
        </w:rPr>
        <w:t>Credicorp Ltd.</w:t>
      </w:r>
    </w:p>
    <w:p>
      <w:pPr>
        <w:sectPr>
          <w:pgSz w:w="11900" w:h="16838" w:orient="portrait"/>
          <w:cols w:equalWidth="0" w:num="1">
            <w:col w:w="10219"/>
          </w:cols>
          <w:pgMar w:left="240" w:top="81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April 3, 2003</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Ray Campos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Ray Campos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2019-12-14T06:50:26Z</dcterms:created>
  <dcterms:modified xsi:type="dcterms:W3CDTF">2019-12-14T06:50:26Z</dcterms:modified>
</cp:coreProperties>
</file>