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04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040"/>
        <w:spacing w:after="0"/>
        <w:rPr>
          <w:sz w:val="20"/>
          <w:szCs w:val="20"/>
          <w:color w:val="auto"/>
        </w:rPr>
      </w:pPr>
      <w:r>
        <w:rPr>
          <w:rFonts w:ascii="Arial" w:cs="Arial" w:eastAsia="Arial" w:hAnsi="Arial"/>
          <w:sz w:val="32"/>
          <w:szCs w:val="32"/>
          <w:b w:val="1"/>
          <w:bCs w:val="1"/>
          <w:color w:val="auto"/>
        </w:rPr>
        <w:t>FORM 6-K</w:t>
      </w:r>
    </w:p>
    <w:p>
      <w:pPr>
        <w:spacing w:after="0" w:line="23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month of June 2023</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Commission File Number: 001-14014</w:t>
      </w:r>
    </w:p>
    <w:p>
      <w:pPr>
        <w:spacing w:after="0" w:line="196" w:lineRule="exact"/>
        <w:rPr>
          <w:sz w:val="24"/>
          <w:szCs w:val="24"/>
          <w:color w:val="auto"/>
        </w:rPr>
      </w:pPr>
    </w:p>
    <w:p>
      <w:pPr>
        <w:jc w:val="center"/>
        <w:ind w:right="-1040"/>
        <w:spacing w:after="0"/>
        <w:rPr>
          <w:sz w:val="20"/>
          <w:szCs w:val="20"/>
          <w:color w:val="auto"/>
        </w:rPr>
      </w:pPr>
      <w:r>
        <w:rPr>
          <w:rFonts w:ascii="Arial" w:cs="Arial" w:eastAsia="Arial" w:hAnsi="Arial"/>
          <w:sz w:val="43"/>
          <w:szCs w:val="43"/>
          <w:b w:val="1"/>
          <w:bCs w:val="1"/>
          <w:color w:val="auto"/>
        </w:rPr>
        <w:t>CREDICORP LTD.</w:t>
      </w:r>
    </w:p>
    <w:p>
      <w:pPr>
        <w:spacing w:after="0" w:line="50"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Lima,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ind w:left="45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227965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321945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459105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35"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45920" cy="248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45920" cy="248920"/>
                    </a:xfrm>
                    <a:prstGeom prst="rect">
                      <a:avLst/>
                    </a:prstGeom>
                    <a:noFill/>
                  </pic:spPr>
                </pic:pic>
              </a:graphicData>
            </a:graphic>
          </wp:anchor>
        </w:drawing>
        <w:t>June 6,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hereby notify you of the following Material Event:</w:t>
      </w:r>
    </w:p>
    <w:p>
      <w:pPr>
        <w:spacing w:after="0" w:line="225" w:lineRule="exact"/>
        <w:rPr>
          <w:sz w:val="20"/>
          <w:szCs w:val="20"/>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weighted exchange rate registered by the Peruvian Superintendence of Banking, Insurance and AFP (</w:t>
      </w:r>
      <w:r>
        <w:rPr>
          <w:rFonts w:ascii="Arial" w:cs="Arial" w:eastAsia="Arial" w:hAnsi="Arial"/>
          <w:sz w:val="18"/>
          <w:szCs w:val="18"/>
          <w:i w:val="1"/>
          <w:iCs w:val="1"/>
          <w:color w:val="auto"/>
        </w:rPr>
        <w:t>Superintendencia de Banca, Seguros y AFP</w:t>
      </w:r>
      <w:r>
        <w:rPr>
          <w:rFonts w:ascii="Arial" w:cs="Arial" w:eastAsia="Arial" w:hAnsi="Arial"/>
          <w:sz w:val="18"/>
          <w:szCs w:val="18"/>
          <w:color w:val="auto"/>
        </w:rPr>
        <w:t>) at the close of business on June 6, 2023, to be used for the calculation of the dividends to be paid by the Company on June 9, 2023 is S/3.6901 per US Dollar.</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this regard, the dividend to be paid per share shall be US$6.7749, equivalent to S/25.0000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communication is related to the dividend distribution agreement and the new dividend fixing date agreement adopted by the Board of Directors on April 27, 2023 and May 4, 2023 and informed to the market as Material Events.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Guillermo Morales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June 6,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Guillermo Morales</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00"/>
      </w:cols>
      <w:pgMar w:left="320" w:top="121"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2023-06-07T05:12:17Z</dcterms:created>
  <dcterms:modified xsi:type="dcterms:W3CDTF">2023-06-07T05:12:17Z</dcterms:modified>
</cp:coreProperties>
</file>