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November,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November 17 ,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Credicorp Ltd. - Report on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Report contains a copy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Material Event, submitted to CONASEV and the “Bolsa de Valores de Lima” on November 13, 2003.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Please direct any questions or comments you may have regarding this filing to the undersigned at 156 Calle Centenario, La Molina, Lima - 12 Peru.</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Credicorp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Guillermo Castillo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Authorized Representative</w:t>
      </w:r>
    </w:p>
    <w:p>
      <w:pPr>
        <w:sectPr>
          <w:pgSz w:w="11900" w:h="16838" w:orient="portrait"/>
          <w:cols w:equalWidth="0" w:num="1">
            <w:col w:w="11420"/>
          </w:cols>
          <w:pgMar w:left="240" w:top="1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November 13,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Lima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accordance with articles 10 and 28 of the Capital Markets Law and CONASEV resolution number 107-2002-EF/94.10, Credicorp Ltd. complies in notifying you of the following Material Event: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Today the Central Management of our company approved the consolidated financial statements for Credicorp and Subsidiaries as of September 30, 2003.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Jose Hung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1">
            <w:col w:w="11400"/>
          </w:cols>
          <w:pgMar w:left="240" w:top="13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FOR IMMEDIATE RELEASE: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contact: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Jose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Banco de Credito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(511) 313-2123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jhung@bcp.com.pe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Web site: http://www.credicorpnet.com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Alfredo Montero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Banco de Credito, Miami Agency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(305) 448-0971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(305) 448-0981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amontero@bcpmiami.com</w:t>
      </w:r>
    </w:p>
    <w:p>
      <w:pPr>
        <w:spacing w:after="0" w:line="200" w:lineRule="exact"/>
        <w:rPr>
          <w:sz w:val="20"/>
          <w:szCs w:val="20"/>
          <w:color w:val="auto"/>
        </w:rPr>
      </w:pPr>
    </w:p>
    <w:p>
      <w:pPr>
        <w:sectPr>
          <w:pgSz w:w="11900" w:h="16838" w:orient="portrait"/>
          <w:cols w:equalWidth="0" w:num="2">
            <w:col w:w="7520" w:space="720"/>
            <w:col w:w="3180"/>
          </w:cols>
          <w:pgMar w:left="240" w:top="347" w:right="239" w:bottom="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CREDICORP LTD. ANNOUNCES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QUARTER ENDED SEPTEMBER 30, 2003</w:t>
      </w:r>
    </w:p>
    <w:p>
      <w:pPr>
        <w:sectPr>
          <w:pgSz w:w="11900" w:h="16838" w:orient="portrait"/>
          <w:cols w:equalWidth="0" w:num="1">
            <w:col w:w="11420"/>
          </w:cols>
          <w:pgMar w:left="240" w:top="347" w:right="239" w:bottom="0" w:gutter="0" w:footer="0" w:header="0"/>
          <w:type w:val="continuous"/>
        </w:sectPr>
      </w:pPr>
    </w:p>
    <w:p>
      <w:pPr>
        <w:spacing w:after="0" w:line="24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(Lima, Peru, November 13, 2003) - Credicorp Ltd. (“Credicorp”) (NYSE:BAP; LSE:BAPC1) today announced its financial results for the quarter ended September 30, 2003.</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reported a consolidated net income of US$56.8 million for the nine month period ended September 30, 2003, almost doubling net income of US$28.9 million in the same period of 2002, resulting in US$0.71 and US$0.36 per share, respectively. Net income in the third quarter of 2003 was US$26.0 million, or US$0.33 per share, compared with US$3.1 million in the same year-ago period, or US$0.04 per share.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in the first nine months and in the third quarter of 2003 improve with respect to net income in the same periods in 2002, mainly due to: higher non-financial revenue; increased net interest income; and, lower loan loss provisions. Increases in income could offset expense growth, which include costs due to the merger of Banco Santander Central Hispano-Peru (“BSCH-Peru”), which were incurred through April 2003.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20" w:type="dxa"/>
            <w:vAlign w:val="bottom"/>
            <w:gridSpan w:val="8"/>
          </w:tcPr>
          <w:p>
            <w:pPr>
              <w:jc w:val="center"/>
              <w:ind w:left="1652"/>
              <w:spacing w:after="0"/>
              <w:rPr>
                <w:sz w:val="20"/>
                <w:szCs w:val="20"/>
                <w:color w:val="auto"/>
              </w:rPr>
            </w:pPr>
            <w:r>
              <w:rPr>
                <w:rFonts w:ascii="Arial" w:cs="Arial" w:eastAsia="Arial" w:hAnsi="Arial"/>
                <w:sz w:val="18"/>
                <w:szCs w:val="18"/>
                <w:color w:val="auto"/>
                <w:w w:val="93"/>
              </w:rPr>
              <w:t>I. CREDICORP LTD. AND SUBSIDIARIES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6"/>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20" w:type="dxa"/>
            <w:vAlign w:val="bottom"/>
            <w:gridSpan w:val="8"/>
          </w:tcPr>
          <w:p>
            <w:pPr>
              <w:jc w:val="center"/>
              <w:ind w:left="1632"/>
              <w:spacing w:after="0"/>
              <w:rPr>
                <w:sz w:val="20"/>
                <w:szCs w:val="20"/>
                <w:color w:val="auto"/>
              </w:rPr>
            </w:pPr>
            <w:r>
              <w:rPr>
                <w:rFonts w:ascii="Arial" w:cs="Arial" w:eastAsia="Arial" w:hAnsi="Arial"/>
                <w:sz w:val="18"/>
                <w:szCs w:val="18"/>
                <w:color w:val="auto"/>
                <w:w w:val="93"/>
              </w:rPr>
              <w:t>CREDICORP LTD. AND SUBSIDIARIES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980" w:type="dxa"/>
            <w:vAlign w:val="bottom"/>
            <w:gridSpan w:val="7"/>
          </w:tcPr>
          <w:p>
            <w:pPr>
              <w:jc w:val="center"/>
              <w:ind w:right="700"/>
              <w:spacing w:after="0"/>
              <w:rPr>
                <w:sz w:val="20"/>
                <w:szCs w:val="20"/>
                <w:color w:val="auto"/>
              </w:rPr>
            </w:pPr>
            <w:r>
              <w:rPr>
                <w:rFonts w:ascii="Arial" w:cs="Arial" w:eastAsia="Arial" w:hAnsi="Arial"/>
                <w:sz w:val="18"/>
                <w:szCs w:val="18"/>
                <w:color w:val="auto"/>
                <w:w w:val="93"/>
              </w:rPr>
              <w:t>SUMMARY OF RESULTS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20" w:type="dxa"/>
            <w:vAlign w:val="bottom"/>
            <w:gridSpan w:val="8"/>
          </w:tcPr>
          <w:p>
            <w:pPr>
              <w:jc w:val="center"/>
              <w:ind w:left="1632"/>
              <w:spacing w:after="0"/>
              <w:rPr>
                <w:sz w:val="20"/>
                <w:szCs w:val="20"/>
                <w:color w:val="auto"/>
              </w:rPr>
            </w:pPr>
            <w:r>
              <w:rPr>
                <w:rFonts w:ascii="Arial" w:cs="Arial" w:eastAsia="Arial" w:hAnsi="Arial"/>
                <w:sz w:val="18"/>
                <w:szCs w:val="18"/>
                <w:color w:val="auto"/>
                <w:w w:val="89"/>
              </w:rPr>
              <w:t>(In U.S.$ millions, except net income per share)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2"/>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Three months ended</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110"/>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r>
        <w:trPr>
          <w:trHeight w:val="316"/>
        </w:trPr>
        <w:tc>
          <w:tcPr>
            <w:tcW w:w="5600" w:type="dxa"/>
            <w:vAlign w:val="bottom"/>
            <w:gridSpan w:val="5"/>
          </w:tcPr>
          <w:p>
            <w:pPr>
              <w:ind w:left="4960"/>
              <w:spacing w:after="0"/>
              <w:rPr>
                <w:sz w:val="20"/>
                <w:szCs w:val="20"/>
                <w:color w:val="auto"/>
              </w:rPr>
            </w:pPr>
            <w:r>
              <w:rPr>
                <w:rFonts w:ascii="Arial" w:cs="Arial" w:eastAsia="Arial" w:hAnsi="Arial"/>
                <w:sz w:val="18"/>
                <w:szCs w:val="18"/>
                <w:b w:val="1"/>
                <w:bCs w:val="1"/>
                <w:color w:val="auto"/>
                <w:w w:val="88"/>
              </w:rPr>
              <w:t>30.09.02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30.06.03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30.09.03</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30.09.02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30.09.03</w:t>
            </w:r>
          </w:p>
        </w:tc>
        <w:tc>
          <w:tcPr>
            <w:tcW w:w="300" w:type="dxa"/>
            <w:vAlign w:val="bottom"/>
          </w:tcPr>
          <w:p>
            <w:pPr>
              <w:spacing w:after="0"/>
              <w:rPr>
                <w:sz w:val="24"/>
                <w:szCs w:val="24"/>
                <w:color w:val="auto"/>
              </w:rPr>
            </w:pPr>
          </w:p>
        </w:tc>
      </w:tr>
      <w:tr>
        <w:trPr>
          <w:trHeight w:val="110"/>
        </w:trPr>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gridSpan w:val="2"/>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r>
        <w:trPr>
          <w:trHeight w:val="309"/>
        </w:trPr>
        <w:tc>
          <w:tcPr>
            <w:tcW w:w="5600" w:type="dxa"/>
            <w:vAlign w:val="bottom"/>
            <w:gridSpan w:val="5"/>
          </w:tcPr>
          <w:p>
            <w:pPr>
              <w:spacing w:after="0"/>
              <w:rPr>
                <w:sz w:val="20"/>
                <w:szCs w:val="20"/>
                <w:color w:val="auto"/>
              </w:rPr>
            </w:pPr>
            <w:r>
              <w:rPr>
                <w:rFonts w:ascii="Arial" w:cs="Arial" w:eastAsia="Arial" w:hAnsi="Arial"/>
                <w:sz w:val="18"/>
                <w:szCs w:val="18"/>
                <w:color w:val="auto"/>
              </w:rPr>
              <w:t>Net interest income</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77.2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24"/>
                <w:szCs w:val="2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90.0</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247.5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267.9</w:t>
            </w:r>
          </w:p>
        </w:tc>
      </w:tr>
      <w:tr>
        <w:trPr>
          <w:trHeight w:val="216"/>
        </w:trPr>
        <w:tc>
          <w:tcPr>
            <w:tcW w:w="5600" w:type="dxa"/>
            <w:vAlign w:val="bottom"/>
            <w:gridSpan w:val="5"/>
          </w:tcPr>
          <w:p>
            <w:pPr>
              <w:spacing w:after="0"/>
              <w:rPr>
                <w:sz w:val="20"/>
                <w:szCs w:val="20"/>
                <w:color w:val="auto"/>
              </w:rPr>
            </w:pPr>
            <w:r>
              <w:rPr>
                <w:rFonts w:ascii="Arial" w:cs="Arial" w:eastAsia="Arial" w:hAnsi="Arial"/>
                <w:sz w:val="18"/>
                <w:szCs w:val="18"/>
                <w:color w:val="auto"/>
              </w:rPr>
              <w:t>Provisions for possible loan losses, net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32.2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23.8</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87.9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77.8</w:t>
            </w:r>
          </w:p>
        </w:tc>
      </w:tr>
      <w:tr>
        <w:trPr>
          <w:trHeight w:val="216"/>
        </w:trPr>
        <w:tc>
          <w:tcPr>
            <w:tcW w:w="560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90.0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105.4</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275.2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327.4</w:t>
            </w:r>
          </w:p>
        </w:tc>
      </w:tr>
      <w:tr>
        <w:trPr>
          <w:trHeight w:val="216"/>
        </w:trPr>
        <w:tc>
          <w:tcPr>
            <w:tcW w:w="5600" w:type="dxa"/>
            <w:vAlign w:val="bottom"/>
            <w:gridSpan w:val="5"/>
          </w:tcPr>
          <w:p>
            <w:pPr>
              <w:spacing w:after="0"/>
              <w:rPr>
                <w:sz w:val="20"/>
                <w:szCs w:val="20"/>
                <w:color w:val="auto"/>
              </w:rPr>
            </w:pPr>
            <w:r>
              <w:rPr>
                <w:rFonts w:ascii="Arial" w:cs="Arial" w:eastAsia="Arial" w:hAnsi="Arial"/>
                <w:sz w:val="18"/>
                <w:szCs w:val="18"/>
                <w:color w:val="auto"/>
              </w:rPr>
              <w:t>Claims on insurance activities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25.5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24.7</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5600" w:type="dxa"/>
            <w:vAlign w:val="bottom"/>
            <w:gridSpan w:val="5"/>
          </w:tcPr>
          <w:p>
            <w:pPr>
              <w:spacing w:after="0"/>
              <w:rPr>
                <w:sz w:val="20"/>
                <w:szCs w:val="20"/>
                <w:color w:val="auto"/>
              </w:rPr>
            </w:pPr>
            <w:r>
              <w:rPr>
                <w:rFonts w:ascii="Arial" w:cs="Arial" w:eastAsia="Arial" w:hAnsi="Arial"/>
                <w:sz w:val="18"/>
                <w:szCs w:val="18"/>
                <w:color w:val="auto"/>
              </w:rPr>
              <w:t>Other expenses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94.9</w:t>
            </w: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112.4</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102.7</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295.9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324.2</w:t>
            </w:r>
          </w:p>
        </w:tc>
      </w:tr>
      <w:tr>
        <w:trPr>
          <w:trHeight w:val="216"/>
        </w:trPr>
        <w:tc>
          <w:tcPr>
            <w:tcW w:w="5600" w:type="dxa"/>
            <w:vAlign w:val="bottom"/>
            <w:gridSpan w:val="5"/>
          </w:tcPr>
          <w:p>
            <w:pPr>
              <w:spacing w:after="0"/>
              <w:rPr>
                <w:sz w:val="20"/>
                <w:szCs w:val="20"/>
                <w:color w:val="auto"/>
              </w:rPr>
            </w:pPr>
            <w:r>
              <w:rPr>
                <w:rFonts w:ascii="Arial" w:cs="Arial" w:eastAsia="Arial" w:hAnsi="Arial"/>
                <w:sz w:val="18"/>
                <w:szCs w:val="18"/>
                <w:color w:val="auto"/>
              </w:rPr>
              <w:t>Merger costs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600" w:type="dxa"/>
            <w:vAlign w:val="bottom"/>
            <w:gridSpan w:val="5"/>
          </w:tcPr>
          <w:p>
            <w:pPr>
              <w:spacing w:after="0"/>
              <w:rPr>
                <w:sz w:val="20"/>
                <w:szCs w:val="20"/>
                <w:color w:val="auto"/>
              </w:rPr>
            </w:pPr>
            <w:r>
              <w:rPr>
                <w:rFonts w:ascii="Arial" w:cs="Arial" w:eastAsia="Arial" w:hAnsi="Arial"/>
                <w:sz w:val="18"/>
                <w:szCs w:val="18"/>
                <w:color w:val="auto"/>
              </w:rPr>
              <w:t>Translation result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1"/>
              </w:rPr>
              <w:t>(0.9)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0.4</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184"/>
        </w:trPr>
        <w:tc>
          <w:tcPr>
            <w:tcW w:w="5600" w:type="dxa"/>
            <w:vAlign w:val="bottom"/>
            <w:gridSpan w:val="5"/>
          </w:tcPr>
          <w:p>
            <w:pPr>
              <w:spacing w:after="0" w:line="184" w:lineRule="exact"/>
              <w:rPr>
                <w:sz w:val="20"/>
                <w:szCs w:val="20"/>
                <w:color w:val="auto"/>
              </w:rPr>
            </w:pPr>
            <w:r>
              <w:rPr>
                <w:rFonts w:ascii="Arial" w:cs="Arial" w:eastAsia="Arial" w:hAnsi="Arial"/>
                <w:sz w:val="18"/>
                <w:szCs w:val="18"/>
                <w:color w:val="auto"/>
              </w:rPr>
              <w:t>Income before income tax and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6"/>
        </w:trPr>
        <w:tc>
          <w:tcPr>
            <w:tcW w:w="11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minority interest</w:t>
            </w:r>
          </w:p>
        </w:tc>
        <w:tc>
          <w:tcPr>
            <w:tcW w:w="960" w:type="dxa"/>
            <w:vAlign w:val="bottom"/>
            <w:tcBorders>
              <w:top w:val="single" w:sz="8" w:color="auto"/>
            </w:tcBorders>
          </w:tcPr>
          <w:p>
            <w:pPr>
              <w:spacing w:after="0"/>
              <w:rPr>
                <w:sz w:val="17"/>
                <w:szCs w:val="17"/>
                <w:color w:val="auto"/>
              </w:rPr>
            </w:pPr>
          </w:p>
        </w:tc>
        <w:tc>
          <w:tcPr>
            <w:tcW w:w="3460" w:type="dxa"/>
            <w:vAlign w:val="bottom"/>
            <w:gridSpan w:val="2"/>
          </w:tcPr>
          <w:p>
            <w:pPr>
              <w:spacing w:after="0"/>
              <w:rPr>
                <w:sz w:val="17"/>
                <w:szCs w:val="17"/>
                <w:color w:val="auto"/>
              </w:rPr>
            </w:pPr>
          </w:p>
        </w:tc>
        <w:tc>
          <w:tcPr>
            <w:tcW w:w="3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6"/>
              </w:rPr>
              <w:t>13.</w:t>
            </w:r>
            <w:r>
              <w:rPr>
                <w:rFonts w:ascii="Arial" w:cs="Arial" w:eastAsia="Arial" w:hAnsi="Arial"/>
                <w:sz w:val="18"/>
                <w:szCs w:val="18"/>
                <w:u w:val="single" w:color="auto"/>
                <w:color w:val="auto"/>
                <w:w w:val="96"/>
              </w:rPr>
              <w:t>7</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r>
              <w:rPr>
                <w:rFonts w:ascii="Arial" w:cs="Arial" w:eastAsia="Arial" w:hAnsi="Arial"/>
                <w:sz w:val="18"/>
                <w:szCs w:val="18"/>
                <w:u w:val="single" w:color="auto"/>
                <w:color w:val="auto"/>
              </w:rPr>
              <w:t>7</w:t>
            </w:r>
          </w:p>
        </w:tc>
        <w:tc>
          <w:tcPr>
            <w:tcW w:w="240" w:type="dxa"/>
            <w:vAlign w:val="bottom"/>
          </w:tcPr>
          <w:p>
            <w:pPr>
              <w:spacing w:after="0"/>
              <w:rPr>
                <w:sz w:val="17"/>
                <w:szCs w:val="17"/>
                <w:color w:val="auto"/>
              </w:rPr>
            </w:pPr>
          </w:p>
        </w:tc>
        <w:tc>
          <w:tcPr>
            <w:tcW w:w="132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5</w:t>
            </w:r>
          </w:p>
        </w:tc>
        <w:tc>
          <w:tcPr>
            <w:tcW w:w="136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7</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8</w:t>
            </w:r>
          </w:p>
        </w:tc>
      </w:tr>
      <w:tr>
        <w:trPr>
          <w:trHeight w:val="20"/>
        </w:trPr>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28"/>
        </w:trPr>
        <w:tc>
          <w:tcPr>
            <w:tcW w:w="11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4420" w:type="dxa"/>
            <w:vAlign w:val="bottom"/>
            <w:gridSpan w:val="3"/>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1"/>
              </w:rPr>
              <w:t>(8.8)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(13.3)</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(29.9)</w:t>
            </w:r>
          </w:p>
        </w:tc>
      </w:tr>
      <w:tr>
        <w:trPr>
          <w:trHeight w:val="210"/>
        </w:trPr>
        <w:tc>
          <w:tcPr>
            <w:tcW w:w="5600" w:type="dxa"/>
            <w:vAlign w:val="bottom"/>
            <w:gridSpan w:val="5"/>
          </w:tcPr>
          <w:p>
            <w:pPr>
              <w:spacing w:after="0"/>
              <w:rPr>
                <w:sz w:val="20"/>
                <w:szCs w:val="20"/>
                <w:color w:val="auto"/>
              </w:rPr>
            </w:pPr>
            <w:r>
              <w:rPr>
                <w:rFonts w:ascii="Arial" w:cs="Arial" w:eastAsia="Arial" w:hAnsi="Arial"/>
                <w:sz w:val="18"/>
                <w:szCs w:val="18"/>
                <w:color w:val="auto"/>
              </w:rPr>
              <w:t>Minority Interest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1"/>
              </w:rPr>
              <w:t>(1.8)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b w:val="1"/>
                <w:bCs w:val="1"/>
                <w:color w:val="auto"/>
                <w:w w:val="88"/>
              </w:rPr>
              <w:t>Net Income</w:t>
            </w:r>
          </w:p>
        </w:tc>
        <w:tc>
          <w:tcPr>
            <w:tcW w:w="4720" w:type="dxa"/>
            <w:vAlign w:val="bottom"/>
            <w:gridSpan w:val="4"/>
          </w:tcPr>
          <w:p>
            <w:pPr>
              <w:spacing w:after="0"/>
              <w:rPr>
                <w:sz w:val="16"/>
                <w:szCs w:val="16"/>
                <w:color w:val="auto"/>
              </w:rPr>
            </w:pPr>
          </w:p>
        </w:tc>
        <w:tc>
          <w:tcPr>
            <w:tcW w:w="140" w:type="dxa"/>
            <w:vAlign w:val="bottom"/>
            <w:gridSpan w:val="2"/>
          </w:tcPr>
          <w:p>
            <w:pPr>
              <w:spacing w:after="0"/>
              <w:rPr>
                <w:sz w:val="16"/>
                <w:szCs w:val="16"/>
                <w:color w:val="auto"/>
              </w:rPr>
            </w:pPr>
          </w:p>
        </w:tc>
        <w:tc>
          <w:tcPr>
            <w:tcW w:w="22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79"/>
              </w:rPr>
              <w:t>3.</w:t>
            </w:r>
            <w:r>
              <w:rPr>
                <w:rFonts w:ascii="Arial" w:cs="Arial" w:eastAsia="Arial" w:hAnsi="Arial"/>
                <w:sz w:val="18"/>
                <w:szCs w:val="18"/>
                <w:b w:val="1"/>
                <w:bCs w:val="1"/>
                <w:u w:val="single" w:color="auto"/>
                <w:color w:val="auto"/>
                <w:w w:val="79"/>
              </w:rPr>
              <w:t>1</w:t>
            </w:r>
          </w:p>
        </w:tc>
        <w:tc>
          <w:tcPr>
            <w:tcW w:w="106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79"/>
              </w:rPr>
              <w:t>28.</w:t>
            </w:r>
            <w:r>
              <w:rPr>
                <w:rFonts w:ascii="Arial" w:cs="Arial" w:eastAsia="Arial" w:hAnsi="Arial"/>
                <w:sz w:val="18"/>
                <w:szCs w:val="18"/>
                <w:b w:val="1"/>
                <w:bCs w:val="1"/>
                <w:u w:val="single" w:color="auto"/>
                <w:color w:val="auto"/>
                <w:w w:val="79"/>
              </w:rPr>
              <w:t>3</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85"/>
              </w:rPr>
              <w:t>26.</w:t>
            </w:r>
            <w:r>
              <w:rPr>
                <w:rFonts w:ascii="Arial" w:cs="Arial" w:eastAsia="Arial" w:hAnsi="Arial"/>
                <w:sz w:val="18"/>
                <w:szCs w:val="18"/>
                <w:b w:val="1"/>
                <w:bCs w:val="1"/>
                <w:u w:val="single" w:color="auto"/>
                <w:color w:val="auto"/>
                <w:w w:val="85"/>
              </w:rPr>
              <w:t>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85"/>
              </w:rPr>
              <w:t>28.</w:t>
            </w:r>
            <w:r>
              <w:rPr>
                <w:rFonts w:ascii="Arial" w:cs="Arial" w:eastAsia="Arial" w:hAnsi="Arial"/>
                <w:sz w:val="18"/>
                <w:szCs w:val="18"/>
                <w:b w:val="1"/>
                <w:bCs w:val="1"/>
                <w:u w:val="single" w:color="auto"/>
                <w:color w:val="auto"/>
                <w:w w:val="85"/>
              </w:rPr>
              <w:t>9</w:t>
            </w:r>
          </w:p>
        </w:tc>
        <w:tc>
          <w:tcPr>
            <w:tcW w:w="180" w:type="dxa"/>
            <w:vAlign w:val="bottom"/>
          </w:tcPr>
          <w:p>
            <w:pPr>
              <w:spacing w:after="0"/>
              <w:rPr>
                <w:sz w:val="16"/>
                <w:szCs w:val="16"/>
                <w:color w:val="auto"/>
              </w:rPr>
            </w:pPr>
          </w:p>
        </w:tc>
        <w:tc>
          <w:tcPr>
            <w:tcW w:w="118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56.</w:t>
            </w:r>
            <w:r>
              <w:rPr>
                <w:rFonts w:ascii="Arial" w:cs="Arial" w:eastAsia="Arial" w:hAnsi="Arial"/>
                <w:sz w:val="18"/>
                <w:szCs w:val="18"/>
                <w:b w:val="1"/>
                <w:bCs w:val="1"/>
                <w:u w:val="single" w:color="auto"/>
                <w:color w:val="auto"/>
              </w:rPr>
              <w:t>8</w:t>
            </w:r>
          </w:p>
        </w:tc>
      </w:tr>
      <w:tr>
        <w:trPr>
          <w:trHeight w:val="20"/>
        </w:trPr>
        <w:tc>
          <w:tcPr>
            <w:tcW w:w="880" w:type="dxa"/>
            <w:vAlign w:val="bottom"/>
            <w:shd w:val="clear" w:color="auto" w:fill="000000"/>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35"/>
        </w:trPr>
        <w:tc>
          <w:tcPr>
            <w:tcW w:w="5600" w:type="dxa"/>
            <w:vAlign w:val="bottom"/>
            <w:gridSpan w:val="5"/>
          </w:tcPr>
          <w:p>
            <w:pPr>
              <w:spacing w:after="0"/>
              <w:rPr>
                <w:sz w:val="20"/>
                <w:szCs w:val="20"/>
                <w:color w:val="auto"/>
              </w:rPr>
            </w:pPr>
            <w:r>
              <w:rPr>
                <w:rFonts w:ascii="Arial" w:cs="Arial" w:eastAsia="Arial" w:hAnsi="Arial"/>
                <w:sz w:val="18"/>
                <w:szCs w:val="18"/>
                <w:color w:val="auto"/>
              </w:rPr>
              <w:t>Net Income per share (1)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0.04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0.33</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0.36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-2154555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-1871980</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right="20" w:firstLine="8"/>
        <w:spacing w:after="0" w:line="268"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79.8 million net outstanding shares in all periods. The total number of shares is 94.4 million, however, as 14.6 million are held by affiliates as treasury shares, the net consolidated outstanding shares are 79.8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Arial" w:cs="Arial" w:eastAsia="Arial" w:hAnsi="Arial"/>
                <w:sz w:val="18"/>
                <w:szCs w:val="18"/>
                <w:i w:val="1"/>
                <w:iCs w:val="1"/>
                <w:color w:val="auto"/>
              </w:rPr>
              <w:t>(US$Mn)</w:t>
            </w:r>
          </w:p>
        </w:tc>
        <w:tc>
          <w:tcPr>
            <w:tcW w:w="2720" w:type="dxa"/>
            <w:vAlign w:val="bottom"/>
          </w:tcPr>
          <w:p>
            <w:pPr>
              <w:jc w:val="right"/>
              <w:ind w:right="632"/>
              <w:spacing w:after="0"/>
              <w:rPr>
                <w:sz w:val="20"/>
                <w:szCs w:val="20"/>
                <w:color w:val="auto"/>
              </w:rPr>
            </w:pPr>
            <w:r>
              <w:rPr>
                <w:rFonts w:ascii="Arial" w:cs="Arial" w:eastAsia="Arial" w:hAnsi="Arial"/>
                <w:sz w:val="18"/>
                <w:szCs w:val="18"/>
                <w:b w:val="1"/>
                <w:bCs w:val="1"/>
                <w:color w:val="auto"/>
              </w:rPr>
              <w:t>3Q02</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2Q03</w:t>
            </w:r>
          </w:p>
        </w:tc>
        <w:tc>
          <w:tcPr>
            <w:tcW w:w="1380" w:type="dxa"/>
            <w:vAlign w:val="bottom"/>
          </w:tcPr>
          <w:p>
            <w:pPr>
              <w:jc w:val="right"/>
              <w:ind w:right="652"/>
              <w:spacing w:after="0"/>
              <w:rPr>
                <w:sz w:val="20"/>
                <w:szCs w:val="20"/>
                <w:color w:val="auto"/>
              </w:rPr>
            </w:pPr>
            <w:r>
              <w:rPr>
                <w:rFonts w:ascii="Arial" w:cs="Arial" w:eastAsia="Arial" w:hAnsi="Arial"/>
                <w:sz w:val="18"/>
                <w:szCs w:val="18"/>
                <w:b w:val="1"/>
                <w:bCs w:val="1"/>
                <w:color w:val="auto"/>
              </w:rPr>
              <w:t>3Q03</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9m02</w:t>
            </w: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9m03</w:t>
            </w:r>
          </w:p>
        </w:tc>
      </w:tr>
      <w:tr>
        <w:trPr>
          <w:trHeight w:val="110"/>
        </w:trPr>
        <w:tc>
          <w:tcPr>
            <w:tcW w:w="348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309"/>
        </w:trPr>
        <w:tc>
          <w:tcPr>
            <w:tcW w:w="3480" w:type="dxa"/>
            <w:vAlign w:val="bottom"/>
          </w:tcPr>
          <w:p>
            <w:pPr>
              <w:spacing w:after="0"/>
              <w:rPr>
                <w:sz w:val="20"/>
                <w:szCs w:val="20"/>
                <w:color w:val="auto"/>
              </w:rPr>
            </w:pPr>
            <w:r>
              <w:rPr>
                <w:rFonts w:ascii="Arial" w:cs="Arial" w:eastAsia="Arial" w:hAnsi="Arial"/>
                <w:sz w:val="18"/>
                <w:szCs w:val="18"/>
                <w:color w:val="auto"/>
              </w:rPr>
              <w:t>Banco de Credito BCP (1)</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US$10.0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US$27.2</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US$28.7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US$37.3</w:t>
            </w:r>
          </w:p>
        </w:tc>
        <w:tc>
          <w:tcPr>
            <w:tcW w:w="1120" w:type="dxa"/>
            <w:vAlign w:val="bottom"/>
          </w:tcPr>
          <w:p>
            <w:pPr>
              <w:jc w:val="right"/>
              <w:spacing w:after="0"/>
              <w:rPr>
                <w:sz w:val="20"/>
                <w:szCs w:val="20"/>
                <w:color w:val="auto"/>
              </w:rPr>
            </w:pPr>
            <w:r>
              <w:rPr>
                <w:rFonts w:ascii="Arial" w:cs="Arial" w:eastAsia="Arial" w:hAnsi="Arial"/>
                <w:sz w:val="18"/>
                <w:szCs w:val="18"/>
                <w:color w:val="auto"/>
              </w:rPr>
              <w:t>US$63.8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Atlantic</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PPS</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6.3</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Banco Tequendama</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-3.5</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Credicorp and others (2)</w:t>
            </w:r>
          </w:p>
        </w:tc>
        <w:tc>
          <w:tcPr>
            <w:tcW w:w="272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-7.0</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-12.7</w:t>
            </w: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8"/>
        </w:trPr>
        <w:tc>
          <w:tcPr>
            <w:tcW w:w="3480" w:type="dxa"/>
            <w:vAlign w:val="bottom"/>
          </w:tcPr>
          <w:p>
            <w:pPr>
              <w:spacing w:after="0"/>
              <w:rPr>
                <w:sz w:val="20"/>
                <w:szCs w:val="20"/>
                <w:color w:val="auto"/>
              </w:rPr>
            </w:pPr>
            <w:r>
              <w:rPr>
                <w:rFonts w:ascii="Arial" w:cs="Arial" w:eastAsia="Arial" w:hAnsi="Arial"/>
                <w:sz w:val="18"/>
                <w:szCs w:val="18"/>
                <w:b w:val="1"/>
                <w:bCs w:val="1"/>
                <w:color w:val="auto"/>
              </w:rPr>
              <w:t>Consolidated Net Income</w:t>
            </w:r>
          </w:p>
        </w:tc>
        <w:tc>
          <w:tcPr>
            <w:tcW w:w="2720" w:type="dxa"/>
            <w:vAlign w:val="bottom"/>
          </w:tcPr>
          <w:p>
            <w:pPr>
              <w:jc w:val="right"/>
              <w:ind w:right="152"/>
              <w:spacing w:after="0"/>
              <w:rPr>
                <w:sz w:val="20"/>
                <w:szCs w:val="20"/>
                <w:color w:val="auto"/>
              </w:rPr>
            </w:pPr>
            <w:r>
              <w:rPr>
                <w:rFonts w:ascii="Arial" w:cs="Arial" w:eastAsia="Arial" w:hAnsi="Arial"/>
                <w:sz w:val="18"/>
                <w:szCs w:val="18"/>
                <w:b w:val="1"/>
                <w:bCs w:val="1"/>
                <w:color w:val="auto"/>
              </w:rPr>
              <w:t>US$ 3.1</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US$28.3</w:t>
            </w: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US$26.0</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US$28.9</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US$56.8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-911225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Inversiones Crédito, Credicorp Securities and others.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third quarter of 2003, the Credicorp and others concept contributed a loss of US$5.1 million, which includes a US$2.0 million charge for contingencies reserves and also a US$2.0 million provision for substandard loans transferred from Banco Tequendama. The US$6.6 million loss contributed in the year-ago quarter includes a US$2.8 million translation loss due to the devaluation of the Colombian Peso and the Venezuelan Bolivar, and US$3.8 million of loan loss provisions for loans transferred from Banco Tequendama.</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present quarter, Banco de Crédito BCP contributed US$28.7 million to Credicorp’s net income, while its results according to Peruvian accounting principles reported in Section II, amounted to US$30.5 million, with the difference mainly due to the elimination of minority interests (US$1.1 million).</w:t>
      </w:r>
    </w:p>
    <w:p>
      <w:pPr>
        <w:sectPr>
          <w:pgSz w:w="11900" w:h="16838" w:orient="portrait"/>
          <w:cols w:equalWidth="0" w:num="1">
            <w:col w:w="11420"/>
          </w:cols>
          <w:pgMar w:left="240" w:top="347" w:right="239" w:bottom="0" w:gutter="0" w:footer="0" w:header="0"/>
          <w:type w:val="continuous"/>
        </w:sectPr>
      </w:pPr>
    </w:p>
    <w:bookmarkStart w:id="4" w:name="page5"/>
    <w:bookmarkEnd w:id="4"/>
    <w:p>
      <w:pPr>
        <w:jc w:val="both"/>
        <w:spacing w:after="0" w:line="306" w:lineRule="auto"/>
        <w:rPr>
          <w:sz w:val="20"/>
          <w:szCs w:val="20"/>
          <w:color w:val="auto"/>
        </w:rPr>
      </w:pPr>
      <w:r>
        <w:rPr>
          <w:rFonts w:ascii="Arial" w:cs="Arial" w:eastAsia="Arial" w:hAnsi="Arial"/>
          <w:sz w:val="16"/>
          <w:szCs w:val="16"/>
          <w:color w:val="auto"/>
        </w:rPr>
        <w:t>The contribution of Atlantic Security Holding Corporation of US$2.5 million in the current quarter is similar to net income shown in its books (see Section III), but net income contribution in the first nine months of 2003, of US$4.7 million, is lower than the US$7.8 million profit in its books due to the elimination for consolidation purposes of US$3.1 million of dividends received from Credicorp and registered as income in March of 2003.</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third quarter 2003, Credicorp had a contribution from PPS of only US$0.1 million, lower than US$4.6 million in its local Peruvian GAAP books, mainly due to the elimination of minority interests (US$4.2 million), part of which (US$3.1 million) correspond to prior periods.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Banco Tequendama’s loss contribution of US$-0.4 million, in the first nine months of 2003, and of US$-0.2 million in the current quarter, does not include provision expense incurred by Credicorp of US$7.5 million and US$2.0 million, respectively, for transferred loans as mentioned above. Comparing with the nine month period of 2002, Banco Tequendama contributed US$-3.5 million, while Credicorp assumed additional charges of US$10.0 million, for exchange losses and loan loss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I.1 PERUVIAN ECONOMIC SITUATION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Activity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Peruvian GDP grew 3.3% in July and 3.1% in August 2003, completing 26 consecutive growth months. Nevertheless, the slowdown trend continues. Growth was 5.8% and 3.4% in the first and second quarters of this year, respectively, and was 4.9% in the 12 months preceding August (i.e., September 2002 through August 2003). In the coming months, growth rates are expected to be lower in addition to the statistical effect of comparing with high rates that were obtained in the second half of 2002. Oficial estimates forecast a 4% GDP growth for total 2003, lower than 5.3% in 2002, and again 4% in 2004, which was reduced from 4.5% in previous estimates.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slowdown noted in recent months is due to weak domestic demand, which has left exports, that have continued increasing, as the main drivers of GDP growth. Internal demand grew 2.4% in the second quarter of 2003, declining from 5.8% in the first quarter, while exports grew 7.6%, over 7.2%, respectively. Lower internal demand is mainly due to decreased public consumption and to lower private and public investment.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August 2003, it should be noted that metals mining continued a positive trend, growing 8.5%, non-primary manufacturing grew 4.2%, and agriculture grew 3.2%. On the other hand, fishing had a cumulative decline of 17.5% due to the lengthy ban on anchovies, while construction showed high volatility in recent months, resulting in a 3.4% growth through August.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Public Finance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Public sector deficit was 1.1% in the second quarter of 2003, below 1.8% in the same period of 2002. This positive result is due to increased Central Government current income that reached 14.1% of GDP, higher than 13.1% in the same prior year period. Total year 2003 deficit is still expected at 1.9%.</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August 2003, tax collection increased 13%, in real terms, compared to the same prior year period, noting a 38% increase of Income Tax revenue from corporations and the 11% in case of the value-added tax (IGV). The increases are due in part to higher advance payments on the Income Tax and to a statistical effect, that will lessen in the second half of 2003 mainly because new tax measures were put into effect in the second part of 2002. Non-financial expenses increased 8.4% (nominal), and additional increases are expected in order to carry out agreements with various unions, while capital expenses declined 4.9%. The Government expects to meet the 1.9% deficit target for fiscal 2003 with the help of a tax reform, for which Congress has granted legislative powers to the executive.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Prices and Devaluation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2003, the consumer price index in Peru increased 0.4%, after the 0.6% decline in the second quarter and of the high 1.8% increase in the first quarter. Inflation in the first quarter was mostly caused by higher oil prices, which were subsequently reduced causing the deflation in the second quarter. Inflation for the last 12 months reached 2.0%, and 1.7% in the first nine months of 2003, both of which are within the range (1.5% to 3.5%) targetted by the Central Bank for total 2003. The wholesale price index increased 0.5% in the current quarter, compared to a 0.7% decrease in the preceding second quarter, and grew 1.0% through September.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bank market Nuevos Soles exchange rate in Peru was S/.3.482 at September 30, 2003, increasing 0.3% from S/.3.471 at the beginning of the current quarter, but declines 0.9% from S/.3.514 as of December 31, 2002, and is also lower by 4.5% from S/,3.644 as of September 2002. During the quarter the foreign exchange market remained stable.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Reserves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International reserves of the Central Bank decreased during the third quarter of 2003, from US$9,997 million at June 30, 2003 to US$9,755 million at September 30, 2003, but remain over US$9,598 million of December 31, 2002. The decrease was mainly due to foreign debt payments made by the public sector.</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Trade Balance had a US$240 million cumulative surplus through July 2003, increasing compared to a US$75 million surplus in the same seven month period of 2002. The improvement is due to the 17% increase in exports versus a 14% increase in imports. Exports, which reached US$4,987 million in the first seven months of 2003, grow on increased volume and prices of gold and oil derivatives. Traditional exports grew 20%, while non-traditional exports grew 12% where textiles and agricultural products are noteworthy. Imports through July 2003 amounted to US$4,748 million, increasing mainly due to higher imports of raw materials and intermediate goods.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2003 loan and deposit volumes had a slightly negative trend, within a continuing excess liquidity position. Deposits at September 30, 2003 in the fourteen commercial banks in the system reached S/.47.6 billion (US$13.7 billion), according to the Asociación de Bancos del Peru (ASBANC), a 1.0% decrease in nominal terms compared to June 30, 2003. Deposits grew 1.0% over the balance at September 30, 2002, in dollar terms to avoid the effect of the apreciation of the Nuevo Sol since the exchange rate was S/.3.64 at that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2003, total loans in the banking system decreased 1.3%, in nominal terms, to S/.35.9 billion (US$10.3 billion). Nevertheless, they remain almost unchanged with respect to September 2002, in Dollar terms. In the current period, local currency loans (21.8% of total loans) declined 1.7% to S/.7.8 billion (US$2.3 billion), while foreign currency loans decreased 1.5% to US$8.2 billion.</w:t>
      </w:r>
    </w:p>
    <w:p>
      <w:pPr>
        <w:sectPr>
          <w:pgSz w:w="11900" w:h="16838" w:orient="portrait"/>
          <w:cols w:equalWidth="0" w:num="1">
            <w:col w:w="11420"/>
          </w:cols>
          <w:pgMar w:left="240" w:top="131" w:right="239" w:bottom="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The poor growth in bank’s deposit and loan volumes contrast with increases in the private pension fund’s managed assets and in mutual funds. The private pension fund assets reached US$5.7 billion as of September 2003, increasing 8.2% in the third quarter, and 42.5% since September 2002, with a return of 19% in real terms in the past year. Total mutual funds amounted to US$2.0 billion, after growing 7.8% in the current quarter and 29.6% since September 2002, with a 3.5% return (in Dollar terms) in the year.</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2003, the Peruvian bank's past due ratio was 7.7%, remaining almost unchanged since the beginning of 2003, but improve over the 8.2% rate in September 30, 2002.</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Commercial banks’ past due loans decreased 3.2% during the current quarter to S/.2.8 billion (US$795 million), and are lower by 6.6% compared to bad loans at September 2002. At September 30, 2003, loan loss provisions were S/.3.4 billion (US$990 million), decreasing 5.8% during this quarter. The system-wide past due loan coverage ratio was 124.6% at September 30, 2003, lower than the 128.0% coverage at June 2003, but remains similar to the ratio in the third quarter of 2002.</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2003 commercial banks’ interest rates had varied trends. Local currency average loan rates (TAMN) were 21.5% in third quarter 2003, increasing from 20.2% in the second quarter of 2003, while deposits rates (TIPMN) decreased to 3.0% from 3.3%, respectively. In the fourth quarter 2002, TAMN was 21.1% and TIPMN was 3.7%. During the third quarter 2003 foreign currency loan rates (TAMEX) declined from 10.1% to 9.1%, while deposit rates (TIPMEX) remained almost unchanged at 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I.2 INTEREST INCOME AND OTHER INCOME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interest income in the third quarter of 2003 was US$90.0 million, 16.6% over income earned in the same period of 2002, mostly due to higher loan volumes compounded by increased interest margins. The net interest margin (net interest income over average interest earning assets), on an annualized basis, was 5.83% during the third quarter of 2003, higher than 5.35% in the year-ago quarter, and also compared to 5.32% in the preceding second quarter of 2003. Increased net interest margin with respect to the preceding quarter is principally due to higher returns in investments and lower cost of funds in Nuevos Soles, in spite of the continuing decline of lending rates and of the overall excess of liquid funds.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volume of interest earning assets, as an average between quarterly ending balances, reached US$6,175 million in the period, increasing 7.0% compared to US$5,772 million in the third quarter of 2002 mostly due to volume from the merger of BSCH-Peru.</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Non-interest income was US$105.4 million in the third quarter of 2003, 17.2% higher than US$90.0 million in the same period of 2002, principally due to higher income from banking fees and from recoveries of charged-off accounts. The Other income caption, US$18.7 million in the current quarter, increases from US$14.6 million in the third quarter of 2002, due to higher recoveries of charged-off accounts.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ind w:left="5080"/>
              <w:spacing w:after="0"/>
              <w:rPr>
                <w:sz w:val="20"/>
                <w:szCs w:val="20"/>
                <w:color w:val="auto"/>
              </w:rPr>
            </w:pPr>
            <w:r>
              <w:rPr>
                <w:rFonts w:ascii="Arial" w:cs="Arial" w:eastAsia="Arial" w:hAnsi="Arial"/>
                <w:sz w:val="18"/>
                <w:szCs w:val="18"/>
                <w:b w:val="1"/>
                <w:bCs w:val="1"/>
                <w:color w:val="auto"/>
                <w:w w:val="99"/>
              </w:rPr>
              <w:t>3Q02</w:t>
            </w:r>
          </w:p>
        </w:tc>
        <w:tc>
          <w:tcPr>
            <w:tcW w:w="640" w:type="dxa"/>
            <w:vAlign w:val="bottom"/>
          </w:tcPr>
          <w:p>
            <w:pPr>
              <w:spacing w:after="0"/>
              <w:rPr>
                <w:sz w:val="18"/>
                <w:szCs w:val="18"/>
                <w:color w:val="auto"/>
              </w:rPr>
            </w:pPr>
          </w:p>
        </w:tc>
        <w:tc>
          <w:tcPr>
            <w:tcW w:w="1360" w:type="dxa"/>
            <w:vAlign w:val="bottom"/>
          </w:tcPr>
          <w:p>
            <w:pPr>
              <w:jc w:val="right"/>
              <w:ind w:right="612"/>
              <w:spacing w:after="0"/>
              <w:rPr>
                <w:sz w:val="20"/>
                <w:szCs w:val="20"/>
                <w:color w:val="auto"/>
              </w:rPr>
            </w:pPr>
            <w:r>
              <w:rPr>
                <w:rFonts w:ascii="Arial" w:cs="Arial" w:eastAsia="Arial" w:hAnsi="Arial"/>
                <w:sz w:val="18"/>
                <w:szCs w:val="18"/>
                <w:b w:val="1"/>
                <w:bCs w:val="1"/>
                <w:color w:val="auto"/>
              </w:rPr>
              <w:t>2Q03</w:t>
            </w:r>
          </w:p>
        </w:tc>
        <w:tc>
          <w:tcPr>
            <w:tcW w:w="1320" w:type="dxa"/>
            <w:vAlign w:val="bottom"/>
          </w:tcPr>
          <w:p>
            <w:pPr>
              <w:jc w:val="right"/>
              <w:ind w:right="572"/>
              <w:spacing w:after="0"/>
              <w:rPr>
                <w:sz w:val="20"/>
                <w:szCs w:val="20"/>
                <w:color w:val="auto"/>
              </w:rPr>
            </w:pPr>
            <w:r>
              <w:rPr>
                <w:rFonts w:ascii="Arial" w:cs="Arial" w:eastAsia="Arial" w:hAnsi="Arial"/>
                <w:sz w:val="18"/>
                <w:szCs w:val="18"/>
                <w:b w:val="1"/>
                <w:bCs w:val="1"/>
                <w:color w:val="auto"/>
              </w:rPr>
              <w:t>3Q03</w:t>
            </w:r>
          </w:p>
        </w:tc>
        <w:tc>
          <w:tcPr>
            <w:tcW w:w="1380" w:type="dxa"/>
            <w:vAlign w:val="bottom"/>
          </w:tcPr>
          <w:p>
            <w:pPr>
              <w:jc w:val="right"/>
              <w:ind w:right="452"/>
              <w:spacing w:after="0"/>
              <w:rPr>
                <w:sz w:val="20"/>
                <w:szCs w:val="20"/>
                <w:color w:val="auto"/>
              </w:rPr>
            </w:pPr>
            <w:r>
              <w:rPr>
                <w:rFonts w:ascii="Arial" w:cs="Arial" w:eastAsia="Arial" w:hAnsi="Arial"/>
                <w:sz w:val="18"/>
                <w:szCs w:val="18"/>
                <w:b w:val="1"/>
                <w:bCs w:val="1"/>
                <w:color w:val="auto"/>
              </w:rPr>
              <w:t>3Q03 vs.</w:t>
            </w:r>
          </w:p>
        </w:tc>
        <w:tc>
          <w:tcPr>
            <w:tcW w:w="1180" w:type="dxa"/>
            <w:vAlign w:val="bottom"/>
          </w:tcPr>
          <w:p>
            <w:pPr>
              <w:jc w:val="right"/>
              <w:ind w:right="272"/>
              <w:spacing w:after="0"/>
              <w:rPr>
                <w:sz w:val="20"/>
                <w:szCs w:val="20"/>
                <w:color w:val="auto"/>
              </w:rPr>
            </w:pPr>
            <w:r>
              <w:rPr>
                <w:rFonts w:ascii="Arial" w:cs="Arial" w:eastAsia="Arial" w:hAnsi="Arial"/>
                <w:sz w:val="18"/>
                <w:szCs w:val="18"/>
                <w:b w:val="1"/>
                <w:bCs w:val="1"/>
                <w:color w:val="auto"/>
              </w:rPr>
              <w:t>3Q03 vs.</w:t>
            </w:r>
          </w:p>
        </w:tc>
      </w:tr>
      <w:tr>
        <w:trPr>
          <w:trHeight w:val="228"/>
        </w:trPr>
        <w:tc>
          <w:tcPr>
            <w:tcW w:w="554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jc w:val="right"/>
              <w:ind w:right="572"/>
              <w:spacing w:after="0"/>
              <w:rPr>
                <w:sz w:val="20"/>
                <w:szCs w:val="20"/>
                <w:color w:val="auto"/>
              </w:rPr>
            </w:pPr>
            <w:r>
              <w:rPr>
                <w:rFonts w:ascii="Arial" w:cs="Arial" w:eastAsia="Arial" w:hAnsi="Arial"/>
                <w:sz w:val="18"/>
                <w:szCs w:val="18"/>
                <w:b w:val="1"/>
                <w:bCs w:val="1"/>
                <w:color w:val="auto"/>
              </w:rPr>
              <w:t>2Q03</w:t>
            </w: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3Q02</w:t>
            </w:r>
          </w:p>
        </w:tc>
      </w:tr>
      <w:tr>
        <w:trPr>
          <w:trHeight w:val="110"/>
        </w:trPr>
        <w:tc>
          <w:tcPr>
            <w:tcW w:w="55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54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43.8</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47.5</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48.9</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premiums</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31.3</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33.8</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-5.4</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7.6</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5.5</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5.8</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14.6</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16.5</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18.7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8"/>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Non-Interest Income</w:t>
            </w:r>
          </w:p>
        </w:tc>
        <w:tc>
          <w:tcPr>
            <w:tcW w:w="640" w:type="dxa"/>
            <w:vAlign w:val="bottom"/>
          </w:tcPr>
          <w:p>
            <w:pPr>
              <w:jc w:val="right"/>
              <w:ind w:right="172"/>
              <w:spacing w:after="0"/>
              <w:rPr>
                <w:sz w:val="20"/>
                <w:szCs w:val="20"/>
                <w:color w:val="auto"/>
              </w:rPr>
            </w:pPr>
            <w:r>
              <w:rPr>
                <w:rFonts w:ascii="Arial" w:cs="Arial" w:eastAsia="Arial" w:hAnsi="Arial"/>
                <w:sz w:val="18"/>
                <w:szCs w:val="18"/>
                <w:b w:val="1"/>
                <w:bCs w:val="1"/>
                <w:color w:val="auto"/>
              </w:rPr>
              <w:t>90.0</w:t>
            </w:r>
          </w:p>
        </w:tc>
        <w:tc>
          <w:tcPr>
            <w:tcW w:w="1360" w:type="dxa"/>
            <w:vAlign w:val="bottom"/>
          </w:tcPr>
          <w:p>
            <w:pPr>
              <w:jc w:val="right"/>
              <w:ind w:right="172"/>
              <w:spacing w:after="0"/>
              <w:rPr>
                <w:sz w:val="20"/>
                <w:szCs w:val="20"/>
                <w:color w:val="auto"/>
              </w:rPr>
            </w:pPr>
            <w:r>
              <w:rPr>
                <w:rFonts w:ascii="Arial" w:cs="Arial" w:eastAsia="Arial" w:hAnsi="Arial"/>
                <w:sz w:val="18"/>
                <w:szCs w:val="18"/>
                <w:b w:val="1"/>
                <w:bCs w:val="1"/>
                <w:color w:val="auto"/>
              </w:rPr>
              <w:t>109.6</w:t>
            </w:r>
          </w:p>
        </w:tc>
        <w:tc>
          <w:tcPr>
            <w:tcW w:w="1320" w:type="dxa"/>
            <w:vAlign w:val="bottom"/>
          </w:tcPr>
          <w:p>
            <w:pPr>
              <w:jc w:val="right"/>
              <w:ind w:right="132"/>
              <w:spacing w:after="0"/>
              <w:rPr>
                <w:sz w:val="20"/>
                <w:szCs w:val="20"/>
                <w:color w:val="auto"/>
              </w:rPr>
            </w:pPr>
            <w:r>
              <w:rPr>
                <w:rFonts w:ascii="Arial" w:cs="Arial" w:eastAsia="Arial" w:hAnsi="Arial"/>
                <w:sz w:val="18"/>
                <w:szCs w:val="18"/>
                <w:b w:val="1"/>
                <w:bCs w:val="1"/>
                <w:color w:val="auto"/>
              </w:rPr>
              <w:t>105.4</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-3.8%</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17.2%</w:t>
            </w:r>
          </w:p>
        </w:tc>
      </w:tr>
      <w:tr>
        <w:trPr>
          <w:trHeight w:val="110"/>
        </w:trPr>
        <w:tc>
          <w:tcPr>
            <w:tcW w:w="55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I.3 OTHER NON-INTEREST EXPENSES</w:t>
      </w:r>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Other non-interest expenses amounted to US$102.7 million in third quarter 2003, 8.3% higher than in the same period of the previous year. The increase is explained principally by provisions for contingencies made by Credicorp and BCP.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ind w:left="5080"/>
              <w:spacing w:after="0"/>
              <w:rPr>
                <w:sz w:val="20"/>
                <w:szCs w:val="20"/>
                <w:color w:val="auto"/>
              </w:rPr>
            </w:pPr>
            <w:r>
              <w:rPr>
                <w:rFonts w:ascii="Arial" w:cs="Arial" w:eastAsia="Arial" w:hAnsi="Arial"/>
                <w:sz w:val="18"/>
                <w:szCs w:val="18"/>
                <w:b w:val="1"/>
                <w:bCs w:val="1"/>
                <w:color w:val="auto"/>
              </w:rPr>
              <w:t>3Q02</w:t>
            </w:r>
          </w:p>
        </w:tc>
        <w:tc>
          <w:tcPr>
            <w:tcW w:w="64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2Q03</w:t>
            </w: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3Q03</w:t>
            </w:r>
          </w:p>
        </w:tc>
        <w:tc>
          <w:tcPr>
            <w:tcW w:w="1360" w:type="dxa"/>
            <w:vAlign w:val="bottom"/>
          </w:tcPr>
          <w:p>
            <w:pPr>
              <w:jc w:val="right"/>
              <w:ind w:right="452"/>
              <w:spacing w:after="0"/>
              <w:rPr>
                <w:sz w:val="20"/>
                <w:szCs w:val="20"/>
                <w:color w:val="auto"/>
              </w:rPr>
            </w:pPr>
            <w:r>
              <w:rPr>
                <w:rFonts w:ascii="Arial" w:cs="Arial" w:eastAsia="Arial" w:hAnsi="Arial"/>
                <w:sz w:val="18"/>
                <w:szCs w:val="18"/>
                <w:b w:val="1"/>
                <w:bCs w:val="1"/>
                <w:color w:val="auto"/>
              </w:rPr>
              <w:t>3Q03 vs.</w:t>
            </w:r>
          </w:p>
        </w:tc>
        <w:tc>
          <w:tcPr>
            <w:tcW w:w="1180" w:type="dxa"/>
            <w:vAlign w:val="bottom"/>
          </w:tcPr>
          <w:p>
            <w:pPr>
              <w:jc w:val="right"/>
              <w:ind w:right="272"/>
              <w:spacing w:after="0"/>
              <w:rPr>
                <w:sz w:val="20"/>
                <w:szCs w:val="20"/>
                <w:color w:val="auto"/>
              </w:rPr>
            </w:pPr>
            <w:r>
              <w:rPr>
                <w:rFonts w:ascii="Arial" w:cs="Arial" w:eastAsia="Arial" w:hAnsi="Arial"/>
                <w:sz w:val="18"/>
                <w:szCs w:val="18"/>
                <w:b w:val="1"/>
                <w:bCs w:val="1"/>
                <w:color w:val="auto"/>
              </w:rPr>
              <w:t>3Q03 vs.</w:t>
            </w:r>
          </w:p>
        </w:tc>
      </w:tr>
      <w:tr>
        <w:trPr>
          <w:trHeight w:val="228"/>
        </w:trPr>
        <w:tc>
          <w:tcPr>
            <w:tcW w:w="5560" w:type="dxa"/>
            <w:vAlign w:val="bottom"/>
          </w:tcPr>
          <w:p>
            <w:pPr>
              <w:spacing w:after="0"/>
              <w:rPr>
                <w:sz w:val="20"/>
                <w:szCs w:val="20"/>
                <w:color w:val="auto"/>
              </w:rPr>
            </w:pPr>
            <w:r>
              <w:rPr>
                <w:rFonts w:ascii="Arial" w:cs="Arial" w:eastAsia="Arial" w:hAnsi="Arial"/>
                <w:sz w:val="18"/>
                <w:szCs w:val="18"/>
                <w:i w:val="1"/>
                <w:iCs w:val="1"/>
                <w:color w:val="auto"/>
              </w:rPr>
              <w:t>(% change and US$Mn)</w:t>
            </w: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b w:val="1"/>
                <w:bCs w:val="1"/>
                <w:color w:val="auto"/>
              </w:rPr>
              <w:t>2Q03</w:t>
            </w: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3Q02</w:t>
            </w:r>
          </w:p>
        </w:tc>
      </w:tr>
      <w:tr>
        <w:trPr>
          <w:trHeight w:val="110"/>
        </w:trPr>
        <w:tc>
          <w:tcPr>
            <w:tcW w:w="5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55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43.6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45.1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44.8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33.0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36.0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34.5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10.7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7.6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18.8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-39.8%</w:t>
            </w:r>
          </w:p>
        </w:tc>
        <w:tc>
          <w:tcPr>
            <w:tcW w:w="11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Merger costs</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8"/>
        </w:trPr>
        <w:tc>
          <w:tcPr>
            <w:tcW w:w="556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94.9</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114.4</w:t>
            </w: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102.7</w:t>
            </w: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-10.2%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110"/>
        </w:trPr>
        <w:tc>
          <w:tcPr>
            <w:tcW w:w="5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efficiency ratio (adjusted operating expenses, determined by netting provisions for assets received in lieu of loan repayment, employee profit sharing expenses and non-recurrent expenses) as a percentage of total income, without extraordinary concepts, was 46.4% in the third quarter of 2003 having been 48.8% in the same period last year. Adjusted operating expenses as a percentage of average total assets was 4.4% in both quarters.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I.4 ASSETS AND LIABILITIES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Credicorp’s totals assets were US$8.2 billion at September 30, 2003, 11.2% over the balance at the end of the same quarter of 2002, but decreases 4.6% compared to the ending balance of June 2003. The loan portfolio as of September 30, 2003 reached US$4.5 billion, increasing 15.6% compared to the year-ago balance, but decreased 2.4% during the current quarter. Deposits and other obligations reached US$6.3 billion at September 30, 2003, an 11.1% increase since September of last year, but are 1.5% lower than the June 2003 balance. Due to banks and correspondents, which closed at US$279.7 million, continued its declining trend, decreasing 8.4% from US$305.4 million in September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ectPr>
          <w:pgSz w:w="11900" w:h="16838" w:orient="portrait"/>
          <w:cols w:equalWidth="0" w:num="1">
            <w:col w:w="11420"/>
          </w:cols>
          <w:pgMar w:left="240" w:top="131" w:right="239" w:bottom="0" w:gutter="0" w:footer="0" w:header="0"/>
        </w:sectPr>
      </w:pPr>
    </w:p>
    <w:bookmarkStart w:id="6" w:name="page7"/>
    <w:bookmarkEnd w:id="6"/>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1606550</wp:posOffset>
            </wp:positionH>
            <wp:positionV relativeFrom="page">
              <wp:posOffset>88900</wp:posOffset>
            </wp:positionV>
            <wp:extent cx="436054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60545" cy="21590"/>
                    </a:xfrm>
                    <a:prstGeom prst="rect">
                      <a:avLst/>
                    </a:prstGeom>
                    <a:noFill/>
                  </pic:spPr>
                </pic:pic>
              </a:graphicData>
            </a:graphic>
          </wp:anchor>
        </w:drawing>
      </w:r>
    </w:p>
    <w:tbl>
      <w:tblPr>
        <w:tblLayout w:type="fixed"/>
        <w:tblInd w:w="230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2180" w:type="dxa"/>
            <w:vAlign w:val="bottom"/>
          </w:tcPr>
          <w:p>
            <w:pPr>
              <w:jc w:val="right"/>
              <w:ind w:right="172"/>
              <w:spacing w:after="0"/>
              <w:rPr>
                <w:sz w:val="20"/>
                <w:szCs w:val="20"/>
                <w:color w:val="auto"/>
              </w:rPr>
            </w:pPr>
            <w:r>
              <w:rPr>
                <w:rFonts w:ascii="Arial" w:cs="Arial" w:eastAsia="Arial" w:hAnsi="Arial"/>
                <w:sz w:val="18"/>
                <w:szCs w:val="18"/>
                <w:b w:val="1"/>
                <w:bCs w:val="1"/>
                <w:color w:val="auto"/>
              </w:rPr>
              <w:t>3Q02</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2Q03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3Q03</w:t>
            </w:r>
          </w:p>
        </w:tc>
      </w:tr>
      <w:tr>
        <w:trPr>
          <w:trHeight w:val="110"/>
        </w:trPr>
        <w:tc>
          <w:tcPr>
            <w:tcW w:w="28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r>
        <w:trPr>
          <w:trHeight w:val="309"/>
        </w:trPr>
        <w:tc>
          <w:tcPr>
            <w:tcW w:w="2860" w:type="dxa"/>
            <w:vAlign w:val="bottom"/>
          </w:tcPr>
          <w:p>
            <w:pPr>
              <w:spacing w:after="0"/>
              <w:rPr>
                <w:sz w:val="20"/>
                <w:szCs w:val="20"/>
                <w:color w:val="auto"/>
              </w:rPr>
            </w:pPr>
            <w:r>
              <w:rPr>
                <w:rFonts w:ascii="Arial" w:cs="Arial" w:eastAsia="Arial" w:hAnsi="Arial"/>
                <w:sz w:val="18"/>
                <w:szCs w:val="18"/>
                <w:color w:val="auto"/>
              </w:rPr>
              <w:t>Total loans</w:t>
            </w:r>
          </w:p>
        </w:tc>
        <w:tc>
          <w:tcPr>
            <w:tcW w:w="2180" w:type="dxa"/>
            <w:vAlign w:val="bottom"/>
          </w:tcPr>
          <w:p>
            <w:pPr>
              <w:jc w:val="right"/>
              <w:ind w:right="172"/>
              <w:spacing w:after="0"/>
              <w:rPr>
                <w:sz w:val="20"/>
                <w:szCs w:val="20"/>
                <w:color w:val="auto"/>
              </w:rPr>
            </w:pPr>
            <w:r>
              <w:rPr>
                <w:rFonts w:ascii="Arial" w:cs="Arial" w:eastAsia="Arial" w:hAnsi="Arial"/>
                <w:sz w:val="18"/>
                <w:szCs w:val="18"/>
                <w:color w:val="auto"/>
              </w:rPr>
              <w:t>3,869.6</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4,581.4</w:t>
            </w:r>
          </w:p>
        </w:tc>
        <w:tc>
          <w:tcPr>
            <w:tcW w:w="780" w:type="dxa"/>
            <w:vAlign w:val="bottom"/>
          </w:tcPr>
          <w:p>
            <w:pPr>
              <w:jc w:val="right"/>
              <w:spacing w:after="0"/>
              <w:rPr>
                <w:sz w:val="20"/>
                <w:szCs w:val="20"/>
                <w:color w:val="auto"/>
              </w:rPr>
            </w:pPr>
            <w:r>
              <w:rPr>
                <w:rFonts w:ascii="Arial" w:cs="Arial" w:eastAsia="Arial" w:hAnsi="Arial"/>
                <w:sz w:val="18"/>
                <w:szCs w:val="18"/>
                <w:color w:val="auto"/>
              </w:rPr>
              <w:t>4,472.0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Past due loans</w:t>
            </w:r>
          </w:p>
        </w:tc>
        <w:tc>
          <w:tcPr>
            <w:tcW w:w="2180" w:type="dxa"/>
            <w:vAlign w:val="bottom"/>
          </w:tcPr>
          <w:p>
            <w:pPr>
              <w:jc w:val="right"/>
              <w:ind w:right="172"/>
              <w:spacing w:after="0"/>
              <w:rPr>
                <w:sz w:val="20"/>
                <w:szCs w:val="20"/>
                <w:color w:val="auto"/>
              </w:rPr>
            </w:pPr>
            <w:r>
              <w:rPr>
                <w:rFonts w:ascii="Arial" w:cs="Arial" w:eastAsia="Arial" w:hAnsi="Arial"/>
                <w:sz w:val="18"/>
                <w:szCs w:val="18"/>
                <w:color w:val="auto"/>
              </w:rPr>
              <w:t>310.4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360.1</w:t>
            </w:r>
          </w:p>
        </w:tc>
        <w:tc>
          <w:tcPr>
            <w:tcW w:w="780" w:type="dxa"/>
            <w:vAlign w:val="bottom"/>
          </w:tcPr>
          <w:p>
            <w:pPr>
              <w:jc w:val="right"/>
              <w:spacing w:after="0"/>
              <w:rPr>
                <w:sz w:val="20"/>
                <w:szCs w:val="20"/>
                <w:color w:val="auto"/>
              </w:rPr>
            </w:pPr>
            <w:r>
              <w:rPr>
                <w:rFonts w:ascii="Arial" w:cs="Arial" w:eastAsia="Arial" w:hAnsi="Arial"/>
                <w:sz w:val="18"/>
                <w:szCs w:val="18"/>
                <w:color w:val="auto"/>
              </w:rPr>
              <w:t>341.0</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Loan loss reserves</w:t>
            </w:r>
          </w:p>
        </w:tc>
        <w:tc>
          <w:tcPr>
            <w:tcW w:w="2180" w:type="dxa"/>
            <w:vAlign w:val="bottom"/>
          </w:tcPr>
          <w:p>
            <w:pPr>
              <w:jc w:val="right"/>
              <w:ind w:right="172"/>
              <w:spacing w:after="0"/>
              <w:rPr>
                <w:sz w:val="20"/>
                <w:szCs w:val="20"/>
                <w:color w:val="auto"/>
              </w:rPr>
            </w:pPr>
            <w:r>
              <w:rPr>
                <w:rFonts w:ascii="Arial" w:cs="Arial" w:eastAsia="Arial" w:hAnsi="Arial"/>
                <w:sz w:val="18"/>
                <w:szCs w:val="18"/>
                <w:color w:val="auto"/>
              </w:rPr>
              <w:t>310.8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407.1</w:t>
            </w:r>
          </w:p>
        </w:tc>
        <w:tc>
          <w:tcPr>
            <w:tcW w:w="780" w:type="dxa"/>
            <w:vAlign w:val="bottom"/>
          </w:tcPr>
          <w:p>
            <w:pPr>
              <w:jc w:val="right"/>
              <w:spacing w:after="0"/>
              <w:rPr>
                <w:sz w:val="20"/>
                <w:szCs w:val="20"/>
                <w:color w:val="auto"/>
              </w:rPr>
            </w:pPr>
            <w:r>
              <w:rPr>
                <w:rFonts w:ascii="Arial" w:cs="Arial" w:eastAsia="Arial" w:hAnsi="Arial"/>
                <w:sz w:val="18"/>
                <w:szCs w:val="18"/>
                <w:color w:val="auto"/>
              </w:rPr>
              <w:t>387.8</w:t>
            </w:r>
          </w:p>
        </w:tc>
      </w:tr>
      <w:tr>
        <w:trPr>
          <w:trHeight w:val="426"/>
        </w:trPr>
        <w:tc>
          <w:tcPr>
            <w:tcW w:w="2860" w:type="dxa"/>
            <w:vAlign w:val="bottom"/>
          </w:tcPr>
          <w:p>
            <w:pPr>
              <w:spacing w:after="0"/>
              <w:rPr>
                <w:sz w:val="20"/>
                <w:szCs w:val="20"/>
                <w:color w:val="auto"/>
              </w:rPr>
            </w:pPr>
            <w:r>
              <w:rPr>
                <w:rFonts w:ascii="Arial" w:cs="Arial" w:eastAsia="Arial" w:hAnsi="Arial"/>
                <w:sz w:val="18"/>
                <w:szCs w:val="18"/>
                <w:color w:val="auto"/>
              </w:rPr>
              <w:t>Past due / Total loans</w:t>
            </w:r>
          </w:p>
        </w:tc>
        <w:tc>
          <w:tcPr>
            <w:tcW w:w="2180" w:type="dxa"/>
            <w:vAlign w:val="bottom"/>
          </w:tcPr>
          <w:p>
            <w:pPr>
              <w:jc w:val="right"/>
              <w:ind w:right="172"/>
              <w:spacing w:after="0"/>
              <w:rPr>
                <w:sz w:val="20"/>
                <w:szCs w:val="20"/>
                <w:color w:val="auto"/>
              </w:rPr>
            </w:pPr>
            <w:r>
              <w:rPr>
                <w:rFonts w:ascii="Arial" w:cs="Arial" w:eastAsia="Arial" w:hAnsi="Arial"/>
                <w:sz w:val="18"/>
                <w:szCs w:val="18"/>
                <w:color w:val="auto"/>
              </w:rPr>
              <w:t>8.0%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7.9%</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Reserves / Past due</w:t>
            </w:r>
          </w:p>
        </w:tc>
        <w:tc>
          <w:tcPr>
            <w:tcW w:w="2180" w:type="dxa"/>
            <w:vAlign w:val="bottom"/>
          </w:tcPr>
          <w:p>
            <w:pPr>
              <w:jc w:val="right"/>
              <w:ind w:right="172"/>
              <w:spacing w:after="0"/>
              <w:rPr>
                <w:sz w:val="20"/>
                <w:szCs w:val="20"/>
                <w:color w:val="auto"/>
              </w:rPr>
            </w:pPr>
            <w:r>
              <w:rPr>
                <w:rFonts w:ascii="Arial" w:cs="Arial" w:eastAsia="Arial" w:hAnsi="Arial"/>
                <w:sz w:val="18"/>
                <w:szCs w:val="18"/>
                <w:color w:val="auto"/>
              </w:rPr>
              <w:t>100.1%</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113.1%</w:t>
            </w:r>
          </w:p>
        </w:tc>
        <w:tc>
          <w:tcPr>
            <w:tcW w:w="780" w:type="dxa"/>
            <w:vAlign w:val="bottom"/>
          </w:tcPr>
          <w:p>
            <w:pPr>
              <w:jc w:val="right"/>
              <w:spacing w:after="0"/>
              <w:rPr>
                <w:sz w:val="20"/>
                <w:szCs w:val="20"/>
                <w:color w:val="auto"/>
              </w:rPr>
            </w:pPr>
            <w:r>
              <w:rPr>
                <w:rFonts w:ascii="Arial" w:cs="Arial" w:eastAsia="Arial" w:hAnsi="Arial"/>
                <w:sz w:val="18"/>
                <w:szCs w:val="18"/>
                <w:color w:val="auto"/>
              </w:rPr>
              <w:t>113.7%</w:t>
            </w:r>
          </w:p>
        </w:tc>
      </w:tr>
      <w:tr>
        <w:trPr>
          <w:trHeight w:val="110"/>
        </w:trPr>
        <w:tc>
          <w:tcPr>
            <w:tcW w:w="28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-989965</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balance of past due loans decreased during the current quarter partly due to charge-offs amounting to US$45.4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I.5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Expectations on the Bolivian economy continue cautious, with additional questions raised with Mr. Carlos Mesa assuming the Presidency last October 17, 2003. Prior to this change, GDP growth was expected below 3% in 2003, mainly due to the government’s fiscal difficulties, after the budget deficit reached 8.5% of GDP in 2002. Economic activity should continue at low growth levels while the final treatment of the natural gas of Tarija is defined. A positive decision is sought by the government to carry forward other fiscal measures.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 increased in the third quarter of 2003 to 1.4%, from 0.5% in the preceding quarter, reaching 2.3% in the nine months through September. Devaluation continued at a slower pace with a 1.2% exchange rate increase in the current quarter and of 3.2% in the first nine months of 2003, reaching 7.74 Bolivianos per Dollar at September 30, 2003.</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Loan volume in the banking system, remained almost unchanged in the current quarter ending at US$2,603 million at September 2003. Loan quality continued improving, from a past due ratio of 19.3% in June 2003, to 18.2% at September 2003, while coverage of past-due loans with provisions increased from 63.7% to 67.4%, respectively. Total deposits in the system amounted to US$2,826 million at September 2003, higher by 4.1% compared to the balance at June 2003.</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BCB’s market share in deposits at September 2003 was 12.8%, increasing from 12.5% at the end of June 2003, passing from the fifth to the fourth position of twelve banks in the system. In terms of loans, BCB continued as the fourth bank in the system with 12.3% market share, also higher than 12.1% it had last June.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2003, BCB had total loans of US$319.9 million which compares to the US$315.1 million at June 2003, and US$322.4 million at the end of September 2002. At the end of the third quarter 2003, BCB’s past due loans reached US$69.5 million, or 21.7% of total loans, lower than 23.4% at June 2003. Coverage of past due loans with loan loss provisions increased from 69.9% as of June 2003 to 77.0% in September 2003. Net equity at the Bolivian subsidiary amounted to US$55.3 million as of September 2003.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September 2003, US$18.4 million of loan loss provisions were charged against results, compared to US$27.8 million charged during the same period of last year, jointly incurred by BCB and at the BCP level to cover BCB’s impaired assets. In BCB’s own records, net income was US$591 thousand in the first nine months of 2003, compared to US$143 thousand in the year-ago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2003 Colombian GDP grew 2.2%, compared to the same period in 2002, a rate lower than the 4.1% of the first quarter. Nevertheless, a mild recovery is in progress and growth approaching 3% is expected for total 2003. In 2002 growth was 1.7%.</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Control of the government’s fiscal deficit become more difficult as the referendum of October 25 was not approved. Proposed measures would have freezed public wages and pensions, among other issues. The deficit was under control in the first half of 2003, although the deficit target for full year 2003 had to be raised from 2.5% to 2.8%, but remains under the 3.6% of 2002.</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Compared to prior periods, the foreign exchange market reduced its volatility in the third quarter, where a 2.7% devaluation led to an exchange rate of Col$2,889 per US$1 at the end of September 2003. This followed a 5% revaluation during the preceding quarter, with which only a 1% increase resulted in the first nine months of 2003. Inflation maintained its slow down trend. Prices increased 0.4% in the third quarter of 2003, but the official inflation target of between 5 to 6% for full year 2003 seems difficult to attain as inflation for the past twelve months to September 2003 remains at 7.1%.</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control inflation, the Central Bank increased its intervention rates in January 2003 by 100 basis points, with an additional 100 points in April. Nevertheless, the effect on other interest rates has been low, with rates in real terms remaining close to zero, while excess liquidity continued. The DTF rate increased slightly from 7.70% last December 2002, to 7.77% at the end of September 2003.</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Banking system statistics show that loans increased from US$14.4 billion at December 2002, to US$15.0 billion at the close of August 2003, with the past-due ratio improving from 12.7% to 11.4%, respectively. The coverage ratio of loan provisions over bad loans also improved, from 61.9% at December 2002 to 64.6% in August 2003. Total deposits in the banking entities were US$19.1 billion at the end of August 2003, decreasing from US$19.2 billion at December 2002, although a recovery is noted in recent months.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Tequendama’s loan market share, as of August 2003, was 1.47%, slightly over 1.43% obtained in December 2002. At the same dates, deposit market share increased to 0.82% from 0.74%.</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2003, Banco Tequendama’s loans were US$229.9 million, increasing 4.0% from US$221.0 million in June 2003, and 9.2% compared to US$210.4 millon as of September 2002. At the end of September 2003, deposits totaled US$160.5 million, lower than US$172.2 million in June 2003, but is similar to US$159.2 million at the year-ago period. At September 30, 2003, the bank’s net equity amounted to US$35.9 million according to Credicorp’s accounting records.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past due loan ratio was 1.2% in September 2003, improving from 2.0% at the end of June 2003 and from 4.3% at December 2002, while coverage with provisions was 191.0%, compared to 122.4% and 69.5%, respectively.</w:t>
      </w:r>
    </w:p>
    <w:p>
      <w:pPr>
        <w:sectPr>
          <w:pgSz w:w="11900" w:h="16933" w:orient="portrait"/>
          <w:cols w:equalWidth="0" w:num="1">
            <w:col w:w="11420"/>
          </w:cols>
          <w:pgMar w:left="240" w:top="247"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NET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for the nine month period ended September 30, 2003 was S/.218.9 million (US$62.9 million), 16.8% over net income of S/.187.4 million (US$53.8 million) in the same period of 2002, resulting in S/.0.18 and S/.0.16 per share, respectively. Net income increased compared to the year-ago period principally due to higher non-financial income and lower loan loss provisions, which offset non-recurring expenses required by the merger of BSCH-Peru, that reached S/.60.7 million (US$17.4 million), and the loss from inflation exposure.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for the third quarter of 2003 was S/.106.2 million (US$30.5 million), increasing over S/.61.8 million (US$17.8 million) in the same period of 2002. In the current quarter there were no additional expenses for the merger of BSCH-Peru. Net income in the current quarter increased compared to the year-ago period principally due to higher non-interest income and lower loan loss provisions, that offset decreased inflation adjustment gains and higher income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8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w w:val="99"/>
              </w:rPr>
              <w:t>Three months ended</w:t>
            </w:r>
          </w:p>
        </w:tc>
        <w:tc>
          <w:tcPr>
            <w:tcW w:w="1140" w:type="dxa"/>
            <w:vAlign w:val="bottom"/>
          </w:tcPr>
          <w:p>
            <w:pPr>
              <w:spacing w:after="0"/>
              <w:rPr>
                <w:sz w:val="19"/>
                <w:szCs w:val="19"/>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40" w:type="dxa"/>
            <w:vAlign w:val="bottom"/>
          </w:tcPr>
          <w:p>
            <w:pPr>
              <w:spacing w:after="0"/>
              <w:rPr>
                <w:sz w:val="19"/>
                <w:szCs w:val="19"/>
                <w:color w:val="auto"/>
              </w:rPr>
            </w:pPr>
          </w:p>
        </w:tc>
      </w:tr>
      <w:tr>
        <w:trPr>
          <w:trHeight w:val="110"/>
        </w:trPr>
        <w:tc>
          <w:tcPr>
            <w:tcW w:w="3420" w:type="dxa"/>
            <w:vAlign w:val="bottom"/>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r>
        <w:trPr>
          <w:trHeight w:val="316"/>
        </w:trPr>
        <w:tc>
          <w:tcPr>
            <w:tcW w:w="342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b w:val="1"/>
                <w:bCs w:val="1"/>
                <w:color w:val="auto"/>
              </w:rPr>
              <w:t>30.09.02</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30.06.03</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30.09.03</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30.09.03</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30.09.02</w:t>
            </w:r>
          </w:p>
        </w:tc>
        <w:tc>
          <w:tcPr>
            <w:tcW w:w="1220" w:type="dxa"/>
            <w:vAlign w:val="bottom"/>
          </w:tcPr>
          <w:p>
            <w:pPr>
              <w:jc w:val="right"/>
              <w:ind w:right="392"/>
              <w:spacing w:after="0"/>
              <w:rPr>
                <w:sz w:val="20"/>
                <w:szCs w:val="20"/>
                <w:color w:val="auto"/>
              </w:rPr>
            </w:pPr>
            <w:r>
              <w:rPr>
                <w:rFonts w:ascii="Arial" w:cs="Arial" w:eastAsia="Arial" w:hAnsi="Arial"/>
                <w:sz w:val="18"/>
                <w:szCs w:val="18"/>
                <w:b w:val="1"/>
                <w:bCs w:val="1"/>
                <w:color w:val="auto"/>
              </w:rPr>
              <w:t>30.09.03</w:t>
            </w: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30.09.03</w:t>
            </w:r>
          </w:p>
        </w:tc>
      </w:tr>
      <w:tr>
        <w:trPr>
          <w:trHeight w:val="110"/>
        </w:trPr>
        <w:tc>
          <w:tcPr>
            <w:tcW w:w="34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r>
        <w:trPr>
          <w:trHeight w:val="309"/>
        </w:trPr>
        <w:tc>
          <w:tcPr>
            <w:tcW w:w="3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18"/>
                <w:szCs w:val="18"/>
                <w:b w:val="1"/>
                <w:bCs w:val="1"/>
                <w:color w:val="auto"/>
              </w:rPr>
              <w:t>US$</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color w:val="auto"/>
              </w:rPr>
              <w:t>US$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interest income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264.7</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285.5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292.8</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$84.1</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824.6</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861.8</w:t>
            </w:r>
          </w:p>
        </w:tc>
        <w:tc>
          <w:tcPr>
            <w:tcW w:w="940" w:type="dxa"/>
            <w:vAlign w:val="bottom"/>
          </w:tcPr>
          <w:p>
            <w:pPr>
              <w:jc w:val="right"/>
              <w:spacing w:after="0"/>
              <w:rPr>
                <w:sz w:val="20"/>
                <w:szCs w:val="20"/>
                <w:color w:val="auto"/>
              </w:rPr>
            </w:pPr>
            <w:r>
              <w:rPr>
                <w:rFonts w:ascii="Arial" w:cs="Arial" w:eastAsia="Arial" w:hAnsi="Arial"/>
                <w:sz w:val="18"/>
                <w:szCs w:val="18"/>
                <w:color w:val="auto"/>
              </w:rPr>
              <w:t>$247.5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111.2</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78.8</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303.7</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261.3</w:t>
            </w:r>
          </w:p>
        </w:tc>
        <w:tc>
          <w:tcPr>
            <w:tcW w:w="9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197.1</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211.4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224.6</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$64.5</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571.6</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685.3</w:t>
            </w:r>
          </w:p>
        </w:tc>
        <w:tc>
          <w:tcPr>
            <w:tcW w:w="940" w:type="dxa"/>
            <w:vAlign w:val="bottom"/>
          </w:tcPr>
          <w:p>
            <w:pPr>
              <w:jc w:val="right"/>
              <w:spacing w:after="0"/>
              <w:rPr>
                <w:sz w:val="20"/>
                <w:szCs w:val="20"/>
                <w:color w:val="auto"/>
              </w:rPr>
            </w:pPr>
            <w:r>
              <w:rPr>
                <w:rFonts w:ascii="Arial" w:cs="Arial" w:eastAsia="Arial" w:hAnsi="Arial"/>
                <w:sz w:val="18"/>
                <w:szCs w:val="18"/>
                <w:color w:val="auto"/>
              </w:rPr>
              <w:t>$196.8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Other expenses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294.2</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296.8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292.7</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$84.1</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883.6</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902.6</w:t>
            </w:r>
          </w:p>
        </w:tc>
        <w:tc>
          <w:tcPr>
            <w:tcW w:w="94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Merger costs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0.0</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51.9</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(20.6)</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83.9</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146.6</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260.8</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302.0</w:t>
            </w:r>
          </w:p>
        </w:tc>
        <w:tc>
          <w:tcPr>
            <w:tcW w:w="94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Income Tax</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40.5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73.4</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83.1</w:t>
            </w: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426"/>
        </w:trPr>
        <w:tc>
          <w:tcPr>
            <w:tcW w:w="34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61.8</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100.5</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106.2</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$30.5</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187.4</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218.9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$62.9</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0.09</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$0.03</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0.16</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0.18</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-2154555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-1871980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right="20" w:firstLine="8"/>
        <w:spacing w:after="0" w:line="254"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 prepared according to Peruvian GAAP. The financial information is in constant soles as of September 30, 2003. Figures in US$ have been translated at the exchange rate of S/.3.482 to the dollar.</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1,202 million outstanding shares in all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II.2 NET INTEREST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income, net of interest payments, in the third quarter of 2003 reached S/.292.8 million (US$84.1 million), increasing 10.6% compared to the same period of last year, and also 2.6% over income of the preceding second quarter of 2003. The increase versus net interest income in the third quarter 2002 is mainly due to higher interest earning assets, whose average grew 9.6% to S/.20,815 million (US$5,978 million), and to slightly higher interest margins. In the quarter BCP continued its persistent excess liquidity environment in both local and foreign currencies.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2003, the net interest margin was 5.63%, increasing slightly from 5.57% in the third quarter of 2002, and was also higher than 5.33% during the preceding second quarter of 2003. During the current quarter the margin improved mostly due to higher returns on investments and to lower local currency funding costs, while loan interest rates, in both local and foreign currencies, continued declining.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NON-INTEREST INCOME</w:t>
      </w:r>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Non-interest income, including fee revenue and other non-interest items, in the third quarter of 2003 amounted to S/.224.6 million (US$64.5 million), 14.0% higher than income earned during the same period of 2002, mostly due to higher recoveries of charged-off accounts and increased fees and comissions.</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third quarter of 2003, fees from banking services amounted to S/.164.9 million (US$47.4 million), 7.6% higher than in the same period of 2002, mostly due to increases in account maintenance, credit card and brokerage fees.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149860</wp:posOffset>
            </wp:positionV>
            <wp:extent cx="436054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60545" cy="34290"/>
                    </a:xfrm>
                    <a:prstGeom prst="rect">
                      <a:avLst/>
                    </a:prstGeom>
                    <a:noFill/>
                  </pic:spPr>
                </pic:pic>
              </a:graphicData>
            </a:graphic>
          </wp:anchor>
        </w:drawing>
      </w:r>
    </w:p>
    <w:p>
      <w:pPr>
        <w:spacing w:after="0" w:line="343"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2120" w:type="dxa"/>
            <w:vAlign w:val="bottom"/>
          </w:tcPr>
          <w:p>
            <w:pPr>
              <w:jc w:val="right"/>
              <w:ind w:right="372"/>
              <w:spacing w:after="0"/>
              <w:rPr>
                <w:sz w:val="20"/>
                <w:szCs w:val="20"/>
                <w:color w:val="auto"/>
              </w:rPr>
            </w:pPr>
            <w:r>
              <w:rPr>
                <w:rFonts w:ascii="Arial" w:cs="Arial" w:eastAsia="Arial" w:hAnsi="Arial"/>
                <w:sz w:val="18"/>
                <w:szCs w:val="18"/>
                <w:b w:val="1"/>
                <w:bCs w:val="1"/>
                <w:color w:val="auto"/>
              </w:rPr>
              <w:t>3Q02</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3Q03</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Growth</w:t>
            </w:r>
          </w:p>
        </w:tc>
      </w:tr>
      <w:tr>
        <w:trPr>
          <w:trHeight w:val="110"/>
        </w:trPr>
        <w:tc>
          <w:tcPr>
            <w:tcW w:w="282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r>
        <w:trPr>
          <w:trHeight w:val="309"/>
        </w:trPr>
        <w:tc>
          <w:tcPr>
            <w:tcW w:w="2820" w:type="dxa"/>
            <w:vAlign w:val="bottom"/>
          </w:tcPr>
          <w:p>
            <w:pPr>
              <w:spacing w:after="0"/>
              <w:rPr>
                <w:sz w:val="20"/>
                <w:szCs w:val="20"/>
                <w:color w:val="auto"/>
              </w:rPr>
            </w:pPr>
            <w:r>
              <w:rPr>
                <w:rFonts w:ascii="Arial" w:cs="Arial" w:eastAsia="Arial" w:hAnsi="Arial"/>
                <w:sz w:val="18"/>
                <w:szCs w:val="18"/>
                <w:color w:val="auto"/>
              </w:rPr>
              <w:t>Contingent credits</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Foreign Trade</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11.0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Account Maintenance</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39.8</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Insurance</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9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Collections fees</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Fund transfer services</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Credit card fees</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16.9</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Brokerage</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Corporate Finance</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Loan administration</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Shipping and handling</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8"/>
        </w:trPr>
        <w:tc>
          <w:tcPr>
            <w:tcW w:w="2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20" w:type="dxa"/>
            <w:vAlign w:val="bottom"/>
          </w:tcPr>
          <w:p>
            <w:pPr>
              <w:jc w:val="right"/>
              <w:ind w:right="72"/>
              <w:spacing w:after="0"/>
              <w:rPr>
                <w:sz w:val="20"/>
                <w:szCs w:val="20"/>
                <w:color w:val="auto"/>
              </w:rPr>
            </w:pPr>
            <w:r>
              <w:rPr>
                <w:rFonts w:ascii="Arial" w:cs="Arial" w:eastAsia="Arial" w:hAnsi="Arial"/>
                <w:sz w:val="18"/>
                <w:szCs w:val="18"/>
                <w:b w:val="1"/>
                <w:bCs w:val="1"/>
                <w:color w:val="auto"/>
              </w:rPr>
              <w:t>153.3</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164.9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110"/>
        </w:trPr>
        <w:tc>
          <w:tcPr>
            <w:tcW w:w="282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-1950085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 w:name="page9"/>
    <w:bookmarkEnd w:id="8"/>
    <w:p>
      <w:pPr>
        <w:spacing w:after="0" w:line="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the third quarter of 2003, securities transactions resulted in a loss of S/.5.3 million (US$1.5 million), compared to gains in the year-ago quarter of S/.1.1 million (US$0.3 million). The loss in this quarter is mostly due to lower valuation of certain funds invested in long term positions of equity shares. The general index of the Lima Stock Exchange increased 8.5% in the third quarter of 2003, compared to 1.3% in the same period of 2002.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from foreign exchange operations, which are the result of the foreign exchange buy-sell margin, were S/.18.2 million (US$5.2 million) in the third quarter of 2003, 5.4% lower than revenue in the same period in 2002, mainly due to decreased traded volumes and margins due to the low volatility in the foreign exchange market.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Other Income caption, that mainly registers reversals of prior year expenses and provisions and recoveries of certain operating costs, increased from S/.23.5 million (US$6.7 million) in the third quarter of 2002 to S/.46.9 million (US$13.5 million) in the current period, and also with respect to S/.24.9 million (US$7.2 million) in the second quarter of 2003, mainly due to recoveries of charged-off accounts registered in Peru and Bolivia.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Non-interest expenses during the third quarter of 2003 were S/.292.7 million (US$84.1 million), 0.5% under those of the same period in 2002, noting lower general and personnel expenses which were partly offset by increased depreciation and amortization expenses related to assets brought with the BSCH-Peru merger. Adjusted operating expenses reached S/.251.4 million (US$72.2 million) in the third quarter of 2003, increasing 2.9% compared to the year-ago period, mainly due to higher depreciation and amortization charges, as previosly mentioned. Third quarter 2003 adjusted operating expenses are determined by excluding: (i) provisions for assets received in lieu of loan repayment (S/.28.0 million); (ii) non-recurring expenses related to the systems’ restructuring costs (S/.6.0 million); and (iii) employee profit sharing expenses (S/.7.4 million).</w:t>
      </w:r>
    </w:p>
    <w:p>
      <w:pPr>
        <w:spacing w:after="0" w:line="17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this quarter, approximately 44% of non-interest expenses were attributable to employee salaries and other expenses related to personnel. This concept decreased 1.4% to S/.128.1 million (US$36.8 million) when compared to the third quarter of 2002. At the end of the third quarter 2003 the number of employees stood at 7,644, increasing from 7,570 employees as of June 2003, mainly due to additional personnel for sales and tellers at Banco de Crédito BCP and in Bolivia.</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which represented 33% of non-interest expenses excluding merger costs, reached S/.97.1 million (US$27.9 million) in the third quarter of 2003, decreasing 6.8% when compared to expenses in the year-ago period. Lower expenses are partly due to decreased non-recurring expenses, that decline to S/.5.8 million (US$1.7 million) in this period from S/.21.1 million (US$6.1 million) in the third quarter of 2002, in which non-recurring expenses for the new image and systems restructuring projects were incurred, while only the systems project is still being developed in this quarter.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186055</wp:posOffset>
            </wp:positionV>
            <wp:extent cx="436054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60545" cy="34290"/>
                    </a:xfrm>
                    <a:prstGeom prst="rect">
                      <a:avLst/>
                    </a:prstGeom>
                    <a:noFill/>
                  </pic:spPr>
                </pic:pic>
              </a:graphicData>
            </a:graphic>
          </wp:anchor>
        </w:drawing>
      </w:r>
    </w:p>
    <w:p>
      <w:pPr>
        <w:spacing w:after="0" w:line="400"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330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3Q02</w:t>
            </w:r>
          </w:p>
        </w:tc>
        <w:tc>
          <w:tcPr>
            <w:tcW w:w="1000" w:type="dxa"/>
            <w:vAlign w:val="bottom"/>
          </w:tcPr>
          <w:p>
            <w:pPr>
              <w:jc w:val="right"/>
              <w:ind w:right="352"/>
              <w:spacing w:after="0"/>
              <w:rPr>
                <w:sz w:val="20"/>
                <w:szCs w:val="20"/>
                <w:color w:val="auto"/>
              </w:rPr>
            </w:pPr>
            <w:r>
              <w:rPr>
                <w:rFonts w:ascii="Arial" w:cs="Arial" w:eastAsia="Arial" w:hAnsi="Arial"/>
                <w:sz w:val="18"/>
                <w:szCs w:val="18"/>
                <w:b w:val="1"/>
                <w:bCs w:val="1"/>
                <w:color w:val="auto"/>
              </w:rPr>
              <w:t>3Q03</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Chnge.</w:t>
            </w:r>
          </w:p>
        </w:tc>
      </w:tr>
      <w:tr>
        <w:trPr>
          <w:trHeight w:val="110"/>
        </w:trPr>
        <w:tc>
          <w:tcPr>
            <w:tcW w:w="33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12.5</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Communications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Third party fees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20.1</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Insurance and security</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11.7</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21.8</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10"/>
        </w:trPr>
        <w:tc>
          <w:tcPr>
            <w:tcW w:w="3300" w:type="dxa"/>
            <w:vAlign w:val="bottom"/>
          </w:tcPr>
          <w:p>
            <w:pPr>
              <w:spacing w:after="0"/>
              <w:rPr>
                <w:sz w:val="20"/>
                <w:szCs w:val="20"/>
                <w:color w:val="auto"/>
              </w:rPr>
            </w:pPr>
            <w:r>
              <w:rPr>
                <w:rFonts w:ascii="Arial" w:cs="Arial" w:eastAsia="Arial" w:hAnsi="Arial"/>
                <w:sz w:val="18"/>
                <w:szCs w:val="18"/>
                <w:color w:val="auto"/>
              </w:rPr>
              <w:t>Other G&amp;A</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9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28"/>
        </w:trPr>
        <w:tc>
          <w:tcPr>
            <w:tcW w:w="3300" w:type="dxa"/>
            <w:vAlign w:val="bottom"/>
          </w:tcPr>
          <w:p>
            <w:pPr>
              <w:spacing w:after="0"/>
              <w:rPr>
                <w:sz w:val="20"/>
                <w:szCs w:val="20"/>
                <w:color w:val="auto"/>
              </w:rPr>
            </w:pPr>
            <w:r>
              <w:rPr>
                <w:rFonts w:ascii="Arial" w:cs="Arial" w:eastAsia="Arial" w:hAnsi="Arial"/>
                <w:sz w:val="18"/>
                <w:szCs w:val="18"/>
                <w:b w:val="1"/>
                <w:bCs w:val="1"/>
                <w:color w:val="auto"/>
              </w:rPr>
              <w:t>Total G&amp;A</w:t>
            </w:r>
          </w:p>
        </w:tc>
        <w:tc>
          <w:tcPr>
            <w:tcW w:w="1640" w:type="dxa"/>
            <w:vAlign w:val="bottom"/>
          </w:tcPr>
          <w:p>
            <w:pPr>
              <w:jc w:val="right"/>
              <w:ind w:right="72"/>
              <w:spacing w:after="0"/>
              <w:rPr>
                <w:sz w:val="20"/>
                <w:szCs w:val="20"/>
                <w:color w:val="auto"/>
              </w:rPr>
            </w:pPr>
            <w:r>
              <w:rPr>
                <w:rFonts w:ascii="Arial" w:cs="Arial" w:eastAsia="Arial" w:hAnsi="Arial"/>
                <w:sz w:val="18"/>
                <w:szCs w:val="18"/>
                <w:b w:val="1"/>
                <w:bCs w:val="1"/>
                <w:color w:val="auto"/>
              </w:rPr>
              <w:t>104.2</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97.1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110"/>
        </w:trPr>
        <w:tc>
          <w:tcPr>
            <w:tcW w:w="33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-1401445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Other caption within Other Non-Interest Expenses, increased from S/.22.0 million (US$6.3 million) in the third quarter of 2002 to S/.23.6 million (US$6.8 million) in the current quarter, mainly due to higher provisions for forclosed assets, that are only partly offset by their sales.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ratio of adjusted operating expenses (determined by excluding provisions for assets received in lieu of loan repayment, employee profit sharing expense and non-recurring expenses) as a percentage of average total assets, decreased from 4.5% in the third quarter of 2002 to 4.3% in the current period.</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operating expenses, as a percentage of total income (excluding non-recurring income), also improved from 52.9% to 48.6% when comparing the third quarters of 2002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II.5 ASSETS AND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S/.23,389 million (US$6,717 million) at the end of September 2003, increasing 6.5% with respect to the year-ago balance, but decrease slightly by 0.5% compared to assets at June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total loans were S/.14,282 million (US$4,102 million) at the end of September 2003, increasing 10.9% compared to September 2002, but are lower by 2.8% with respect to preceding quarter loans. At September 30, 2003, the loan portfolio, net of provisions, represented 55.2% of total assets, lower than 56.3% at June 2003. At the end of the third quarter of 2003, the Nuevos Soles portion of the loan portfolio was 17.5%, over 17.2% in June 2003, and also over 14.9% as of September 2002.</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As of September 30, 2003 total deposits were S/.19,826 million (US$5,694 million), increasing 6.8% compared to third quarter 2002 deposits, but declined 1.4% during the current quarter. During the third quarter 2003, time deposits decreased by 3.5%, savings deposits 3.3%, while demand deposits grew by 5.6%. Deposits denominated in Nuevos Soles were 23.9% of total deposits, higher than 23.5% at June 2003, and also increasing over 21.9% at the end of September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Loans, net</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Total Deposits</w:t>
            </w:r>
          </w:p>
        </w:tc>
        <w:tc>
          <w:tcPr>
            <w:tcW w:w="1080" w:type="dxa"/>
            <w:vAlign w:val="bottom"/>
          </w:tcPr>
          <w:p>
            <w:pPr>
              <w:spacing w:after="0"/>
              <w:rPr>
                <w:sz w:val="19"/>
                <w:szCs w:val="19"/>
                <w:color w:val="auto"/>
              </w:rPr>
            </w:pPr>
          </w:p>
        </w:tc>
      </w:tr>
      <w:tr>
        <w:trPr>
          <w:trHeight w:val="110"/>
        </w:trPr>
        <w:tc>
          <w:tcPr>
            <w:tcW w:w="30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r>
        <w:trPr>
          <w:trHeight w:val="316"/>
        </w:trPr>
        <w:tc>
          <w:tcPr>
            <w:tcW w:w="3060" w:type="dxa"/>
            <w:vAlign w:val="bottom"/>
          </w:tcPr>
          <w:p>
            <w:pPr>
              <w:spacing w:after="0"/>
              <w:rPr>
                <w:sz w:val="20"/>
                <w:szCs w:val="20"/>
                <w:color w:val="auto"/>
              </w:rPr>
            </w:pPr>
            <w:r>
              <w:rPr>
                <w:rFonts w:ascii="Arial" w:cs="Arial" w:eastAsia="Arial" w:hAnsi="Arial"/>
                <w:sz w:val="18"/>
                <w:szCs w:val="18"/>
                <w:i w:val="1"/>
                <w:iCs w:val="1"/>
                <w:color w:val="auto"/>
              </w:rPr>
              <w:t>(In % and constant S/.Mn.)</w:t>
            </w:r>
          </w:p>
        </w:tc>
        <w:tc>
          <w:tcPr>
            <w:tcW w:w="2220" w:type="dxa"/>
            <w:vAlign w:val="bottom"/>
          </w:tcPr>
          <w:p>
            <w:pPr>
              <w:jc w:val="right"/>
              <w:ind w:right="352"/>
              <w:spacing w:after="0"/>
              <w:rPr>
                <w:sz w:val="20"/>
                <w:szCs w:val="20"/>
                <w:color w:val="auto"/>
              </w:rPr>
            </w:pPr>
            <w:r>
              <w:rPr>
                <w:rFonts w:ascii="Arial" w:cs="Arial" w:eastAsia="Arial" w:hAnsi="Arial"/>
                <w:sz w:val="18"/>
                <w:szCs w:val="18"/>
                <w:b w:val="1"/>
                <w:bCs w:val="1"/>
                <w:color w:val="auto"/>
              </w:rPr>
              <w:t>30.09.02</w:t>
            </w:r>
          </w:p>
        </w:tc>
        <w:tc>
          <w:tcPr>
            <w:tcW w:w="1280" w:type="dxa"/>
            <w:vAlign w:val="bottom"/>
          </w:tcPr>
          <w:p>
            <w:pPr>
              <w:jc w:val="right"/>
              <w:ind w:right="392"/>
              <w:spacing w:after="0"/>
              <w:rPr>
                <w:sz w:val="20"/>
                <w:szCs w:val="20"/>
                <w:color w:val="auto"/>
              </w:rPr>
            </w:pPr>
            <w:r>
              <w:rPr>
                <w:rFonts w:ascii="Arial" w:cs="Arial" w:eastAsia="Arial" w:hAnsi="Arial"/>
                <w:sz w:val="18"/>
                <w:szCs w:val="18"/>
                <w:b w:val="1"/>
                <w:bCs w:val="1"/>
                <w:color w:val="auto"/>
              </w:rPr>
              <w:t>30.06.03</w:t>
            </w:r>
          </w:p>
        </w:tc>
        <w:tc>
          <w:tcPr>
            <w:tcW w:w="1260" w:type="dxa"/>
            <w:vAlign w:val="bottom"/>
          </w:tcPr>
          <w:p>
            <w:pPr>
              <w:jc w:val="right"/>
              <w:ind w:right="392"/>
              <w:spacing w:after="0"/>
              <w:rPr>
                <w:sz w:val="20"/>
                <w:szCs w:val="20"/>
                <w:color w:val="auto"/>
              </w:rPr>
            </w:pPr>
            <w:r>
              <w:rPr>
                <w:rFonts w:ascii="Arial" w:cs="Arial" w:eastAsia="Arial" w:hAnsi="Arial"/>
                <w:sz w:val="18"/>
                <w:szCs w:val="18"/>
                <w:b w:val="1"/>
                <w:bCs w:val="1"/>
                <w:color w:val="auto"/>
              </w:rPr>
              <w:t>30.09.03</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30.09.02</w:t>
            </w:r>
          </w:p>
        </w:tc>
        <w:tc>
          <w:tcPr>
            <w:tcW w:w="1380" w:type="dxa"/>
            <w:vAlign w:val="bottom"/>
          </w:tcPr>
          <w:p>
            <w:pPr>
              <w:jc w:val="right"/>
              <w:ind w:right="392"/>
              <w:spacing w:after="0"/>
              <w:rPr>
                <w:sz w:val="20"/>
                <w:szCs w:val="20"/>
                <w:color w:val="auto"/>
              </w:rPr>
            </w:pPr>
            <w:r>
              <w:rPr>
                <w:rFonts w:ascii="Arial" w:cs="Arial" w:eastAsia="Arial" w:hAnsi="Arial"/>
                <w:sz w:val="18"/>
                <w:szCs w:val="18"/>
                <w:b w:val="1"/>
                <w:bCs w:val="1"/>
                <w:color w:val="auto"/>
              </w:rPr>
              <w:t>30.06.03</w:t>
            </w: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auto"/>
              </w:rPr>
              <w:t>30.09.03</w:t>
            </w:r>
          </w:p>
        </w:tc>
      </w:tr>
      <w:tr>
        <w:trPr>
          <w:trHeight w:val="110"/>
        </w:trPr>
        <w:tc>
          <w:tcPr>
            <w:tcW w:w="306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r>
        <w:trPr>
          <w:trHeight w:val="316"/>
        </w:trPr>
        <w:tc>
          <w:tcPr>
            <w:tcW w:w="3060" w:type="dxa"/>
            <w:vAlign w:val="bottom"/>
          </w:tcPr>
          <w:p>
            <w:pPr>
              <w:spacing w:after="0"/>
              <w:rPr>
                <w:sz w:val="20"/>
                <w:szCs w:val="20"/>
                <w:color w:val="auto"/>
              </w:rPr>
            </w:pPr>
            <w:r>
              <w:rPr>
                <w:rFonts w:ascii="Arial" w:cs="Arial" w:eastAsia="Arial" w:hAnsi="Arial"/>
                <w:sz w:val="18"/>
                <w:szCs w:val="18"/>
                <w:color w:val="auto"/>
              </w:rPr>
              <w:t>Banco de Crédito del Peru</w:t>
            </w:r>
          </w:p>
        </w:tc>
        <w:tc>
          <w:tcPr>
            <w:tcW w:w="2220" w:type="dxa"/>
            <w:vAlign w:val="bottom"/>
          </w:tcPr>
          <w:p>
            <w:pPr>
              <w:jc w:val="right"/>
              <w:ind w:right="32"/>
              <w:spacing w:after="0"/>
              <w:rPr>
                <w:sz w:val="20"/>
                <w:szCs w:val="20"/>
                <w:color w:val="auto"/>
              </w:rPr>
            </w:pPr>
            <w:r>
              <w:rPr>
                <w:rFonts w:ascii="Arial" w:cs="Arial" w:eastAsia="Arial" w:hAnsi="Arial"/>
                <w:sz w:val="18"/>
                <w:szCs w:val="18"/>
                <w:color w:val="auto"/>
              </w:rPr>
              <w:t>81.4%</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86.0%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85.9%</w:t>
            </w:r>
          </w:p>
        </w:tc>
        <w:tc>
          <w:tcPr>
            <w:tcW w:w="1140" w:type="dxa"/>
            <w:vAlign w:val="bottom"/>
          </w:tcPr>
          <w:p>
            <w:pPr>
              <w:jc w:val="right"/>
              <w:spacing w:after="0"/>
              <w:rPr>
                <w:sz w:val="20"/>
                <w:szCs w:val="20"/>
                <w:color w:val="auto"/>
              </w:rPr>
            </w:pPr>
            <w:r>
              <w:rPr>
                <w:rFonts w:ascii="Arial" w:cs="Arial" w:eastAsia="Arial" w:hAnsi="Arial"/>
                <w:sz w:val="18"/>
                <w:szCs w:val="18"/>
                <w:color w:val="auto"/>
              </w:rPr>
              <w:t>88.6%</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90.6%</w:t>
            </w:r>
          </w:p>
        </w:tc>
        <w:tc>
          <w:tcPr>
            <w:tcW w:w="1080" w:type="dxa"/>
            <w:vAlign w:val="bottom"/>
          </w:tcPr>
          <w:p>
            <w:pPr>
              <w:jc w:val="right"/>
              <w:spacing w:after="0"/>
              <w:rPr>
                <w:sz w:val="20"/>
                <w:szCs w:val="20"/>
                <w:color w:val="auto"/>
              </w:rPr>
            </w:pPr>
            <w:r>
              <w:rPr>
                <w:rFonts w:ascii="Arial" w:cs="Arial" w:eastAsia="Arial" w:hAnsi="Arial"/>
                <w:sz w:val="18"/>
                <w:szCs w:val="18"/>
                <w:color w:val="auto"/>
              </w:rPr>
              <w:t>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-508000</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-225425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41" w:orient="portrait"/>
          <w:cols w:equalWidth="0" w:num="1">
            <w:col w:w="11420"/>
          </w:cols>
          <w:pgMar w:left="240" w:top="13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2400" w:type="dxa"/>
            <w:vAlign w:val="bottom"/>
            <w:gridSpan w:val="4"/>
          </w:tcPr>
          <w:p>
            <w:pPr>
              <w:jc w:val="right"/>
              <w:ind w:right="580"/>
              <w:spacing w:after="0"/>
              <w:rPr>
                <w:sz w:val="20"/>
                <w:szCs w:val="20"/>
                <w:color w:val="auto"/>
              </w:rPr>
            </w:pPr>
            <w:r>
              <w:rPr>
                <w:rFonts w:ascii="Arial" w:cs="Arial" w:eastAsia="Arial" w:hAnsi="Arial"/>
                <w:sz w:val="18"/>
                <w:szCs w:val="18"/>
                <w:color w:val="auto"/>
              </w:rPr>
              <w:t>9.2%</w:t>
            </w: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7.0%</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7.2%</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Banco de Crédito Overseas</w:t>
            </w:r>
          </w:p>
        </w:tc>
        <w:tc>
          <w:tcPr>
            <w:tcW w:w="2400" w:type="dxa"/>
            <w:vAlign w:val="bottom"/>
            <w:gridSpan w:val="4"/>
          </w:tcPr>
          <w:p>
            <w:pPr>
              <w:jc w:val="right"/>
              <w:ind w:right="58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0.5%</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Crédito Leasing</w:t>
            </w:r>
          </w:p>
        </w:tc>
        <w:tc>
          <w:tcPr>
            <w:tcW w:w="2400" w:type="dxa"/>
            <w:vAlign w:val="bottom"/>
            <w:gridSpan w:val="4"/>
          </w:tcPr>
          <w:p>
            <w:pPr>
              <w:jc w:val="right"/>
              <w:ind w:right="580"/>
              <w:spacing w:after="0"/>
              <w:rPr>
                <w:sz w:val="20"/>
                <w:szCs w:val="20"/>
                <w:color w:val="auto"/>
              </w:rPr>
            </w:pPr>
            <w:r>
              <w:rPr>
                <w:rFonts w:ascii="Arial" w:cs="Arial" w:eastAsia="Arial" w:hAnsi="Arial"/>
                <w:sz w:val="18"/>
                <w:szCs w:val="18"/>
                <w:color w:val="auto"/>
              </w:rPr>
              <w:t>6.1%</w:t>
            </w: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4.8%</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4.6%</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3.0%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Solución Financiera de Crédito</w:t>
            </w:r>
          </w:p>
        </w:tc>
        <w:tc>
          <w:tcPr>
            <w:tcW w:w="2400" w:type="dxa"/>
            <w:vAlign w:val="bottom"/>
            <w:gridSpan w:val="4"/>
          </w:tcPr>
          <w:p>
            <w:pPr>
              <w:jc w:val="right"/>
              <w:ind w:right="580"/>
              <w:spacing w:after="0"/>
              <w:rPr>
                <w:sz w:val="20"/>
                <w:szCs w:val="20"/>
                <w:color w:val="auto"/>
              </w:rPr>
            </w:pPr>
            <w:r>
              <w:rPr>
                <w:rFonts w:ascii="Arial" w:cs="Arial" w:eastAsia="Arial" w:hAnsi="Arial"/>
                <w:sz w:val="18"/>
                <w:szCs w:val="18"/>
                <w:color w:val="auto"/>
              </w:rPr>
              <w:t>2.0%</w:t>
            </w: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2.3%</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0.9%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4"/>
              </w:rPr>
              <w:t>TOTAL%</w:t>
            </w:r>
          </w:p>
        </w:tc>
        <w:tc>
          <w:tcPr>
            <w:tcW w:w="2620" w:type="dxa"/>
            <w:vAlign w:val="bottom"/>
          </w:tcPr>
          <w:p>
            <w:pPr>
              <w:spacing w:after="0"/>
              <w:rPr>
                <w:sz w:val="15"/>
                <w:szCs w:val="15"/>
                <w:color w:val="auto"/>
              </w:rPr>
            </w:pPr>
          </w:p>
        </w:tc>
        <w:tc>
          <w:tcPr>
            <w:tcW w:w="2400" w:type="dxa"/>
            <w:vAlign w:val="bottom"/>
            <w:gridSpan w:val="4"/>
          </w:tcPr>
          <w:p>
            <w:pPr>
              <w:jc w:val="right"/>
              <w:ind w:right="58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260" w:type="dxa"/>
            <w:vAlign w:val="bottom"/>
            <w:gridSpan w:val="3"/>
          </w:tcPr>
          <w:p>
            <w:pPr>
              <w:jc w:val="right"/>
              <w:ind w:right="60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240" w:type="dxa"/>
            <w:vAlign w:val="bottom"/>
            <w:gridSpan w:val="3"/>
          </w:tcPr>
          <w:p>
            <w:pPr>
              <w:jc w:val="right"/>
              <w:ind w:right="58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980" w:type="dxa"/>
            <w:vAlign w:val="bottom"/>
            <w:gridSpan w:val="3"/>
          </w:tcPr>
          <w:p>
            <w:pPr>
              <w:jc w:val="right"/>
              <w:ind w:right="30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9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80" w:type="dxa"/>
            <w:vAlign w:val="bottom"/>
          </w:tcPr>
          <w:p>
            <w:pPr>
              <w:spacing w:after="0"/>
              <w:rPr>
                <w:sz w:val="15"/>
                <w:szCs w:val="15"/>
                <w:color w:val="auto"/>
              </w:rPr>
            </w:pPr>
          </w:p>
        </w:tc>
        <w:tc>
          <w:tcPr>
            <w:tcW w:w="9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7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96"/>
        </w:trPr>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BCP consolidated Total</w:t>
            </w:r>
          </w:p>
        </w:tc>
        <w:tc>
          <w:tcPr>
            <w:tcW w:w="2400" w:type="dxa"/>
            <w:vAlign w:val="bottom"/>
            <w:gridSpan w:val="4"/>
          </w:tcPr>
          <w:p>
            <w:pPr>
              <w:jc w:val="right"/>
              <w:ind w:right="580"/>
              <w:spacing w:after="0" w:line="196" w:lineRule="exact"/>
              <w:rPr>
                <w:sz w:val="20"/>
                <w:szCs w:val="20"/>
                <w:color w:val="auto"/>
              </w:rPr>
            </w:pPr>
            <w:r>
              <w:rPr>
                <w:rFonts w:ascii="Arial" w:cs="Arial" w:eastAsia="Arial" w:hAnsi="Arial"/>
                <w:sz w:val="18"/>
                <w:szCs w:val="18"/>
                <w:b w:val="1"/>
                <w:bCs w:val="1"/>
                <w:color w:val="auto"/>
              </w:rPr>
              <w:t>S/.11,749</w:t>
            </w:r>
          </w:p>
        </w:tc>
        <w:tc>
          <w:tcPr>
            <w:tcW w:w="1260" w:type="dxa"/>
            <w:vAlign w:val="bottom"/>
            <w:gridSpan w:val="3"/>
          </w:tcPr>
          <w:p>
            <w:pPr>
              <w:jc w:val="right"/>
              <w:ind w:right="600"/>
              <w:spacing w:after="0" w:line="196" w:lineRule="exact"/>
              <w:rPr>
                <w:sz w:val="20"/>
                <w:szCs w:val="20"/>
                <w:color w:val="auto"/>
              </w:rPr>
            </w:pPr>
            <w:r>
              <w:rPr>
                <w:rFonts w:ascii="Arial" w:cs="Arial" w:eastAsia="Arial" w:hAnsi="Arial"/>
                <w:sz w:val="18"/>
                <w:szCs w:val="18"/>
                <w:b w:val="1"/>
                <w:bCs w:val="1"/>
                <w:color w:val="auto"/>
                <w:w w:val="82"/>
              </w:rPr>
              <w:t>S/.13,243</w:t>
            </w:r>
          </w:p>
        </w:tc>
        <w:tc>
          <w:tcPr>
            <w:tcW w:w="1240" w:type="dxa"/>
            <w:vAlign w:val="bottom"/>
            <w:gridSpan w:val="3"/>
          </w:tcPr>
          <w:p>
            <w:pPr>
              <w:jc w:val="right"/>
              <w:ind w:right="580"/>
              <w:spacing w:after="0" w:line="196" w:lineRule="exact"/>
              <w:rPr>
                <w:sz w:val="20"/>
                <w:szCs w:val="20"/>
                <w:color w:val="auto"/>
              </w:rPr>
            </w:pPr>
            <w:r>
              <w:rPr>
                <w:rFonts w:ascii="Arial" w:cs="Arial" w:eastAsia="Arial" w:hAnsi="Arial"/>
                <w:sz w:val="18"/>
                <w:szCs w:val="18"/>
                <w:b w:val="1"/>
                <w:bCs w:val="1"/>
                <w:color w:val="auto"/>
                <w:w w:val="82"/>
              </w:rPr>
              <w:t>S/.12,914</w:t>
            </w:r>
          </w:p>
        </w:tc>
        <w:tc>
          <w:tcPr>
            <w:tcW w:w="980" w:type="dxa"/>
            <w:vAlign w:val="bottom"/>
            <w:gridSpan w:val="3"/>
          </w:tcPr>
          <w:p>
            <w:pPr>
              <w:jc w:val="right"/>
              <w:ind w:right="300"/>
              <w:spacing w:after="0" w:line="196" w:lineRule="exact"/>
              <w:rPr>
                <w:sz w:val="20"/>
                <w:szCs w:val="20"/>
                <w:color w:val="auto"/>
              </w:rPr>
            </w:pPr>
            <w:r>
              <w:rPr>
                <w:rFonts w:ascii="Arial" w:cs="Arial" w:eastAsia="Arial" w:hAnsi="Arial"/>
                <w:sz w:val="18"/>
                <w:szCs w:val="18"/>
                <w:b w:val="1"/>
                <w:bCs w:val="1"/>
                <w:color w:val="auto"/>
                <w:w w:val="85"/>
              </w:rPr>
              <w:t>S/.18,555</w:t>
            </w:r>
          </w:p>
        </w:tc>
        <w:tc>
          <w:tcPr>
            <w:tcW w:w="124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rPr>
              <w:t>S/.20,114</w:t>
            </w:r>
          </w:p>
        </w:tc>
        <w:tc>
          <w:tcPr>
            <w:tcW w:w="9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S/.19,826</w:t>
            </w:r>
          </w:p>
        </w:tc>
      </w:tr>
      <w:tr>
        <w:trPr>
          <w:trHeight w:val="129"/>
        </w:trPr>
        <w:tc>
          <w:tcPr>
            <w:tcW w:w="720" w:type="dxa"/>
            <w:vAlign w:val="bottom"/>
            <w:tcBorders>
              <w:bottom w:val="single" w:sz="8" w:color="9A9A9A"/>
            </w:tcBorders>
          </w:tcPr>
          <w:p>
            <w:pPr>
              <w:spacing w:after="0"/>
              <w:rPr>
                <w:sz w:val="11"/>
                <w:szCs w:val="11"/>
                <w:color w:val="auto"/>
              </w:rPr>
            </w:pPr>
          </w:p>
        </w:tc>
        <w:tc>
          <w:tcPr>
            <w:tcW w:w="26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2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2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4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2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statistics from the Peruvian Banking Association (ASBANC) for Peruvian commercial banks as of September 30, 2003, Banco de Crédito del Perú had a total loan market share of 33.8% (34.3% at June 30, 2003 and 27.8% at September 30, 2002), and 36.4% of deposits (36.3% at June 30, 2003 and 32.9% at September 30,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204470</wp:posOffset>
            </wp:positionV>
            <wp:extent cx="436054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6054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(In % of total and constant S/. Mn)</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30.09.02</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30.06.03</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30.09.03</w:t>
            </w:r>
          </w:p>
        </w:tc>
      </w:tr>
      <w:tr>
        <w:trPr>
          <w:trHeight w:val="110"/>
        </w:trPr>
        <w:tc>
          <w:tcPr>
            <w:tcW w:w="3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09"/>
        </w:trPr>
        <w:tc>
          <w:tcPr>
            <w:tcW w:w="320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46.7%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Middle market</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26.3%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 small business</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10.2%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 home mortgage</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 consumer</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 credit cards</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184"/>
        </w:trPr>
        <w:tc>
          <w:tcPr>
            <w:tcW w:w="3200" w:type="dxa"/>
            <w:vAlign w:val="bottom"/>
            <w:gridSpan w:val="2"/>
          </w:tcPr>
          <w:p>
            <w:pPr>
              <w:spacing w:after="0" w:line="184" w:lineRule="exact"/>
              <w:rPr>
                <w:sz w:val="20"/>
                <w:szCs w:val="20"/>
                <w:color w:val="auto"/>
              </w:rPr>
            </w:pPr>
            <w:r>
              <w:rPr>
                <w:rFonts w:ascii="Arial" w:cs="Arial" w:eastAsia="Arial" w:hAnsi="Arial"/>
                <w:sz w:val="18"/>
                <w:szCs w:val="18"/>
                <w:color w:val="auto"/>
              </w:rPr>
              <w:t>Total</w:t>
            </w:r>
          </w:p>
        </w:tc>
        <w:tc>
          <w:tcPr>
            <w:tcW w:w="1680" w:type="dxa"/>
            <w:vAlign w:val="bottom"/>
            <w:gridSpan w:val="3"/>
          </w:tcPr>
          <w:p>
            <w:pPr>
              <w:jc w:val="right"/>
              <w:ind w:right="10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40" w:type="dxa"/>
            <w:vAlign w:val="bottom"/>
            <w:gridSpan w:val="3"/>
          </w:tcPr>
          <w:p>
            <w:pPr>
              <w:jc w:val="right"/>
              <w:ind w:right="10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S/.12,880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S/.14,691</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S/.14,282</w:t>
            </w:r>
          </w:p>
        </w:tc>
      </w:tr>
      <w:tr>
        <w:trPr>
          <w:trHeight w:val="110"/>
        </w:trPr>
        <w:tc>
          <w:tcPr>
            <w:tcW w:w="3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-1401445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current quarter, loan balances decreased 2.8%, with corporate loans lower by 0.7% to S/.6,285 million (US$1,805 million), retail loans by 1.4% to S/.4,420 million (US$1,269 million), while middle market loans decreased by 7.8% to S/.3,578 million (US$1,027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59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00" w:type="dxa"/>
            <w:vAlign w:val="bottom"/>
          </w:tcPr>
          <w:p>
            <w:pPr>
              <w:jc w:val="right"/>
              <w:ind w:right="452"/>
              <w:spacing w:after="0"/>
              <w:rPr>
                <w:sz w:val="20"/>
                <w:szCs w:val="20"/>
                <w:color w:val="auto"/>
              </w:rPr>
            </w:pPr>
            <w:r>
              <w:rPr>
                <w:rFonts w:ascii="Arial" w:cs="Arial" w:eastAsia="Arial" w:hAnsi="Arial"/>
                <w:sz w:val="18"/>
                <w:szCs w:val="18"/>
                <w:b w:val="1"/>
                <w:bCs w:val="1"/>
                <w:color w:val="auto"/>
              </w:rPr>
              <w:t>30.09.02</w:t>
            </w:r>
          </w:p>
        </w:tc>
        <w:tc>
          <w:tcPr>
            <w:tcW w:w="1380" w:type="dxa"/>
            <w:vAlign w:val="bottom"/>
          </w:tcPr>
          <w:p>
            <w:pPr>
              <w:jc w:val="right"/>
              <w:ind w:right="452"/>
              <w:spacing w:after="0"/>
              <w:rPr>
                <w:sz w:val="20"/>
                <w:szCs w:val="20"/>
                <w:color w:val="auto"/>
              </w:rPr>
            </w:pPr>
            <w:r>
              <w:rPr>
                <w:rFonts w:ascii="Arial" w:cs="Arial" w:eastAsia="Arial" w:hAnsi="Arial"/>
                <w:sz w:val="18"/>
                <w:szCs w:val="18"/>
                <w:b w:val="1"/>
                <w:bCs w:val="1"/>
                <w:color w:val="auto"/>
              </w:rPr>
              <w:t>30.06.03</w:t>
            </w: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30.09.03</w:t>
            </w:r>
          </w:p>
        </w:tc>
        <w:tc>
          <w:tcPr>
            <w:tcW w:w="138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30.09.03 vs.</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30.09.03 vs.</w:t>
            </w:r>
          </w:p>
        </w:tc>
      </w:tr>
      <w:tr>
        <w:trPr>
          <w:trHeight w:val="228"/>
        </w:trPr>
        <w:tc>
          <w:tcPr>
            <w:tcW w:w="36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b w:val="1"/>
                <w:bCs w:val="1"/>
                <w:color w:val="auto"/>
              </w:rPr>
              <w:t>30.06.03</w:t>
            </w:r>
          </w:p>
        </w:tc>
        <w:tc>
          <w:tcPr>
            <w:tcW w:w="1240" w:type="dxa"/>
            <w:vAlign w:val="bottom"/>
          </w:tcPr>
          <w:p>
            <w:pPr>
              <w:jc w:val="right"/>
              <w:ind w:right="292"/>
              <w:spacing w:after="0"/>
              <w:rPr>
                <w:sz w:val="20"/>
                <w:szCs w:val="20"/>
                <w:color w:val="auto"/>
              </w:rPr>
            </w:pPr>
            <w:r>
              <w:rPr>
                <w:rFonts w:ascii="Arial" w:cs="Arial" w:eastAsia="Arial" w:hAnsi="Arial"/>
                <w:sz w:val="18"/>
                <w:szCs w:val="18"/>
                <w:b w:val="1"/>
                <w:bCs w:val="1"/>
                <w:color w:val="auto"/>
              </w:rPr>
              <w:t>30.09.02</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Small business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1,311</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1,481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1,308</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Mortgage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1,138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1,851</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1,946</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24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Consumer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644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661</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Credit card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426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505</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504</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Retail</w:t>
            </w:r>
          </w:p>
        </w:tc>
        <w:tc>
          <w:tcPr>
            <w:tcW w:w="2500" w:type="dxa"/>
            <w:vAlign w:val="bottom"/>
          </w:tcPr>
          <w:p>
            <w:pPr>
              <w:jc w:val="right"/>
              <w:ind w:right="112"/>
              <w:spacing w:after="0"/>
              <w:rPr>
                <w:sz w:val="20"/>
                <w:szCs w:val="20"/>
                <w:color w:val="auto"/>
              </w:rPr>
            </w:pPr>
            <w:r>
              <w:rPr>
                <w:rFonts w:ascii="Arial" w:cs="Arial" w:eastAsia="Arial" w:hAnsi="Arial"/>
                <w:sz w:val="18"/>
                <w:szCs w:val="18"/>
                <w:b w:val="1"/>
                <w:bCs w:val="1"/>
                <w:color w:val="auto"/>
              </w:rPr>
              <w:t>3,481</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4,481</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4,420</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-1.4%</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27.0%</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2003 contingent credits were S/.4,563 million (US$1,310 million), 0.4% over the September 2002 figure, as can be seen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59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00" w:type="dxa"/>
            <w:vAlign w:val="bottom"/>
          </w:tcPr>
          <w:p>
            <w:pPr>
              <w:jc w:val="right"/>
              <w:ind w:right="452"/>
              <w:spacing w:after="0"/>
              <w:rPr>
                <w:sz w:val="20"/>
                <w:szCs w:val="20"/>
                <w:color w:val="auto"/>
              </w:rPr>
            </w:pPr>
            <w:r>
              <w:rPr>
                <w:rFonts w:ascii="Arial" w:cs="Arial" w:eastAsia="Arial" w:hAnsi="Arial"/>
                <w:sz w:val="18"/>
                <w:szCs w:val="18"/>
                <w:b w:val="1"/>
                <w:bCs w:val="1"/>
                <w:color w:val="auto"/>
              </w:rPr>
              <w:t>30.09.02</w:t>
            </w:r>
          </w:p>
        </w:tc>
        <w:tc>
          <w:tcPr>
            <w:tcW w:w="1380" w:type="dxa"/>
            <w:vAlign w:val="bottom"/>
          </w:tcPr>
          <w:p>
            <w:pPr>
              <w:jc w:val="right"/>
              <w:ind w:right="452"/>
              <w:spacing w:after="0"/>
              <w:rPr>
                <w:sz w:val="20"/>
                <w:szCs w:val="20"/>
                <w:color w:val="auto"/>
              </w:rPr>
            </w:pPr>
            <w:r>
              <w:rPr>
                <w:rFonts w:ascii="Arial" w:cs="Arial" w:eastAsia="Arial" w:hAnsi="Arial"/>
                <w:sz w:val="18"/>
                <w:szCs w:val="18"/>
                <w:b w:val="1"/>
                <w:bCs w:val="1"/>
                <w:color w:val="auto"/>
              </w:rPr>
              <w:t>30.06.03</w:t>
            </w: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30.09.03</w:t>
            </w:r>
          </w:p>
        </w:tc>
        <w:tc>
          <w:tcPr>
            <w:tcW w:w="1380" w:type="dxa"/>
            <w:vAlign w:val="bottom"/>
          </w:tcPr>
          <w:p>
            <w:pPr>
              <w:jc w:val="right"/>
              <w:ind w:right="292"/>
              <w:spacing w:after="0"/>
              <w:rPr>
                <w:sz w:val="20"/>
                <w:szCs w:val="20"/>
                <w:color w:val="auto"/>
              </w:rPr>
            </w:pPr>
            <w:r>
              <w:rPr>
                <w:rFonts w:ascii="Arial" w:cs="Arial" w:eastAsia="Arial" w:hAnsi="Arial"/>
                <w:sz w:val="18"/>
                <w:szCs w:val="18"/>
                <w:b w:val="1"/>
                <w:bCs w:val="1"/>
                <w:color w:val="auto"/>
                <w:w w:val="97"/>
              </w:rPr>
              <w:t>30.09.03 vs.</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w w:val="95"/>
              </w:rPr>
              <w:t>30.09.03 vs.</w:t>
            </w:r>
          </w:p>
        </w:tc>
      </w:tr>
      <w:tr>
        <w:trPr>
          <w:trHeight w:val="228"/>
        </w:trPr>
        <w:tc>
          <w:tcPr>
            <w:tcW w:w="36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b w:val="1"/>
                <w:bCs w:val="1"/>
                <w:color w:val="auto"/>
              </w:rPr>
              <w:t>30.06.03</w:t>
            </w:r>
          </w:p>
        </w:tc>
        <w:tc>
          <w:tcPr>
            <w:tcW w:w="1240" w:type="dxa"/>
            <w:vAlign w:val="bottom"/>
          </w:tcPr>
          <w:p>
            <w:pPr>
              <w:jc w:val="right"/>
              <w:ind w:right="292"/>
              <w:spacing w:after="0"/>
              <w:rPr>
                <w:sz w:val="20"/>
                <w:szCs w:val="20"/>
                <w:color w:val="auto"/>
              </w:rPr>
            </w:pPr>
            <w:r>
              <w:rPr>
                <w:rFonts w:ascii="Arial" w:cs="Arial" w:eastAsia="Arial" w:hAnsi="Arial"/>
                <w:sz w:val="18"/>
                <w:szCs w:val="18"/>
                <w:b w:val="1"/>
                <w:bCs w:val="1"/>
                <w:color w:val="auto"/>
              </w:rPr>
              <w:t>30.09.02</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1,893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2,205</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2,233</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Letters of Credit</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395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442</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394</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Acceptances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1,504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1,480</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1,080</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-27.0%</w:t>
            </w: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647</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669</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681</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Contingent Credits</w:t>
            </w:r>
          </w:p>
        </w:tc>
        <w:tc>
          <w:tcPr>
            <w:tcW w:w="2500" w:type="dxa"/>
            <w:vAlign w:val="bottom"/>
          </w:tcPr>
          <w:p>
            <w:pPr>
              <w:jc w:val="right"/>
              <w:ind w:right="112"/>
              <w:spacing w:after="0"/>
              <w:rPr>
                <w:sz w:val="20"/>
                <w:szCs w:val="20"/>
                <w:color w:val="auto"/>
              </w:rPr>
            </w:pPr>
            <w:r>
              <w:rPr>
                <w:rFonts w:ascii="Arial" w:cs="Arial" w:eastAsia="Arial" w:hAnsi="Arial"/>
                <w:sz w:val="18"/>
                <w:szCs w:val="18"/>
                <w:b w:val="1"/>
                <w:bCs w:val="1"/>
                <w:color w:val="auto"/>
              </w:rPr>
              <w:t>4,547</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4,955</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4,563</w:t>
            </w:r>
          </w:p>
        </w:tc>
        <w:tc>
          <w:tcPr>
            <w:tcW w:w="1380" w:type="dxa"/>
            <w:vAlign w:val="bottom"/>
          </w:tcPr>
          <w:p>
            <w:pPr>
              <w:jc w:val="right"/>
              <w:ind w:right="32"/>
              <w:spacing w:after="0"/>
              <w:rPr>
                <w:sz w:val="20"/>
                <w:szCs w:val="20"/>
                <w:color w:val="auto"/>
              </w:rPr>
            </w:pPr>
            <w:r>
              <w:rPr>
                <w:rFonts w:ascii="Arial" w:cs="Arial" w:eastAsia="Arial" w:hAnsi="Arial"/>
                <w:sz w:val="18"/>
                <w:szCs w:val="18"/>
                <w:b w:val="1"/>
                <w:bCs w:val="1"/>
                <w:color w:val="auto"/>
              </w:rPr>
              <w:t>-7.9%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0.4%</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II.6 LOAN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2003 loan quality continued to improve. Consolidated past due loans amounted to S/.1,161 million (US$333.5 million) at September 30, 2003, decreasing 5.6% from the balance of S/.1,230 million (US$353.3 million) as of the end of June 2003, and are also 14.2% below past due loans at year-end 2002 which already included BSCH-Peru loans.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the current quarter, refinanced loans amounted to S/.787.0 million (US$226.0 million), lower than the balance at June 2003 that was S/.917.2 million (US$263.4 million) mainly due to lower refinanced corporate loans to the manufacturing sector.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8.13% at September 30, 2003, improving during this quarter compared to 8.37% at June 2003. The ratio of past due, refinanced and restructured loans as a percentage of total loans also decrease from 14.56% to 13.64%, from the second to the third quarter 2003, respectively.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third quarter 2003, outstanding balances of loan loss provisions totaled S/.1,367 million (US$392.7 million), decreasing 5.6% compared to the preceding quarter mainly due to charge-offs. The ratio of loan provisions to past due loans was 117.8% at the end of this quarter, remaining unchanged since June 2003, but is better than 107.7% past due coverage at September 2002.</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total provisions outstanding at the end of the current quarter, S/.218.9 million (US$62.9 million) correspond to generic provisions assigned to loans in the Normal (A) risk category, increasing from the balance at June 30, 2003 of S/.209.0 million (US$60.0 million).</w:t>
      </w:r>
    </w:p>
    <w:p>
      <w:pPr>
        <w:sectPr>
          <w:pgSz w:w="11900" w:h="16838" w:orient="portrait"/>
          <w:cols w:equalWidth="0" w:num="1">
            <w:col w:w="11420"/>
          </w:cols>
          <w:pgMar w:left="240" w:top="131" w:right="239" w:bottom="0" w:gutter="0" w:footer="0" w:header="0"/>
        </w:sectPr>
      </w:pPr>
    </w:p>
    <w:bookmarkStart w:id="10" w:name="page11"/>
    <w:bookmarkEnd w:id="10"/>
    <w:p>
      <w:pPr>
        <w:jc w:val="both"/>
        <w:spacing w:after="0" w:line="306" w:lineRule="auto"/>
        <w:rPr>
          <w:sz w:val="20"/>
          <w:szCs w:val="20"/>
          <w:color w:val="auto"/>
        </w:rPr>
      </w:pPr>
      <w:r>
        <w:rPr>
          <w:rFonts w:ascii="Arial" w:cs="Arial" w:eastAsia="Arial" w:hAnsi="Arial"/>
          <w:sz w:val="16"/>
          <w:szCs w:val="16"/>
          <w:color w:val="auto"/>
        </w:rPr>
        <w:t>Loans believed to be unrecoverable, fully provisioned in prior periods, were written-off during the third quarter 2003 amounting to S/.158.0 million (US$45.4 million), of which approximately 9% were related to consumer loans and 8% to agricultural loans under the RFA program. This compares to charge-offs in the second quarter of 2003 of S/.129.1 million (US$37.1 million), and S/.99.7 million (US$28.6 million) in the year-ago third quarter.</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Loans classified as Substandard (i.e., Deficient, Doubtful and Loss) were 17.7% of the loan portfolio in September 2003, decreasing from 18.1% in June 2003, and also lower than 19.0% that resulted in September 2002.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179070</wp:posOffset>
            </wp:positionV>
            <wp:extent cx="653034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0340" cy="34290"/>
                    </a:xfrm>
                    <a:prstGeom prst="rect">
                      <a:avLst/>
                    </a:prstGeom>
                    <a:noFill/>
                  </pic:spPr>
                </pic:pic>
              </a:graphicData>
            </a:graphic>
          </wp:anchor>
        </w:drawing>
      </w:r>
    </w:p>
    <w:p>
      <w:pPr>
        <w:spacing w:after="0" w:line="390"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 of Total loans and S/.Mn const.)</w:t>
            </w:r>
          </w:p>
        </w:tc>
        <w:tc>
          <w:tcPr>
            <w:tcW w:w="28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30.09.02</w:t>
            </w:r>
          </w:p>
        </w:tc>
        <w:tc>
          <w:tcPr>
            <w:tcW w:w="24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30.06.03</w:t>
            </w:r>
          </w:p>
        </w:tc>
        <w:tc>
          <w:tcPr>
            <w:tcW w:w="24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30.09.03</w:t>
            </w:r>
          </w:p>
        </w:tc>
        <w:tc>
          <w:tcPr>
            <w:tcW w:w="20" w:type="dxa"/>
            <w:vAlign w:val="bottom"/>
          </w:tcPr>
          <w:p>
            <w:pPr>
              <w:spacing w:after="0"/>
              <w:rPr>
                <w:sz w:val="19"/>
                <w:szCs w:val="19"/>
                <w:color w:val="auto"/>
              </w:rPr>
            </w:pPr>
          </w:p>
        </w:tc>
      </w:tr>
      <w:tr>
        <w:trPr>
          <w:trHeight w:val="110"/>
        </w:trPr>
        <w:tc>
          <w:tcPr>
            <w:tcW w:w="36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309"/>
        </w:trPr>
        <w:tc>
          <w:tcPr>
            <w:tcW w:w="4300" w:type="dxa"/>
            <w:vAlign w:val="bottom"/>
            <w:gridSpan w:val="2"/>
          </w:tcPr>
          <w:p>
            <w:pPr>
              <w:spacing w:after="0"/>
              <w:rPr>
                <w:sz w:val="20"/>
                <w:szCs w:val="20"/>
                <w:color w:val="auto"/>
              </w:rPr>
            </w:pPr>
            <w:r>
              <w:rPr>
                <w:rFonts w:ascii="Arial" w:cs="Arial" w:eastAsia="Arial" w:hAnsi="Arial"/>
                <w:sz w:val="18"/>
                <w:szCs w:val="18"/>
                <w:color w:val="auto"/>
              </w:rPr>
              <w:t>A: Normal</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70.8%</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70.3%</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72.8%</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 Potential Problem</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10.2%</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11.5%</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 Deficient</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5.9%</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5.0%</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6.6%</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 Loss</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color w:val="auto"/>
              </w:rPr>
              <w:t>4.8%</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184"/>
        </w:trPr>
        <w:tc>
          <w:tcPr>
            <w:tcW w:w="4300" w:type="dxa"/>
            <w:vAlign w:val="bottom"/>
            <w:gridSpan w:val="2"/>
          </w:tcPr>
          <w:p>
            <w:pPr>
              <w:spacing w:after="0" w:line="184" w:lineRule="exact"/>
              <w:rPr>
                <w:sz w:val="20"/>
                <w:szCs w:val="20"/>
                <w:color w:val="auto"/>
              </w:rPr>
            </w:pPr>
            <w:r>
              <w:rPr>
                <w:rFonts w:ascii="Arial" w:cs="Arial" w:eastAsia="Arial" w:hAnsi="Arial"/>
                <w:sz w:val="18"/>
                <w:szCs w:val="18"/>
                <w:color w:val="auto"/>
              </w:rPr>
              <w:t>Total</w:t>
            </w:r>
          </w:p>
        </w:tc>
        <w:tc>
          <w:tcPr>
            <w:tcW w:w="3120" w:type="dxa"/>
            <w:vAlign w:val="bottom"/>
            <w:gridSpan w:val="3"/>
          </w:tcPr>
          <w:p>
            <w:pPr>
              <w:jc w:val="right"/>
              <w:ind w:right="24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540" w:type="dxa"/>
            <w:vAlign w:val="bottom"/>
            <w:gridSpan w:val="3"/>
          </w:tcPr>
          <w:p>
            <w:pPr>
              <w:jc w:val="right"/>
              <w:ind w:right="24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32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3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S/.12,880</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S/.14,691</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S/.14,282</w:t>
            </w:r>
          </w:p>
        </w:tc>
      </w:tr>
      <w:tr>
        <w:trPr>
          <w:trHeight w:val="110"/>
        </w:trPr>
        <w:tc>
          <w:tcPr>
            <w:tcW w:w="36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6870065</wp:posOffset>
            </wp:positionH>
            <wp:positionV relativeFrom="paragraph">
              <wp:posOffset>-1127125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6870065</wp:posOffset>
            </wp:positionH>
            <wp:positionV relativeFrom="paragraph">
              <wp:posOffset>-20955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third quarter 2003 amounted to S/.78.8 million (US$22.6 million), lower than S/.111.2 million (US$31.9 million) in the year-ago period, mainly due to improved loan quality. Provision expense in the second quarter of 2003 was S/.66.5 million (US$19.1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II.7 CAPITAL ADEQUACY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the end of the third quarter of 2003, BCP’s unconsolidated ratio of risk-weighted assets to regulatory capital was 9.7 to 1.0 (10.3%), while the corresponding consolidated ratio was 8.1 to 1.0 (12.3%). Risk-weighted assets include S/.930.1 million (US$267.1 million) of market-risk exposure whose coverage required S/.84.6 million (US$24.3 million) of regulatory capital at September 30, 2003. Peruvian regulations limit risk-weighted assets to a ratio of 11.0 to 1.0 (9.1%).</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2003, BCP’s consolidated “regulatory capital” was S/.2,155 million (US$619.0 million), decreasing compared to S/.2,176 million (US$624.8 million) in the preceding quarter mostly due to lower subordinated debt and higher investments. Regulatory capital included S/.153.0 million ($43.9 million) in subordinated debt in the current period, which decreased from S/.164.2 million (US$47.2 million) in June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59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20" w:type="dxa"/>
            <w:vAlign w:val="bottom"/>
          </w:tcPr>
          <w:p>
            <w:pPr>
              <w:jc w:val="right"/>
              <w:ind w:right="912"/>
              <w:spacing w:after="0"/>
              <w:rPr>
                <w:sz w:val="20"/>
                <w:szCs w:val="20"/>
                <w:color w:val="auto"/>
              </w:rPr>
            </w:pPr>
            <w:r>
              <w:rPr>
                <w:rFonts w:ascii="Arial" w:cs="Arial" w:eastAsia="Arial" w:hAnsi="Arial"/>
                <w:sz w:val="18"/>
                <w:szCs w:val="18"/>
                <w:b w:val="1"/>
                <w:bCs w:val="1"/>
                <w:color w:val="auto"/>
              </w:rPr>
              <w:t>BCP</w:t>
            </w:r>
          </w:p>
        </w:tc>
        <w:tc>
          <w:tcPr>
            <w:tcW w:w="800" w:type="dxa"/>
            <w:vAlign w:val="bottom"/>
          </w:tcPr>
          <w:p>
            <w:pPr>
              <w:spacing w:after="0"/>
              <w:rPr>
                <w:sz w:val="18"/>
                <w:szCs w:val="18"/>
                <w:color w:val="auto"/>
              </w:rPr>
            </w:pPr>
          </w:p>
        </w:tc>
        <w:tc>
          <w:tcPr>
            <w:tcW w:w="1940" w:type="dxa"/>
            <w:vAlign w:val="bottom"/>
          </w:tcPr>
          <w:p>
            <w:pPr>
              <w:jc w:val="right"/>
              <w:ind w:right="232"/>
              <w:spacing w:after="0"/>
              <w:rPr>
                <w:sz w:val="20"/>
                <w:szCs w:val="20"/>
                <w:color w:val="auto"/>
              </w:rPr>
            </w:pPr>
            <w:r>
              <w:rPr>
                <w:rFonts w:ascii="Arial" w:cs="Arial" w:eastAsia="Arial" w:hAnsi="Arial"/>
                <w:sz w:val="18"/>
                <w:szCs w:val="18"/>
                <w:b w:val="1"/>
                <w:bCs w:val="1"/>
                <w:color w:val="auto"/>
              </w:rPr>
              <w:t>BCP</w:t>
            </w:r>
          </w:p>
        </w:tc>
        <w:tc>
          <w:tcPr>
            <w:tcW w:w="1200" w:type="dxa"/>
            <w:vAlign w:val="bottom"/>
          </w:tcPr>
          <w:p>
            <w:pPr>
              <w:spacing w:after="0"/>
              <w:rPr>
                <w:sz w:val="18"/>
                <w:szCs w:val="18"/>
                <w:color w:val="auto"/>
              </w:rPr>
            </w:pPr>
          </w:p>
        </w:tc>
      </w:tr>
      <w:tr>
        <w:trPr>
          <w:trHeight w:val="228"/>
        </w:trPr>
        <w:tc>
          <w:tcPr>
            <w:tcW w:w="3480" w:type="dxa"/>
            <w:vAlign w:val="bottom"/>
          </w:tcPr>
          <w:p>
            <w:pPr>
              <w:spacing w:after="0"/>
              <w:rPr>
                <w:sz w:val="19"/>
                <w:szCs w:val="19"/>
                <w:color w:val="auto"/>
              </w:rPr>
            </w:pPr>
          </w:p>
        </w:tc>
        <w:tc>
          <w:tcPr>
            <w:tcW w:w="400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unconsolidated</w:t>
            </w:r>
          </w:p>
        </w:tc>
        <w:tc>
          <w:tcPr>
            <w:tcW w:w="8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consolidated</w:t>
            </w:r>
          </w:p>
        </w:tc>
        <w:tc>
          <w:tcPr>
            <w:tcW w:w="1200" w:type="dxa"/>
            <w:vAlign w:val="bottom"/>
          </w:tcPr>
          <w:p>
            <w:pPr>
              <w:spacing w:after="0"/>
              <w:rPr>
                <w:sz w:val="19"/>
                <w:szCs w:val="19"/>
                <w:color w:val="auto"/>
              </w:rPr>
            </w:pPr>
          </w:p>
        </w:tc>
      </w:tr>
      <w:tr>
        <w:trPr>
          <w:trHeight w:val="110"/>
        </w:trPr>
        <w:tc>
          <w:tcPr>
            <w:tcW w:w="34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r>
        <w:trPr>
          <w:trHeight w:val="316"/>
        </w:trPr>
        <w:tc>
          <w:tcPr>
            <w:tcW w:w="348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30.09.02</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30.09.03</w:t>
            </w:r>
          </w:p>
        </w:tc>
        <w:tc>
          <w:tcPr>
            <w:tcW w:w="800" w:type="dxa"/>
            <w:vAlign w:val="bottom"/>
          </w:tcPr>
          <w:p>
            <w:pPr>
              <w:spacing w:after="0"/>
              <w:rPr>
                <w:sz w:val="24"/>
                <w:szCs w:val="24"/>
                <w:color w:val="auto"/>
              </w:rPr>
            </w:pPr>
          </w:p>
        </w:tc>
        <w:tc>
          <w:tcPr>
            <w:tcW w:w="1940" w:type="dxa"/>
            <w:vAlign w:val="bottom"/>
          </w:tcPr>
          <w:p>
            <w:pPr>
              <w:jc w:val="right"/>
              <w:ind w:right="952"/>
              <w:spacing w:after="0"/>
              <w:rPr>
                <w:sz w:val="20"/>
                <w:szCs w:val="20"/>
                <w:color w:val="auto"/>
              </w:rPr>
            </w:pPr>
            <w:r>
              <w:rPr>
                <w:rFonts w:ascii="Arial" w:cs="Arial" w:eastAsia="Arial" w:hAnsi="Arial"/>
                <w:sz w:val="18"/>
                <w:szCs w:val="18"/>
                <w:b w:val="1"/>
                <w:bCs w:val="1"/>
                <w:color w:val="auto"/>
              </w:rPr>
              <w:t>30.09.02</w:t>
            </w:r>
          </w:p>
        </w:tc>
        <w:tc>
          <w:tcPr>
            <w:tcW w:w="1200" w:type="dxa"/>
            <w:vAlign w:val="bottom"/>
          </w:tcPr>
          <w:p>
            <w:pPr>
              <w:jc w:val="right"/>
              <w:ind w:right="452"/>
              <w:spacing w:after="0"/>
              <w:rPr>
                <w:sz w:val="20"/>
                <w:szCs w:val="20"/>
                <w:color w:val="auto"/>
              </w:rPr>
            </w:pPr>
            <w:r>
              <w:rPr>
                <w:rFonts w:ascii="Arial" w:cs="Arial" w:eastAsia="Arial" w:hAnsi="Arial"/>
                <w:sz w:val="18"/>
                <w:szCs w:val="18"/>
                <w:b w:val="1"/>
                <w:bCs w:val="1"/>
                <w:color w:val="auto"/>
                <w:w w:val="91"/>
              </w:rPr>
              <w:t>30.09.03</w:t>
            </w:r>
          </w:p>
        </w:tc>
      </w:tr>
      <w:tr>
        <w:trPr>
          <w:trHeight w:val="110"/>
        </w:trPr>
        <w:tc>
          <w:tcPr>
            <w:tcW w:w="34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r>
        <w:trPr>
          <w:trHeight w:val="309"/>
        </w:trPr>
        <w:tc>
          <w:tcPr>
            <w:tcW w:w="3480" w:type="dxa"/>
            <w:vAlign w:val="bottom"/>
          </w:tcPr>
          <w:p>
            <w:pPr>
              <w:spacing w:after="0"/>
              <w:rPr>
                <w:sz w:val="20"/>
                <w:szCs w:val="20"/>
                <w:color w:val="auto"/>
              </w:rPr>
            </w:pPr>
            <w:r>
              <w:rPr>
                <w:rFonts w:ascii="Arial" w:cs="Arial" w:eastAsia="Arial" w:hAnsi="Arial"/>
                <w:sz w:val="18"/>
                <w:szCs w:val="18"/>
                <w:color w:val="auto"/>
              </w:rPr>
              <w:t>Regulatory capital</w:t>
            </w:r>
          </w:p>
        </w:tc>
        <w:tc>
          <w:tcPr>
            <w:tcW w:w="2280" w:type="dxa"/>
            <w:vAlign w:val="bottom"/>
          </w:tcPr>
          <w:p>
            <w:pPr>
              <w:spacing w:after="0"/>
              <w:rPr>
                <w:sz w:val="24"/>
                <w:szCs w:val="24"/>
                <w:color w:val="auto"/>
              </w:rPr>
            </w:pPr>
          </w:p>
        </w:tc>
        <w:tc>
          <w:tcPr>
            <w:tcW w:w="1720" w:type="dxa"/>
            <w:vAlign w:val="bottom"/>
          </w:tcPr>
          <w:p>
            <w:pPr>
              <w:jc w:val="right"/>
              <w:ind w:right="1132"/>
              <w:spacing w:after="0"/>
              <w:rPr>
                <w:sz w:val="20"/>
                <w:szCs w:val="20"/>
                <w:color w:val="auto"/>
              </w:rPr>
            </w:pPr>
            <w:r>
              <w:rPr>
                <w:rFonts w:ascii="Arial" w:cs="Arial" w:eastAsia="Arial" w:hAnsi="Arial"/>
                <w:sz w:val="18"/>
                <w:szCs w:val="18"/>
                <w:color w:val="auto"/>
              </w:rPr>
              <w:t>1,388</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1,592</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2,022</w:t>
            </w:r>
          </w:p>
        </w:tc>
        <w:tc>
          <w:tcPr>
            <w:tcW w:w="120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Risk weighted assets</w:t>
            </w:r>
          </w:p>
        </w:tc>
        <w:tc>
          <w:tcPr>
            <w:tcW w:w="2280" w:type="dxa"/>
            <w:vAlign w:val="bottom"/>
          </w:tcPr>
          <w:p>
            <w:pPr>
              <w:spacing w:after="0"/>
              <w:rPr>
                <w:sz w:val="19"/>
                <w:szCs w:val="19"/>
                <w:color w:val="auto"/>
              </w:rPr>
            </w:pPr>
          </w:p>
        </w:tc>
        <w:tc>
          <w:tcPr>
            <w:tcW w:w="1720" w:type="dxa"/>
            <w:vAlign w:val="bottom"/>
          </w:tcPr>
          <w:p>
            <w:pPr>
              <w:jc w:val="right"/>
              <w:ind w:right="1132"/>
              <w:spacing w:after="0"/>
              <w:rPr>
                <w:sz w:val="20"/>
                <w:szCs w:val="20"/>
                <w:color w:val="auto"/>
              </w:rPr>
            </w:pPr>
            <w:r>
              <w:rPr>
                <w:rFonts w:ascii="Arial" w:cs="Arial" w:eastAsia="Arial" w:hAnsi="Arial"/>
                <w:sz w:val="18"/>
                <w:szCs w:val="18"/>
                <w:color w:val="auto"/>
                <w:w w:val="87"/>
              </w:rPr>
              <w:t>13,267</w:t>
            </w:r>
          </w:p>
        </w:tc>
        <w:tc>
          <w:tcPr>
            <w:tcW w:w="800" w:type="dxa"/>
            <w:vAlign w:val="bottom"/>
          </w:tcPr>
          <w:p>
            <w:pPr>
              <w:jc w:val="right"/>
              <w:ind w:right="212"/>
              <w:spacing w:after="0"/>
              <w:rPr>
                <w:sz w:val="20"/>
                <w:szCs w:val="20"/>
                <w:color w:val="auto"/>
              </w:rPr>
            </w:pPr>
            <w:r>
              <w:rPr>
                <w:rFonts w:ascii="Arial" w:cs="Arial" w:eastAsia="Arial" w:hAnsi="Arial"/>
                <w:sz w:val="18"/>
                <w:szCs w:val="18"/>
                <w:color w:val="auto"/>
                <w:w w:val="87"/>
              </w:rPr>
              <w:t>15,515</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15,885</w:t>
            </w:r>
          </w:p>
        </w:tc>
        <w:tc>
          <w:tcPr>
            <w:tcW w:w="1200" w:type="dxa"/>
            <w:vAlign w:val="bottom"/>
          </w:tcPr>
          <w:p>
            <w:pPr>
              <w:jc w:val="right"/>
              <w:spacing w:after="0"/>
              <w:rPr>
                <w:sz w:val="20"/>
                <w:szCs w:val="20"/>
                <w:color w:val="auto"/>
              </w:rPr>
            </w:pPr>
            <w:r>
              <w:rPr>
                <w:rFonts w:ascii="Arial" w:cs="Arial" w:eastAsia="Arial" w:hAnsi="Arial"/>
                <w:sz w:val="18"/>
                <w:szCs w:val="18"/>
                <w:color w:val="auto"/>
              </w:rPr>
              <w:t>17,560</w:t>
            </w:r>
          </w:p>
        </w:tc>
      </w:tr>
      <w:tr>
        <w:trPr>
          <w:trHeight w:val="453"/>
        </w:trPr>
        <w:tc>
          <w:tcPr>
            <w:tcW w:w="348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2280" w:type="dxa"/>
            <w:vAlign w:val="bottom"/>
          </w:tcPr>
          <w:p>
            <w:pPr>
              <w:spacing w:after="0"/>
              <w:rPr>
                <w:sz w:val="24"/>
                <w:szCs w:val="24"/>
                <w:color w:val="auto"/>
              </w:rPr>
            </w:pPr>
          </w:p>
        </w:tc>
        <w:tc>
          <w:tcPr>
            <w:tcW w:w="1720" w:type="dxa"/>
            <w:vAlign w:val="bottom"/>
          </w:tcPr>
          <w:p>
            <w:pPr>
              <w:jc w:val="right"/>
              <w:ind w:right="1092"/>
              <w:spacing w:after="0"/>
              <w:rPr>
                <w:sz w:val="20"/>
                <w:szCs w:val="20"/>
                <w:color w:val="auto"/>
              </w:rPr>
            </w:pPr>
            <w:r>
              <w:rPr>
                <w:rFonts w:ascii="Arial" w:cs="Arial" w:eastAsia="Arial" w:hAnsi="Arial"/>
                <w:sz w:val="18"/>
                <w:szCs w:val="18"/>
                <w:color w:val="auto"/>
              </w:rPr>
              <w:t>9.6</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9.7</w:t>
            </w:r>
          </w:p>
        </w:tc>
        <w:tc>
          <w:tcPr>
            <w:tcW w:w="1940" w:type="dxa"/>
            <w:vAlign w:val="bottom"/>
          </w:tcPr>
          <w:p>
            <w:pPr>
              <w:jc w:val="right"/>
              <w:ind w:right="412"/>
              <w:spacing w:after="0"/>
              <w:rPr>
                <w:sz w:val="20"/>
                <w:szCs w:val="20"/>
                <w:color w:val="auto"/>
              </w:rPr>
            </w:pPr>
            <w:r>
              <w:rPr>
                <w:rFonts w:ascii="Arial" w:cs="Arial" w:eastAsia="Arial" w:hAnsi="Arial"/>
                <w:sz w:val="18"/>
                <w:szCs w:val="18"/>
                <w:color w:val="auto"/>
              </w:rPr>
              <w:t>7.9</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2280" w:type="dxa"/>
            <w:vAlign w:val="bottom"/>
          </w:tcPr>
          <w:p>
            <w:pPr>
              <w:spacing w:after="0"/>
              <w:rPr>
                <w:sz w:val="19"/>
                <w:szCs w:val="19"/>
                <w:color w:val="auto"/>
              </w:rPr>
            </w:pPr>
          </w:p>
        </w:tc>
        <w:tc>
          <w:tcPr>
            <w:tcW w:w="1720" w:type="dxa"/>
            <w:vAlign w:val="bottom"/>
          </w:tcPr>
          <w:p>
            <w:pPr>
              <w:jc w:val="right"/>
              <w:ind w:right="1092"/>
              <w:spacing w:after="0"/>
              <w:rPr>
                <w:sz w:val="20"/>
                <w:szCs w:val="20"/>
                <w:color w:val="auto"/>
              </w:rPr>
            </w:pPr>
            <w:r>
              <w:rPr>
                <w:rFonts w:ascii="Arial" w:cs="Arial" w:eastAsia="Arial" w:hAnsi="Arial"/>
                <w:sz w:val="18"/>
                <w:szCs w:val="18"/>
                <w:color w:val="auto"/>
              </w:rPr>
              <w:t>10.4%</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10.3%</w:t>
            </w:r>
          </w:p>
        </w:tc>
        <w:tc>
          <w:tcPr>
            <w:tcW w:w="1940" w:type="dxa"/>
            <w:vAlign w:val="bottom"/>
          </w:tcPr>
          <w:p>
            <w:pPr>
              <w:jc w:val="right"/>
              <w:ind w:right="412"/>
              <w:spacing w:after="0"/>
              <w:rPr>
                <w:sz w:val="20"/>
                <w:szCs w:val="20"/>
                <w:color w:val="auto"/>
              </w:rPr>
            </w:pPr>
            <w:r>
              <w:rPr>
                <w:rFonts w:ascii="Arial" w:cs="Arial" w:eastAsia="Arial" w:hAnsi="Arial"/>
                <w:sz w:val="18"/>
                <w:szCs w:val="18"/>
                <w:color w:val="auto"/>
              </w:rPr>
              <w:t>12.7%</w:t>
            </w: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110"/>
        </w:trPr>
        <w:tc>
          <w:tcPr>
            <w:tcW w:w="348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-1152525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-869950</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III. ATLANTIC SECURITY HOLDING CORPORATION AND SUBSIDIARIES (“ASHC”)</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for the nine month period ended September 30, 2003 was US$7.8 million, higher than US$5.6 million in the same period of 2002. Net income in the third quarter 2003 was US$2.5 million, compared to US$0.1 million in the same year-ago period. Net income in the first nine months and the third quarter of 2003 increase compared to the same periods of 2002, mainly due to higher returns on the investment portfolio, which offset higher market risk provisions and lower interest margins.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interest income, before risk provisions and not including dividend income, was US$3.6 million in the third quarter of 2003, lower than US$4.3 million in the same quarter of last year. Dividends received in these periods were not significant.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interest margin as a percentage of interest earning assets, without considering dividends, was 2.3% during third quarter 2003, similar to the margin in the preceding second quarter, but decreases compared to 3.0% in the third quarter 2002. With respect to the year-ago period, the margin decreases mainly due to the portfolio shift from higher return fixed income securities in favor of investment grade papers, that offer lower interest rates but that will reduce balance sheet volatility.</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third quarter of 2003 charges against income for market risk provisions amounted to US$1.9 million, lower than US$3.5 million charged in the preceding second quarter, but increase from US$1.0 million provisioned in the year-ago period. In the current quarter there were no provisions for credit risks, while US$0.9 million loan provisions were charged in the preceding period, and also US$0.3 million in the prior year third quarter.</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improved to US$2.5 million in the third quarter of 2003 from a loss of US$0.4 million in the year-ago quarter. Compared to the prior year third quarter, income increases mainly due to higher realized gains on securities transactions, which improve from a loss of US$1.7 million in third quarter 2002, to a US$1.6 million net gain in the third quarter of 2003. Fee income decreased from US$1.3 million in the year-ago quarter to US$0.8 million in the current period, mainly because of administrative services and shared commissions paid to affiliates in the U.S., which are required after the restructuring of Credicorp’s operations in that country.</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loan portfolio, net of provisions, was US$151.1 million as of September 30, 2003, remaining almost unchanged during the quarter, and also compared to loans at September 2002.</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marketable securities portfolio was US$423.3 million at September 2003, over US$359.8 million last June 2003, and increases also from US$298.9 million at the end of third quarter 2002.</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amounted to US$584.5 million at September 30, 2003, remaining similar to the balance at the end of the preceding second quarter, but increases compared to US$537.3 million at the end of the third quarter of 2002.</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were US$598.0 million at September 30, 2003, 6.7% higher than US$560.5 million at the end of June 2003, and grows 17.2% compared to US$510.4 million at the end of the third quarter 2002. The increase is principally due to the introduction of new structured products and funds under management with higher yields than interest paid on bank deposits.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equity reached US$129.5 million at the end of September 2003, higher than US$128.7 million at June 2003, and also compared to US$102.4 million at September 2002. The increase with respect to the year-ago period is mainly due to the increase in the equity account of reserves for market value of investments, which grew from a balance of unrealized losses of US$15.1 million at the end of September 2002, to unrealized gains of US$8.9 million at the end of the current quarter, due to improved values in capital markets of the available for sale proprietary portfolio. The loan portfolio had no past dues.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decrease to 0.9%, annualized, in the third quarter of 2003 compared to the 1.5% ratio during the same period in 2002. This ratio declines to 0.5% in the third quarter of 2003, when funds under management are included within total assets, improving from 0.9% in the prior year quarter. The improvements are mainly due to the closing of ASB’s U.S. agency.</w:t>
      </w:r>
    </w:p>
    <w:p>
      <w:pPr>
        <w:sectPr>
          <w:pgSz w:w="11900" w:h="16838" w:orient="portrait"/>
          <w:cols w:equalWidth="0" w:num="1">
            <w:col w:w="11420"/>
          </w:cols>
          <w:pgMar w:left="240" w:top="1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IV. EL PACIFICO-PERUANO SUIZA AND SUBSIDIARIES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nine month period ended September 30, 2003 a consolidated net income of S/.44.7 million (US$12.8 million), 23.6% over net income of S/.36.2 million (US$10.4 million) in the year-ago period. Net income in the third quarter of 2003 was S/.16.1 million (US$4.6 million), compared to S/.12.4 million (US$3.6 million) in the same quarter of 2002.</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Results in the first nine months of 2003 increase over profits in the same period of the prior year mainly because of gains on the sale of long-term investments (realized during the second quarter) and to higher premiums, which offset increased reserves and comissions, and inflation exposure losses. Net income in the third quarter 2003 increase compared to the prior year quarter mainly due to higher premiums and lower claims, which offset growth in reserves.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Total premiums and Pacifico Salud EPS health fees in the third quarter of 2003 were S/.275.7 million (US$79.2 million), 16.4% over premiums of S/.234.3 million (US$67.3 million) in the year-ago quarter. Net premiums, after deducting reinsurances, were S/.185.6 million (US$53.3 million) in this quarter, increasing 18.5% over the prior year quarter. Net premiums and health fees earned, net of reinsured premiums and reserves, were S/.133.0 million (US$38.2 million) in third quarter 2003, 1.3% over premiums in the prior year quarter. The increase in total premiums is mostly due to life annuities, which require high reserves, and fire insurance operations with government entities, which are mostly reinsured, resulting in a lower growth rate for net premiums earned.</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Additions to technical reserves for premiums grew by S/.54.8 million (US$15.7 million) in the third quarter of 2003, two times larger than additions of S/.26.7 million (US$7.7 million) in the same quarter of last year, most of which were established by Pacífico Vida for its life annuities and life insurance lines.</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Comparing cumulative results for the first nine months of 2003 and 2002, consolidated premiums grew 17.0% reaching S/.782.2 million (US$224.6 million). Total premiums consisted of: i) general insurance lines, that amounted to 57.2% of total premiums and increased 5.9%; ii) fees at Pacífico Salud, that were 8.4% of total premiums, increasing 2.0%; and, iii) premiums by Pacífico Vida, which amounted to 34.4% of the total and grew 48.0%.</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Cumulative through September 30, 2003, growth of Pacífico Salud and the health and medical assistance insurance line (18.3% of total premiums) was 0.6%; fire insurance lines (23.3% of total premiums) increased 14.2%; while the automobile insurance line (5.5% of total premiums) decreased 3.8%. Through September 2003, pension fund benefits insurance (6.6% of total premiums) decreased 6.6%, while group life insurance and individual life insurance policies (10.4% of total premiums) grew 17.3%, and life annuities (16.5% of total premiums) increased 159.6%, compared to the prior year period. Life annuities increased due to the regularization of bonds issued by the public pension fund for past contributions and easier early retirement regulations.</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consolidated underwriting results was S/.31.2 million (US$9.0 million) in the third quarter of 2003, compared to S/.21.8 million (US$6.3 million) in the prior year quarter, mainly due to lower claims. The ratio of net underwriting results (net premiums and health fees less reserves and claims as a percentage of total premiums) was 11.3% in the third quarter of 2003, compared to 9.3% ratio in the prior year quarter. Nevertheless, in first nine months of 2003 this ratio decreased to 7.6% compared to 8.8% in the prior year period, mainly because of higher reserves.</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claims and health services costs incurred in the third quarter of 2003 were S/.84.6 million (US$24.3 million), 8.6% lower than claims in the same quarter of 2002. The net loss ratio (net claims to net premiums) decreases to 45.6% in the current quarter from 59.1% in third quarter 2002, mainly due to higher premiums, and continued improvements in the fire, auto and health insurance lines. In the first nine months of 2003, the net loss ratio was 47.4%, under 58.4% in the same period of 2002, but continues high in pension fund insurance (125.3%), health (75.9%) and in Pacífico Salud (86.4%).</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combined ratio (the sum of net claims and health services, general expenses and commissions, as a percentage of net earned premiums and health fees, without including Pacifico Vida) improved from 88.5% in the third quarter of 2002 to 87.1% in the current quarter, mainly because of lower net claims.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over net premiums declined from 16.1% to 15.2% comparing the third quarters of 2002 and 2003,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S/.1,263 million (US$362.7 million) at the end of the current quarter, increasing 26.9%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2003, total assets were S/.1,779 million (US$511.0 million) increasing 20.7% compared to the year-ago balance. At the end of the current period net equity amounted to S/.381.0 million (US$109.4 million) 7.0% over net equity at September 2002.</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September 30, 2003, had total premiums of US$673.6 million, 36.3% over premiums in the same period in 2002, mainly due to sales of SOAT and life annuities. For the nine eight months of 2003, PPS's market share in total premiums was 30.2% (32.7% in the year-ago period), with the share in general risks and health lines being 32.5% and 34.5, respectively. Market share in life insurance and pension fund benefits lines was 26.7% as of September 2003, and of 29.2% in the same period of 2002.</w:t>
      </w:r>
    </w:p>
    <w:p>
      <w:pPr>
        <w:sectPr>
          <w:pgSz w:w="11900" w:h="16838" w:orient="portrait"/>
          <w:cols w:equalWidth="0" w:num="1">
            <w:col w:w="11420"/>
          </w:cols>
          <w:pgMar w:left="240" w:top="1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b w:val="1"/>
                <w:bCs w:val="1"/>
                <w:color w:val="auto"/>
              </w:rPr>
              <w:t>As of</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24"/>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r>
        <w:trPr>
          <w:trHeight w:val="316"/>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3"/>
          </w:tcPr>
          <w:p>
            <w:pPr>
              <w:ind w:left="1000"/>
              <w:spacing w:after="0"/>
              <w:rPr>
                <w:sz w:val="20"/>
                <w:szCs w:val="20"/>
                <w:color w:val="auto"/>
              </w:rPr>
            </w:pPr>
            <w:r>
              <w:rPr>
                <w:rFonts w:ascii="Arial" w:cs="Arial" w:eastAsia="Arial" w:hAnsi="Arial"/>
                <w:sz w:val="18"/>
                <w:szCs w:val="18"/>
                <w:b w:val="1"/>
                <w:bCs w:val="1"/>
                <w:color w:val="auto"/>
              </w:rPr>
              <w:t>ASSETS</w:t>
            </w:r>
          </w:p>
        </w:tc>
        <w:tc>
          <w:tcPr>
            <w:tcW w:w="192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Sep.30,2002</w:t>
            </w:r>
          </w:p>
        </w:tc>
        <w:tc>
          <w:tcPr>
            <w:tcW w:w="1800" w:type="dxa"/>
            <w:vAlign w:val="bottom"/>
            <w:gridSpan w:val="4"/>
          </w:tcPr>
          <w:p>
            <w:pPr>
              <w:ind w:left="220"/>
              <w:spacing w:after="0"/>
              <w:rPr>
                <w:sz w:val="20"/>
                <w:szCs w:val="20"/>
                <w:color w:val="auto"/>
              </w:rPr>
            </w:pPr>
            <w:r>
              <w:rPr>
                <w:rFonts w:ascii="Arial" w:cs="Arial" w:eastAsia="Arial" w:hAnsi="Arial"/>
                <w:sz w:val="18"/>
                <w:szCs w:val="18"/>
                <w:b w:val="1"/>
                <w:bCs w:val="1"/>
                <w:color w:val="auto"/>
              </w:rPr>
              <w:t>Dec.31,2002</w:t>
            </w:r>
          </w:p>
        </w:tc>
        <w:tc>
          <w:tcPr>
            <w:tcW w:w="1620" w:type="dxa"/>
            <w:vAlign w:val="bottom"/>
            <w:gridSpan w:val="4"/>
          </w:tcPr>
          <w:p>
            <w:pPr>
              <w:ind w:left="100"/>
              <w:spacing w:after="0"/>
              <w:rPr>
                <w:sz w:val="20"/>
                <w:szCs w:val="20"/>
                <w:color w:val="auto"/>
              </w:rPr>
            </w:pPr>
            <w:r>
              <w:rPr>
                <w:rFonts w:ascii="Arial" w:cs="Arial" w:eastAsia="Arial" w:hAnsi="Arial"/>
                <w:sz w:val="18"/>
                <w:szCs w:val="18"/>
                <w:b w:val="1"/>
                <w:bCs w:val="1"/>
                <w:color w:val="auto"/>
              </w:rPr>
              <w:t>Jun. 30,2003</w:t>
            </w:r>
          </w:p>
        </w:tc>
        <w:tc>
          <w:tcPr>
            <w:tcW w:w="15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Sep. 30,2003</w:t>
            </w:r>
          </w:p>
        </w:tc>
      </w:tr>
      <w:tr>
        <w:trPr>
          <w:trHeight w:val="110"/>
        </w:trPr>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r>
        <w:trPr>
          <w:trHeight w:val="277"/>
        </w:trPr>
        <w:tc>
          <w:tcPr>
            <w:tcW w:w="4580" w:type="dxa"/>
            <w:vAlign w:val="bottom"/>
            <w:gridSpan w:val="5"/>
          </w:tcPr>
          <w:p>
            <w:pPr>
              <w:spacing w:after="0"/>
              <w:rPr>
                <w:sz w:val="20"/>
                <w:szCs w:val="20"/>
                <w:color w:val="auto"/>
              </w:rPr>
            </w:pPr>
            <w:r>
              <w:rPr>
                <w:rFonts w:ascii="Arial" w:cs="Arial" w:eastAsia="Arial" w:hAnsi="Arial"/>
                <w:sz w:val="18"/>
                <w:szCs w:val="18"/>
                <w:color w:val="auto"/>
              </w:rPr>
              <w:t>CASH AND DUE FROM BANKS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8"/>
        </w:trPr>
        <w:tc>
          <w:tcPr>
            <w:tcW w:w="4580" w:type="dxa"/>
            <w:vAlign w:val="bottom"/>
            <w:gridSpan w:val="5"/>
          </w:tcPr>
          <w:p>
            <w:pPr>
              <w:spacing w:after="0"/>
              <w:rPr>
                <w:sz w:val="20"/>
                <w:szCs w:val="20"/>
                <w:color w:val="auto"/>
              </w:rPr>
            </w:pPr>
            <w:r>
              <w:rPr>
                <w:rFonts w:ascii="Arial" w:cs="Arial" w:eastAsia="Arial" w:hAnsi="Arial"/>
                <w:sz w:val="18"/>
                <w:szCs w:val="18"/>
                <w:color w:val="auto"/>
              </w:rPr>
              <w:t>Cash and non interest bearing deposits in banks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251.670</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314.404</w:t>
            </w:r>
          </w:p>
        </w:tc>
        <w:tc>
          <w:tcPr>
            <w:tcW w:w="2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251.643</w:t>
            </w: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251.491</w:t>
            </w:r>
          </w:p>
        </w:tc>
      </w:tr>
      <w:tr>
        <w:trPr>
          <w:trHeight w:val="184"/>
        </w:trPr>
        <w:tc>
          <w:tcPr>
            <w:tcW w:w="4580" w:type="dxa"/>
            <w:vAlign w:val="bottom"/>
            <w:gridSpan w:val="5"/>
          </w:tcPr>
          <w:p>
            <w:pPr>
              <w:spacing w:after="0" w:line="184" w:lineRule="exact"/>
              <w:rPr>
                <w:sz w:val="20"/>
                <w:szCs w:val="20"/>
                <w:color w:val="auto"/>
              </w:rPr>
            </w:pPr>
            <w:r>
              <w:rPr>
                <w:rFonts w:ascii="Arial" w:cs="Arial" w:eastAsia="Arial" w:hAnsi="Arial"/>
                <w:sz w:val="18"/>
                <w:szCs w:val="18"/>
                <w:color w:val="auto"/>
              </w:rPr>
              <w:t>Interest bearing deposits in banks</w:t>
            </w:r>
          </w:p>
        </w:tc>
        <w:tc>
          <w:tcPr>
            <w:tcW w:w="17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768.854</w:t>
            </w:r>
          </w:p>
        </w:tc>
        <w:tc>
          <w:tcPr>
            <w:tcW w:w="200" w:type="dxa"/>
            <w:vAlign w:val="bottom"/>
          </w:tcPr>
          <w:p>
            <w:pPr>
              <w:spacing w:after="0"/>
              <w:rPr>
                <w:sz w:val="15"/>
                <w:szCs w:val="15"/>
                <w:color w:val="auto"/>
              </w:rPr>
            </w:pPr>
          </w:p>
        </w:tc>
        <w:tc>
          <w:tcPr>
            <w:tcW w:w="15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867.987</w:t>
            </w:r>
          </w:p>
        </w:tc>
        <w:tc>
          <w:tcPr>
            <w:tcW w:w="280" w:type="dxa"/>
            <w:vAlign w:val="bottom"/>
          </w:tcPr>
          <w:p>
            <w:pPr>
              <w:spacing w:after="0"/>
              <w:rPr>
                <w:sz w:val="15"/>
                <w:szCs w:val="15"/>
                <w:color w:val="auto"/>
              </w:rPr>
            </w:pPr>
          </w:p>
        </w:tc>
        <w:tc>
          <w:tcPr>
            <w:tcW w:w="14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616.400</w:t>
            </w:r>
          </w:p>
        </w:tc>
        <w:tc>
          <w:tcPr>
            <w:tcW w:w="200" w:type="dxa"/>
            <w:vAlign w:val="bottom"/>
          </w:tcPr>
          <w:p>
            <w:pPr>
              <w:spacing w:after="0"/>
              <w:rPr>
                <w:sz w:val="15"/>
                <w:szCs w:val="15"/>
                <w:color w:val="auto"/>
              </w:rPr>
            </w:pPr>
          </w:p>
        </w:tc>
        <w:tc>
          <w:tcPr>
            <w:tcW w:w="15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488.942</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020.524</w:t>
            </w:r>
          </w:p>
        </w:tc>
        <w:tc>
          <w:tcPr>
            <w:tcW w:w="200" w:type="dxa"/>
            <w:vAlign w:val="bottom"/>
          </w:tcPr>
          <w:p>
            <w:pPr>
              <w:spacing w:after="0"/>
              <w:rPr>
                <w:sz w:val="17"/>
                <w:szCs w:val="17"/>
                <w:color w:val="auto"/>
              </w:rPr>
            </w:pPr>
          </w:p>
        </w:tc>
        <w:tc>
          <w:tcPr>
            <w:tcW w:w="1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182.391</w:t>
            </w:r>
          </w:p>
        </w:tc>
        <w:tc>
          <w:tcPr>
            <w:tcW w:w="280" w:type="dxa"/>
            <w:vAlign w:val="bottom"/>
          </w:tcPr>
          <w:p>
            <w:pPr>
              <w:spacing w:after="0"/>
              <w:rPr>
                <w:sz w:val="17"/>
                <w:szCs w:val="17"/>
                <w:color w:val="auto"/>
              </w:rPr>
            </w:pPr>
          </w:p>
        </w:tc>
        <w:tc>
          <w:tcPr>
            <w:tcW w:w="1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868.043</w:t>
            </w:r>
          </w:p>
        </w:tc>
        <w:tc>
          <w:tcPr>
            <w:tcW w:w="200" w:type="dxa"/>
            <w:vAlign w:val="bottom"/>
          </w:tcPr>
          <w:p>
            <w:pPr>
              <w:spacing w:after="0"/>
              <w:rPr>
                <w:sz w:val="17"/>
                <w:szCs w:val="17"/>
                <w:color w:val="auto"/>
              </w:rPr>
            </w:pPr>
          </w:p>
        </w:tc>
        <w:tc>
          <w:tcPr>
            <w:tcW w:w="15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740.433</w:t>
            </w:r>
          </w:p>
        </w:tc>
      </w:tr>
      <w:tr>
        <w:trPr>
          <w:trHeight w:val="451"/>
        </w:trPr>
        <w:tc>
          <w:tcPr>
            <w:tcW w:w="4580" w:type="dxa"/>
            <w:vAlign w:val="bottom"/>
            <w:gridSpan w:val="5"/>
          </w:tcPr>
          <w:p>
            <w:pPr>
              <w:spacing w:after="0"/>
              <w:rPr>
                <w:sz w:val="20"/>
                <w:szCs w:val="20"/>
                <w:color w:val="auto"/>
              </w:rPr>
            </w:pPr>
            <w:r>
              <w:rPr>
                <w:rFonts w:ascii="Arial" w:cs="Arial" w:eastAsia="Arial" w:hAnsi="Arial"/>
                <w:sz w:val="18"/>
                <w:szCs w:val="18"/>
                <w:color w:val="auto"/>
              </w:rPr>
              <w:t>MARKETABLE SECURITIES, net</w:t>
            </w:r>
          </w:p>
        </w:tc>
        <w:tc>
          <w:tcPr>
            <w:tcW w:w="1040" w:type="dxa"/>
            <w:vAlign w:val="bottom"/>
          </w:tcPr>
          <w:p>
            <w:pPr>
              <w:spacing w:after="0"/>
              <w:rPr>
                <w:sz w:val="24"/>
                <w:szCs w:val="24"/>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94.753</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79.925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68.081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115.721</w:t>
            </w:r>
          </w:p>
        </w:tc>
      </w:tr>
      <w:tr>
        <w:trPr>
          <w:trHeight w:val="394"/>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3980" w:type="dxa"/>
            <w:vAlign w:val="bottom"/>
            <w:gridSpan w:val="4"/>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869.572</w:t>
            </w:r>
          </w:p>
        </w:tc>
        <w:tc>
          <w:tcPr>
            <w:tcW w:w="2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817.662</w:t>
            </w: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581.397</w:t>
            </w:r>
          </w:p>
        </w:tc>
        <w:tc>
          <w:tcPr>
            <w:tcW w:w="2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471.996</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w w:val="96"/>
              </w:rPr>
              <w:t>Current</w:t>
            </w:r>
          </w:p>
        </w:tc>
        <w:tc>
          <w:tcPr>
            <w:tcW w:w="3980" w:type="dxa"/>
            <w:vAlign w:val="bottom"/>
            <w:gridSpan w:val="4"/>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3.559.161</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4.412.345</w:t>
            </w:r>
          </w:p>
        </w:tc>
        <w:tc>
          <w:tcPr>
            <w:tcW w:w="2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4.221.341</w:t>
            </w: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4.130.984</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Past Due</w:t>
            </w:r>
          </w:p>
        </w:tc>
        <w:tc>
          <w:tcPr>
            <w:tcW w:w="1920" w:type="dxa"/>
            <w:vAlign w:val="bottom"/>
            <w:gridSpan w:val="4"/>
          </w:tcPr>
          <w:p>
            <w:pPr>
              <w:jc w:val="right"/>
              <w:ind w:right="200"/>
              <w:spacing w:after="0"/>
              <w:rPr>
                <w:sz w:val="20"/>
                <w:szCs w:val="20"/>
                <w:color w:val="auto"/>
              </w:rPr>
            </w:pPr>
            <w:r>
              <w:rPr>
                <w:rFonts w:ascii="Arial" w:cs="Arial" w:eastAsia="Arial" w:hAnsi="Arial"/>
                <w:sz w:val="18"/>
                <w:szCs w:val="18"/>
                <w:color w:val="auto"/>
              </w:rPr>
              <w:t>310.411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405.317</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360.056</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341.012</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Less - Reserve for possible loan losses</w:t>
            </w:r>
          </w:p>
        </w:tc>
        <w:tc>
          <w:tcPr>
            <w:tcW w:w="1920" w:type="dxa"/>
            <w:vAlign w:val="bottom"/>
            <w:gridSpan w:val="4"/>
          </w:tcPr>
          <w:p>
            <w:pPr>
              <w:jc w:val="right"/>
              <w:ind w:right="200"/>
              <w:spacing w:after="0"/>
              <w:rPr>
                <w:sz w:val="20"/>
                <w:szCs w:val="20"/>
                <w:color w:val="auto"/>
              </w:rPr>
            </w:pPr>
            <w:r>
              <w:rPr>
                <w:rFonts w:ascii="Arial" w:cs="Arial" w:eastAsia="Arial" w:hAnsi="Arial"/>
                <w:sz w:val="18"/>
                <w:szCs w:val="18"/>
                <w:color w:val="auto"/>
              </w:rPr>
              <w:t>(310.787)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(420.809)</w:t>
            </w:r>
          </w:p>
        </w:tc>
        <w:tc>
          <w:tcPr>
            <w:tcW w:w="280" w:type="dxa"/>
            <w:vAlign w:val="bottom"/>
          </w:tcPr>
          <w:p>
            <w:pPr>
              <w:spacing w:after="0"/>
              <w:rPr>
                <w:sz w:val="18"/>
                <w:szCs w:val="18"/>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(407.117)</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(387.820)</w:t>
            </w: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3600" w:type="dxa"/>
            <w:vAlign w:val="bottom"/>
            <w:gridSpan w:val="3"/>
          </w:tcPr>
          <w:p>
            <w:pPr>
              <w:spacing w:after="0"/>
              <w:rPr>
                <w:sz w:val="15"/>
                <w:szCs w:val="15"/>
                <w:color w:val="auto"/>
              </w:rPr>
            </w:pPr>
          </w:p>
        </w:tc>
        <w:tc>
          <w:tcPr>
            <w:tcW w:w="17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558.785</w:t>
            </w:r>
          </w:p>
        </w:tc>
        <w:tc>
          <w:tcPr>
            <w:tcW w:w="200" w:type="dxa"/>
            <w:vAlign w:val="bottom"/>
          </w:tcPr>
          <w:p>
            <w:pPr>
              <w:spacing w:after="0"/>
              <w:rPr>
                <w:sz w:val="15"/>
                <w:szCs w:val="15"/>
                <w:color w:val="auto"/>
              </w:rPr>
            </w:pPr>
          </w:p>
        </w:tc>
        <w:tc>
          <w:tcPr>
            <w:tcW w:w="15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396.853</w:t>
            </w:r>
          </w:p>
        </w:tc>
        <w:tc>
          <w:tcPr>
            <w:tcW w:w="280" w:type="dxa"/>
            <w:vAlign w:val="bottom"/>
          </w:tcPr>
          <w:p>
            <w:pPr>
              <w:spacing w:after="0"/>
              <w:rPr>
                <w:sz w:val="15"/>
                <w:szCs w:val="15"/>
                <w:color w:val="auto"/>
              </w:rPr>
            </w:pPr>
          </w:p>
        </w:tc>
        <w:tc>
          <w:tcPr>
            <w:tcW w:w="14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174.280</w:t>
            </w:r>
          </w:p>
        </w:tc>
        <w:tc>
          <w:tcPr>
            <w:tcW w:w="200" w:type="dxa"/>
            <w:vAlign w:val="bottom"/>
          </w:tcPr>
          <w:p>
            <w:pPr>
              <w:spacing w:after="0"/>
              <w:rPr>
                <w:sz w:val="15"/>
                <w:szCs w:val="15"/>
                <w:color w:val="auto"/>
              </w:rPr>
            </w:pPr>
          </w:p>
        </w:tc>
        <w:tc>
          <w:tcPr>
            <w:tcW w:w="15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084.176</w:t>
            </w: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444"/>
        </w:trPr>
        <w:tc>
          <w:tcPr>
            <w:tcW w:w="4580" w:type="dxa"/>
            <w:vAlign w:val="bottom"/>
            <w:gridSpan w:val="5"/>
          </w:tcPr>
          <w:p>
            <w:pPr>
              <w:spacing w:after="0"/>
              <w:rPr>
                <w:sz w:val="20"/>
                <w:szCs w:val="20"/>
                <w:color w:val="auto"/>
              </w:rPr>
            </w:pPr>
            <w:r>
              <w:rPr>
                <w:rFonts w:ascii="Arial" w:cs="Arial" w:eastAsia="Arial" w:hAnsi="Arial"/>
                <w:sz w:val="18"/>
                <w:szCs w:val="18"/>
                <w:color w:val="auto"/>
              </w:rPr>
              <w:t>INVESTMENT SECURITIES AVAILABLE FOR SALE</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1.041.641</w:t>
            </w:r>
          </w:p>
        </w:tc>
        <w:tc>
          <w:tcPr>
            <w:tcW w:w="2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1.167.400</w:t>
            </w: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1.328.701</w:t>
            </w:r>
          </w:p>
        </w:tc>
        <w:tc>
          <w:tcPr>
            <w:tcW w:w="2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1.493.526</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REINSURANCE ASSETS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39.279</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29.677</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33.846</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47.142</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w w:val="94"/>
              </w:rPr>
              <w:t>PREMIUMS AND OTHER POLICYHOLDER RECEIVABLES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63.020</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61.856</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56.890</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61.212</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244.050</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288.889</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278.002</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268.498</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DUE FROM CUSTOMERS ON ACCEPTANCES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30.453</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36.068</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43.078</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51.821</w:t>
            </w:r>
          </w:p>
        </w:tc>
      </w:tr>
      <w:tr>
        <w:trPr>
          <w:trHeight w:val="222"/>
        </w:trPr>
        <w:tc>
          <w:tcPr>
            <w:tcW w:w="458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306.543</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376.660</w:t>
            </w:r>
          </w:p>
        </w:tc>
        <w:tc>
          <w:tcPr>
            <w:tcW w:w="2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383.210</w:t>
            </w: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361.416</w:t>
            </w:r>
          </w:p>
        </w:tc>
      </w:tr>
      <w:tr>
        <w:trPr>
          <w:trHeight w:val="432"/>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7.399.048</w:t>
            </w:r>
          </w:p>
        </w:tc>
        <w:tc>
          <w:tcPr>
            <w:tcW w:w="2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8.619.719</w:t>
            </w: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8.234.131</w:t>
            </w:r>
          </w:p>
        </w:tc>
        <w:tc>
          <w:tcPr>
            <w:tcW w:w="2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8.223.945</w:t>
            </w:r>
          </w:p>
        </w:tc>
      </w:tr>
      <w:tr>
        <w:trPr>
          <w:trHeight w:val="326"/>
        </w:trPr>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r>
        <w:trPr>
          <w:trHeight w:val="309"/>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4"/>
        </w:trPr>
        <w:tc>
          <w:tcPr>
            <w:tcW w:w="4580" w:type="dxa"/>
            <w:vAlign w:val="bottom"/>
            <w:gridSpan w:val="5"/>
          </w:tcPr>
          <w:p>
            <w:pPr>
              <w:spacing w:after="0" w:line="184" w:lineRule="exact"/>
              <w:rPr>
                <w:sz w:val="20"/>
                <w:szCs w:val="20"/>
                <w:color w:val="auto"/>
              </w:rPr>
            </w:pPr>
            <w:r>
              <w:rPr>
                <w:rFonts w:ascii="Arial" w:cs="Arial" w:eastAsia="Arial" w:hAnsi="Arial"/>
                <w:sz w:val="18"/>
                <w:szCs w:val="18"/>
                <w:color w:val="auto"/>
              </w:rPr>
              <w:t>DEPOSITS AND OBLIGATIONS: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8"/>
        </w:trPr>
        <w:tc>
          <w:tcPr>
            <w:tcW w:w="2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Non-interest bearing</w:t>
            </w:r>
          </w:p>
        </w:tc>
        <w:tc>
          <w:tcPr>
            <w:tcW w:w="20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685.739</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822.883</w:t>
            </w:r>
          </w:p>
        </w:tc>
        <w:tc>
          <w:tcPr>
            <w:tcW w:w="2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812.058</w:t>
            </w: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813.726</w:t>
            </w:r>
          </w:p>
        </w:tc>
      </w:tr>
      <w:tr>
        <w:trPr>
          <w:trHeight w:val="184"/>
        </w:trPr>
        <w:tc>
          <w:tcPr>
            <w:tcW w:w="4580" w:type="dxa"/>
            <w:vAlign w:val="bottom"/>
            <w:gridSpan w:val="5"/>
          </w:tcPr>
          <w:p>
            <w:pPr>
              <w:spacing w:after="0" w:line="184" w:lineRule="exact"/>
              <w:rPr>
                <w:sz w:val="20"/>
                <w:szCs w:val="20"/>
                <w:color w:val="auto"/>
              </w:rPr>
            </w:pPr>
            <w:r>
              <w:rPr>
                <w:rFonts w:ascii="Arial" w:cs="Arial" w:eastAsia="Arial" w:hAnsi="Arial"/>
                <w:sz w:val="18"/>
                <w:szCs w:val="18"/>
                <w:color w:val="auto"/>
              </w:rPr>
              <w:t>Interest bearing</w:t>
            </w:r>
          </w:p>
        </w:tc>
        <w:tc>
          <w:tcPr>
            <w:tcW w:w="17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948.560</w:t>
            </w:r>
          </w:p>
        </w:tc>
        <w:tc>
          <w:tcPr>
            <w:tcW w:w="200" w:type="dxa"/>
            <w:vAlign w:val="bottom"/>
          </w:tcPr>
          <w:p>
            <w:pPr>
              <w:spacing w:after="0"/>
              <w:rPr>
                <w:sz w:val="15"/>
                <w:szCs w:val="15"/>
                <w:color w:val="auto"/>
              </w:rPr>
            </w:pPr>
          </w:p>
        </w:tc>
        <w:tc>
          <w:tcPr>
            <w:tcW w:w="15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933.819</w:t>
            </w:r>
          </w:p>
        </w:tc>
        <w:tc>
          <w:tcPr>
            <w:tcW w:w="280" w:type="dxa"/>
            <w:vAlign w:val="bottom"/>
          </w:tcPr>
          <w:p>
            <w:pPr>
              <w:spacing w:after="0"/>
              <w:rPr>
                <w:sz w:val="15"/>
                <w:szCs w:val="15"/>
                <w:color w:val="auto"/>
              </w:rPr>
            </w:pPr>
          </w:p>
        </w:tc>
        <w:tc>
          <w:tcPr>
            <w:tcW w:w="14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540.923</w:t>
            </w:r>
          </w:p>
        </w:tc>
        <w:tc>
          <w:tcPr>
            <w:tcW w:w="200" w:type="dxa"/>
            <w:vAlign w:val="bottom"/>
          </w:tcPr>
          <w:p>
            <w:pPr>
              <w:spacing w:after="0"/>
              <w:rPr>
                <w:sz w:val="15"/>
                <w:szCs w:val="15"/>
                <w:color w:val="auto"/>
              </w:rPr>
            </w:pPr>
          </w:p>
        </w:tc>
        <w:tc>
          <w:tcPr>
            <w:tcW w:w="15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444.272</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634.299</w:t>
            </w:r>
          </w:p>
        </w:tc>
        <w:tc>
          <w:tcPr>
            <w:tcW w:w="200" w:type="dxa"/>
            <w:vAlign w:val="bottom"/>
          </w:tcPr>
          <w:p>
            <w:pPr>
              <w:spacing w:after="0"/>
              <w:rPr>
                <w:sz w:val="17"/>
                <w:szCs w:val="17"/>
                <w:color w:val="auto"/>
              </w:rPr>
            </w:pPr>
          </w:p>
        </w:tc>
        <w:tc>
          <w:tcPr>
            <w:tcW w:w="1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756.702</w:t>
            </w:r>
          </w:p>
        </w:tc>
        <w:tc>
          <w:tcPr>
            <w:tcW w:w="280" w:type="dxa"/>
            <w:vAlign w:val="bottom"/>
          </w:tcPr>
          <w:p>
            <w:pPr>
              <w:spacing w:after="0"/>
              <w:rPr>
                <w:sz w:val="17"/>
                <w:szCs w:val="17"/>
                <w:color w:val="auto"/>
              </w:rPr>
            </w:pPr>
          </w:p>
        </w:tc>
        <w:tc>
          <w:tcPr>
            <w:tcW w:w="1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352.981</w:t>
            </w:r>
          </w:p>
        </w:tc>
        <w:tc>
          <w:tcPr>
            <w:tcW w:w="200" w:type="dxa"/>
            <w:vAlign w:val="bottom"/>
          </w:tcPr>
          <w:p>
            <w:pPr>
              <w:spacing w:after="0"/>
              <w:rPr>
                <w:sz w:val="17"/>
                <w:szCs w:val="17"/>
                <w:color w:val="auto"/>
              </w:rPr>
            </w:pPr>
          </w:p>
        </w:tc>
        <w:tc>
          <w:tcPr>
            <w:tcW w:w="15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257.998</w:t>
            </w:r>
          </w:p>
        </w:tc>
      </w:tr>
      <w:tr>
        <w:trPr>
          <w:trHeight w:val="444"/>
        </w:trPr>
        <w:tc>
          <w:tcPr>
            <w:tcW w:w="4580" w:type="dxa"/>
            <w:vAlign w:val="bottom"/>
            <w:gridSpan w:val="5"/>
          </w:tcPr>
          <w:p>
            <w:pPr>
              <w:spacing w:after="0"/>
              <w:rPr>
                <w:sz w:val="20"/>
                <w:szCs w:val="20"/>
                <w:color w:val="auto"/>
              </w:rPr>
            </w:pPr>
            <w:r>
              <w:rPr>
                <w:rFonts w:ascii="Arial" w:cs="Arial" w:eastAsia="Arial" w:hAnsi="Arial"/>
                <w:sz w:val="18"/>
                <w:szCs w:val="18"/>
                <w:color w:val="auto"/>
              </w:rPr>
              <w:t>DUE TO BANKS AND CORRESPONDENTS</w:t>
            </w:r>
          </w:p>
        </w:tc>
        <w:tc>
          <w:tcPr>
            <w:tcW w:w="1040" w:type="dxa"/>
            <w:vAlign w:val="bottom"/>
          </w:tcPr>
          <w:p>
            <w:pPr>
              <w:spacing w:after="0"/>
              <w:rPr>
                <w:sz w:val="24"/>
                <w:szCs w:val="24"/>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305.384</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309.698</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286.857</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279.660</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ACCEPTANCES OUTSTANDING</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30.453</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36.068</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43.078</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51.821</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RESERVE FOR PROPERTY AND CASUALTY CLAIMS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212.514</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224.754</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274.596</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289.245</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RESERVE FOR UNEARNED PREMIUMS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51.189</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48.703</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49.255</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63.905</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REINSURANCE PAYABLE</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30.564</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23.253</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23.815</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43.737</w:t>
            </w:r>
          </w:p>
        </w:tc>
      </w:tr>
      <w:tr>
        <w:trPr>
          <w:trHeight w:val="216"/>
        </w:trPr>
        <w:tc>
          <w:tcPr>
            <w:tcW w:w="458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271.845</w:t>
            </w: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332.000</w:t>
            </w: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281.172</w:t>
            </w: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273.633</w:t>
            </w:r>
          </w:p>
        </w:tc>
      </w:tr>
      <w:tr>
        <w:trPr>
          <w:trHeight w:val="222"/>
        </w:trPr>
        <w:tc>
          <w:tcPr>
            <w:tcW w:w="4580" w:type="dxa"/>
            <w:vAlign w:val="bottom"/>
            <w:gridSpan w:val="5"/>
          </w:tcPr>
          <w:p>
            <w:pPr>
              <w:spacing w:after="0"/>
              <w:rPr>
                <w:sz w:val="20"/>
                <w:szCs w:val="20"/>
                <w:color w:val="auto"/>
              </w:rPr>
            </w:pPr>
            <w:r>
              <w:rPr>
                <w:rFonts w:ascii="Arial" w:cs="Arial" w:eastAsia="Arial" w:hAnsi="Arial"/>
                <w:sz w:val="18"/>
                <w:szCs w:val="18"/>
                <w:color w:val="auto"/>
              </w:rPr>
              <w:t>MINORITY INTEREST</w:t>
            </w:r>
          </w:p>
        </w:tc>
        <w:tc>
          <w:tcPr>
            <w:tcW w:w="1920" w:type="dxa"/>
            <w:vAlign w:val="bottom"/>
            <w:gridSpan w:val="4"/>
          </w:tcPr>
          <w:p>
            <w:pPr>
              <w:jc w:val="right"/>
              <w:ind w:right="200"/>
              <w:spacing w:after="0"/>
              <w:rPr>
                <w:sz w:val="20"/>
                <w:szCs w:val="20"/>
                <w:color w:val="auto"/>
              </w:rPr>
            </w:pPr>
            <w:r>
              <w:rPr>
                <w:rFonts w:ascii="Arial" w:cs="Arial" w:eastAsia="Arial" w:hAnsi="Arial"/>
                <w:sz w:val="18"/>
                <w:szCs w:val="18"/>
                <w:color w:val="auto"/>
              </w:rPr>
              <w:t>64.311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64.742</w:t>
            </w:r>
          </w:p>
        </w:tc>
        <w:tc>
          <w:tcPr>
            <w:tcW w:w="2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66.866</w:t>
            </w: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71.723</w:t>
            </w:r>
          </w:p>
        </w:tc>
      </w:tr>
      <w:tr>
        <w:trPr>
          <w:trHeight w:val="432"/>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6.600.559</w:t>
            </w:r>
          </w:p>
        </w:tc>
        <w:tc>
          <w:tcPr>
            <w:tcW w:w="2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7.795.920</w:t>
            </w: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7.378.620</w:t>
            </w:r>
          </w:p>
        </w:tc>
        <w:tc>
          <w:tcPr>
            <w:tcW w:w="2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7.331.722</w:t>
            </w:r>
          </w:p>
        </w:tc>
      </w:tr>
      <w:tr>
        <w:trPr>
          <w:trHeight w:val="394"/>
        </w:trPr>
        <w:tc>
          <w:tcPr>
            <w:tcW w:w="4580" w:type="dxa"/>
            <w:vAlign w:val="bottom"/>
            <w:gridSpan w:val="5"/>
          </w:tcPr>
          <w:p>
            <w:pPr>
              <w:spacing w:after="0"/>
              <w:rPr>
                <w:sz w:val="20"/>
                <w:szCs w:val="20"/>
                <w:color w:val="auto"/>
              </w:rPr>
            </w:pPr>
            <w:r>
              <w:rPr>
                <w:rFonts w:ascii="Arial" w:cs="Arial" w:eastAsia="Arial" w:hAnsi="Arial"/>
                <w:sz w:val="18"/>
                <w:szCs w:val="18"/>
                <w:color w:val="auto"/>
              </w:rPr>
              <w:t>NET SHAREHOLDERS' EQUITY</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798.</w:t>
            </w:r>
            <w:r>
              <w:rPr>
                <w:rFonts w:ascii="Arial" w:cs="Arial" w:eastAsia="Arial" w:hAnsi="Arial"/>
                <w:sz w:val="18"/>
                <w:szCs w:val="18"/>
                <w:u w:val="single" w:color="auto"/>
                <w:color w:val="auto"/>
              </w:rPr>
              <w:t>489</w:t>
            </w:r>
          </w:p>
        </w:tc>
        <w:tc>
          <w:tcPr>
            <w:tcW w:w="2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823.</w:t>
            </w:r>
            <w:r>
              <w:rPr>
                <w:rFonts w:ascii="Arial" w:cs="Arial" w:eastAsia="Arial" w:hAnsi="Arial"/>
                <w:sz w:val="18"/>
                <w:szCs w:val="18"/>
                <w:u w:val="single" w:color="auto"/>
                <w:color w:val="auto"/>
              </w:rPr>
              <w:t>799</w:t>
            </w:r>
          </w:p>
        </w:tc>
        <w:tc>
          <w:tcPr>
            <w:tcW w:w="280" w:type="dxa"/>
            <w:vAlign w:val="bottom"/>
          </w:tcPr>
          <w:p>
            <w:pPr>
              <w:spacing w:after="0"/>
              <w:rPr>
                <w:sz w:val="24"/>
                <w:szCs w:val="24"/>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855.</w:t>
            </w:r>
            <w:r>
              <w:rPr>
                <w:rFonts w:ascii="Arial" w:cs="Arial" w:eastAsia="Arial" w:hAnsi="Arial"/>
                <w:sz w:val="18"/>
                <w:szCs w:val="18"/>
                <w:u w:val="single" w:color="auto"/>
                <w:color w:val="auto"/>
              </w:rPr>
              <w:t>511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892.</w:t>
            </w:r>
            <w:r>
              <w:rPr>
                <w:rFonts w:ascii="Arial" w:cs="Arial" w:eastAsia="Arial" w:hAnsi="Arial"/>
                <w:sz w:val="18"/>
                <w:szCs w:val="18"/>
                <w:u w:val="single" w:color="auto"/>
                <w:color w:val="auto"/>
              </w:rPr>
              <w:t>223</w:t>
            </w:r>
          </w:p>
        </w:tc>
      </w:tr>
      <w:tr>
        <w:trPr>
          <w:trHeight w:val="20"/>
        </w:trPr>
        <w:tc>
          <w:tcPr>
            <w:tcW w:w="2500" w:type="dxa"/>
            <w:vAlign w:val="bottom"/>
            <w:gridSpan w:val="4"/>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438"/>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NET SHAREHOLDERS'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EQUITY</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7.399.048</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8.619.719</w:t>
            </w:r>
          </w:p>
        </w:tc>
        <w:tc>
          <w:tcPr>
            <w:tcW w:w="2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8.234.131</w:t>
            </w:r>
          </w:p>
        </w:tc>
        <w:tc>
          <w:tcPr>
            <w:tcW w:w="2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8.223.945</w:t>
            </w:r>
          </w:p>
        </w:tc>
      </w:tr>
      <w:tr>
        <w:trPr>
          <w:trHeight w:val="432"/>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CONTINGENT CREDITS</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1.310.519</w:t>
            </w:r>
          </w:p>
        </w:tc>
        <w:tc>
          <w:tcPr>
            <w:tcW w:w="2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1.637.050</w:t>
            </w:r>
          </w:p>
        </w:tc>
        <w:tc>
          <w:tcPr>
            <w:tcW w:w="2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1.497.043</w:t>
            </w:r>
          </w:p>
        </w:tc>
        <w:tc>
          <w:tcPr>
            <w:tcW w:w="2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1.373.995</w:t>
            </w:r>
          </w:p>
        </w:tc>
      </w:tr>
      <w:tr>
        <w:trPr>
          <w:trHeight w:val="326"/>
        </w:trPr>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-6769735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-6486525</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-3322320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-3322320</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86"/>
              </w:rPr>
              <w:t>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5"/>
          </w:tcPr>
          <w:p>
            <w:pPr>
              <w:ind w:left="320"/>
              <w:spacing w:after="0"/>
              <w:rPr>
                <w:sz w:val="20"/>
                <w:szCs w:val="20"/>
                <w:color w:val="auto"/>
              </w:rPr>
            </w:pPr>
            <w:r>
              <w:rPr>
                <w:rFonts w:ascii="Arial" w:cs="Arial" w:eastAsia="Arial" w:hAnsi="Arial"/>
                <w:sz w:val="18"/>
                <w:szCs w:val="18"/>
                <w:b w:val="1"/>
                <w:bCs w:val="1"/>
                <w:color w:val="auto"/>
                <w:w w:val="86"/>
              </w:rPr>
              <w:t>Nine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110"/>
        </w:trPr>
        <w:tc>
          <w:tcPr>
            <w:tcW w:w="14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r>
        <w:trPr>
          <w:trHeight w:val="316"/>
        </w:trPr>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30.09.02</w:t>
            </w: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30.06.03</w:t>
            </w:r>
          </w:p>
        </w:tc>
        <w:tc>
          <w:tcPr>
            <w:tcW w:w="42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30.09.03</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30.09.02</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30.09.03</w:t>
            </w:r>
          </w:p>
        </w:tc>
      </w:tr>
      <w:tr>
        <w:trPr>
          <w:trHeight w:val="110"/>
        </w:trPr>
        <w:tc>
          <w:tcPr>
            <w:tcW w:w="14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r>
        <w:trPr>
          <w:trHeight w:val="309"/>
        </w:trPr>
        <w:tc>
          <w:tcPr>
            <w:tcW w:w="45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Interest on loans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98.991</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109.839</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111.241</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319.027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334.429</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Interest and dividends on investments: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304</w:t>
            </w: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845</w:t>
            </w:r>
          </w:p>
        </w:tc>
        <w:tc>
          <w:tcPr>
            <w:tcW w:w="42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303</w:t>
            </w:r>
          </w:p>
        </w:tc>
        <w:tc>
          <w:tcPr>
            <w:tcW w:w="320" w:type="dxa"/>
            <w:vAlign w:val="bottom"/>
          </w:tcPr>
          <w:p>
            <w:pPr>
              <w:spacing w:after="0"/>
              <w:rPr>
                <w:sz w:val="18"/>
                <w:szCs w:val="18"/>
                <w:color w:val="auto"/>
              </w:rPr>
            </w:pP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1.803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1.155</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Interest on deposits with banks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10.420</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4.508</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3.647</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26.286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14.301</w:t>
            </w:r>
          </w:p>
        </w:tc>
      </w:tr>
      <w:tr>
        <w:trPr>
          <w:trHeight w:val="184"/>
        </w:trPr>
        <w:tc>
          <w:tcPr>
            <w:tcW w:w="4580" w:type="dxa"/>
            <w:vAlign w:val="bottom"/>
            <w:gridSpan w:val="3"/>
          </w:tcPr>
          <w:p>
            <w:pPr>
              <w:spacing w:after="0" w:line="184" w:lineRule="exact"/>
              <w:rPr>
                <w:sz w:val="20"/>
                <w:szCs w:val="20"/>
                <w:color w:val="auto"/>
              </w:rPr>
            </w:pPr>
            <w:r>
              <w:rPr>
                <w:rFonts w:ascii="Arial" w:cs="Arial" w:eastAsia="Arial" w:hAnsi="Arial"/>
                <w:sz w:val="18"/>
                <w:szCs w:val="18"/>
                <w:color w:val="auto"/>
              </w:rPr>
              <w:t>Interest on trading securities</w:t>
            </w:r>
          </w:p>
        </w:tc>
        <w:tc>
          <w:tcPr>
            <w:tcW w:w="980" w:type="dxa"/>
            <w:vAlign w:val="bottom"/>
            <w:gridSpan w:val="4"/>
          </w:tcPr>
          <w:p>
            <w:pPr>
              <w:spacing w:after="0"/>
              <w:rPr>
                <w:sz w:val="15"/>
                <w:szCs w:val="15"/>
                <w:color w:val="auto"/>
              </w:rPr>
            </w:pPr>
          </w:p>
        </w:tc>
        <w:tc>
          <w:tcPr>
            <w:tcW w:w="4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4"/>
              </w:rPr>
              <w:t>9.</w:t>
            </w:r>
            <w:r>
              <w:rPr>
                <w:rFonts w:ascii="Arial" w:cs="Arial" w:eastAsia="Arial" w:hAnsi="Arial"/>
                <w:sz w:val="18"/>
                <w:szCs w:val="18"/>
                <w:u w:val="single" w:color="auto"/>
                <w:color w:val="auto"/>
                <w:w w:val="84"/>
              </w:rPr>
              <w:t>612</w:t>
            </w:r>
          </w:p>
        </w:tc>
        <w:tc>
          <w:tcPr>
            <w:tcW w:w="880" w:type="dxa"/>
            <w:vAlign w:val="bottom"/>
            <w:gridSpan w:val="3"/>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14.</w:t>
            </w:r>
            <w:r>
              <w:rPr>
                <w:rFonts w:ascii="Arial" w:cs="Arial" w:eastAsia="Arial" w:hAnsi="Arial"/>
                <w:sz w:val="18"/>
                <w:szCs w:val="18"/>
                <w:u w:val="single" w:color="auto"/>
                <w:color w:val="auto"/>
                <w:w w:val="83"/>
              </w:rPr>
              <w:t>785</w:t>
            </w:r>
          </w:p>
        </w:tc>
        <w:tc>
          <w:tcPr>
            <w:tcW w:w="4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8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83"/>
              </w:rPr>
              <w:t>14.</w:t>
            </w:r>
            <w:r>
              <w:rPr>
                <w:rFonts w:ascii="Arial" w:cs="Arial" w:eastAsia="Arial" w:hAnsi="Arial"/>
                <w:sz w:val="18"/>
                <w:szCs w:val="18"/>
                <w:u w:val="single" w:color="auto"/>
                <w:color w:val="auto"/>
                <w:w w:val="83"/>
              </w:rPr>
              <w:t>261</w:t>
            </w:r>
          </w:p>
        </w:tc>
        <w:tc>
          <w:tcPr>
            <w:tcW w:w="320" w:type="dxa"/>
            <w:vAlign w:val="bottom"/>
          </w:tcPr>
          <w:p>
            <w:pPr>
              <w:spacing w:after="0"/>
              <w:rPr>
                <w:sz w:val="15"/>
                <w:szCs w:val="15"/>
                <w:color w:val="auto"/>
              </w:rPr>
            </w:pPr>
          </w:p>
        </w:tc>
        <w:tc>
          <w:tcPr>
            <w:tcW w:w="1780" w:type="dxa"/>
            <w:vAlign w:val="bottom"/>
            <w:gridSpan w:val="5"/>
          </w:tcPr>
          <w:p>
            <w:pPr>
              <w:jc w:val="right"/>
              <w:ind w:right="740"/>
              <w:spacing w:after="0" w:line="184" w:lineRule="exact"/>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852</w:t>
            </w:r>
          </w:p>
        </w:tc>
        <w:tc>
          <w:tcPr>
            <w:tcW w:w="6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850</w:t>
            </w:r>
          </w:p>
        </w:tc>
      </w:tr>
      <w:tr>
        <w:trPr>
          <w:trHeight w:val="20"/>
        </w:trPr>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96"/>
        </w:trPr>
        <w:tc>
          <w:tcPr>
            <w:tcW w:w="4580" w:type="dxa"/>
            <w:vAlign w:val="bottom"/>
            <w:gridSpan w:val="3"/>
          </w:tcPr>
          <w:p>
            <w:pPr>
              <w:spacing w:after="0" w:line="196" w:lineRule="exact"/>
              <w:rPr>
                <w:sz w:val="20"/>
                <w:szCs w:val="20"/>
                <w:color w:val="auto"/>
              </w:rPr>
            </w:pPr>
            <w:r>
              <w:rPr>
                <w:rFonts w:ascii="Arial" w:cs="Arial" w:eastAsia="Arial" w:hAnsi="Arial"/>
                <w:sz w:val="18"/>
                <w:szCs w:val="18"/>
                <w:color w:val="auto"/>
              </w:rPr>
              <w:t>Total Interest Income</w:t>
            </w:r>
          </w:p>
        </w:tc>
        <w:tc>
          <w:tcPr>
            <w:tcW w:w="13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119.</w:t>
            </w:r>
            <w:r>
              <w:rPr>
                <w:rFonts w:ascii="Arial" w:cs="Arial" w:eastAsia="Arial" w:hAnsi="Arial"/>
                <w:sz w:val="18"/>
                <w:szCs w:val="18"/>
                <w:u w:val="single" w:color="auto"/>
                <w:color w:val="auto"/>
              </w:rPr>
              <w:t>327</w:t>
            </w:r>
          </w:p>
        </w:tc>
        <w:tc>
          <w:tcPr>
            <w:tcW w:w="136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129.</w:t>
            </w:r>
            <w:r>
              <w:rPr>
                <w:rFonts w:ascii="Arial" w:cs="Arial" w:eastAsia="Arial" w:hAnsi="Arial"/>
                <w:sz w:val="18"/>
                <w:szCs w:val="18"/>
                <w:u w:val="single" w:color="auto"/>
                <w:color w:val="auto"/>
              </w:rPr>
              <w:t>977</w:t>
            </w:r>
          </w:p>
        </w:tc>
        <w:tc>
          <w:tcPr>
            <w:tcW w:w="420" w:type="dxa"/>
            <w:vAlign w:val="bottom"/>
          </w:tcPr>
          <w:p>
            <w:pPr>
              <w:spacing w:after="0"/>
              <w:rPr>
                <w:sz w:val="17"/>
                <w:szCs w:val="17"/>
                <w:color w:val="auto"/>
              </w:rPr>
            </w:pPr>
          </w:p>
        </w:tc>
        <w:tc>
          <w:tcPr>
            <w:tcW w:w="1280" w:type="dxa"/>
            <w:vAlign w:val="bottom"/>
            <w:gridSpan w:val="6"/>
          </w:tcPr>
          <w:p>
            <w:pPr>
              <w:jc w:val="right"/>
              <w:ind w:right="320"/>
              <w:spacing w:after="0" w:line="196" w:lineRule="exact"/>
              <w:rPr>
                <w:sz w:val="20"/>
                <w:szCs w:val="20"/>
                <w:color w:val="auto"/>
              </w:rPr>
            </w:pPr>
            <w:r>
              <w:rPr>
                <w:rFonts w:ascii="Arial" w:cs="Arial" w:eastAsia="Arial" w:hAnsi="Arial"/>
                <w:sz w:val="18"/>
                <w:szCs w:val="18"/>
                <w:color w:val="auto"/>
              </w:rPr>
              <w:t>129.</w:t>
            </w:r>
            <w:r>
              <w:rPr>
                <w:rFonts w:ascii="Arial" w:cs="Arial" w:eastAsia="Arial" w:hAnsi="Arial"/>
                <w:sz w:val="18"/>
                <w:szCs w:val="18"/>
                <w:u w:val="single" w:color="auto"/>
                <w:color w:val="auto"/>
              </w:rPr>
              <w:t>452</w:t>
            </w:r>
          </w:p>
        </w:tc>
        <w:tc>
          <w:tcPr>
            <w:tcW w:w="1780" w:type="dxa"/>
            <w:vAlign w:val="bottom"/>
            <w:gridSpan w:val="5"/>
          </w:tcPr>
          <w:p>
            <w:pPr>
              <w:jc w:val="right"/>
              <w:ind w:right="740"/>
              <w:spacing w:after="0" w:line="196" w:lineRule="exact"/>
              <w:rPr>
                <w:sz w:val="20"/>
                <w:szCs w:val="20"/>
                <w:color w:val="auto"/>
              </w:rPr>
            </w:pPr>
            <w:r>
              <w:rPr>
                <w:rFonts w:ascii="Arial" w:cs="Arial" w:eastAsia="Arial" w:hAnsi="Arial"/>
                <w:sz w:val="18"/>
                <w:szCs w:val="18"/>
                <w:color w:val="auto"/>
              </w:rPr>
              <w:t>381.</w:t>
            </w:r>
            <w:r>
              <w:rPr>
                <w:rFonts w:ascii="Arial" w:cs="Arial" w:eastAsia="Arial" w:hAnsi="Arial"/>
                <w:sz w:val="18"/>
                <w:szCs w:val="18"/>
                <w:u w:val="single" w:color="auto"/>
                <w:color w:val="auto"/>
              </w:rPr>
              <w:t>968</w:t>
            </w: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391.</w:t>
            </w:r>
            <w:r>
              <w:rPr>
                <w:rFonts w:ascii="Arial" w:cs="Arial" w:eastAsia="Arial" w:hAnsi="Arial"/>
                <w:sz w:val="18"/>
                <w:szCs w:val="18"/>
                <w:u w:val="single" w:color="auto"/>
                <w:color w:val="auto"/>
                <w:w w:val="92"/>
              </w:rPr>
              <w:t>735</w:t>
            </w:r>
          </w:p>
        </w:tc>
      </w:tr>
      <w:tr>
        <w:trPr>
          <w:trHeight w:val="44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8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Interest on deposits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32.716</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31.380</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29.518</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103.988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97.464</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Interest on borrowed funds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5.464</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3.934</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3.549</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20.149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11.141</w:t>
            </w:r>
          </w:p>
        </w:tc>
      </w:tr>
      <w:tr>
        <w:trPr>
          <w:trHeight w:val="184"/>
        </w:trPr>
        <w:tc>
          <w:tcPr>
            <w:tcW w:w="4580" w:type="dxa"/>
            <w:vAlign w:val="bottom"/>
            <w:gridSpan w:val="3"/>
          </w:tcPr>
          <w:p>
            <w:pPr>
              <w:spacing w:after="0" w:line="184" w:lineRule="exact"/>
              <w:rPr>
                <w:sz w:val="20"/>
                <w:szCs w:val="20"/>
                <w:color w:val="auto"/>
              </w:rPr>
            </w:pPr>
            <w:r>
              <w:rPr>
                <w:rFonts w:ascii="Arial" w:cs="Arial" w:eastAsia="Arial" w:hAnsi="Arial"/>
                <w:sz w:val="18"/>
                <w:szCs w:val="18"/>
                <w:color w:val="auto"/>
              </w:rPr>
              <w:t>Other interest expense</w:t>
            </w:r>
          </w:p>
        </w:tc>
        <w:tc>
          <w:tcPr>
            <w:tcW w:w="980" w:type="dxa"/>
            <w:vAlign w:val="bottom"/>
            <w:gridSpan w:val="4"/>
          </w:tcPr>
          <w:p>
            <w:pPr>
              <w:spacing w:after="0"/>
              <w:rPr>
                <w:sz w:val="15"/>
                <w:szCs w:val="15"/>
                <w:color w:val="auto"/>
              </w:rPr>
            </w:pPr>
          </w:p>
        </w:tc>
        <w:tc>
          <w:tcPr>
            <w:tcW w:w="4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4"/>
              </w:rPr>
              <w:t>3.</w:t>
            </w:r>
            <w:r>
              <w:rPr>
                <w:rFonts w:ascii="Arial" w:cs="Arial" w:eastAsia="Arial" w:hAnsi="Arial"/>
                <w:sz w:val="18"/>
                <w:szCs w:val="18"/>
                <w:u w:val="single" w:color="auto"/>
                <w:color w:val="auto"/>
                <w:w w:val="84"/>
              </w:rPr>
              <w:t>959</w:t>
            </w:r>
          </w:p>
        </w:tc>
        <w:tc>
          <w:tcPr>
            <w:tcW w:w="136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628</w:t>
            </w:r>
          </w:p>
        </w:tc>
        <w:tc>
          <w:tcPr>
            <w:tcW w:w="420" w:type="dxa"/>
            <w:vAlign w:val="bottom"/>
          </w:tcPr>
          <w:p>
            <w:pPr>
              <w:spacing w:after="0"/>
              <w:rPr>
                <w:sz w:val="15"/>
                <w:szCs w:val="15"/>
                <w:color w:val="auto"/>
              </w:rPr>
            </w:pPr>
          </w:p>
        </w:tc>
        <w:tc>
          <w:tcPr>
            <w:tcW w:w="1280" w:type="dxa"/>
            <w:vAlign w:val="bottom"/>
            <w:gridSpan w:val="6"/>
          </w:tcPr>
          <w:p>
            <w:pPr>
              <w:jc w:val="right"/>
              <w:ind w:right="320"/>
              <w:spacing w:after="0" w:line="184"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372</w:t>
            </w:r>
          </w:p>
        </w:tc>
        <w:tc>
          <w:tcPr>
            <w:tcW w:w="1780" w:type="dxa"/>
            <w:vAlign w:val="bottom"/>
            <w:gridSpan w:val="5"/>
          </w:tcPr>
          <w:p>
            <w:pPr>
              <w:jc w:val="right"/>
              <w:ind w:right="740"/>
              <w:spacing w:after="0" w:line="184" w:lineRule="exact"/>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346</w:t>
            </w:r>
          </w:p>
        </w:tc>
        <w:tc>
          <w:tcPr>
            <w:tcW w:w="6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203</w:t>
            </w:r>
          </w:p>
        </w:tc>
      </w:tr>
      <w:tr>
        <w:trPr>
          <w:trHeight w:val="20"/>
        </w:trPr>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96"/>
        </w:trPr>
        <w:tc>
          <w:tcPr>
            <w:tcW w:w="4580" w:type="dxa"/>
            <w:vAlign w:val="bottom"/>
            <w:gridSpan w:val="3"/>
          </w:tcPr>
          <w:p>
            <w:pPr>
              <w:spacing w:after="0" w:line="196" w:lineRule="exact"/>
              <w:rPr>
                <w:sz w:val="20"/>
                <w:szCs w:val="20"/>
                <w:color w:val="auto"/>
              </w:rPr>
            </w:pPr>
            <w:r>
              <w:rPr>
                <w:rFonts w:ascii="Arial" w:cs="Arial" w:eastAsia="Arial" w:hAnsi="Arial"/>
                <w:sz w:val="18"/>
                <w:szCs w:val="18"/>
                <w:color w:val="auto"/>
              </w:rPr>
              <w:t>Total Interest Expense</w:t>
            </w:r>
          </w:p>
        </w:tc>
        <w:tc>
          <w:tcPr>
            <w:tcW w:w="90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3"/>
              </w:rPr>
              <w:t>42.</w:t>
            </w:r>
            <w:r>
              <w:rPr>
                <w:rFonts w:ascii="Arial" w:cs="Arial" w:eastAsia="Arial" w:hAnsi="Arial"/>
                <w:sz w:val="18"/>
                <w:szCs w:val="18"/>
                <w:u w:val="single" w:color="auto"/>
                <w:color w:val="auto"/>
                <w:w w:val="83"/>
              </w:rPr>
              <w:t>139</w:t>
            </w:r>
          </w:p>
        </w:tc>
        <w:tc>
          <w:tcPr>
            <w:tcW w:w="880" w:type="dxa"/>
            <w:vAlign w:val="bottom"/>
            <w:gridSpan w:val="3"/>
          </w:tcPr>
          <w:p>
            <w:pPr>
              <w:spacing w:after="0"/>
              <w:rPr>
                <w:sz w:val="17"/>
                <w:szCs w:val="17"/>
                <w:color w:val="auto"/>
              </w:rPr>
            </w:pPr>
          </w:p>
        </w:tc>
        <w:tc>
          <w:tcPr>
            <w:tcW w:w="4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3"/>
              </w:rPr>
              <w:t>40.</w:t>
            </w:r>
            <w:r>
              <w:rPr>
                <w:rFonts w:ascii="Arial" w:cs="Arial" w:eastAsia="Arial" w:hAnsi="Arial"/>
                <w:sz w:val="18"/>
                <w:szCs w:val="18"/>
                <w:u w:val="single" w:color="auto"/>
                <w:color w:val="auto"/>
                <w:w w:val="83"/>
              </w:rPr>
              <w:t>942</w:t>
            </w:r>
          </w:p>
        </w:tc>
        <w:tc>
          <w:tcPr>
            <w:tcW w:w="4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4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3"/>
              </w:rPr>
              <w:t>39.</w:t>
            </w:r>
            <w:r>
              <w:rPr>
                <w:rFonts w:ascii="Arial" w:cs="Arial" w:eastAsia="Arial" w:hAnsi="Arial"/>
                <w:sz w:val="18"/>
                <w:szCs w:val="18"/>
                <w:u w:val="single" w:color="auto"/>
                <w:color w:val="auto"/>
                <w:w w:val="83"/>
              </w:rPr>
              <w:t>439</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6"/>
              </w:rPr>
              <w:t>134.</w:t>
            </w:r>
            <w:r>
              <w:rPr>
                <w:rFonts w:ascii="Arial" w:cs="Arial" w:eastAsia="Arial" w:hAnsi="Arial"/>
                <w:sz w:val="18"/>
                <w:szCs w:val="18"/>
                <w:u w:val="single" w:color="auto"/>
                <w:color w:val="auto"/>
                <w:w w:val="86"/>
              </w:rPr>
              <w:t>483</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6"/>
              </w:rPr>
              <w:t>123.</w:t>
            </w:r>
            <w:r>
              <w:rPr>
                <w:rFonts w:ascii="Arial" w:cs="Arial" w:eastAsia="Arial" w:hAnsi="Arial"/>
                <w:sz w:val="18"/>
                <w:szCs w:val="18"/>
                <w:u w:val="single" w:color="auto"/>
                <w:color w:val="auto"/>
                <w:w w:val="86"/>
              </w:rPr>
              <w:t>808</w:t>
            </w:r>
          </w:p>
        </w:tc>
      </w:tr>
      <w:tr>
        <w:trPr>
          <w:trHeight w:val="196"/>
        </w:trPr>
        <w:tc>
          <w:tcPr>
            <w:tcW w:w="4580" w:type="dxa"/>
            <w:vAlign w:val="bottom"/>
            <w:gridSpan w:val="3"/>
          </w:tcPr>
          <w:p>
            <w:pPr>
              <w:spacing w:after="0" w:line="196" w:lineRule="exact"/>
              <w:rPr>
                <w:sz w:val="20"/>
                <w:szCs w:val="20"/>
                <w:color w:val="auto"/>
              </w:rPr>
            </w:pPr>
            <w:r>
              <w:rPr>
                <w:rFonts w:ascii="Arial" w:cs="Arial" w:eastAsia="Arial" w:hAnsi="Arial"/>
                <w:sz w:val="18"/>
                <w:szCs w:val="18"/>
                <w:color w:val="auto"/>
              </w:rPr>
              <w:t>Net Interest Income</w:t>
            </w:r>
          </w:p>
        </w:tc>
        <w:tc>
          <w:tcPr>
            <w:tcW w:w="13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77.</w:t>
            </w:r>
            <w:r>
              <w:rPr>
                <w:rFonts w:ascii="Arial" w:cs="Arial" w:eastAsia="Arial" w:hAnsi="Arial"/>
                <w:sz w:val="18"/>
                <w:szCs w:val="18"/>
                <w:u w:val="single" w:color="auto"/>
                <w:color w:val="auto"/>
              </w:rPr>
              <w:t>188</w:t>
            </w:r>
          </w:p>
        </w:tc>
        <w:tc>
          <w:tcPr>
            <w:tcW w:w="136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89.</w:t>
            </w:r>
            <w:r>
              <w:rPr>
                <w:rFonts w:ascii="Arial" w:cs="Arial" w:eastAsia="Arial" w:hAnsi="Arial"/>
                <w:sz w:val="18"/>
                <w:szCs w:val="18"/>
                <w:u w:val="single" w:color="auto"/>
                <w:color w:val="auto"/>
              </w:rPr>
              <w:t>035</w:t>
            </w:r>
          </w:p>
        </w:tc>
        <w:tc>
          <w:tcPr>
            <w:tcW w:w="420" w:type="dxa"/>
            <w:vAlign w:val="bottom"/>
          </w:tcPr>
          <w:p>
            <w:pPr>
              <w:spacing w:after="0"/>
              <w:rPr>
                <w:sz w:val="17"/>
                <w:szCs w:val="17"/>
                <w:color w:val="auto"/>
              </w:rPr>
            </w:pPr>
          </w:p>
        </w:tc>
        <w:tc>
          <w:tcPr>
            <w:tcW w:w="1280" w:type="dxa"/>
            <w:vAlign w:val="bottom"/>
            <w:gridSpan w:val="6"/>
          </w:tcPr>
          <w:p>
            <w:pPr>
              <w:jc w:val="right"/>
              <w:ind w:right="320"/>
              <w:spacing w:after="0" w:line="196" w:lineRule="exact"/>
              <w:rPr>
                <w:sz w:val="20"/>
                <w:szCs w:val="20"/>
                <w:color w:val="auto"/>
              </w:rPr>
            </w:pPr>
            <w:r>
              <w:rPr>
                <w:rFonts w:ascii="Arial" w:cs="Arial" w:eastAsia="Arial" w:hAnsi="Arial"/>
                <w:sz w:val="18"/>
                <w:szCs w:val="18"/>
                <w:color w:val="auto"/>
              </w:rPr>
              <w:t>90.</w:t>
            </w:r>
            <w:r>
              <w:rPr>
                <w:rFonts w:ascii="Arial" w:cs="Arial" w:eastAsia="Arial" w:hAnsi="Arial"/>
                <w:sz w:val="18"/>
                <w:szCs w:val="18"/>
                <w:u w:val="single" w:color="auto"/>
                <w:color w:val="auto"/>
              </w:rPr>
              <w:t>013</w:t>
            </w:r>
          </w:p>
        </w:tc>
        <w:tc>
          <w:tcPr>
            <w:tcW w:w="1780" w:type="dxa"/>
            <w:vAlign w:val="bottom"/>
            <w:gridSpan w:val="5"/>
          </w:tcPr>
          <w:p>
            <w:pPr>
              <w:jc w:val="right"/>
              <w:ind w:right="740"/>
              <w:spacing w:after="0" w:line="196" w:lineRule="exact"/>
              <w:rPr>
                <w:sz w:val="20"/>
                <w:szCs w:val="20"/>
                <w:color w:val="auto"/>
              </w:rPr>
            </w:pPr>
            <w:r>
              <w:rPr>
                <w:rFonts w:ascii="Arial" w:cs="Arial" w:eastAsia="Arial" w:hAnsi="Arial"/>
                <w:sz w:val="18"/>
                <w:szCs w:val="18"/>
                <w:color w:val="auto"/>
              </w:rPr>
              <w:t>247.</w:t>
            </w:r>
            <w:r>
              <w:rPr>
                <w:rFonts w:ascii="Arial" w:cs="Arial" w:eastAsia="Arial" w:hAnsi="Arial"/>
                <w:sz w:val="18"/>
                <w:szCs w:val="18"/>
                <w:u w:val="single" w:color="auto"/>
                <w:color w:val="auto"/>
              </w:rPr>
              <w:t>485</w:t>
            </w: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267.</w:t>
            </w:r>
            <w:r>
              <w:rPr>
                <w:rFonts w:ascii="Arial" w:cs="Arial" w:eastAsia="Arial" w:hAnsi="Arial"/>
                <w:sz w:val="18"/>
                <w:szCs w:val="18"/>
                <w:u w:val="single" w:color="auto"/>
                <w:color w:val="auto"/>
                <w:w w:val="92"/>
              </w:rPr>
              <w:t>927</w:t>
            </w:r>
          </w:p>
        </w:tc>
      </w:tr>
      <w:tr>
        <w:trPr>
          <w:trHeight w:val="20"/>
        </w:trPr>
        <w:tc>
          <w:tcPr>
            <w:tcW w:w="14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r>
      <w:tr>
        <w:trPr>
          <w:trHeight w:val="451"/>
        </w:trPr>
        <w:tc>
          <w:tcPr>
            <w:tcW w:w="4580" w:type="dxa"/>
            <w:vAlign w:val="bottom"/>
            <w:gridSpan w:val="3"/>
          </w:tcPr>
          <w:p>
            <w:pPr>
              <w:spacing w:after="0"/>
              <w:rPr>
                <w:sz w:val="20"/>
                <w:szCs w:val="20"/>
                <w:color w:val="auto"/>
              </w:rPr>
            </w:pPr>
            <w:r>
              <w:rPr>
                <w:rFonts w:ascii="Arial" w:cs="Arial" w:eastAsia="Arial" w:hAnsi="Arial"/>
                <w:sz w:val="18"/>
                <w:szCs w:val="18"/>
                <w:color w:val="auto"/>
              </w:rPr>
              <w:t>Provision for possible loan losses, net</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32.236</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19.702</w:t>
            </w:r>
          </w:p>
        </w:tc>
        <w:tc>
          <w:tcPr>
            <w:tcW w:w="42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23.844</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87.911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77.774</w:t>
            </w:r>
          </w:p>
        </w:tc>
      </w:tr>
      <w:tr>
        <w:trPr>
          <w:trHeight w:val="420"/>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Net interest income after provision for</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possible loan losses</w:t>
            </w: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44.952</w:t>
            </w: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69.333</w:t>
            </w:r>
          </w:p>
        </w:tc>
        <w:tc>
          <w:tcPr>
            <w:tcW w:w="420" w:type="dxa"/>
            <w:vAlign w:val="bottom"/>
          </w:tcPr>
          <w:p>
            <w:pPr>
              <w:spacing w:after="0"/>
              <w:rPr>
                <w:sz w:val="19"/>
                <w:szCs w:val="19"/>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66.169</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159.574</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190.153</w:t>
            </w: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OTHER INCOME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Fees and commissions from banking services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43.834</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47.548</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48.909</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124.858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142.656</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Net gains from sales of securities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(5.355)</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7.593</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(1.503)</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2.048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5.876</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Net gains on foreign exchange transactions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5.539</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5.821</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5.392</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15.617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17.574</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31.326</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32.090</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33.843</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94.364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97.834</w:t>
            </w:r>
          </w:p>
        </w:tc>
      </w:tr>
      <w:tr>
        <w:trPr>
          <w:trHeight w:val="184"/>
        </w:trPr>
        <w:tc>
          <w:tcPr>
            <w:tcW w:w="4580" w:type="dxa"/>
            <w:vAlign w:val="bottom"/>
            <w:gridSpan w:val="3"/>
          </w:tcPr>
          <w:p>
            <w:pPr>
              <w:spacing w:after="0" w:line="184" w:lineRule="exact"/>
              <w:rPr>
                <w:sz w:val="20"/>
                <w:szCs w:val="20"/>
                <w:color w:val="auto"/>
              </w:rPr>
            </w:pPr>
            <w:r>
              <w:rPr>
                <w:rFonts w:ascii="Arial" w:cs="Arial" w:eastAsia="Arial" w:hAnsi="Arial"/>
                <w:sz w:val="18"/>
                <w:szCs w:val="18"/>
                <w:color w:val="auto"/>
              </w:rPr>
              <w:t>Other income</w:t>
            </w:r>
          </w:p>
        </w:tc>
        <w:tc>
          <w:tcPr>
            <w:tcW w:w="900" w:type="dxa"/>
            <w:vAlign w:val="bottom"/>
            <w:gridSpan w:val="2"/>
          </w:tcPr>
          <w:p>
            <w:pPr>
              <w:spacing w:after="0"/>
              <w:rPr>
                <w:sz w:val="15"/>
                <w:szCs w:val="15"/>
                <w:color w:val="auto"/>
              </w:rPr>
            </w:pPr>
          </w:p>
        </w:tc>
        <w:tc>
          <w:tcPr>
            <w:tcW w:w="48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83"/>
              </w:rPr>
              <w:t>14.</w:t>
            </w:r>
            <w:r>
              <w:rPr>
                <w:rFonts w:ascii="Arial" w:cs="Arial" w:eastAsia="Arial" w:hAnsi="Arial"/>
                <w:sz w:val="18"/>
                <w:szCs w:val="18"/>
                <w:u w:val="single" w:color="auto"/>
                <w:color w:val="auto"/>
                <w:w w:val="83"/>
              </w:rPr>
              <w:t>608</w:t>
            </w:r>
          </w:p>
        </w:tc>
        <w:tc>
          <w:tcPr>
            <w:tcW w:w="880" w:type="dxa"/>
            <w:vAlign w:val="bottom"/>
            <w:gridSpan w:val="3"/>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16.</w:t>
            </w:r>
            <w:r>
              <w:rPr>
                <w:rFonts w:ascii="Arial" w:cs="Arial" w:eastAsia="Arial" w:hAnsi="Arial"/>
                <w:sz w:val="18"/>
                <w:szCs w:val="18"/>
                <w:u w:val="single" w:color="auto"/>
                <w:color w:val="auto"/>
                <w:w w:val="83"/>
              </w:rPr>
              <w:t>523</w:t>
            </w:r>
          </w:p>
        </w:tc>
        <w:tc>
          <w:tcPr>
            <w:tcW w:w="4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8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83"/>
              </w:rPr>
              <w:t>18.</w:t>
            </w:r>
            <w:r>
              <w:rPr>
                <w:rFonts w:ascii="Arial" w:cs="Arial" w:eastAsia="Arial" w:hAnsi="Arial"/>
                <w:sz w:val="18"/>
                <w:szCs w:val="18"/>
                <w:u w:val="single" w:color="auto"/>
                <w:color w:val="auto"/>
                <w:w w:val="83"/>
              </w:rPr>
              <w:t>742</w:t>
            </w:r>
          </w:p>
        </w:tc>
        <w:tc>
          <w:tcPr>
            <w:tcW w:w="320" w:type="dxa"/>
            <w:vAlign w:val="bottom"/>
          </w:tcPr>
          <w:p>
            <w:pPr>
              <w:spacing w:after="0"/>
              <w:rPr>
                <w:sz w:val="15"/>
                <w:szCs w:val="15"/>
                <w:color w:val="auto"/>
              </w:rPr>
            </w:pPr>
          </w:p>
        </w:tc>
        <w:tc>
          <w:tcPr>
            <w:tcW w:w="1780" w:type="dxa"/>
            <w:vAlign w:val="bottom"/>
            <w:gridSpan w:val="5"/>
          </w:tcPr>
          <w:p>
            <w:pPr>
              <w:jc w:val="right"/>
              <w:ind w:right="740"/>
              <w:spacing w:after="0" w:line="184" w:lineRule="exact"/>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361</w:t>
            </w:r>
          </w:p>
        </w:tc>
        <w:tc>
          <w:tcPr>
            <w:tcW w:w="6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493</w:t>
            </w:r>
          </w:p>
        </w:tc>
      </w:tr>
      <w:tr>
        <w:trPr>
          <w:trHeight w:val="20"/>
        </w:trPr>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412"/>
        </w:trPr>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89.</w:t>
            </w:r>
            <w:r>
              <w:rPr>
                <w:rFonts w:ascii="Arial" w:cs="Arial" w:eastAsia="Arial" w:hAnsi="Arial"/>
                <w:sz w:val="18"/>
                <w:szCs w:val="18"/>
                <w:u w:val="single" w:color="auto"/>
                <w:color w:val="auto"/>
                <w:w w:val="83"/>
              </w:rPr>
              <w:t>952</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109.</w:t>
            </w:r>
            <w:r>
              <w:rPr>
                <w:rFonts w:ascii="Arial" w:cs="Arial" w:eastAsia="Arial" w:hAnsi="Arial"/>
                <w:sz w:val="18"/>
                <w:szCs w:val="18"/>
                <w:u w:val="single" w:color="auto"/>
                <w:color w:val="auto"/>
              </w:rPr>
              <w:t>575</w:t>
            </w:r>
          </w:p>
        </w:tc>
        <w:tc>
          <w:tcPr>
            <w:tcW w:w="42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382</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275.</w:t>
            </w:r>
            <w:r>
              <w:rPr>
                <w:rFonts w:ascii="Arial" w:cs="Arial" w:eastAsia="Arial" w:hAnsi="Arial"/>
                <w:sz w:val="18"/>
                <w:szCs w:val="18"/>
                <w:u w:val="single" w:color="auto"/>
                <w:color w:val="auto"/>
              </w:rPr>
              <w:t>248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327.</w:t>
            </w:r>
            <w:r>
              <w:rPr>
                <w:rFonts w:ascii="Arial" w:cs="Arial" w:eastAsia="Arial" w:hAnsi="Arial"/>
                <w:sz w:val="18"/>
                <w:szCs w:val="18"/>
                <w:u w:val="single" w:color="auto"/>
                <w:color w:val="auto"/>
                <w:w w:val="92"/>
              </w:rPr>
              <w:t>432</w:t>
            </w:r>
          </w:p>
        </w:tc>
      </w:tr>
      <w:tr>
        <w:trPr>
          <w:trHeight w:val="412"/>
        </w:trPr>
        <w:tc>
          <w:tcPr>
            <w:tcW w:w="4580" w:type="dxa"/>
            <w:vAlign w:val="bottom"/>
            <w:gridSpan w:val="3"/>
          </w:tcPr>
          <w:p>
            <w:pPr>
              <w:spacing w:after="0"/>
              <w:rPr>
                <w:sz w:val="20"/>
                <w:szCs w:val="20"/>
                <w:color w:val="auto"/>
              </w:rPr>
            </w:pPr>
            <w:r>
              <w:rPr>
                <w:rFonts w:ascii="Arial" w:cs="Arial" w:eastAsia="Arial" w:hAnsi="Arial"/>
                <w:sz w:val="18"/>
                <w:szCs w:val="18"/>
                <w:color w:val="auto"/>
              </w:rPr>
              <w:t>CLAIMS ON INSURANCE ACTIVITIES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228"/>
        </w:trPr>
        <w:tc>
          <w:tcPr>
            <w:tcW w:w="3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claims incurred</w:t>
            </w:r>
          </w:p>
        </w:tc>
        <w:tc>
          <w:tcPr>
            <w:tcW w:w="1560" w:type="dxa"/>
            <w:vAlign w:val="bottom"/>
          </w:tcPr>
          <w:p>
            <w:pPr>
              <w:spacing w:after="0"/>
              <w:rPr>
                <w:sz w:val="19"/>
                <w:szCs w:val="19"/>
                <w:color w:val="auto"/>
              </w:rPr>
            </w:pP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4.834</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7.282</w:t>
            </w:r>
          </w:p>
        </w:tc>
        <w:tc>
          <w:tcPr>
            <w:tcW w:w="420" w:type="dxa"/>
            <w:vAlign w:val="bottom"/>
          </w:tcPr>
          <w:p>
            <w:pPr>
              <w:spacing w:after="0"/>
              <w:rPr>
                <w:sz w:val="19"/>
                <w:szCs w:val="19"/>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5.064</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18.671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17.101</w:t>
            </w:r>
          </w:p>
        </w:tc>
      </w:tr>
      <w:tr>
        <w:trPr>
          <w:trHeight w:val="184"/>
        </w:trPr>
        <w:tc>
          <w:tcPr>
            <w:tcW w:w="4580" w:type="dxa"/>
            <w:vAlign w:val="bottom"/>
            <w:gridSpan w:val="3"/>
          </w:tcPr>
          <w:p>
            <w:pPr>
              <w:spacing w:after="0" w:line="184" w:lineRule="exact"/>
              <w:rPr>
                <w:sz w:val="20"/>
                <w:szCs w:val="20"/>
                <w:color w:val="auto"/>
              </w:rPr>
            </w:pPr>
            <w:r>
              <w:rPr>
                <w:rFonts w:ascii="Arial" w:cs="Arial" w:eastAsia="Arial" w:hAnsi="Arial"/>
                <w:sz w:val="18"/>
                <w:szCs w:val="18"/>
                <w:color w:val="auto"/>
              </w:rPr>
              <w:t>Increase in future policy benefits for life and health</w:t>
            </w:r>
          </w:p>
        </w:tc>
        <w:tc>
          <w:tcPr>
            <w:tcW w:w="900" w:type="dxa"/>
            <w:vAlign w:val="bottom"/>
            <w:gridSpan w:val="2"/>
          </w:tcPr>
          <w:p>
            <w:pPr>
              <w:spacing w:after="0"/>
              <w:rPr>
                <w:sz w:val="15"/>
                <w:szCs w:val="15"/>
                <w:color w:val="auto"/>
              </w:rPr>
            </w:pPr>
          </w:p>
        </w:tc>
        <w:tc>
          <w:tcPr>
            <w:tcW w:w="48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83"/>
              </w:rPr>
              <w:t>20.</w:t>
            </w:r>
            <w:r>
              <w:rPr>
                <w:rFonts w:ascii="Arial" w:cs="Arial" w:eastAsia="Arial" w:hAnsi="Arial"/>
                <w:sz w:val="18"/>
                <w:szCs w:val="18"/>
                <w:u w:val="single" w:color="auto"/>
                <w:color w:val="auto"/>
                <w:w w:val="83"/>
              </w:rPr>
              <w:t>629</w:t>
            </w:r>
          </w:p>
        </w:tc>
        <w:tc>
          <w:tcPr>
            <w:tcW w:w="880" w:type="dxa"/>
            <w:vAlign w:val="bottom"/>
            <w:gridSpan w:val="3"/>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19.</w:t>
            </w:r>
            <w:r>
              <w:rPr>
                <w:rFonts w:ascii="Arial" w:cs="Arial" w:eastAsia="Arial" w:hAnsi="Arial"/>
                <w:sz w:val="18"/>
                <w:szCs w:val="18"/>
                <w:u w:val="single" w:color="auto"/>
                <w:color w:val="auto"/>
                <w:w w:val="83"/>
              </w:rPr>
              <w:t>120</w:t>
            </w:r>
          </w:p>
        </w:tc>
        <w:tc>
          <w:tcPr>
            <w:tcW w:w="4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8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83"/>
              </w:rPr>
              <w:t>19.</w:t>
            </w:r>
            <w:r>
              <w:rPr>
                <w:rFonts w:ascii="Arial" w:cs="Arial" w:eastAsia="Arial" w:hAnsi="Arial"/>
                <w:sz w:val="18"/>
                <w:szCs w:val="18"/>
                <w:u w:val="single" w:color="auto"/>
                <w:color w:val="auto"/>
                <w:w w:val="83"/>
              </w:rPr>
              <w:t>647</w:t>
            </w:r>
          </w:p>
        </w:tc>
        <w:tc>
          <w:tcPr>
            <w:tcW w:w="320" w:type="dxa"/>
            <w:vAlign w:val="bottom"/>
          </w:tcPr>
          <w:p>
            <w:pPr>
              <w:spacing w:after="0"/>
              <w:rPr>
                <w:sz w:val="15"/>
                <w:szCs w:val="15"/>
                <w:color w:val="auto"/>
              </w:rPr>
            </w:pPr>
          </w:p>
        </w:tc>
        <w:tc>
          <w:tcPr>
            <w:tcW w:w="1780" w:type="dxa"/>
            <w:vAlign w:val="bottom"/>
            <w:gridSpan w:val="5"/>
          </w:tcPr>
          <w:p>
            <w:pPr>
              <w:jc w:val="right"/>
              <w:ind w:right="740"/>
              <w:spacing w:after="0" w:line="184" w:lineRule="exact"/>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724</w:t>
            </w:r>
          </w:p>
        </w:tc>
        <w:tc>
          <w:tcPr>
            <w:tcW w:w="6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215</w:t>
            </w:r>
          </w:p>
        </w:tc>
      </w:tr>
      <w:tr>
        <w:trPr>
          <w:trHeight w:val="20"/>
        </w:trPr>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48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83"/>
              </w:rPr>
              <w:t>25.</w:t>
            </w:r>
            <w:r>
              <w:rPr>
                <w:rFonts w:ascii="Arial" w:cs="Arial" w:eastAsia="Arial" w:hAnsi="Arial"/>
                <w:sz w:val="18"/>
                <w:szCs w:val="18"/>
                <w:u w:val="single" w:color="auto"/>
                <w:color w:val="auto"/>
                <w:w w:val="83"/>
              </w:rPr>
              <w:t>463</w:t>
            </w:r>
          </w:p>
        </w:tc>
        <w:tc>
          <w:tcPr>
            <w:tcW w:w="880" w:type="dxa"/>
            <w:vAlign w:val="bottom"/>
            <w:gridSpan w:val="3"/>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3"/>
              </w:rPr>
              <w:t>26.</w:t>
            </w:r>
            <w:r>
              <w:rPr>
                <w:rFonts w:ascii="Arial" w:cs="Arial" w:eastAsia="Arial" w:hAnsi="Arial"/>
                <w:sz w:val="18"/>
                <w:szCs w:val="18"/>
                <w:u w:val="single" w:color="auto"/>
                <w:color w:val="auto"/>
                <w:w w:val="83"/>
              </w:rPr>
              <w:t>402</w:t>
            </w:r>
          </w:p>
        </w:tc>
        <w:tc>
          <w:tcPr>
            <w:tcW w:w="4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3"/>
              </w:rPr>
              <w:t>24.</w:t>
            </w:r>
            <w:r>
              <w:rPr>
                <w:rFonts w:ascii="Arial" w:cs="Arial" w:eastAsia="Arial" w:hAnsi="Arial"/>
                <w:sz w:val="18"/>
                <w:szCs w:val="18"/>
                <w:u w:val="single" w:color="auto"/>
                <w:color w:val="auto"/>
                <w:w w:val="83"/>
              </w:rPr>
              <w:t>711</w:t>
            </w:r>
          </w:p>
        </w:tc>
        <w:tc>
          <w:tcPr>
            <w:tcW w:w="320" w:type="dxa"/>
            <w:vAlign w:val="bottom"/>
          </w:tcPr>
          <w:p>
            <w:pPr>
              <w:spacing w:after="0"/>
              <w:rPr>
                <w:sz w:val="17"/>
                <w:szCs w:val="17"/>
                <w:color w:val="auto"/>
              </w:rPr>
            </w:pPr>
          </w:p>
        </w:tc>
        <w:tc>
          <w:tcPr>
            <w:tcW w:w="1780" w:type="dxa"/>
            <w:vAlign w:val="bottom"/>
            <w:gridSpan w:val="5"/>
          </w:tcPr>
          <w:p>
            <w:pPr>
              <w:jc w:val="right"/>
              <w:ind w:right="740"/>
              <w:spacing w:after="0" w:line="196" w:lineRule="exact"/>
              <w:rPr>
                <w:sz w:val="20"/>
                <w:szCs w:val="20"/>
                <w:color w:val="auto"/>
              </w:rPr>
            </w:pPr>
            <w:r>
              <w:rPr>
                <w:rFonts w:ascii="Arial" w:cs="Arial" w:eastAsia="Arial" w:hAnsi="Arial"/>
                <w:sz w:val="18"/>
                <w:szCs w:val="18"/>
                <w:color w:val="auto"/>
              </w:rPr>
              <w:t>73.</w:t>
            </w:r>
            <w:r>
              <w:rPr>
                <w:rFonts w:ascii="Arial" w:cs="Arial" w:eastAsia="Arial" w:hAnsi="Arial"/>
                <w:sz w:val="18"/>
                <w:szCs w:val="18"/>
                <w:u w:val="single" w:color="auto"/>
                <w:color w:val="auto"/>
              </w:rPr>
              <w:t>395</w:t>
            </w: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316</w:t>
            </w:r>
          </w:p>
        </w:tc>
      </w:tr>
      <w:tr>
        <w:trPr>
          <w:trHeight w:val="44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Salaries and employee benefits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43.608</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45.144</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44.816</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133.927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136.024</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General, administrative, and other taxes</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32.970</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35.997</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34.540</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98.625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109.370</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10.722</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12.396</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12.038</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32.828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36.183</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7.581</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18.820</w:t>
            </w:r>
          </w:p>
        </w:tc>
        <w:tc>
          <w:tcPr>
            <w:tcW w:w="420" w:type="dxa"/>
            <w:vAlign w:val="bottom"/>
          </w:tcPr>
          <w:p>
            <w:pPr>
              <w:spacing w:after="0"/>
              <w:rPr>
                <w:sz w:val="18"/>
                <w:szCs w:val="18"/>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11.331</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30.497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42.602</w:t>
            </w:r>
          </w:p>
        </w:tc>
      </w:tr>
      <w:tr>
        <w:trPr>
          <w:trHeight w:val="184"/>
        </w:trPr>
        <w:tc>
          <w:tcPr>
            <w:tcW w:w="4580" w:type="dxa"/>
            <w:vAlign w:val="bottom"/>
            <w:gridSpan w:val="3"/>
          </w:tcPr>
          <w:p>
            <w:pPr>
              <w:spacing w:after="0" w:line="184" w:lineRule="exact"/>
              <w:rPr>
                <w:sz w:val="20"/>
                <w:szCs w:val="20"/>
                <w:color w:val="auto"/>
              </w:rPr>
            </w:pPr>
            <w:r>
              <w:rPr>
                <w:rFonts w:ascii="Arial" w:cs="Arial" w:eastAsia="Arial" w:hAnsi="Arial"/>
                <w:sz w:val="18"/>
                <w:szCs w:val="18"/>
                <w:color w:val="auto"/>
              </w:rPr>
              <w:t>Merger costs</w:t>
            </w:r>
          </w:p>
        </w:tc>
        <w:tc>
          <w:tcPr>
            <w:tcW w:w="138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0</w:t>
            </w:r>
          </w:p>
        </w:tc>
        <w:tc>
          <w:tcPr>
            <w:tcW w:w="136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022</w:t>
            </w:r>
          </w:p>
        </w:tc>
        <w:tc>
          <w:tcPr>
            <w:tcW w:w="420" w:type="dxa"/>
            <w:vAlign w:val="bottom"/>
          </w:tcPr>
          <w:p>
            <w:pPr>
              <w:spacing w:after="0"/>
              <w:rPr>
                <w:sz w:val="15"/>
                <w:szCs w:val="15"/>
                <w:color w:val="auto"/>
              </w:rPr>
            </w:pPr>
          </w:p>
        </w:tc>
        <w:tc>
          <w:tcPr>
            <w:tcW w:w="960" w:type="dxa"/>
            <w:vAlign w:val="bottom"/>
            <w:gridSpan w:val="5"/>
          </w:tcPr>
          <w:p>
            <w:pPr>
              <w:jc w:val="right"/>
              <w:ind w:right="60"/>
              <w:spacing w:after="0" w:line="184"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5"/>
                <w:szCs w:val="15"/>
                <w:color w:val="auto"/>
              </w:rPr>
            </w:pPr>
          </w:p>
        </w:tc>
        <w:tc>
          <w:tcPr>
            <w:tcW w:w="104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rPr>
              <w:t>0</w:t>
            </w:r>
          </w:p>
        </w:tc>
        <w:tc>
          <w:tcPr>
            <w:tcW w:w="740" w:type="dxa"/>
            <w:vAlign w:val="bottom"/>
          </w:tcPr>
          <w:p>
            <w:pPr>
              <w:spacing w:after="0"/>
              <w:rPr>
                <w:sz w:val="15"/>
                <w:szCs w:val="15"/>
                <w:color w:val="auto"/>
              </w:rPr>
            </w:pPr>
          </w:p>
        </w:tc>
        <w:tc>
          <w:tcPr>
            <w:tcW w:w="6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17.</w:t>
            </w:r>
            <w:r>
              <w:rPr>
                <w:rFonts w:ascii="Arial" w:cs="Arial" w:eastAsia="Arial" w:hAnsi="Arial"/>
                <w:sz w:val="18"/>
                <w:szCs w:val="18"/>
                <w:u w:val="single" w:color="auto"/>
                <w:color w:val="auto"/>
              </w:rPr>
              <w:t>487</w:t>
            </w:r>
          </w:p>
        </w:tc>
      </w:tr>
      <w:tr>
        <w:trPr>
          <w:trHeight w:val="20"/>
        </w:trPr>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94.</w:t>
            </w:r>
            <w:r>
              <w:rPr>
                <w:rFonts w:ascii="Arial" w:cs="Arial" w:eastAsia="Arial" w:hAnsi="Arial"/>
                <w:sz w:val="18"/>
                <w:szCs w:val="18"/>
                <w:u w:val="single" w:color="auto"/>
                <w:color w:val="auto"/>
              </w:rPr>
              <w:t>881</w:t>
            </w:r>
          </w:p>
        </w:tc>
        <w:tc>
          <w:tcPr>
            <w:tcW w:w="1780" w:type="dxa"/>
            <w:vAlign w:val="bottom"/>
            <w:gridSpan w:val="6"/>
          </w:tcPr>
          <w:p>
            <w:pPr>
              <w:jc w:val="right"/>
              <w:ind w:right="420"/>
              <w:spacing w:after="0" w:line="196" w:lineRule="exact"/>
              <w:rPr>
                <w:sz w:val="20"/>
                <w:szCs w:val="20"/>
                <w:color w:val="auto"/>
              </w:rPr>
            </w:pPr>
            <w:r>
              <w:rPr>
                <w:rFonts w:ascii="Arial" w:cs="Arial" w:eastAsia="Arial" w:hAnsi="Arial"/>
                <w:sz w:val="18"/>
                <w:szCs w:val="18"/>
                <w:color w:val="auto"/>
              </w:rPr>
              <w:t>114.</w:t>
            </w:r>
            <w:r>
              <w:rPr>
                <w:rFonts w:ascii="Arial" w:cs="Arial" w:eastAsia="Arial" w:hAnsi="Arial"/>
                <w:sz w:val="18"/>
                <w:szCs w:val="18"/>
                <w:u w:val="single" w:color="auto"/>
                <w:color w:val="auto"/>
              </w:rPr>
              <w:t>379</w:t>
            </w:r>
          </w:p>
        </w:tc>
        <w:tc>
          <w:tcPr>
            <w:tcW w:w="1280" w:type="dxa"/>
            <w:vAlign w:val="bottom"/>
            <w:gridSpan w:val="6"/>
          </w:tcPr>
          <w:p>
            <w:pPr>
              <w:jc w:val="right"/>
              <w:ind w:right="320"/>
              <w:spacing w:after="0" w:line="196" w:lineRule="exact"/>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725</w:t>
            </w:r>
          </w:p>
        </w:tc>
        <w:tc>
          <w:tcPr>
            <w:tcW w:w="1780" w:type="dxa"/>
            <w:vAlign w:val="bottom"/>
            <w:gridSpan w:val="5"/>
          </w:tcPr>
          <w:p>
            <w:pPr>
              <w:jc w:val="right"/>
              <w:ind w:right="740"/>
              <w:spacing w:after="0" w:line="196" w:lineRule="exact"/>
              <w:rPr>
                <w:sz w:val="20"/>
                <w:szCs w:val="20"/>
                <w:color w:val="auto"/>
              </w:rPr>
            </w:pPr>
            <w:r>
              <w:rPr>
                <w:rFonts w:ascii="Arial" w:cs="Arial" w:eastAsia="Arial" w:hAnsi="Arial"/>
                <w:sz w:val="18"/>
                <w:szCs w:val="18"/>
                <w:color w:val="auto"/>
              </w:rPr>
              <w:t>295.</w:t>
            </w:r>
            <w:r>
              <w:rPr>
                <w:rFonts w:ascii="Arial" w:cs="Arial" w:eastAsia="Arial" w:hAnsi="Arial"/>
                <w:sz w:val="18"/>
                <w:szCs w:val="18"/>
                <w:u w:val="single" w:color="auto"/>
                <w:color w:val="auto"/>
              </w:rPr>
              <w:t>877</w:t>
            </w: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341.</w:t>
            </w:r>
            <w:r>
              <w:rPr>
                <w:rFonts w:ascii="Arial" w:cs="Arial" w:eastAsia="Arial" w:hAnsi="Arial"/>
                <w:sz w:val="18"/>
                <w:szCs w:val="18"/>
                <w:u w:val="single" w:color="auto"/>
                <w:color w:val="auto"/>
                <w:w w:val="92"/>
              </w:rPr>
              <w:t>666</w:t>
            </w:r>
          </w:p>
        </w:tc>
      </w:tr>
      <w:tr>
        <w:trPr>
          <w:trHeight w:val="451"/>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Translation result</w:t>
            </w:r>
          </w:p>
        </w:tc>
        <w:tc>
          <w:tcPr>
            <w:tcW w:w="920" w:type="dxa"/>
            <w:vAlign w:val="bottom"/>
            <w:gridSpan w:val="3"/>
          </w:tcPr>
          <w:p>
            <w:pPr>
              <w:spacing w:after="0"/>
              <w:rPr>
                <w:sz w:val="24"/>
                <w:szCs w:val="24"/>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(900)</w:t>
            </w:r>
          </w:p>
        </w:tc>
        <w:tc>
          <w:tcPr>
            <w:tcW w:w="820" w:type="dxa"/>
            <w:vAlign w:val="bottom"/>
            <w:gridSpan w:val="2"/>
          </w:tcPr>
          <w:p>
            <w:pPr>
              <w:spacing w:after="0"/>
              <w:rPr>
                <w:sz w:val="24"/>
                <w:szCs w:val="24"/>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2.605</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(2.866)</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(3.768)</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 and minority interest</w:t>
            </w: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13.660</w:t>
            </w: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40.732</w:t>
            </w:r>
          </w:p>
        </w:tc>
        <w:tc>
          <w:tcPr>
            <w:tcW w:w="42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44.465</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62.684</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95.835</w:t>
            </w: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(8.809)</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(9.821)</w:t>
            </w:r>
          </w:p>
        </w:tc>
        <w:tc>
          <w:tcPr>
            <w:tcW w:w="42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(13.250)</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(26.641)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(29.860)</w:t>
            </w: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380" w:type="dxa"/>
            <w:vAlign w:val="bottom"/>
            <w:gridSpan w:val="6"/>
          </w:tcPr>
          <w:p>
            <w:pPr>
              <w:jc w:val="right"/>
              <w:spacing w:after="0"/>
              <w:rPr>
                <w:sz w:val="20"/>
                <w:szCs w:val="20"/>
                <w:color w:val="auto"/>
              </w:rPr>
            </w:pPr>
            <w:r>
              <w:rPr>
                <w:rFonts w:ascii="Arial" w:cs="Arial" w:eastAsia="Arial" w:hAnsi="Arial"/>
                <w:sz w:val="18"/>
                <w:szCs w:val="18"/>
                <w:color w:val="auto"/>
              </w:rPr>
              <w:t>(1.771)</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(2.602)</w:t>
            </w:r>
          </w:p>
        </w:tc>
        <w:tc>
          <w:tcPr>
            <w:tcW w:w="420" w:type="dxa"/>
            <w:vAlign w:val="bottom"/>
          </w:tcPr>
          <w:p>
            <w:pPr>
              <w:spacing w:after="0"/>
              <w:rPr>
                <w:sz w:val="19"/>
                <w:szCs w:val="19"/>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color w:val="auto"/>
              </w:rPr>
              <w:t>(5.246)</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color w:val="auto"/>
              </w:rPr>
              <w:t>(7.177)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(9.205)</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gridSpan w:val="6"/>
          </w:tcPr>
          <w:p>
            <w:pPr>
              <w:jc w:val="right"/>
              <w:spacing w:after="0"/>
              <w:rPr>
                <w:sz w:val="20"/>
                <w:szCs w:val="20"/>
                <w:color w:val="auto"/>
              </w:rPr>
            </w:pPr>
            <w:r>
              <w:rPr>
                <w:rFonts w:ascii="Arial" w:cs="Arial" w:eastAsia="Arial" w:hAnsi="Arial"/>
                <w:sz w:val="18"/>
                <w:szCs w:val="18"/>
                <w:b w:val="1"/>
                <w:bCs w:val="1"/>
                <w:color w:val="auto"/>
              </w:rPr>
              <w:t>3.080</w:t>
            </w: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28.309</w:t>
            </w:r>
          </w:p>
        </w:tc>
        <w:tc>
          <w:tcPr>
            <w:tcW w:w="42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25.969</w:t>
            </w:r>
          </w:p>
        </w:tc>
        <w:tc>
          <w:tcPr>
            <w:tcW w:w="17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28.866</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56.770</w:t>
            </w:r>
          </w:p>
        </w:tc>
      </w:tr>
      <w:tr>
        <w:trPr>
          <w:trHeight w:val="110"/>
        </w:trPr>
        <w:tc>
          <w:tcPr>
            <w:tcW w:w="14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-7172960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-6889750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INDICATORS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Nine months ended</w:t>
            </w:r>
          </w:p>
        </w:tc>
      </w:tr>
      <w:tr>
        <w:trPr>
          <w:trHeight w:val="124"/>
        </w:trPr>
        <w:tc>
          <w:tcPr>
            <w:tcW w:w="4580" w:type="dxa"/>
            <w:vAlign w:val="bottom"/>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r>
        <w:trPr>
          <w:trHeight w:val="316"/>
        </w:trPr>
        <w:tc>
          <w:tcPr>
            <w:tcW w:w="458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Arial" w:cs="Arial" w:eastAsia="Arial" w:hAnsi="Arial"/>
                <w:sz w:val="18"/>
                <w:szCs w:val="18"/>
                <w:b w:val="1"/>
                <w:bCs w:val="1"/>
                <w:color w:val="auto"/>
              </w:rPr>
              <w:t>30.09.02</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30.06.03</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30.09.03</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30.09.02</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30.09.03</w:t>
            </w:r>
          </w:p>
        </w:tc>
      </w:tr>
      <w:tr>
        <w:trPr>
          <w:trHeight w:val="110"/>
        </w:trPr>
        <w:tc>
          <w:tcPr>
            <w:tcW w:w="45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525"/>
        </w:trPr>
        <w:tc>
          <w:tcPr>
            <w:tcW w:w="458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 per common share (US$ per share)(1)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0,039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0,355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0,326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0,362</w:t>
            </w:r>
          </w:p>
        </w:tc>
        <w:tc>
          <w:tcPr>
            <w:tcW w:w="1180" w:type="dxa"/>
            <w:vAlign w:val="bottom"/>
          </w:tcPr>
          <w:p>
            <w:pPr>
              <w:jc w:val="right"/>
              <w:spacing w:after="0"/>
              <w:rPr>
                <w:sz w:val="20"/>
                <w:szCs w:val="20"/>
                <w:color w:val="auto"/>
              </w:rPr>
            </w:pPr>
            <w:r>
              <w:rPr>
                <w:rFonts w:ascii="Arial" w:cs="Arial" w:eastAsia="Arial" w:hAnsi="Arial"/>
                <w:sz w:val="18"/>
                <w:szCs w:val="18"/>
                <w:color w:val="auto"/>
              </w:rPr>
              <w:t>0,712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5,35%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5,32%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5,83%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5,68%</w:t>
            </w: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0,17%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0,52%</w:t>
            </w:r>
          </w:p>
        </w:tc>
        <w:tc>
          <w:tcPr>
            <w:tcW w:w="118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1,54%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13,61%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11,89%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4,81%</w:t>
            </w:r>
          </w:p>
        </w:tc>
        <w:tc>
          <w:tcPr>
            <w:tcW w:w="118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No. of outstanding shares (millions)(4)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79,75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79,75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79,75</w:t>
            </w:r>
          </w:p>
        </w:tc>
        <w:tc>
          <w:tcPr>
            <w:tcW w:w="1180" w:type="dxa"/>
            <w:vAlign w:val="bottom"/>
          </w:tcPr>
          <w:p>
            <w:pPr>
              <w:jc w:val="right"/>
              <w:spacing w:after="0"/>
              <w:rPr>
                <w:sz w:val="20"/>
                <w:szCs w:val="20"/>
                <w:color w:val="auto"/>
              </w:rPr>
            </w:pPr>
            <w:r>
              <w:rPr>
                <w:rFonts w:ascii="Arial" w:cs="Arial" w:eastAsia="Arial" w:hAnsi="Arial"/>
                <w:sz w:val="18"/>
                <w:szCs w:val="18"/>
                <w:color w:val="auto"/>
              </w:rPr>
              <w:t>79,75</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Quality of loan portfolio</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8,02%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7,86%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7,63%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8,02%</w:t>
            </w:r>
          </w:p>
        </w:tc>
        <w:tc>
          <w:tcPr>
            <w:tcW w:w="118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past due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100,12%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113,07%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113,73%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100,12%</w:t>
            </w:r>
          </w:p>
        </w:tc>
        <w:tc>
          <w:tcPr>
            <w:tcW w:w="1180" w:type="dxa"/>
            <w:vAlign w:val="bottom"/>
          </w:tcPr>
          <w:p>
            <w:pPr>
              <w:jc w:val="right"/>
              <w:spacing w:after="0"/>
              <w:rPr>
                <w:sz w:val="20"/>
                <w:szCs w:val="20"/>
                <w:color w:val="auto"/>
              </w:rPr>
            </w:pPr>
            <w:r>
              <w:rPr>
                <w:rFonts w:ascii="Arial" w:cs="Arial" w:eastAsia="Arial" w:hAnsi="Arial"/>
                <w:sz w:val="18"/>
                <w:szCs w:val="18"/>
                <w:color w:val="auto"/>
              </w:rPr>
              <w:t>113,73%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8,03%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8,89%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8,67%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8,03%</w:t>
            </w:r>
          </w:p>
        </w:tc>
        <w:tc>
          <w:tcPr>
            <w:tcW w:w="118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substandard loans (C+D+E)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45,38%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52,53%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52,81%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45,38%</w:t>
            </w:r>
          </w:p>
        </w:tc>
        <w:tc>
          <w:tcPr>
            <w:tcW w:w="1180" w:type="dxa"/>
            <w:vAlign w:val="bottom"/>
          </w:tcPr>
          <w:p>
            <w:pPr>
              <w:jc w:val="right"/>
              <w:spacing w:after="0"/>
              <w:rPr>
                <w:sz w:val="20"/>
                <w:szCs w:val="20"/>
                <w:color w:val="auto"/>
              </w:rPr>
            </w:pPr>
            <w:r>
              <w:rPr>
                <w:rFonts w:ascii="Arial" w:cs="Arial" w:eastAsia="Arial" w:hAnsi="Arial"/>
                <w:sz w:val="18"/>
                <w:szCs w:val="18"/>
                <w:color w:val="auto"/>
              </w:rPr>
              <w:t>52,81%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percentage of shareholders' equity</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-5,50%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-5,25%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-0,05%</w:t>
            </w:r>
          </w:p>
        </w:tc>
        <w:tc>
          <w:tcPr>
            <w:tcW w:w="118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426"/>
        </w:trPr>
        <w:tc>
          <w:tcPr>
            <w:tcW w:w="458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 expense as a percent. of total income (5)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48,82%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53,36%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46,43%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50,67%</w:t>
            </w:r>
          </w:p>
        </w:tc>
        <w:tc>
          <w:tcPr>
            <w:tcW w:w="1180" w:type="dxa"/>
            <w:vAlign w:val="bottom"/>
          </w:tcPr>
          <w:p>
            <w:pPr>
              <w:jc w:val="right"/>
              <w:spacing w:after="0"/>
              <w:rPr>
                <w:sz w:val="20"/>
                <w:szCs w:val="20"/>
                <w:color w:val="auto"/>
              </w:rPr>
            </w:pPr>
            <w:r>
              <w:rPr>
                <w:rFonts w:ascii="Arial" w:cs="Arial" w:eastAsia="Arial" w:hAnsi="Arial"/>
                <w:sz w:val="18"/>
                <w:szCs w:val="18"/>
                <w:color w:val="auto"/>
              </w:rPr>
              <w:t>49,20%</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Oper. expense as a percent. of av. tot. assets(2)(3)(5)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4,44%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4,89%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4,41%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4,71%</w:t>
            </w:r>
          </w:p>
        </w:tc>
        <w:tc>
          <w:tcPr>
            <w:tcW w:w="11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426"/>
        </w:trPr>
        <w:tc>
          <w:tcPr>
            <w:tcW w:w="458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Regulatory Capital (US$Mn)</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716,9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723,4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719,6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716,9</w:t>
            </w:r>
          </w:p>
        </w:tc>
        <w:tc>
          <w:tcPr>
            <w:tcW w:w="1180" w:type="dxa"/>
            <w:vAlign w:val="bottom"/>
          </w:tcPr>
          <w:p>
            <w:pPr>
              <w:jc w:val="right"/>
              <w:spacing w:after="0"/>
              <w:rPr>
                <w:sz w:val="20"/>
                <w:szCs w:val="20"/>
                <w:color w:val="auto"/>
              </w:rPr>
            </w:pPr>
            <w:r>
              <w:rPr>
                <w:rFonts w:ascii="Arial" w:cs="Arial" w:eastAsia="Arial" w:hAnsi="Arial"/>
                <w:sz w:val="18"/>
                <w:szCs w:val="18"/>
                <w:color w:val="auto"/>
              </w:rPr>
              <w:t>719,6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Tier I Capital (US$Mn)</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608,8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608,8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608,8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608,8</w:t>
            </w:r>
          </w:p>
        </w:tc>
        <w:tc>
          <w:tcPr>
            <w:tcW w:w="1180" w:type="dxa"/>
            <w:vAlign w:val="bottom"/>
          </w:tcPr>
          <w:p>
            <w:pPr>
              <w:jc w:val="right"/>
              <w:spacing w:after="0"/>
              <w:rPr>
                <w:sz w:val="20"/>
                <w:szCs w:val="20"/>
                <w:color w:val="auto"/>
              </w:rPr>
            </w:pPr>
            <w:r>
              <w:rPr>
                <w:rFonts w:ascii="Arial" w:cs="Arial" w:eastAsia="Arial" w:hAnsi="Arial"/>
                <w:sz w:val="18"/>
                <w:szCs w:val="18"/>
                <w:color w:val="auto"/>
              </w:rPr>
              <w:t>608,8</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Regulatory capital / risk-weighted assets (6)</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12,22%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11,07%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12,22%</w:t>
            </w:r>
          </w:p>
        </w:tc>
        <w:tc>
          <w:tcPr>
            <w:tcW w:w="118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426"/>
        </w:trPr>
        <w:tc>
          <w:tcPr>
            <w:tcW w:w="4580" w:type="dxa"/>
            <w:vAlign w:val="bottom"/>
          </w:tcPr>
          <w:p>
            <w:pPr>
              <w:spacing w:after="0"/>
              <w:rPr>
                <w:sz w:val="20"/>
                <w:szCs w:val="20"/>
                <w:color w:val="auto"/>
              </w:rPr>
            </w:pPr>
            <w:r>
              <w:rPr>
                <w:rFonts w:ascii="Arial" w:cs="Arial" w:eastAsia="Arial" w:hAnsi="Arial"/>
                <w:sz w:val="18"/>
                <w:szCs w:val="18"/>
                <w:b w:val="1"/>
                <w:bCs w:val="1"/>
                <w:color w:val="auto"/>
              </w:rPr>
              <w:t>Average balances (US$Mn) (3)</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5.771,7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6.697,1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6.174,5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5.808,6</w:t>
            </w:r>
          </w:p>
        </w:tc>
        <w:tc>
          <w:tcPr>
            <w:tcW w:w="1180" w:type="dxa"/>
            <w:vAlign w:val="bottom"/>
          </w:tcPr>
          <w:p>
            <w:pPr>
              <w:jc w:val="right"/>
              <w:spacing w:after="0"/>
              <w:rPr>
                <w:sz w:val="20"/>
                <w:szCs w:val="20"/>
                <w:color w:val="auto"/>
              </w:rPr>
            </w:pPr>
            <w:r>
              <w:rPr>
                <w:rFonts w:ascii="Arial" w:cs="Arial" w:eastAsia="Arial" w:hAnsi="Arial"/>
                <w:sz w:val="18"/>
                <w:szCs w:val="18"/>
                <w:color w:val="auto"/>
              </w:rPr>
              <w:t>6.528,4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7.345,2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8.405,6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8.229,0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7.428,2</w:t>
            </w:r>
          </w:p>
        </w:tc>
        <w:tc>
          <w:tcPr>
            <w:tcW w:w="1180" w:type="dxa"/>
            <w:vAlign w:val="bottom"/>
          </w:tcPr>
          <w:p>
            <w:pPr>
              <w:jc w:val="right"/>
              <w:spacing w:after="0"/>
              <w:rPr>
                <w:sz w:val="20"/>
                <w:szCs w:val="20"/>
                <w:color w:val="auto"/>
              </w:rPr>
            </w:pPr>
            <w:r>
              <w:rPr>
                <w:rFonts w:ascii="Arial" w:cs="Arial" w:eastAsia="Arial" w:hAnsi="Arial"/>
                <w:sz w:val="18"/>
                <w:szCs w:val="18"/>
                <w:color w:val="auto"/>
              </w:rPr>
              <w:t>8.413,7</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Net equity</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799,9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832,0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873,9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799,5</w:t>
            </w:r>
          </w:p>
        </w:tc>
        <w:tc>
          <w:tcPr>
            <w:tcW w:w="1180" w:type="dxa"/>
            <w:vAlign w:val="bottom"/>
          </w:tcPr>
          <w:p>
            <w:pPr>
              <w:jc w:val="right"/>
              <w:spacing w:after="0"/>
              <w:rPr>
                <w:sz w:val="20"/>
                <w:szCs w:val="20"/>
                <w:color w:val="auto"/>
              </w:rPr>
            </w:pPr>
            <w:r>
              <w:rPr>
                <w:rFonts w:ascii="Arial" w:cs="Arial" w:eastAsia="Arial" w:hAnsi="Arial"/>
                <w:sz w:val="18"/>
                <w:szCs w:val="18"/>
                <w:color w:val="auto"/>
              </w:rPr>
              <w:t>845,0</w:t>
            </w:r>
          </w:p>
        </w:tc>
      </w:tr>
      <w:tr>
        <w:trPr>
          <w:trHeight w:val="110"/>
        </w:trPr>
        <w:tc>
          <w:tcPr>
            <w:tcW w:w="45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-4839970</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-4557395</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outstanding of 79.8 million in all periods.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firstLine="8"/>
        <w:spacing w:after="0" w:line="250"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 Operating expense is net of provisions for other assets received in lieu of loan repayment and mandatory employee profit sharing expense. Non-recurring items are not included.</w:t>
      </w: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ectPr>
          <w:pgSz w:w="11900" w:h="16838" w:orient="portrait"/>
          <w:cols w:equalWidth="0" w:num="1">
            <w:col w:w="11420"/>
          </w:cols>
          <w:pgMar w:left="240" w:top="34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September 30,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59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4"/>
          </w:tcPr>
          <w:p>
            <w:pPr>
              <w:ind w:left="1000"/>
              <w:spacing w:after="0"/>
              <w:rPr>
                <w:sz w:val="20"/>
                <w:szCs w:val="20"/>
                <w:color w:val="auto"/>
              </w:rPr>
            </w:pPr>
            <w:r>
              <w:rPr>
                <w:rFonts w:ascii="Arial" w:cs="Arial" w:eastAsia="Arial" w:hAnsi="Arial"/>
                <w:sz w:val="18"/>
                <w:szCs w:val="18"/>
                <w:b w:val="1"/>
                <w:bCs w:val="1"/>
                <w:color w:val="auto"/>
              </w:rPr>
              <w:t>ASSETS</w:t>
            </w:r>
          </w:p>
        </w:tc>
        <w:tc>
          <w:tcPr>
            <w:tcW w:w="15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30.09.02</w:t>
            </w:r>
          </w:p>
        </w:tc>
        <w:tc>
          <w:tcPr>
            <w:tcW w:w="136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31.12.02</w:t>
            </w:r>
          </w:p>
        </w:tc>
        <w:tc>
          <w:tcPr>
            <w:tcW w:w="200" w:type="dxa"/>
            <w:vAlign w:val="bottom"/>
          </w:tcPr>
          <w:p>
            <w:pPr>
              <w:spacing w:after="0"/>
              <w:rPr>
                <w:sz w:val="19"/>
                <w:szCs w:val="19"/>
                <w:color w:val="auto"/>
              </w:rPr>
            </w:pPr>
          </w:p>
        </w:tc>
        <w:tc>
          <w:tcPr>
            <w:tcW w:w="11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30.06.03</w:t>
            </w:r>
          </w:p>
        </w:tc>
        <w:tc>
          <w:tcPr>
            <w:tcW w:w="180" w:type="dxa"/>
            <w:vAlign w:val="bottom"/>
          </w:tcPr>
          <w:p>
            <w:pPr>
              <w:spacing w:after="0"/>
              <w:rPr>
                <w:sz w:val="19"/>
                <w:szCs w:val="19"/>
                <w:color w:val="auto"/>
              </w:rPr>
            </w:pPr>
          </w:p>
        </w:tc>
        <w:tc>
          <w:tcPr>
            <w:tcW w:w="11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30.09.03</w:t>
            </w:r>
          </w:p>
        </w:tc>
        <w:tc>
          <w:tcPr>
            <w:tcW w:w="18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30.09.03</w:t>
            </w:r>
          </w:p>
        </w:tc>
      </w:tr>
      <w:tr>
        <w:trPr>
          <w:trHeight w:val="110"/>
        </w:trPr>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r>
        <w:trPr>
          <w:trHeight w:val="30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US$000(1)</w:t>
            </w:r>
          </w:p>
        </w:tc>
      </w:tr>
      <w:tr>
        <w:trPr>
          <w:trHeight w:val="184"/>
        </w:trPr>
        <w:tc>
          <w:tcPr>
            <w:tcW w:w="4380" w:type="dxa"/>
            <w:vAlign w:val="bottom"/>
            <w:gridSpan w:val="6"/>
          </w:tcPr>
          <w:p>
            <w:pPr>
              <w:spacing w:after="0" w:line="184" w:lineRule="exact"/>
              <w:rPr>
                <w:sz w:val="20"/>
                <w:szCs w:val="20"/>
                <w:color w:val="auto"/>
              </w:rPr>
            </w:pPr>
            <w:r>
              <w:rPr>
                <w:rFonts w:ascii="Arial" w:cs="Arial" w:eastAsia="Arial" w:hAnsi="Arial"/>
                <w:sz w:val="18"/>
                <w:szCs w:val="18"/>
                <w:color w:val="auto"/>
              </w:rPr>
              <w:t>CASH AND DUE FROM BANKS</w:t>
            </w:r>
          </w:p>
        </w:tc>
        <w:tc>
          <w:tcPr>
            <w:tcW w:w="15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805,475</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369,122</w:t>
            </w:r>
          </w:p>
        </w:tc>
        <w:tc>
          <w:tcPr>
            <w:tcW w:w="200" w:type="dxa"/>
            <w:vAlign w:val="bottom"/>
          </w:tcPr>
          <w:p>
            <w:pPr>
              <w:spacing w:after="0"/>
              <w:rPr>
                <w:sz w:val="15"/>
                <w:szCs w:val="15"/>
                <w:color w:val="auto"/>
              </w:rPr>
            </w:pP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079,771</w:t>
            </w: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728,993</w:t>
            </w:r>
          </w:p>
        </w:tc>
        <w:tc>
          <w:tcPr>
            <w:tcW w:w="118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1.645,317</w:t>
            </w:r>
          </w:p>
        </w:tc>
      </w:tr>
      <w:tr>
        <w:trPr>
          <w:trHeight w:val="228"/>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Cash and Checks</w:t>
            </w:r>
          </w:p>
        </w:tc>
        <w:tc>
          <w:tcPr>
            <w:tcW w:w="190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880,387</w:t>
            </w:r>
          </w:p>
        </w:tc>
        <w:tc>
          <w:tcPr>
            <w:tcW w:w="66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1.092,632</w:t>
            </w:r>
          </w:p>
        </w:tc>
        <w:tc>
          <w:tcPr>
            <w:tcW w:w="2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872,659</w:t>
            </w:r>
          </w:p>
        </w:tc>
        <w:tc>
          <w:tcPr>
            <w:tcW w:w="1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872,024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$250,438</w:t>
            </w:r>
          </w:p>
        </w:tc>
      </w:tr>
      <w:tr>
        <w:trPr>
          <w:trHeight w:val="216"/>
        </w:trPr>
        <w:tc>
          <w:tcPr>
            <w:tcW w:w="4380" w:type="dxa"/>
            <w:vAlign w:val="bottom"/>
            <w:gridSpan w:val="6"/>
          </w:tcPr>
          <w:p>
            <w:pPr>
              <w:spacing w:after="0"/>
              <w:rPr>
                <w:sz w:val="20"/>
                <w:szCs w:val="20"/>
                <w:color w:val="auto"/>
              </w:rPr>
            </w:pPr>
            <w:r>
              <w:rPr>
                <w:rFonts w:ascii="Arial" w:cs="Arial" w:eastAsia="Arial" w:hAnsi="Arial"/>
                <w:sz w:val="18"/>
                <w:szCs w:val="18"/>
                <w:color w:val="auto"/>
              </w:rPr>
              <w:t>Deposits in Central Bank of Peru</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4.900,062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4.814,700</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4.391,605</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3.984,141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$1.144,211</w:t>
            </w:r>
          </w:p>
        </w:tc>
      </w:tr>
      <w:tr>
        <w:trPr>
          <w:trHeight w:val="222"/>
        </w:trPr>
        <w:tc>
          <w:tcPr>
            <w:tcW w:w="4380" w:type="dxa"/>
            <w:vAlign w:val="bottom"/>
            <w:gridSpan w:val="6"/>
          </w:tcPr>
          <w:p>
            <w:pPr>
              <w:spacing w:after="0"/>
              <w:rPr>
                <w:sz w:val="20"/>
                <w:szCs w:val="20"/>
                <w:color w:val="auto"/>
              </w:rPr>
            </w:pPr>
            <w:r>
              <w:rPr>
                <w:rFonts w:ascii="Arial" w:cs="Arial" w:eastAsia="Arial" w:hAnsi="Arial"/>
                <w:sz w:val="18"/>
                <w:szCs w:val="18"/>
                <w:color w:val="auto"/>
              </w:rPr>
              <w:t>Deposits with local and foreign banks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1.025,026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1.461,790</w:t>
            </w: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815,507</w:t>
            </w: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872,828</w:t>
            </w:r>
          </w:p>
        </w:tc>
        <w:tc>
          <w:tcPr>
            <w:tcW w:w="1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$250,669</w:t>
            </w:r>
          </w:p>
        </w:tc>
      </w:tr>
      <w:tr>
        <w:trPr>
          <w:trHeight w:val="432"/>
        </w:trPr>
        <w:tc>
          <w:tcPr>
            <w:tcW w:w="4380" w:type="dxa"/>
            <w:vAlign w:val="bottom"/>
            <w:gridSpan w:val="6"/>
          </w:tcPr>
          <w:p>
            <w:pPr>
              <w:spacing w:after="0"/>
              <w:rPr>
                <w:sz w:val="20"/>
                <w:szCs w:val="20"/>
                <w:color w:val="auto"/>
              </w:rPr>
            </w:pPr>
            <w:r>
              <w:rPr>
                <w:rFonts w:ascii="Arial" w:cs="Arial" w:eastAsia="Arial" w:hAnsi="Arial"/>
                <w:sz w:val="18"/>
                <w:szCs w:val="18"/>
                <w:color w:val="auto"/>
              </w:rPr>
              <w:t>TRADING and AVAIL. for SALE SECURITIES, net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1.669,469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1.957,797</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2.214,577</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2.770,098</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$795,548</w:t>
            </w:r>
          </w:p>
        </w:tc>
      </w:tr>
      <w:tr>
        <w:trPr>
          <w:trHeight w:val="394"/>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378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879,820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809,379</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691,319</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281,638</w:t>
            </w:r>
          </w:p>
        </w:tc>
        <w:tc>
          <w:tcPr>
            <w:tcW w:w="11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4.101,562</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w w:val="96"/>
              </w:rPr>
              <w:t>Current</w:t>
            </w:r>
          </w:p>
        </w:tc>
        <w:tc>
          <w:tcPr>
            <w:tcW w:w="3780" w:type="dxa"/>
            <w:vAlign w:val="bottom"/>
            <w:gridSpan w:val="5"/>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2"/>
              </w:rPr>
              <w:t>11.829,049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14.456,409</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13.461,246</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13.120,436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$3.768,075</w:t>
            </w:r>
          </w:p>
        </w:tc>
      </w:tr>
      <w:tr>
        <w:trPr>
          <w:trHeight w:val="216"/>
        </w:trPr>
        <w:tc>
          <w:tcPr>
            <w:tcW w:w="4380" w:type="dxa"/>
            <w:vAlign w:val="bottom"/>
            <w:gridSpan w:val="6"/>
          </w:tcPr>
          <w:p>
            <w:pPr>
              <w:spacing w:after="0"/>
              <w:rPr>
                <w:sz w:val="20"/>
                <w:szCs w:val="20"/>
                <w:color w:val="auto"/>
              </w:rPr>
            </w:pPr>
            <w:r>
              <w:rPr>
                <w:rFonts w:ascii="Arial" w:cs="Arial" w:eastAsia="Arial" w:hAnsi="Arial"/>
                <w:sz w:val="18"/>
                <w:szCs w:val="18"/>
                <w:color w:val="auto"/>
              </w:rPr>
              <w:t>Past Due</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1.050,770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1.352,970</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1.230,073</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1.161,202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$333,487</w:t>
            </w:r>
          </w:p>
        </w:tc>
      </w:tr>
      <w:tr>
        <w:trPr>
          <w:trHeight w:val="216"/>
        </w:trPr>
        <w:tc>
          <w:tcPr>
            <w:tcW w:w="4380" w:type="dxa"/>
            <w:vAlign w:val="bottom"/>
            <w:gridSpan w:val="6"/>
          </w:tcPr>
          <w:p>
            <w:pPr>
              <w:spacing w:after="0"/>
              <w:rPr>
                <w:sz w:val="20"/>
                <w:szCs w:val="20"/>
                <w:color w:val="auto"/>
              </w:rPr>
            </w:pPr>
            <w:r>
              <w:rPr>
                <w:rFonts w:ascii="Arial" w:cs="Arial" w:eastAsia="Arial" w:hAnsi="Arial"/>
                <w:sz w:val="18"/>
                <w:szCs w:val="18"/>
                <w:color w:val="auto"/>
              </w:rPr>
              <w:t>Less - Reserve for possible loan losses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(1.131,249)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(1.471,373)</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(1.448,748)</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(1.367,384)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($392,701)</w:t>
            </w: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3400" w:type="dxa"/>
            <w:vAlign w:val="bottom"/>
            <w:gridSpan w:val="4"/>
          </w:tcPr>
          <w:p>
            <w:pPr>
              <w:spacing w:after="0"/>
              <w:rPr>
                <w:sz w:val="15"/>
                <w:szCs w:val="15"/>
                <w:color w:val="auto"/>
              </w:rPr>
            </w:pPr>
          </w:p>
        </w:tc>
        <w:tc>
          <w:tcPr>
            <w:tcW w:w="15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748,571</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338,006</w:t>
            </w:r>
          </w:p>
        </w:tc>
        <w:tc>
          <w:tcPr>
            <w:tcW w:w="200" w:type="dxa"/>
            <w:vAlign w:val="bottom"/>
          </w:tcPr>
          <w:p>
            <w:pPr>
              <w:spacing w:after="0"/>
              <w:rPr>
                <w:sz w:val="15"/>
                <w:szCs w:val="15"/>
                <w:color w:val="auto"/>
              </w:rPr>
            </w:pP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242,571</w:t>
            </w: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914,254</w:t>
            </w:r>
          </w:p>
        </w:tc>
        <w:tc>
          <w:tcPr>
            <w:tcW w:w="118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3.708,861</w:t>
            </w: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444"/>
        </w:trPr>
        <w:tc>
          <w:tcPr>
            <w:tcW w:w="4380" w:type="dxa"/>
            <w:vAlign w:val="bottom"/>
            <w:gridSpan w:val="6"/>
          </w:tcPr>
          <w:p>
            <w:pPr>
              <w:spacing w:after="0"/>
              <w:rPr>
                <w:sz w:val="20"/>
                <w:szCs w:val="20"/>
                <w:color w:val="auto"/>
              </w:rPr>
            </w:pPr>
            <w:r>
              <w:rPr>
                <w:rFonts w:ascii="Arial" w:cs="Arial" w:eastAsia="Arial" w:hAnsi="Arial"/>
                <w:sz w:val="18"/>
                <w:szCs w:val="18"/>
                <w:color w:val="auto"/>
              </w:rPr>
              <w:t>INVESTMENT SECURITIES, PERMANENT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421,680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420,434</w:t>
            </w:r>
          </w:p>
        </w:tc>
        <w:tc>
          <w:tcPr>
            <w:tcW w:w="2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314,696</w:t>
            </w:r>
          </w:p>
        </w:tc>
        <w:tc>
          <w:tcPr>
            <w:tcW w:w="1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152,163</w:t>
            </w:r>
          </w:p>
        </w:tc>
        <w:tc>
          <w:tcPr>
            <w:tcW w:w="18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$43,700</w:t>
            </w:r>
          </w:p>
        </w:tc>
      </w:tr>
      <w:tr>
        <w:trPr>
          <w:trHeight w:val="216"/>
        </w:trPr>
        <w:tc>
          <w:tcPr>
            <w:tcW w:w="438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620,465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786,995</w:t>
            </w:r>
          </w:p>
        </w:tc>
        <w:tc>
          <w:tcPr>
            <w:tcW w:w="2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740,784</w:t>
            </w:r>
          </w:p>
        </w:tc>
        <w:tc>
          <w:tcPr>
            <w:tcW w:w="1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713,382</w:t>
            </w:r>
          </w:p>
        </w:tc>
        <w:tc>
          <w:tcPr>
            <w:tcW w:w="1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$204,877</w:t>
            </w:r>
          </w:p>
        </w:tc>
      </w:tr>
      <w:tr>
        <w:trPr>
          <w:trHeight w:val="222"/>
        </w:trPr>
        <w:tc>
          <w:tcPr>
            <w:tcW w:w="438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703,890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899,520</w:t>
            </w: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910,126</w:t>
            </w:r>
          </w:p>
        </w:tc>
        <w:tc>
          <w:tcPr>
            <w:tcW w:w="18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1.110,535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$318,936</w:t>
            </w:r>
          </w:p>
        </w:tc>
      </w:tr>
      <w:tr>
        <w:trPr>
          <w:trHeight w:val="432"/>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21.969,550</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25.771,874</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23.502,525</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23.389,425</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$6.717,239</w:t>
            </w:r>
          </w:p>
        </w:tc>
      </w:tr>
      <w:tr>
        <w:trPr>
          <w:trHeight w:val="426"/>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4"/>
        </w:trPr>
        <w:tc>
          <w:tcPr>
            <w:tcW w:w="4380" w:type="dxa"/>
            <w:vAlign w:val="bottom"/>
            <w:gridSpan w:val="6"/>
          </w:tcPr>
          <w:p>
            <w:pPr>
              <w:spacing w:after="0" w:line="184" w:lineRule="exact"/>
              <w:rPr>
                <w:sz w:val="20"/>
                <w:szCs w:val="20"/>
                <w:color w:val="auto"/>
              </w:rPr>
            </w:pPr>
            <w:r>
              <w:rPr>
                <w:rFonts w:ascii="Arial" w:cs="Arial" w:eastAsia="Arial" w:hAnsi="Arial"/>
                <w:sz w:val="18"/>
                <w:szCs w:val="18"/>
                <w:color w:val="auto"/>
              </w:rPr>
              <w:t>DEPOSITS AND OBLIGATIONS:</w:t>
            </w:r>
          </w:p>
        </w:tc>
        <w:tc>
          <w:tcPr>
            <w:tcW w:w="15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554,912</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019,959</w:t>
            </w:r>
          </w:p>
        </w:tc>
        <w:tc>
          <w:tcPr>
            <w:tcW w:w="200" w:type="dxa"/>
            <w:vAlign w:val="bottom"/>
          </w:tcPr>
          <w:p>
            <w:pPr>
              <w:spacing w:after="0"/>
              <w:rPr>
                <w:sz w:val="15"/>
                <w:szCs w:val="15"/>
                <w:color w:val="auto"/>
              </w:rPr>
            </w:pP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113,615</w:t>
            </w: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825,876</w:t>
            </w:r>
          </w:p>
        </w:tc>
        <w:tc>
          <w:tcPr>
            <w:tcW w:w="118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5.693,818</w:t>
            </w:r>
          </w:p>
        </w:tc>
      </w:tr>
      <w:tr>
        <w:trPr>
          <w:trHeight w:val="228"/>
        </w:trPr>
        <w:tc>
          <w:tcPr>
            <w:tcW w:w="2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Demand deposits</w:t>
            </w: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3.916,428</w:t>
            </w:r>
          </w:p>
        </w:tc>
        <w:tc>
          <w:tcPr>
            <w:tcW w:w="58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4.947,635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4.470,447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4.720,902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$1.355,802</w:t>
            </w:r>
          </w:p>
        </w:tc>
      </w:tr>
      <w:tr>
        <w:trPr>
          <w:trHeight w:val="216"/>
        </w:trPr>
        <w:tc>
          <w:tcPr>
            <w:tcW w:w="4380" w:type="dxa"/>
            <w:vAlign w:val="bottom"/>
            <w:gridSpan w:val="6"/>
          </w:tcPr>
          <w:p>
            <w:pPr>
              <w:spacing w:after="0"/>
              <w:rPr>
                <w:sz w:val="20"/>
                <w:szCs w:val="20"/>
                <w:color w:val="auto"/>
              </w:rPr>
            </w:pPr>
            <w:r>
              <w:rPr>
                <w:rFonts w:ascii="Arial" w:cs="Arial" w:eastAsia="Arial" w:hAnsi="Arial"/>
                <w:sz w:val="18"/>
                <w:szCs w:val="18"/>
                <w:color w:val="auto"/>
              </w:rPr>
              <w:t>Saving accounts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5.252,178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5.913,815</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5.471,745</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5.289,852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$1.519,199</w:t>
            </w:r>
          </w:p>
        </w:tc>
      </w:tr>
      <w:tr>
        <w:trPr>
          <w:trHeight w:val="222"/>
        </w:trPr>
        <w:tc>
          <w:tcPr>
            <w:tcW w:w="4380" w:type="dxa"/>
            <w:vAlign w:val="bottom"/>
            <w:gridSpan w:val="6"/>
          </w:tcPr>
          <w:p>
            <w:pPr>
              <w:spacing w:after="0"/>
              <w:rPr>
                <w:sz w:val="20"/>
                <w:szCs w:val="20"/>
                <w:color w:val="auto"/>
              </w:rPr>
            </w:pPr>
            <w:r>
              <w:rPr>
                <w:rFonts w:ascii="Arial" w:cs="Arial" w:eastAsia="Arial" w:hAnsi="Arial"/>
                <w:sz w:val="18"/>
                <w:szCs w:val="18"/>
                <w:color w:val="auto"/>
              </w:rPr>
              <w:t>Time deposits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9.386,306</w:t>
            </w: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11.158,509</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10.171,423</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9.815,122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$2.818,817</w:t>
            </w:r>
          </w:p>
        </w:tc>
      </w:tr>
      <w:tr>
        <w:trPr>
          <w:trHeight w:val="426"/>
        </w:trPr>
        <w:tc>
          <w:tcPr>
            <w:tcW w:w="4380" w:type="dxa"/>
            <w:vAlign w:val="bottom"/>
            <w:gridSpan w:val="6"/>
          </w:tcPr>
          <w:p>
            <w:pPr>
              <w:spacing w:after="0"/>
              <w:rPr>
                <w:sz w:val="20"/>
                <w:szCs w:val="20"/>
                <w:color w:val="auto"/>
              </w:rPr>
            </w:pPr>
            <w:r>
              <w:rPr>
                <w:rFonts w:ascii="Arial" w:cs="Arial" w:eastAsia="Arial" w:hAnsi="Arial"/>
                <w:sz w:val="18"/>
                <w:szCs w:val="18"/>
                <w:color w:val="auto"/>
              </w:rPr>
              <w:t>DUE TO BANKS AND CORRESPONDENTS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467,558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560,778</w:t>
            </w:r>
          </w:p>
        </w:tc>
        <w:tc>
          <w:tcPr>
            <w:tcW w:w="2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501,334</w:t>
            </w:r>
          </w:p>
        </w:tc>
        <w:tc>
          <w:tcPr>
            <w:tcW w:w="18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354,326</w:t>
            </w:r>
          </w:p>
        </w:tc>
        <w:tc>
          <w:tcPr>
            <w:tcW w:w="18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$101,759</w:t>
            </w:r>
          </w:p>
        </w:tc>
      </w:tr>
      <w:tr>
        <w:trPr>
          <w:trHeight w:val="222"/>
        </w:trPr>
        <w:tc>
          <w:tcPr>
            <w:tcW w:w="438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975,233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1.176,538</w:t>
            </w: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869,662</w:t>
            </w:r>
          </w:p>
        </w:tc>
        <w:tc>
          <w:tcPr>
            <w:tcW w:w="18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1.083,272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$311,106</w:t>
            </w:r>
          </w:p>
        </w:tc>
      </w:tr>
      <w:tr>
        <w:trPr>
          <w:trHeight w:val="394"/>
        </w:trPr>
        <w:tc>
          <w:tcPr>
            <w:tcW w:w="438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971,847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014,599</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017,914</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125,951</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610,555</w:t>
            </w:r>
          </w:p>
        </w:tc>
      </w:tr>
      <w:tr>
        <w:trPr>
          <w:trHeight w:val="20"/>
        </w:trPr>
        <w:tc>
          <w:tcPr>
            <w:tcW w:w="2120" w:type="dxa"/>
            <w:vAlign w:val="bottom"/>
            <w:gridSpan w:val="3"/>
            <w:shd w:val="clear" w:color="auto" w:fill="000000"/>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8"/>
        </w:trPr>
        <w:tc>
          <w:tcPr>
            <w:tcW w:w="2120" w:type="dxa"/>
            <w:vAlign w:val="bottom"/>
            <w:gridSpan w:val="3"/>
          </w:tcPr>
          <w:p>
            <w:pPr>
              <w:spacing w:after="0"/>
              <w:rPr>
                <w:sz w:val="20"/>
                <w:szCs w:val="20"/>
                <w:color w:val="auto"/>
              </w:rPr>
            </w:pPr>
            <w:r>
              <w:rPr>
                <w:rFonts w:ascii="Arial" w:cs="Arial" w:eastAsia="Arial" w:hAnsi="Arial"/>
                <w:sz w:val="18"/>
                <w:szCs w:val="18"/>
                <w:color w:val="auto"/>
              </w:rPr>
              <w:t>Capital stock</w:t>
            </w:r>
          </w:p>
        </w:tc>
        <w:tc>
          <w:tcPr>
            <w:tcW w:w="2260" w:type="dxa"/>
            <w:vAlign w:val="bottom"/>
            <w:gridSpan w:val="3"/>
          </w:tcPr>
          <w:p>
            <w:pPr>
              <w:spacing w:after="0"/>
              <w:rPr>
                <w:sz w:val="19"/>
                <w:szCs w:val="19"/>
                <w:color w:val="auto"/>
              </w:rPr>
            </w:pPr>
          </w:p>
        </w:tc>
        <w:tc>
          <w:tcPr>
            <w:tcW w:w="88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1.105,732</w:t>
            </w:r>
          </w:p>
        </w:tc>
        <w:tc>
          <w:tcPr>
            <w:tcW w:w="66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1.105,624</w:t>
            </w:r>
          </w:p>
        </w:tc>
        <w:tc>
          <w:tcPr>
            <w:tcW w:w="2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1.213,231</w:t>
            </w:r>
          </w:p>
        </w:tc>
        <w:tc>
          <w:tcPr>
            <w:tcW w:w="18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1.214,422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$348,771</w:t>
            </w:r>
          </w:p>
        </w:tc>
      </w:tr>
      <w:tr>
        <w:trPr>
          <w:trHeight w:val="216"/>
        </w:trPr>
        <w:tc>
          <w:tcPr>
            <w:tcW w:w="4380" w:type="dxa"/>
            <w:vAlign w:val="bottom"/>
            <w:gridSpan w:val="6"/>
          </w:tcPr>
          <w:p>
            <w:pPr>
              <w:spacing w:after="0"/>
              <w:rPr>
                <w:sz w:val="20"/>
                <w:szCs w:val="20"/>
                <w:color w:val="auto"/>
              </w:rPr>
            </w:pPr>
            <w:r>
              <w:rPr>
                <w:rFonts w:ascii="Arial" w:cs="Arial" w:eastAsia="Arial" w:hAnsi="Arial"/>
                <w:sz w:val="18"/>
                <w:szCs w:val="18"/>
                <w:color w:val="auto"/>
              </w:rPr>
              <w:t>Legal reserve</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654,077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654,013</w:t>
            </w:r>
          </w:p>
        </w:tc>
        <w:tc>
          <w:tcPr>
            <w:tcW w:w="2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690,845</w:t>
            </w:r>
          </w:p>
        </w:tc>
        <w:tc>
          <w:tcPr>
            <w:tcW w:w="1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691,524</w:t>
            </w:r>
          </w:p>
        </w:tc>
        <w:tc>
          <w:tcPr>
            <w:tcW w:w="1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$198,600</w:t>
            </w:r>
          </w:p>
        </w:tc>
      </w:tr>
      <w:tr>
        <w:trPr>
          <w:trHeight w:val="222"/>
        </w:trPr>
        <w:tc>
          <w:tcPr>
            <w:tcW w:w="4380" w:type="dxa"/>
            <w:vAlign w:val="bottom"/>
            <w:gridSpan w:val="6"/>
          </w:tcPr>
          <w:p>
            <w:pPr>
              <w:spacing w:after="0"/>
              <w:rPr>
                <w:sz w:val="20"/>
                <w:szCs w:val="20"/>
                <w:color w:val="auto"/>
              </w:rPr>
            </w:pPr>
            <w:r>
              <w:rPr>
                <w:rFonts w:ascii="Arial" w:cs="Arial" w:eastAsia="Arial" w:hAnsi="Arial"/>
                <w:sz w:val="18"/>
                <w:szCs w:val="18"/>
                <w:color w:val="auto"/>
              </w:rPr>
              <w:t>Retained earnings</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212,038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254,962</w:t>
            </w:r>
          </w:p>
        </w:tc>
        <w:tc>
          <w:tcPr>
            <w:tcW w:w="20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113,838</w:t>
            </w:r>
          </w:p>
        </w:tc>
        <w:tc>
          <w:tcPr>
            <w:tcW w:w="1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220,005</w:t>
            </w:r>
          </w:p>
        </w:tc>
        <w:tc>
          <w:tcPr>
            <w:tcW w:w="1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$63,184</w:t>
            </w:r>
          </w:p>
        </w:tc>
      </w:tr>
      <w:tr>
        <w:trPr>
          <w:trHeight w:val="432"/>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TOTAL LIABILITIES AND EQUITY</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21.969,550</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25.771,874</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23.502,525</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23.389,425</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$6.717,239</w:t>
            </w:r>
          </w:p>
        </w:tc>
      </w:tr>
      <w:tr>
        <w:trPr>
          <w:trHeight w:val="432"/>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rPr>
              <w:t>Contingent Credits</w:t>
            </w: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4.546,690</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5.519,894</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4.955,438</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4.562,989</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$1.310,451</w:t>
            </w:r>
          </w:p>
        </w:tc>
      </w:tr>
      <w:tr>
        <w:trPr>
          <w:trHeight w:val="110"/>
        </w:trPr>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-5243195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 Translated at S/.3.482 per US$1.00.</w:t>
      </w:r>
    </w:p>
    <w:p>
      <w:pPr>
        <w:sectPr>
          <w:pgSz w:w="11900" w:h="16838" w:orient="portrait"/>
          <w:cols w:equalWidth="0" w:num="1">
            <w:col w:w="11420"/>
          </w:cols>
          <w:pgMar w:left="240" w:top="34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(Constant Nuevos Soles, as of September 30, 2003 and U.S. Dollars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gridSpan w:val="9"/>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5"/>
          </w:tcPr>
          <w:p>
            <w:pPr>
              <w:ind w:left="280"/>
              <w:spacing w:after="0"/>
              <w:rPr>
                <w:sz w:val="20"/>
                <w:szCs w:val="20"/>
                <w:color w:val="auto"/>
              </w:rPr>
            </w:pPr>
            <w:r>
              <w:rPr>
                <w:rFonts w:ascii="Arial" w:cs="Arial" w:eastAsia="Arial" w:hAnsi="Arial"/>
                <w:sz w:val="18"/>
                <w:szCs w:val="18"/>
                <w:b w:val="1"/>
                <w:bCs w:val="1"/>
                <w:color w:val="auto"/>
                <w:w w:val="89"/>
              </w:rPr>
              <w:t>Nine months ended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rPr>
              <w:t>30.09.02</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30.06.03</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30.09.03</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30.09.03</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30.09.02</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30.09.03</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30.09.03</w:t>
            </w:r>
          </w:p>
        </w:tc>
        <w:tc>
          <w:tcPr>
            <w:tcW w:w="0" w:type="dxa"/>
            <w:vAlign w:val="bottom"/>
          </w:tcPr>
          <w:p>
            <w:pPr>
              <w:spacing w:after="0"/>
              <w:rPr>
                <w:sz w:val="1"/>
                <w:szCs w:val="1"/>
                <w:color w:val="auto"/>
              </w:rPr>
            </w:pPr>
          </w:p>
        </w:tc>
      </w:tr>
      <w:tr>
        <w:trPr>
          <w:trHeight w:val="164"/>
        </w:trPr>
        <w:tc>
          <w:tcPr>
            <w:tcW w:w="13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Interest income and expense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4"/>
          </w:tcPr>
          <w:p>
            <w:pPr>
              <w:ind w:left="160"/>
              <w:spacing w:after="0"/>
              <w:rPr>
                <w:sz w:val="20"/>
                <w:szCs w:val="20"/>
                <w:color w:val="auto"/>
              </w:rPr>
            </w:pPr>
            <w:r>
              <w:rPr>
                <w:rFonts w:ascii="Arial" w:cs="Arial" w:eastAsia="Arial" w:hAnsi="Arial"/>
                <w:sz w:val="18"/>
                <w:szCs w:val="18"/>
                <w:b w:val="1"/>
                <w:bCs w:val="1"/>
                <w:color w:val="auto"/>
              </w:rPr>
              <w:t>US$000(1)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US$000(1)</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387.078</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404.521</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399.236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$114.657</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1,203.132</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1,218.741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$350.012</w:t>
            </w:r>
          </w:p>
        </w:tc>
        <w:tc>
          <w:tcPr>
            <w:tcW w:w="0" w:type="dxa"/>
            <w:vAlign w:val="bottom"/>
          </w:tcPr>
          <w:p>
            <w:pPr>
              <w:spacing w:after="0"/>
              <w:rPr>
                <w:sz w:val="1"/>
                <w:szCs w:val="1"/>
                <w:color w:val="auto"/>
              </w:rPr>
            </w:pPr>
          </w:p>
        </w:tc>
      </w:tr>
      <w:tr>
        <w:trPr>
          <w:trHeight w:val="232"/>
        </w:trPr>
        <w:tc>
          <w:tcPr>
            <w:tcW w:w="3420" w:type="dxa"/>
            <w:vAlign w:val="bottom"/>
            <w:gridSpan w:val="3"/>
          </w:tcPr>
          <w:p>
            <w:pPr>
              <w:spacing w:after="0"/>
              <w:rPr>
                <w:sz w:val="20"/>
                <w:szCs w:val="20"/>
                <w:color w:val="auto"/>
              </w:rPr>
            </w:pPr>
            <w:r>
              <w:rPr>
                <w:rFonts w:ascii="Arial" w:cs="Arial" w:eastAsia="Arial" w:hAnsi="Arial"/>
                <w:sz w:val="18"/>
                <w:szCs w:val="18"/>
                <w:color w:val="auto"/>
              </w:rPr>
              <w:t>Less - Interest expense</w:t>
            </w:r>
          </w:p>
        </w:tc>
        <w:tc>
          <w:tcPr>
            <w:tcW w:w="5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122.</w:t>
            </w:r>
            <w:r>
              <w:rPr>
                <w:rFonts w:ascii="Arial" w:cs="Arial" w:eastAsia="Arial" w:hAnsi="Arial"/>
                <w:sz w:val="18"/>
                <w:szCs w:val="18"/>
                <w:u w:val="single" w:color="auto"/>
                <w:color w:val="auto"/>
                <w:w w:val="82"/>
              </w:rPr>
              <w:t>412</w:t>
            </w:r>
          </w:p>
        </w:tc>
        <w:tc>
          <w:tcPr>
            <w:tcW w:w="5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118.</w:t>
            </w:r>
            <w:r>
              <w:rPr>
                <w:rFonts w:ascii="Arial" w:cs="Arial" w:eastAsia="Arial" w:hAnsi="Arial"/>
                <w:sz w:val="18"/>
                <w:szCs w:val="18"/>
                <w:u w:val="single" w:color="auto"/>
                <w:color w:val="auto"/>
                <w:w w:val="82"/>
              </w:rPr>
              <w:t>997</w:t>
            </w:r>
          </w:p>
        </w:tc>
        <w:tc>
          <w:tcPr>
            <w:tcW w:w="5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106.</w:t>
            </w:r>
            <w:r>
              <w:rPr>
                <w:rFonts w:ascii="Arial" w:cs="Arial" w:eastAsia="Arial" w:hAnsi="Arial"/>
                <w:sz w:val="18"/>
                <w:szCs w:val="18"/>
                <w:u w:val="single" w:color="auto"/>
                <w:color w:val="auto"/>
                <w:w w:val="86"/>
              </w:rPr>
              <w:t>399</w:t>
            </w: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30.557</w:t>
            </w:r>
          </w:p>
        </w:tc>
        <w:tc>
          <w:tcPr>
            <w:tcW w:w="2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378.</w:t>
            </w:r>
            <w:r>
              <w:rPr>
                <w:rFonts w:ascii="Arial" w:cs="Arial" w:eastAsia="Arial" w:hAnsi="Arial"/>
                <w:sz w:val="18"/>
                <w:szCs w:val="18"/>
                <w:u w:val="single" w:color="auto"/>
                <w:color w:val="auto"/>
              </w:rPr>
              <w:t>572</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356.</w:t>
            </w:r>
            <w:r>
              <w:rPr>
                <w:rFonts w:ascii="Arial" w:cs="Arial" w:eastAsia="Arial" w:hAnsi="Arial"/>
                <w:sz w:val="18"/>
                <w:szCs w:val="18"/>
                <w:u w:val="single" w:color="auto"/>
                <w:color w:val="auto"/>
              </w:rPr>
              <w:t>950</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102.513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w w:val="87"/>
              </w:rPr>
              <w:t>Net interest income</w:t>
            </w:r>
          </w:p>
        </w:tc>
        <w:tc>
          <w:tcPr>
            <w:tcW w:w="204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264.</w:t>
            </w:r>
            <w:r>
              <w:rPr>
                <w:rFonts w:ascii="Arial" w:cs="Arial" w:eastAsia="Arial" w:hAnsi="Arial"/>
                <w:sz w:val="18"/>
                <w:szCs w:val="18"/>
                <w:u w:val="single" w:color="auto"/>
                <w:color w:val="auto"/>
                <w:w w:val="82"/>
              </w:rPr>
              <w:t>666</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285.</w:t>
            </w:r>
            <w:r>
              <w:rPr>
                <w:rFonts w:ascii="Arial" w:cs="Arial" w:eastAsia="Arial" w:hAnsi="Arial"/>
                <w:sz w:val="18"/>
                <w:szCs w:val="18"/>
                <w:u w:val="single" w:color="auto"/>
                <w:color w:val="auto"/>
              </w:rPr>
              <w:t>524</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292.</w:t>
            </w:r>
            <w:r>
              <w:rPr>
                <w:rFonts w:ascii="Arial" w:cs="Arial" w:eastAsia="Arial" w:hAnsi="Arial"/>
                <w:sz w:val="18"/>
                <w:szCs w:val="18"/>
                <w:u w:val="single" w:color="auto"/>
                <w:color w:val="auto"/>
              </w:rPr>
              <w:t>837</w:t>
            </w: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84.100</w:t>
            </w:r>
          </w:p>
        </w:tc>
        <w:tc>
          <w:tcPr>
            <w:tcW w:w="2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824.</w:t>
            </w:r>
            <w:r>
              <w:rPr>
                <w:rFonts w:ascii="Arial" w:cs="Arial" w:eastAsia="Arial" w:hAnsi="Arial"/>
                <w:sz w:val="18"/>
                <w:szCs w:val="18"/>
                <w:u w:val="single" w:color="auto"/>
                <w:color w:val="auto"/>
              </w:rPr>
              <w:t>560</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861.</w:t>
            </w:r>
            <w:r>
              <w:rPr>
                <w:rFonts w:ascii="Arial" w:cs="Arial" w:eastAsia="Arial" w:hAnsi="Arial"/>
                <w:sz w:val="18"/>
                <w:szCs w:val="18"/>
                <w:u w:val="single" w:color="auto"/>
                <w:color w:val="auto"/>
              </w:rPr>
              <w:t>791</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247.499</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20" w:type="dxa"/>
            <w:vAlign w:val="bottom"/>
            <w:gridSpan w:val="3"/>
          </w:tcPr>
          <w:p>
            <w:pPr>
              <w:spacing w:after="0"/>
              <w:rPr>
                <w:sz w:val="20"/>
                <w:szCs w:val="20"/>
                <w:color w:val="auto"/>
              </w:rPr>
            </w:pPr>
            <w:r>
              <w:rPr>
                <w:rFonts w:ascii="Arial" w:cs="Arial" w:eastAsia="Arial" w:hAnsi="Arial"/>
                <w:sz w:val="18"/>
                <w:szCs w:val="18"/>
                <w:color w:val="auto"/>
              </w:rPr>
              <w:t>Provisions for possible loan losses, net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111.218</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66.513</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78.788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$22.627</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303.713</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261.291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$75.040</w:t>
            </w:r>
          </w:p>
        </w:tc>
        <w:tc>
          <w:tcPr>
            <w:tcW w:w="0" w:type="dxa"/>
            <w:vAlign w:val="bottom"/>
          </w:tcPr>
          <w:p>
            <w:pPr>
              <w:spacing w:after="0"/>
              <w:rPr>
                <w:sz w:val="1"/>
                <w:szCs w:val="1"/>
                <w:color w:val="auto"/>
              </w:rPr>
            </w:pPr>
          </w:p>
        </w:tc>
      </w:tr>
      <w:tr>
        <w:trPr>
          <w:trHeight w:val="434"/>
        </w:trPr>
        <w:tc>
          <w:tcPr>
            <w:tcW w:w="2520" w:type="dxa"/>
            <w:vAlign w:val="bottom"/>
            <w:gridSpan w:val="2"/>
          </w:tcPr>
          <w:p>
            <w:pPr>
              <w:spacing w:after="0"/>
              <w:rPr>
                <w:sz w:val="20"/>
                <w:szCs w:val="20"/>
                <w:color w:val="auto"/>
              </w:rPr>
            </w:pPr>
            <w:r>
              <w:rPr>
                <w:rFonts w:ascii="Arial" w:cs="Arial" w:eastAsia="Arial" w:hAnsi="Arial"/>
                <w:sz w:val="18"/>
                <w:szCs w:val="18"/>
                <w:color w:val="auto"/>
                <w:w w:val="88"/>
              </w:rPr>
              <w:t>Net interest income after provisions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153.</w:t>
            </w:r>
            <w:r>
              <w:rPr>
                <w:rFonts w:ascii="Arial" w:cs="Arial" w:eastAsia="Arial" w:hAnsi="Arial"/>
                <w:sz w:val="18"/>
                <w:szCs w:val="18"/>
                <w:u w:val="single" w:color="auto"/>
                <w:color w:val="auto"/>
                <w:w w:val="82"/>
              </w:rPr>
              <w:t>448</w:t>
            </w:r>
          </w:p>
        </w:tc>
        <w:tc>
          <w:tcPr>
            <w:tcW w:w="5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219.</w:t>
            </w:r>
            <w:r>
              <w:rPr>
                <w:rFonts w:ascii="Arial" w:cs="Arial" w:eastAsia="Arial" w:hAnsi="Arial"/>
                <w:sz w:val="18"/>
                <w:szCs w:val="18"/>
                <w:u w:val="single" w:color="auto"/>
                <w:color w:val="auto"/>
                <w:w w:val="82"/>
              </w:rPr>
              <w:t>011</w:t>
            </w:r>
          </w:p>
        </w:tc>
        <w:tc>
          <w:tcPr>
            <w:tcW w:w="5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214.</w:t>
            </w:r>
            <w:r>
              <w:rPr>
                <w:rFonts w:ascii="Arial" w:cs="Arial" w:eastAsia="Arial" w:hAnsi="Arial"/>
                <w:sz w:val="18"/>
                <w:szCs w:val="18"/>
                <w:u w:val="single" w:color="auto"/>
                <w:color w:val="auto"/>
                <w:w w:val="86"/>
              </w:rPr>
              <w:t>049</w:t>
            </w:r>
          </w:p>
        </w:tc>
        <w:tc>
          <w:tcPr>
            <w:tcW w:w="1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61.473</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520.</w:t>
            </w:r>
            <w:r>
              <w:rPr>
                <w:rFonts w:ascii="Arial" w:cs="Arial" w:eastAsia="Arial" w:hAnsi="Arial"/>
                <w:sz w:val="18"/>
                <w:szCs w:val="18"/>
                <w:u w:val="single" w:color="auto"/>
                <w:color w:val="auto"/>
              </w:rPr>
              <w:t>847</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600.</w:t>
            </w:r>
            <w:r>
              <w:rPr>
                <w:rFonts w:ascii="Arial" w:cs="Arial" w:eastAsia="Arial" w:hAnsi="Arial"/>
                <w:sz w:val="18"/>
                <w:szCs w:val="18"/>
                <w:u w:val="single" w:color="auto"/>
                <w:color w:val="auto"/>
              </w:rPr>
              <w:t>500</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172.458</w:t>
            </w:r>
          </w:p>
        </w:tc>
        <w:tc>
          <w:tcPr>
            <w:tcW w:w="0" w:type="dxa"/>
            <w:vAlign w:val="bottom"/>
          </w:tcPr>
          <w:p>
            <w:pPr>
              <w:spacing w:after="0"/>
              <w:rPr>
                <w:sz w:val="1"/>
                <w:szCs w:val="1"/>
                <w:color w:val="auto"/>
              </w:rPr>
            </w:pPr>
          </w:p>
        </w:tc>
      </w:tr>
      <w:tr>
        <w:trPr>
          <w:trHeight w:val="491"/>
        </w:trPr>
        <w:tc>
          <w:tcPr>
            <w:tcW w:w="25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Income</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Fees and commissions from services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153.306</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159.285</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164.909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$47.360</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425.235</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479.987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$137.848</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Net gains from sales of securities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1.089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8.219</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(5.345)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25.973</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7.376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Net gains on foreing exchg. transacts.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19.268</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18.960</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18.218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$5.232</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53.549</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58.544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32"/>
        </w:trPr>
        <w:tc>
          <w:tcPr>
            <w:tcW w:w="342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452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944</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866</w:t>
            </w: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13.460</w:t>
            </w:r>
          </w:p>
        </w:tc>
        <w:tc>
          <w:tcPr>
            <w:tcW w:w="2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886</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139.</w:t>
            </w:r>
            <w:r>
              <w:rPr>
                <w:rFonts w:ascii="Arial" w:cs="Arial" w:eastAsia="Arial" w:hAnsi="Arial"/>
                <w:sz w:val="18"/>
                <w:szCs w:val="18"/>
                <w:u w:val="single" w:color="auto"/>
                <w:color w:val="auto"/>
              </w:rPr>
              <w:t>434</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40.044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197.</w:t>
            </w:r>
            <w:r>
              <w:rPr>
                <w:rFonts w:ascii="Arial" w:cs="Arial" w:eastAsia="Arial" w:hAnsi="Arial"/>
                <w:sz w:val="18"/>
                <w:szCs w:val="18"/>
                <w:u w:val="single" w:color="auto"/>
                <w:color w:val="auto"/>
              </w:rPr>
              <w:t>115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211.</w:t>
            </w:r>
            <w:r>
              <w:rPr>
                <w:rFonts w:ascii="Arial" w:cs="Arial" w:eastAsia="Arial" w:hAnsi="Arial"/>
                <w:sz w:val="18"/>
                <w:szCs w:val="18"/>
                <w:u w:val="single" w:color="auto"/>
                <w:color w:val="auto"/>
              </w:rPr>
              <w:t>408</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224.</w:t>
            </w:r>
            <w:r>
              <w:rPr>
                <w:rFonts w:ascii="Arial" w:cs="Arial" w:eastAsia="Arial" w:hAnsi="Arial"/>
                <w:sz w:val="18"/>
                <w:szCs w:val="18"/>
                <w:u w:val="single" w:color="auto"/>
                <w:color w:val="auto"/>
              </w:rPr>
              <w:t>648</w:t>
            </w: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64.517</w:t>
            </w:r>
          </w:p>
        </w:tc>
        <w:tc>
          <w:tcPr>
            <w:tcW w:w="2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571.</w:t>
            </w:r>
            <w:r>
              <w:rPr>
                <w:rFonts w:ascii="Arial" w:cs="Arial" w:eastAsia="Arial" w:hAnsi="Arial"/>
                <w:sz w:val="18"/>
                <w:szCs w:val="18"/>
                <w:u w:val="single" w:color="auto"/>
                <w:color w:val="auto"/>
              </w:rPr>
              <w:t>643</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685.</w:t>
            </w:r>
            <w:r>
              <w:rPr>
                <w:rFonts w:ascii="Arial" w:cs="Arial" w:eastAsia="Arial" w:hAnsi="Arial"/>
                <w:sz w:val="18"/>
                <w:szCs w:val="18"/>
                <w:u w:val="single" w:color="auto"/>
                <w:color w:val="auto"/>
              </w:rPr>
              <w:t>341</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196.824</w:t>
            </w:r>
          </w:p>
        </w:tc>
        <w:tc>
          <w:tcPr>
            <w:tcW w:w="0" w:type="dxa"/>
            <w:vAlign w:val="bottom"/>
          </w:tcPr>
          <w:p>
            <w:pPr>
              <w:spacing w:after="0"/>
              <w:rPr>
                <w:sz w:val="1"/>
                <w:szCs w:val="1"/>
                <w:color w:val="auto"/>
              </w:rPr>
            </w:pPr>
          </w:p>
        </w:tc>
      </w:tr>
      <w:tr>
        <w:trPr>
          <w:trHeight w:val="491"/>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Salaries and employee benefits</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129.909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125.151</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128.094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$36.787</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390.578</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386.740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$111.068</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104.150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99.339</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97.069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$27.877</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281.322</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301.886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$86.699</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29.439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34.636</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34.338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$9.862</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89.048</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102.506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$29.439</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Taxes other than income tax</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8.736</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10.324</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9.660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25.559</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31.225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21.973</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27.400</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23.570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$6.769</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97.074</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80.208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$23.035</w:t>
            </w:r>
          </w:p>
        </w:tc>
        <w:tc>
          <w:tcPr>
            <w:tcW w:w="0" w:type="dxa"/>
            <w:vAlign w:val="bottom"/>
          </w:tcPr>
          <w:p>
            <w:pPr>
              <w:spacing w:after="0"/>
              <w:rPr>
                <w:sz w:val="1"/>
                <w:szCs w:val="1"/>
                <w:color w:val="auto"/>
              </w:rPr>
            </w:pPr>
          </w:p>
        </w:tc>
      </w:tr>
      <w:tr>
        <w:trPr>
          <w:trHeight w:val="232"/>
        </w:trPr>
        <w:tc>
          <w:tcPr>
            <w:tcW w:w="3420" w:type="dxa"/>
            <w:vAlign w:val="bottom"/>
            <w:gridSpan w:val="3"/>
          </w:tcPr>
          <w:p>
            <w:pPr>
              <w:spacing w:after="0"/>
              <w:rPr>
                <w:sz w:val="20"/>
                <w:szCs w:val="20"/>
                <w:color w:val="auto"/>
              </w:rPr>
            </w:pPr>
            <w:r>
              <w:rPr>
                <w:rFonts w:ascii="Arial" w:cs="Arial" w:eastAsia="Arial" w:hAnsi="Arial"/>
                <w:sz w:val="18"/>
                <w:szCs w:val="18"/>
                <w:color w:val="auto"/>
              </w:rPr>
              <w:t>Merger costs</w:t>
            </w:r>
          </w:p>
        </w:tc>
        <w:tc>
          <w:tcPr>
            <w:tcW w:w="700" w:type="dxa"/>
            <w:vAlign w:val="bottom"/>
            <w:gridSpan w:val="3"/>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0.</w:t>
            </w:r>
            <w:r>
              <w:rPr>
                <w:rFonts w:ascii="Arial" w:cs="Arial" w:eastAsia="Arial" w:hAnsi="Arial"/>
                <w:sz w:val="18"/>
                <w:szCs w:val="18"/>
                <w:u w:val="single" w:color="auto"/>
                <w:color w:val="auto"/>
                <w:w w:val="84"/>
              </w:rPr>
              <w:t>000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995</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000</w:t>
            </w: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0.000</w:t>
            </w:r>
          </w:p>
        </w:tc>
        <w:tc>
          <w:tcPr>
            <w:tcW w:w="2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000</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671</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294.</w:t>
            </w:r>
            <w:r>
              <w:rPr>
                <w:rFonts w:ascii="Arial" w:cs="Arial" w:eastAsia="Arial" w:hAnsi="Arial"/>
                <w:sz w:val="18"/>
                <w:szCs w:val="18"/>
                <w:u w:val="single" w:color="auto"/>
                <w:color w:val="auto"/>
                <w:w w:val="82"/>
              </w:rPr>
              <w:t>207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303.</w:t>
            </w:r>
            <w:r>
              <w:rPr>
                <w:rFonts w:ascii="Arial" w:cs="Arial" w:eastAsia="Arial" w:hAnsi="Arial"/>
                <w:sz w:val="18"/>
                <w:szCs w:val="18"/>
                <w:u w:val="single" w:color="auto"/>
                <w:color w:val="auto"/>
              </w:rPr>
              <w:t>844</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292.</w:t>
            </w:r>
            <w:r>
              <w:rPr>
                <w:rFonts w:ascii="Arial" w:cs="Arial" w:eastAsia="Arial" w:hAnsi="Arial"/>
                <w:sz w:val="18"/>
                <w:szCs w:val="18"/>
                <w:u w:val="single" w:color="auto"/>
                <w:color w:val="auto"/>
              </w:rPr>
              <w:t>731</w:t>
            </w:r>
          </w:p>
        </w:tc>
        <w:tc>
          <w:tcPr>
            <w:tcW w:w="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84.070</w:t>
            </w:r>
          </w:p>
        </w:tc>
        <w:tc>
          <w:tcPr>
            <w:tcW w:w="2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883.</w:t>
            </w:r>
            <w:r>
              <w:rPr>
                <w:rFonts w:ascii="Arial" w:cs="Arial" w:eastAsia="Arial" w:hAnsi="Arial"/>
                <w:sz w:val="18"/>
                <w:szCs w:val="18"/>
                <w:u w:val="single" w:color="auto"/>
                <w:color w:val="auto"/>
              </w:rPr>
              <w:t>581</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963.</w:t>
            </w:r>
            <w:r>
              <w:rPr>
                <w:rFonts w:ascii="Arial" w:cs="Arial" w:eastAsia="Arial" w:hAnsi="Arial"/>
                <w:sz w:val="18"/>
                <w:szCs w:val="18"/>
                <w:u w:val="single" w:color="auto"/>
                <w:color w:val="auto"/>
              </w:rPr>
              <w:t>236</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276.633</w:t>
            </w:r>
          </w:p>
        </w:tc>
        <w:tc>
          <w:tcPr>
            <w:tcW w:w="0" w:type="dxa"/>
            <w:vAlign w:val="bottom"/>
          </w:tcPr>
          <w:p>
            <w:pPr>
              <w:spacing w:after="0"/>
              <w:rPr>
                <w:sz w:val="1"/>
                <w:szCs w:val="1"/>
                <w:color w:val="auto"/>
              </w:rPr>
            </w:pPr>
          </w:p>
        </w:tc>
      </w:tr>
      <w:tr>
        <w:trPr>
          <w:trHeight w:val="20"/>
        </w:trPr>
        <w:tc>
          <w:tcPr>
            <w:tcW w:w="3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Result from exposure to inflation</w:t>
            </w:r>
          </w:p>
        </w:tc>
        <w:tc>
          <w:tcPr>
            <w:tcW w:w="540" w:type="dxa"/>
            <w:vAlign w:val="bottom"/>
            <w:tcBorders>
              <w:right w:val="single" w:sz="8" w:color="auto"/>
            </w:tcBorders>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42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27.559</w:t>
            </w:r>
          </w:p>
        </w:tc>
        <w:tc>
          <w:tcPr>
            <w:tcW w:w="5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3.768</w:t>
            </w:r>
          </w:p>
        </w:tc>
        <w:tc>
          <w:tcPr>
            <w:tcW w:w="5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0.664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$0.191</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51.925</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(20.604)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w:t>
            </w: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rPr>
              <w:t>83.915</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130.342</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146.630</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$42.111</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260.834</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302.001</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$86.732</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color w:val="auto"/>
              </w:rPr>
              <w:t>Income Tax</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22.077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29.809</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color w:val="auto"/>
              </w:rPr>
              <w:t>40.464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$11.621</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73.392</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83.077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70"/>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rPr>
              <w:t>61.838</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100.533</w:t>
            </w:r>
          </w:p>
        </w:tc>
        <w:tc>
          <w:tcPr>
            <w:tcW w:w="13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106.166</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$30.490</w:t>
            </w:r>
          </w:p>
        </w:tc>
        <w:tc>
          <w:tcPr>
            <w:tcW w:w="22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187.442</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218.924</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$62.873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-5199380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-4847590</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91440</wp:posOffset>
            </wp:positionV>
            <wp:extent cx="722503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 Translated at S/.3.482 per US$1.00.</w:t>
      </w:r>
    </w:p>
    <w:p>
      <w:pPr>
        <w:sectPr>
          <w:pgSz w:w="11900" w:h="16838" w:orient="portrait"/>
          <w:cols w:equalWidth="0" w:num="1">
            <w:col w:w="11400"/>
          </w:cols>
          <w:pgMar w:left="240" w:top="125"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INDICATORS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Nine months ended</w:t>
            </w:r>
          </w:p>
        </w:tc>
      </w:tr>
      <w:tr>
        <w:trPr>
          <w:trHeight w:val="110"/>
        </w:trPr>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29"/>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Arial" w:cs="Arial" w:eastAsia="Arial" w:hAnsi="Arial"/>
                <w:sz w:val="18"/>
                <w:szCs w:val="18"/>
                <w:b w:val="1"/>
                <w:bCs w:val="1"/>
                <w:color w:val="auto"/>
              </w:rPr>
              <w:t>30.09.02</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30.06.03</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30.09.03</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30.09.02</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30.09.03</w:t>
            </w:r>
          </w:p>
        </w:tc>
      </w:tr>
      <w:tr>
        <w:trPr>
          <w:trHeight w:val="110"/>
        </w:trPr>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Profitability</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Net income per common share (S/. per share)(1)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0.051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0.084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0.088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0.156</w:t>
            </w:r>
          </w:p>
        </w:tc>
        <w:tc>
          <w:tcPr>
            <w:tcW w:w="1180" w:type="dxa"/>
            <w:vAlign w:val="bottom"/>
          </w:tcPr>
          <w:p>
            <w:pPr>
              <w:jc w:val="right"/>
              <w:spacing w:after="0"/>
              <w:rPr>
                <w:sz w:val="20"/>
                <w:szCs w:val="20"/>
                <w:color w:val="auto"/>
              </w:rPr>
            </w:pPr>
            <w:r>
              <w:rPr>
                <w:rFonts w:ascii="Arial" w:cs="Arial" w:eastAsia="Arial" w:hAnsi="Arial"/>
                <w:sz w:val="18"/>
                <w:szCs w:val="18"/>
                <w:color w:val="auto"/>
              </w:rPr>
              <w:t>0.182</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Net interest margin on interest earning assets (2)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5.57%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5.33%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5.63%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5.85%</w:t>
            </w:r>
          </w:p>
        </w:tc>
        <w:tc>
          <w:tcPr>
            <w:tcW w:w="118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Return on average total assets (2)(3)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1.66%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1.81%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Return on average shareholders' equity (2)(3)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12.75%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20.44%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20.50%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13.13%</w:t>
            </w:r>
          </w:p>
        </w:tc>
        <w:tc>
          <w:tcPr>
            <w:tcW w:w="11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326"/>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Quality of loan portfolio</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77"/>
        </w:trPr>
        <w:tc>
          <w:tcPr>
            <w:tcW w:w="4580" w:type="dxa"/>
            <w:vAlign w:val="bottom"/>
            <w:gridSpan w:val="6"/>
          </w:tcPr>
          <w:p>
            <w:pPr>
              <w:spacing w:after="0"/>
              <w:rPr>
                <w:sz w:val="20"/>
                <w:szCs w:val="20"/>
                <w:color w:val="auto"/>
              </w:rPr>
            </w:pPr>
            <w:r>
              <w:rPr>
                <w:rFonts w:ascii="Arial" w:cs="Arial" w:eastAsia="Arial" w:hAnsi="Arial"/>
                <w:sz w:val="18"/>
                <w:szCs w:val="18"/>
                <w:color w:val="auto"/>
              </w:rPr>
              <w:t>Past due loans as a percentage 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8.16%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8.37%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8.13%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8.16%</w:t>
            </w:r>
          </w:p>
        </w:tc>
        <w:tc>
          <w:tcPr>
            <w:tcW w:w="118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Past due loans + refinanced loans as a</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percentage 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14.56%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14.61%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13.64%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14.56%</w:t>
            </w:r>
          </w:p>
        </w:tc>
        <w:tc>
          <w:tcPr>
            <w:tcW w:w="118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107.66%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117.78%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117.76%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107.66%</w:t>
            </w:r>
          </w:p>
        </w:tc>
        <w:tc>
          <w:tcPr>
            <w:tcW w:w="1180" w:type="dxa"/>
            <w:vAlign w:val="bottom"/>
          </w:tcPr>
          <w:p>
            <w:pPr>
              <w:jc w:val="right"/>
              <w:spacing w:after="0"/>
              <w:rPr>
                <w:sz w:val="20"/>
                <w:szCs w:val="20"/>
                <w:color w:val="auto"/>
              </w:rPr>
            </w:pPr>
            <w:r>
              <w:rPr>
                <w:rFonts w:ascii="Arial" w:cs="Arial" w:eastAsia="Arial" w:hAnsi="Arial"/>
                <w:sz w:val="18"/>
                <w:szCs w:val="18"/>
                <w:color w:val="auto"/>
              </w:rPr>
              <w:t>117.76%</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substandard loans (C+D+E)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46.19%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54.41%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54.35%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46.19%</w:t>
            </w:r>
          </w:p>
        </w:tc>
        <w:tc>
          <w:tcPr>
            <w:tcW w:w="1180" w:type="dxa"/>
            <w:vAlign w:val="bottom"/>
          </w:tcPr>
          <w:p>
            <w:pPr>
              <w:jc w:val="right"/>
              <w:spacing w:after="0"/>
              <w:rPr>
                <w:sz w:val="20"/>
                <w:szCs w:val="20"/>
                <w:color w:val="auto"/>
              </w:rPr>
            </w:pPr>
            <w:r>
              <w:rPr>
                <w:rFonts w:ascii="Arial" w:cs="Arial" w:eastAsia="Arial" w:hAnsi="Arial"/>
                <w:sz w:val="18"/>
                <w:szCs w:val="18"/>
                <w:color w:val="auto"/>
              </w:rPr>
              <w:t>54.35%</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Past due loans - reserves for loan losses as a</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percentage of shareholders' equity</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-4.08%</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-10.84%</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-9.70%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-4.08%</w:t>
            </w:r>
          </w:p>
        </w:tc>
        <w:tc>
          <w:tcPr>
            <w:tcW w:w="118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326"/>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Operating efficiency (5)</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Oper. expense as a percent. of total income (4)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52.91%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52.86%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48.58%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55.15%</w:t>
            </w:r>
          </w:p>
        </w:tc>
        <w:tc>
          <w:tcPr>
            <w:tcW w:w="1180" w:type="dxa"/>
            <w:vAlign w:val="bottom"/>
          </w:tcPr>
          <w:p>
            <w:pPr>
              <w:jc w:val="right"/>
              <w:spacing w:after="0"/>
              <w:rPr>
                <w:sz w:val="20"/>
                <w:szCs w:val="20"/>
                <w:color w:val="auto"/>
              </w:rPr>
            </w:pPr>
            <w:r>
              <w:rPr>
                <w:rFonts w:ascii="Arial" w:cs="Arial" w:eastAsia="Arial" w:hAnsi="Arial"/>
                <w:sz w:val="18"/>
                <w:szCs w:val="18"/>
                <w:color w:val="auto"/>
              </w:rPr>
              <w:t>51.91%</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Oper. expense as a percent. of av. tot. assets(2)(3)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4.53%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4.35%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4.29%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4.74%</w:t>
            </w: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326"/>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Capital adequacy</w:t>
            </w:r>
          </w:p>
        </w:tc>
        <w:tc>
          <w:tcPr>
            <w:tcW w:w="326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Total Regulatory capital (constant millions 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2,022.2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2,175.7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2,155.2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2,022.2</w:t>
            </w:r>
          </w:p>
        </w:tc>
        <w:tc>
          <w:tcPr>
            <w:tcW w:w="1180" w:type="dxa"/>
            <w:vAlign w:val="bottom"/>
          </w:tcPr>
          <w:p>
            <w:pPr>
              <w:jc w:val="right"/>
              <w:spacing w:after="0"/>
              <w:rPr>
                <w:sz w:val="20"/>
                <w:szCs w:val="20"/>
                <w:color w:val="auto"/>
              </w:rPr>
            </w:pPr>
            <w:r>
              <w:rPr>
                <w:rFonts w:ascii="Arial" w:cs="Arial" w:eastAsia="Arial" w:hAnsi="Arial"/>
                <w:sz w:val="18"/>
                <w:szCs w:val="18"/>
                <w:color w:val="auto"/>
              </w:rPr>
              <w:t>2,155.2</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Tier I Capital (constant millions 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1,759.8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1,904.1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1,905.9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1,759.8</w:t>
            </w:r>
          </w:p>
        </w:tc>
        <w:tc>
          <w:tcPr>
            <w:tcW w:w="1180" w:type="dxa"/>
            <w:vAlign w:val="bottom"/>
          </w:tcPr>
          <w:p>
            <w:pPr>
              <w:jc w:val="right"/>
              <w:spacing w:after="0"/>
              <w:rPr>
                <w:sz w:val="20"/>
                <w:szCs w:val="20"/>
                <w:color w:val="auto"/>
              </w:rPr>
            </w:pPr>
            <w:r>
              <w:rPr>
                <w:rFonts w:ascii="Arial" w:cs="Arial" w:eastAsia="Arial" w:hAnsi="Arial"/>
                <w:sz w:val="18"/>
                <w:szCs w:val="18"/>
                <w:color w:val="auto"/>
              </w:rPr>
              <w:t>1,905.9</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Net equity as a percentage of period end total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8.98%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8.59%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9.09%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8.98%</w:t>
            </w:r>
          </w:p>
        </w:tc>
        <w:tc>
          <w:tcPr>
            <w:tcW w:w="118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Regulatory capital / risk-weighted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12.73%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12.64%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12.27%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12.73%</w:t>
            </w:r>
          </w:p>
        </w:tc>
        <w:tc>
          <w:tcPr>
            <w:tcW w:w="118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326"/>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Average balances (constant millions S/.) (3)</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32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Interest earning assets</w:t>
            </w:r>
          </w:p>
        </w:tc>
        <w:tc>
          <w:tcPr>
            <w:tcW w:w="1360" w:type="dxa"/>
            <w:vAlign w:val="bottom"/>
          </w:tcPr>
          <w:p>
            <w:pPr>
              <w:spacing w:after="0"/>
              <w:rPr>
                <w:sz w:val="19"/>
                <w:szCs w:val="19"/>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18,992.1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21,430.9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20,815.2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19,041.2</w:t>
            </w:r>
          </w:p>
        </w:tc>
        <w:tc>
          <w:tcPr>
            <w:tcW w:w="1180" w:type="dxa"/>
            <w:vAlign w:val="bottom"/>
          </w:tcPr>
          <w:p>
            <w:pPr>
              <w:jc w:val="right"/>
              <w:spacing w:after="0"/>
              <w:rPr>
                <w:sz w:val="20"/>
                <w:szCs w:val="20"/>
                <w:color w:val="auto"/>
              </w:rPr>
            </w:pPr>
            <w:r>
              <w:rPr>
                <w:rFonts w:ascii="Arial" w:cs="Arial" w:eastAsia="Arial" w:hAnsi="Arial"/>
                <w:sz w:val="18"/>
                <w:szCs w:val="18"/>
                <w:color w:val="auto"/>
              </w:rPr>
              <w:t>21,719.1</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21,578.1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24,153.1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23,446.0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21,680.7</w:t>
            </w:r>
          </w:p>
        </w:tc>
        <w:tc>
          <w:tcPr>
            <w:tcW w:w="1180" w:type="dxa"/>
            <w:vAlign w:val="bottom"/>
          </w:tcPr>
          <w:p>
            <w:pPr>
              <w:jc w:val="right"/>
              <w:spacing w:after="0"/>
              <w:rPr>
                <w:sz w:val="20"/>
                <w:szCs w:val="20"/>
                <w:color w:val="auto"/>
              </w:rPr>
            </w:pPr>
            <w:r>
              <w:rPr>
                <w:rFonts w:ascii="Arial" w:cs="Arial" w:eastAsia="Arial" w:hAnsi="Arial"/>
                <w:sz w:val="18"/>
                <w:szCs w:val="18"/>
                <w:color w:val="auto"/>
              </w:rPr>
              <w:t>24,580.6</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1,940.7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1,967.6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2,071.9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1,903.4</w:t>
            </w:r>
          </w:p>
        </w:tc>
        <w:tc>
          <w:tcPr>
            <w:tcW w:w="1180" w:type="dxa"/>
            <w:vAlign w:val="bottom"/>
          </w:tcPr>
          <w:p>
            <w:pPr>
              <w:jc w:val="right"/>
              <w:spacing w:after="0"/>
              <w:rPr>
                <w:sz w:val="20"/>
                <w:szCs w:val="20"/>
                <w:color w:val="auto"/>
              </w:rPr>
            </w:pPr>
            <w:r>
              <w:rPr>
                <w:rFonts w:ascii="Arial" w:cs="Arial" w:eastAsia="Arial" w:hAnsi="Arial"/>
                <w:sz w:val="18"/>
                <w:szCs w:val="18"/>
                <w:color w:val="auto"/>
              </w:rPr>
              <w:t>2,018.9</w:t>
            </w:r>
          </w:p>
        </w:tc>
      </w:tr>
      <w:tr>
        <w:trPr>
          <w:trHeight w:val="326"/>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Additional data</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No. of outstanding shares (millions)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1,076</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1,202</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1,202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1,076</w:t>
            </w:r>
          </w:p>
        </w:tc>
        <w:tc>
          <w:tcPr>
            <w:tcW w:w="118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No. of employees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7,977</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7,570</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7,644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7,977</w:t>
            </w:r>
          </w:p>
        </w:tc>
        <w:tc>
          <w:tcPr>
            <w:tcW w:w="1180" w:type="dxa"/>
            <w:vAlign w:val="bottom"/>
          </w:tcPr>
          <w:p>
            <w:pPr>
              <w:jc w:val="right"/>
              <w:spacing w:after="0"/>
              <w:rPr>
                <w:sz w:val="20"/>
                <w:szCs w:val="20"/>
                <w:color w:val="auto"/>
              </w:rPr>
            </w:pPr>
            <w:r>
              <w:rPr>
                <w:rFonts w:ascii="Arial" w:cs="Arial" w:eastAsia="Arial" w:hAnsi="Arial"/>
                <w:sz w:val="18"/>
                <w:szCs w:val="18"/>
                <w:color w:val="auto"/>
              </w:rPr>
              <w:t>7,644</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Inflation rate ( Wholesale price index)</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-0.66%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0.54%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2.37%</w:t>
            </w: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Exchange rate (S/. per 1 U.S. Dollar)</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3.64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3.47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3.48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3.64</w:t>
            </w: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110"/>
        </w:trPr>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-5414645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-5123180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ind w:right="5460" w:firstLine="8"/>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outstanding of 1,202 million is used for all periods since shares have been issued only for capitalization of profits and inflation adjustment.</w:t>
      </w: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income includes net interest income and other income, excluding non-recurring items.</w:t>
      </w:r>
    </w:p>
    <w:p>
      <w:pPr>
        <w:spacing w:after="0" w:line="9" w:lineRule="exact"/>
        <w:rPr>
          <w:rFonts w:ascii="Arial" w:cs="Arial" w:eastAsia="Arial" w:hAnsi="Arial"/>
          <w:sz w:val="18"/>
          <w:szCs w:val="18"/>
          <w:color w:val="auto"/>
        </w:rPr>
      </w:pPr>
    </w:p>
    <w:p>
      <w:pPr>
        <w:ind w:right="5260" w:firstLine="8"/>
        <w:spacing w:after="0" w:line="361" w:lineRule="auto"/>
        <w:tabs>
          <w:tab w:leader="none" w:pos="249" w:val="left"/>
        </w:tabs>
        <w:numPr>
          <w:ilvl w:val="0"/>
          <w:numId w:val="5"/>
        </w:numPr>
        <w:rPr>
          <w:rFonts w:ascii="Arial" w:cs="Arial" w:eastAsia="Arial" w:hAnsi="Arial"/>
          <w:sz w:val="15"/>
          <w:szCs w:val="15"/>
          <w:color w:val="auto"/>
        </w:rPr>
      </w:pPr>
      <w:r>
        <w:rPr>
          <w:rFonts w:ascii="Arial" w:cs="Arial" w:eastAsia="Arial" w:hAnsi="Arial"/>
          <w:sz w:val="15"/>
          <w:szCs w:val="15"/>
          <w:color w:val="auto"/>
        </w:rPr>
        <w:t>Operating expense does not include mandatory employee profit sharing expense nor provisions for other assets received in lieu of loan repayment and non-recurring items.</w:t>
      </w:r>
    </w:p>
    <w:p>
      <w:pPr>
        <w:sectPr>
          <w:pgSz w:w="11900" w:h="16838" w:orient="portrait"/>
          <w:cols w:equalWidth="0" w:num="1">
            <w:col w:w="11420"/>
          </w:cols>
          <w:pgMar w:left="240" w:top="34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Nine months ended</w:t>
            </w:r>
          </w:p>
        </w:tc>
      </w:tr>
      <w:tr>
        <w:trPr>
          <w:trHeight w:val="110"/>
        </w:trPr>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29"/>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Arial" w:cs="Arial" w:eastAsia="Arial" w:hAnsi="Arial"/>
                <w:sz w:val="18"/>
                <w:szCs w:val="18"/>
                <w:b w:val="1"/>
                <w:bCs w:val="1"/>
                <w:color w:val="auto"/>
              </w:rPr>
              <w:t>30.09.02</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30.06.03</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30.09.03</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30.09.02</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30.09.03</w:t>
            </w:r>
          </w:p>
        </w:tc>
      </w:tr>
      <w:tr>
        <w:trPr>
          <w:trHeight w:val="110"/>
        </w:trPr>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Results</w:t>
            </w:r>
          </w:p>
        </w:tc>
        <w:tc>
          <w:tcPr>
            <w:tcW w:w="402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4580" w:type="dxa"/>
            <w:vAlign w:val="bottom"/>
            <w:gridSpan w:val="4"/>
          </w:tcPr>
          <w:p>
            <w:pPr>
              <w:spacing w:after="0"/>
              <w:rPr>
                <w:sz w:val="20"/>
                <w:szCs w:val="20"/>
                <w:color w:val="auto"/>
              </w:rPr>
            </w:pPr>
            <w:r>
              <w:rPr>
                <w:rFonts w:ascii="Arial" w:cs="Arial" w:eastAsia="Arial" w:hAnsi="Arial"/>
                <w:sz w:val="18"/>
                <w:szCs w:val="18"/>
                <w:color w:val="auto"/>
              </w:rPr>
              <w:t>Net Interest Income (w/o dividends)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4,253</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3,669</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3,601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13,460</w:t>
            </w:r>
          </w:p>
        </w:tc>
        <w:tc>
          <w:tcPr>
            <w:tcW w:w="1180" w:type="dxa"/>
            <w:vAlign w:val="bottom"/>
          </w:tcPr>
          <w:p>
            <w:pPr>
              <w:jc w:val="right"/>
              <w:spacing w:after="0"/>
              <w:rPr>
                <w:sz w:val="20"/>
                <w:szCs w:val="20"/>
                <w:color w:val="auto"/>
              </w:rPr>
            </w:pPr>
            <w:r>
              <w:rPr>
                <w:rFonts w:ascii="Arial" w:cs="Arial" w:eastAsia="Arial" w:hAnsi="Arial"/>
                <w:sz w:val="18"/>
                <w:szCs w:val="18"/>
                <w:color w:val="auto"/>
              </w:rPr>
              <w:t>11,244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Dividend income</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97</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4,353</w:t>
            </w:r>
          </w:p>
        </w:tc>
        <w:tc>
          <w:tcPr>
            <w:tcW w:w="1180" w:type="dxa"/>
            <w:vAlign w:val="bottom"/>
          </w:tcPr>
          <w:p>
            <w:pPr>
              <w:jc w:val="right"/>
              <w:spacing w:after="0"/>
              <w:rPr>
                <w:sz w:val="20"/>
                <w:szCs w:val="20"/>
                <w:color w:val="auto"/>
              </w:rPr>
            </w:pPr>
            <w:r>
              <w:rPr>
                <w:rFonts w:ascii="Arial" w:cs="Arial" w:eastAsia="Arial" w:hAnsi="Arial"/>
                <w:sz w:val="18"/>
                <w:szCs w:val="18"/>
                <w:color w:val="auto"/>
              </w:rPr>
              <w:t>3,221</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Provisions for credit and market risks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1,332</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4,459</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1,894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6,452</w:t>
            </w:r>
          </w:p>
        </w:tc>
        <w:tc>
          <w:tcPr>
            <w:tcW w:w="1180" w:type="dxa"/>
            <w:vAlign w:val="bottom"/>
          </w:tcPr>
          <w:p>
            <w:pPr>
              <w:jc w:val="right"/>
              <w:spacing w:after="0"/>
              <w:rPr>
                <w:sz w:val="20"/>
                <w:szCs w:val="20"/>
                <w:color w:val="auto"/>
              </w:rPr>
            </w:pPr>
            <w:r>
              <w:rPr>
                <w:rFonts w:ascii="Arial" w:cs="Arial" w:eastAsia="Arial" w:hAnsi="Arial"/>
                <w:sz w:val="18"/>
                <w:szCs w:val="18"/>
                <w:color w:val="auto"/>
              </w:rPr>
              <w:t>10,600</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Commissions and fee income</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1,311</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845</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829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4,364</w:t>
            </w:r>
          </w:p>
        </w:tc>
        <w:tc>
          <w:tcPr>
            <w:tcW w:w="1180" w:type="dxa"/>
            <w:vAlign w:val="bottom"/>
          </w:tcPr>
          <w:p>
            <w:pPr>
              <w:jc w:val="right"/>
              <w:spacing w:after="0"/>
              <w:rPr>
                <w:sz w:val="20"/>
                <w:szCs w:val="20"/>
                <w:color w:val="auto"/>
              </w:rPr>
            </w:pPr>
            <w:r>
              <w:rPr>
                <w:rFonts w:ascii="Arial" w:cs="Arial" w:eastAsia="Arial" w:hAnsi="Arial"/>
                <w:sz w:val="18"/>
                <w:szCs w:val="18"/>
                <w:color w:val="auto"/>
              </w:rPr>
              <w:t>2,631</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Other Income(1)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(1,667)</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3,066</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1,643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(2,787)</w:t>
            </w:r>
          </w:p>
        </w:tc>
        <w:tc>
          <w:tcPr>
            <w:tcW w:w="1180" w:type="dxa"/>
            <w:vAlign w:val="bottom"/>
          </w:tcPr>
          <w:p>
            <w:pPr>
              <w:jc w:val="right"/>
              <w:spacing w:after="0"/>
              <w:rPr>
                <w:sz w:val="20"/>
                <w:szCs w:val="20"/>
                <w:color w:val="auto"/>
              </w:rPr>
            </w:pPr>
            <w:r>
              <w:rPr>
                <w:rFonts w:ascii="Arial" w:cs="Arial" w:eastAsia="Arial" w:hAnsi="Arial"/>
                <w:sz w:val="18"/>
                <w:szCs w:val="18"/>
                <w:color w:val="auto"/>
              </w:rPr>
              <w:t>6,160</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2,489</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1,606</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1,716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7,322</w:t>
            </w:r>
          </w:p>
        </w:tc>
        <w:tc>
          <w:tcPr>
            <w:tcW w:w="1180" w:type="dxa"/>
            <w:vAlign w:val="bottom"/>
          </w:tcPr>
          <w:p>
            <w:pPr>
              <w:jc w:val="right"/>
              <w:spacing w:after="0"/>
              <w:rPr>
                <w:sz w:val="20"/>
                <w:szCs w:val="20"/>
                <w:color w:val="auto"/>
              </w:rPr>
            </w:pPr>
            <w:r>
              <w:rPr>
                <w:rFonts w:ascii="Arial" w:cs="Arial" w:eastAsia="Arial" w:hAnsi="Arial"/>
                <w:sz w:val="18"/>
                <w:szCs w:val="18"/>
                <w:color w:val="auto"/>
              </w:rPr>
              <w:t>4,816</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76</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1,613</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2,466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5,616</w:t>
            </w:r>
          </w:p>
        </w:tc>
        <w:tc>
          <w:tcPr>
            <w:tcW w:w="1180" w:type="dxa"/>
            <w:vAlign w:val="bottom"/>
          </w:tcPr>
          <w:p>
            <w:pPr>
              <w:jc w:val="right"/>
              <w:spacing w:after="0"/>
              <w:rPr>
                <w:sz w:val="20"/>
                <w:szCs w:val="20"/>
                <w:color w:val="auto"/>
              </w:rPr>
            </w:pPr>
            <w:r>
              <w:rPr>
                <w:rFonts w:ascii="Arial" w:cs="Arial" w:eastAsia="Arial" w:hAnsi="Arial"/>
                <w:sz w:val="18"/>
                <w:szCs w:val="18"/>
                <w:color w:val="auto"/>
              </w:rPr>
              <w:t>7,840</w:t>
            </w: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Net Income per share (US$)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0.04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0.06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0.14</w:t>
            </w:r>
          </w:p>
        </w:tc>
        <w:tc>
          <w:tcPr>
            <w:tcW w:w="11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39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Balance Sheets (end of period)</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Assets</w:t>
            </w:r>
          </w:p>
        </w:tc>
        <w:tc>
          <w:tcPr>
            <w:tcW w:w="230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656,796</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725,774</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746,885</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656,796</w:t>
            </w:r>
          </w:p>
        </w:tc>
        <w:tc>
          <w:tcPr>
            <w:tcW w:w="1180" w:type="dxa"/>
            <w:vAlign w:val="bottom"/>
          </w:tcPr>
          <w:p>
            <w:pPr>
              <w:jc w:val="right"/>
              <w:spacing w:after="0"/>
              <w:rPr>
                <w:sz w:val="20"/>
                <w:szCs w:val="20"/>
                <w:color w:val="auto"/>
              </w:rPr>
            </w:pPr>
            <w:r>
              <w:rPr>
                <w:rFonts w:ascii="Arial" w:cs="Arial" w:eastAsia="Arial" w:hAnsi="Arial"/>
                <w:sz w:val="18"/>
                <w:szCs w:val="18"/>
                <w:color w:val="auto"/>
              </w:rPr>
              <w:t>746,885</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Loan portfolio, net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153,820</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156,683</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151,123</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153,820</w:t>
            </w:r>
          </w:p>
        </w:tc>
        <w:tc>
          <w:tcPr>
            <w:tcW w:w="1180" w:type="dxa"/>
            <w:vAlign w:val="bottom"/>
          </w:tcPr>
          <w:p>
            <w:pPr>
              <w:jc w:val="right"/>
              <w:spacing w:after="0"/>
              <w:rPr>
                <w:sz w:val="20"/>
                <w:szCs w:val="20"/>
                <w:color w:val="auto"/>
              </w:rPr>
            </w:pPr>
            <w:r>
              <w:rPr>
                <w:rFonts w:ascii="Arial" w:cs="Arial" w:eastAsia="Arial" w:hAnsi="Arial"/>
                <w:sz w:val="18"/>
                <w:szCs w:val="18"/>
                <w:color w:val="auto"/>
              </w:rPr>
              <w:t>151,123</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Marketable securities and investments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298,905</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359,762</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423,214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298,905</w:t>
            </w:r>
          </w:p>
        </w:tc>
        <w:tc>
          <w:tcPr>
            <w:tcW w:w="1180" w:type="dxa"/>
            <w:vAlign w:val="bottom"/>
          </w:tcPr>
          <w:p>
            <w:pPr>
              <w:jc w:val="right"/>
              <w:spacing w:after="0"/>
              <w:rPr>
                <w:sz w:val="20"/>
                <w:szCs w:val="20"/>
                <w:color w:val="auto"/>
              </w:rPr>
            </w:pPr>
            <w:r>
              <w:rPr>
                <w:rFonts w:ascii="Arial" w:cs="Arial" w:eastAsia="Arial" w:hAnsi="Arial"/>
                <w:sz w:val="18"/>
                <w:szCs w:val="18"/>
                <w:color w:val="auto"/>
              </w:rPr>
              <w:t>423,214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Total Deposits</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537,333</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583,679</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584,526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537,333</w:t>
            </w:r>
          </w:p>
        </w:tc>
        <w:tc>
          <w:tcPr>
            <w:tcW w:w="1180" w:type="dxa"/>
            <w:vAlign w:val="bottom"/>
          </w:tcPr>
          <w:p>
            <w:pPr>
              <w:jc w:val="right"/>
              <w:spacing w:after="0"/>
              <w:rPr>
                <w:sz w:val="20"/>
                <w:szCs w:val="20"/>
                <w:color w:val="auto"/>
              </w:rPr>
            </w:pPr>
            <w:r>
              <w:rPr>
                <w:rFonts w:ascii="Arial" w:cs="Arial" w:eastAsia="Arial" w:hAnsi="Arial"/>
                <w:sz w:val="18"/>
                <w:szCs w:val="18"/>
                <w:color w:val="auto"/>
              </w:rPr>
              <w:t>584,526</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102,381</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128,687</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129,467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102,381</w:t>
            </w:r>
          </w:p>
        </w:tc>
        <w:tc>
          <w:tcPr>
            <w:tcW w:w="1180" w:type="dxa"/>
            <w:vAlign w:val="bottom"/>
          </w:tcPr>
          <w:p>
            <w:pPr>
              <w:jc w:val="right"/>
              <w:spacing w:after="0"/>
              <w:rPr>
                <w:sz w:val="20"/>
                <w:szCs w:val="20"/>
                <w:color w:val="auto"/>
              </w:rPr>
            </w:pPr>
            <w:r>
              <w:rPr>
                <w:rFonts w:ascii="Arial" w:cs="Arial" w:eastAsia="Arial" w:hAnsi="Arial"/>
                <w:sz w:val="18"/>
                <w:szCs w:val="18"/>
                <w:color w:val="auto"/>
              </w:rPr>
              <w:t>129,467</w:t>
            </w: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Funds under administration</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510,357</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560,491</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597,951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510,357</w:t>
            </w:r>
          </w:p>
        </w:tc>
        <w:tc>
          <w:tcPr>
            <w:tcW w:w="1180" w:type="dxa"/>
            <w:vAlign w:val="bottom"/>
          </w:tcPr>
          <w:p>
            <w:pPr>
              <w:jc w:val="right"/>
              <w:spacing w:after="0"/>
              <w:rPr>
                <w:sz w:val="20"/>
                <w:szCs w:val="20"/>
                <w:color w:val="auto"/>
              </w:rPr>
            </w:pPr>
            <w:r>
              <w:rPr>
                <w:rFonts w:ascii="Arial" w:cs="Arial" w:eastAsia="Arial" w:hAnsi="Arial"/>
                <w:sz w:val="18"/>
                <w:szCs w:val="18"/>
                <w:color w:val="auto"/>
              </w:rPr>
              <w:t>597,951</w:t>
            </w:r>
          </w:p>
        </w:tc>
      </w:tr>
      <w:tr>
        <w:trPr>
          <w:trHeight w:val="394"/>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Ratios (2)</w:t>
            </w:r>
          </w:p>
        </w:tc>
        <w:tc>
          <w:tcPr>
            <w:tcW w:w="384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4580" w:type="dxa"/>
            <w:vAlign w:val="bottom"/>
            <w:gridSpan w:val="4"/>
          </w:tcPr>
          <w:p>
            <w:pPr>
              <w:spacing w:after="0"/>
              <w:rPr>
                <w:sz w:val="20"/>
                <w:szCs w:val="20"/>
                <w:color w:val="auto"/>
              </w:rPr>
            </w:pPr>
            <w:r>
              <w:rPr>
                <w:rFonts w:ascii="Arial" w:cs="Arial" w:eastAsia="Arial" w:hAnsi="Arial"/>
                <w:sz w:val="18"/>
                <w:szCs w:val="18"/>
                <w:color w:val="auto"/>
              </w:rPr>
              <w:t>Net interest margin / interest earning assets (3)(4)(5)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Return on average stockholders' equity(4)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Return on average total assets(4)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Past due loans as a percentage 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Reserves for loan losses as a percentage</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 / total</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63.9%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28.2%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37.8%</w:t>
            </w: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 / average total assets(4)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 / average total assets +</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580" w:type="dxa"/>
            <w:vAlign w:val="bottom"/>
            <w:gridSpan w:val="4"/>
          </w:tcPr>
          <w:p>
            <w:pPr>
              <w:ind w:left="400"/>
              <w:spacing w:after="0"/>
              <w:rPr>
                <w:sz w:val="20"/>
                <w:szCs w:val="20"/>
                <w:color w:val="auto"/>
              </w:rPr>
            </w:pPr>
            <w:r>
              <w:rPr>
                <w:rFonts w:ascii="Arial" w:cs="Arial" w:eastAsia="Arial" w:hAnsi="Arial"/>
                <w:sz w:val="18"/>
                <w:szCs w:val="18"/>
                <w:color w:val="auto"/>
              </w:rPr>
              <w:t>funds under management(4)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-4358640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-4067175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59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realized gains in securities.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Averages determined from monthly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Without considering dividend income and dividend earning assets.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Without considering provisions for investments.</w:t>
      </w:r>
    </w:p>
    <w:p>
      <w:pPr>
        <w:sectPr>
          <w:pgSz w:w="11900" w:h="16838" w:orient="portrait"/>
          <w:cols w:equalWidth="0" w:num="1">
            <w:col w:w="11420"/>
          </w:cols>
          <w:pgMar w:left="240" w:top="13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EL PACIFICO-PERUANO SUIZA AND SUBSIDIARIES Table 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(Constant Nuevos Soles as of September 30, 2003,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U.S. Dollars in thousands, except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8"/>
              </w:rPr>
              <w:t>As of and for the three month</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8"/>
              </w:rPr>
              <w:t>As of and for the nine month</w:t>
            </w:r>
          </w:p>
        </w:tc>
      </w:tr>
      <w:tr>
        <w:trPr>
          <w:trHeight w:val="228"/>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period ended</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period ended</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10"/>
        </w:trPr>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30.09.02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30.09.03</w:t>
            </w:r>
          </w:p>
        </w:tc>
        <w:tc>
          <w:tcPr>
            <w:tcW w:w="8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30.09.03</w:t>
            </w:r>
          </w:p>
        </w:tc>
        <w:tc>
          <w:tcPr>
            <w:tcW w:w="12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30.09.02</w:t>
            </w:r>
          </w:p>
        </w:tc>
        <w:tc>
          <w:tcPr>
            <w:tcW w:w="40" w:type="dxa"/>
            <w:vAlign w:val="bottom"/>
          </w:tcPr>
          <w:p>
            <w:pPr>
              <w:spacing w:after="0"/>
              <w:rPr>
                <w:sz w:val="24"/>
                <w:szCs w:val="2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30.09.03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30.09.03</w:t>
            </w:r>
          </w:p>
        </w:tc>
      </w:tr>
      <w:tr>
        <w:trPr>
          <w:trHeight w:val="110"/>
        </w:trPr>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277"/>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Results</w:t>
            </w:r>
          </w:p>
        </w:tc>
        <w:tc>
          <w:tcPr>
            <w:tcW w:w="288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rPr>
              <w:t>US$000 (1)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US$000 (1)</w:t>
            </w:r>
          </w:p>
        </w:tc>
      </w:tr>
      <w:tr>
        <w:trPr>
          <w:trHeight w:val="444"/>
        </w:trPr>
        <w:tc>
          <w:tcPr>
            <w:tcW w:w="3440" w:type="dxa"/>
            <w:vAlign w:val="bottom"/>
            <w:gridSpan w:val="5"/>
          </w:tcPr>
          <w:p>
            <w:pPr>
              <w:spacing w:after="0"/>
              <w:rPr>
                <w:sz w:val="20"/>
                <w:szCs w:val="20"/>
                <w:color w:val="auto"/>
              </w:rPr>
            </w:pPr>
            <w:r>
              <w:rPr>
                <w:rFonts w:ascii="Arial" w:cs="Arial" w:eastAsia="Arial" w:hAnsi="Arial"/>
                <w:sz w:val="18"/>
                <w:szCs w:val="18"/>
                <w:color w:val="auto"/>
              </w:rPr>
              <w:t>Total gross Premiums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234,284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268,045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275,694</w:t>
            </w:r>
          </w:p>
        </w:tc>
        <w:tc>
          <w:tcPr>
            <w:tcW w:w="80" w:type="dxa"/>
            <w:vAlign w:val="bottom"/>
          </w:tcPr>
          <w:p>
            <w:pPr>
              <w:spacing w:after="0"/>
              <w:rPr>
                <w:sz w:val="24"/>
                <w:szCs w:val="2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$79,177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668,399</w:t>
            </w:r>
          </w:p>
        </w:tc>
        <w:tc>
          <w:tcPr>
            <w:tcW w:w="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782,155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$224,628</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Premiums Earned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129,907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121,689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132,995</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$38,195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365,925</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373,068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$107,142</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Change in Reserves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76,373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54,834</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$15,748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90,393</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180,355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$51,796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Underwriting Results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21,837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31,185</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$8,956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59,081</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59,644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$17,129</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Financial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19,973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45,676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19,258</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$5,531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66,900</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86,162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$24,745</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General Expenses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29,989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28,614</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$8,218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79,548</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83,940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$24,107</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12,416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16,099</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$4,624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36,182</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44,710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$12,840</w:t>
            </w:r>
          </w:p>
        </w:tc>
      </w:tr>
      <w:tr>
        <w:trPr>
          <w:trHeight w:val="222"/>
        </w:trPr>
        <w:tc>
          <w:tcPr>
            <w:tcW w:w="3440" w:type="dxa"/>
            <w:vAlign w:val="bottom"/>
            <w:gridSpan w:val="5"/>
          </w:tcPr>
          <w:p>
            <w:pPr>
              <w:spacing w:after="0"/>
              <w:rPr>
                <w:sz w:val="20"/>
                <w:szCs w:val="20"/>
                <w:color w:val="auto"/>
              </w:rPr>
            </w:pPr>
            <w:r>
              <w:rPr>
                <w:rFonts w:ascii="Arial" w:cs="Arial" w:eastAsia="Arial" w:hAnsi="Arial"/>
                <w:sz w:val="18"/>
                <w:szCs w:val="18"/>
                <w:color w:val="auto"/>
              </w:rPr>
              <w:t>Net Income per share (S/.)(2)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$0.54</w:t>
            </w:r>
          </w:p>
        </w:tc>
      </w:tr>
      <w:tr>
        <w:trPr>
          <w:trHeight w:val="39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Balance Sheets (end of period)</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44"/>
        </w:trPr>
        <w:tc>
          <w:tcPr>
            <w:tcW w:w="22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1,474,764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1,608,149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1,779,427</w:t>
            </w:r>
          </w:p>
        </w:tc>
        <w:tc>
          <w:tcPr>
            <w:tcW w:w="80" w:type="dxa"/>
            <w:vAlign w:val="bottom"/>
          </w:tcPr>
          <w:p>
            <w:pPr>
              <w:spacing w:after="0"/>
              <w:rPr>
                <w:sz w:val="24"/>
                <w:szCs w:val="2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$511,036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1,474,764</w:t>
            </w:r>
          </w:p>
        </w:tc>
        <w:tc>
          <w:tcPr>
            <w:tcW w:w="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1,779,427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$511,036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Investments in Secur. and Real estate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995,351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1,181,237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1,262,925</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$362,701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995,351</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1,262,925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$362,701</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Technical Reserves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869,815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1,059,720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1,123,997</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$322,802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869,815</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1,123,997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$322,802</w:t>
            </w:r>
          </w:p>
        </w:tc>
      </w:tr>
      <w:tr>
        <w:trPr>
          <w:trHeight w:val="222"/>
        </w:trPr>
        <w:tc>
          <w:tcPr>
            <w:tcW w:w="3440" w:type="dxa"/>
            <w:vAlign w:val="bottom"/>
            <w:gridSpan w:val="5"/>
          </w:tcPr>
          <w:p>
            <w:pPr>
              <w:spacing w:after="0"/>
              <w:rPr>
                <w:sz w:val="20"/>
                <w:szCs w:val="20"/>
                <w:color w:val="auto"/>
              </w:rPr>
            </w:pPr>
            <w:r>
              <w:rPr>
                <w:rFonts w:ascii="Arial" w:cs="Arial" w:eastAsia="Arial" w:hAnsi="Arial"/>
                <w:sz w:val="18"/>
                <w:szCs w:val="18"/>
                <w:color w:val="auto"/>
              </w:rPr>
              <w:t>Net Equity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356,177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364,150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381,023</w:t>
            </w:r>
          </w:p>
        </w:tc>
        <w:tc>
          <w:tcPr>
            <w:tcW w:w="8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$109,426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356,177</w:t>
            </w: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381,023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$109,426</w:t>
            </w:r>
          </w:p>
        </w:tc>
      </w:tr>
      <w:tr>
        <w:trPr>
          <w:trHeight w:val="39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Ratios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44"/>
        </w:trPr>
        <w:tc>
          <w:tcPr>
            <w:tcW w:w="3440" w:type="dxa"/>
            <w:vAlign w:val="bottom"/>
            <w:gridSpan w:val="5"/>
          </w:tcPr>
          <w:p>
            <w:pPr>
              <w:spacing w:after="0"/>
              <w:rPr>
                <w:sz w:val="20"/>
                <w:szCs w:val="20"/>
                <w:color w:val="auto"/>
              </w:rPr>
            </w:pPr>
            <w:r>
              <w:rPr>
                <w:rFonts w:ascii="Arial" w:cs="Arial" w:eastAsia="Arial" w:hAnsi="Arial"/>
                <w:sz w:val="18"/>
                <w:szCs w:val="18"/>
                <w:color w:val="auto"/>
              </w:rPr>
              <w:t>Net underwriting results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11.3%</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loss ratio</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45.6%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Return on avge. equity (3)(4)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18.5%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Return on total premiums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Shareholders' Equity / Total Assets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Increase in Risk Reserves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32.6%</w:t>
            </w:r>
          </w:p>
        </w:tc>
      </w:tr>
      <w:tr>
        <w:trPr>
          <w:trHeight w:val="184"/>
        </w:trPr>
        <w:tc>
          <w:tcPr>
            <w:tcW w:w="1420" w:type="dxa"/>
            <w:vAlign w:val="bottom"/>
            <w:gridSpan w:val="3"/>
          </w:tcPr>
          <w:p>
            <w:pPr>
              <w:spacing w:after="0" w:line="184" w:lineRule="exact"/>
              <w:rPr>
                <w:sz w:val="20"/>
                <w:szCs w:val="20"/>
                <w:color w:val="auto"/>
              </w:rPr>
            </w:pPr>
            <w:r>
              <w:rPr>
                <w:rFonts w:ascii="Arial" w:cs="Arial" w:eastAsia="Arial" w:hAnsi="Arial"/>
                <w:sz w:val="18"/>
                <w:szCs w:val="18"/>
                <w:color w:val="auto"/>
                <w:w w:val="89"/>
              </w:rPr>
              <w:t>Combined Ratio (5)</w:t>
            </w:r>
          </w:p>
        </w:tc>
        <w:tc>
          <w:tcPr>
            <w:tcW w:w="2020" w:type="dxa"/>
            <w:vAlign w:val="bottom"/>
            <w:gridSpan w:val="2"/>
          </w:tcPr>
          <w:p>
            <w:pPr>
              <w:spacing w:after="0"/>
              <w:rPr>
                <w:sz w:val="15"/>
                <w:szCs w:val="15"/>
                <w:color w:val="auto"/>
              </w:rPr>
            </w:pP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88.</w:t>
            </w:r>
            <w:r>
              <w:rPr>
                <w:rFonts w:ascii="Arial" w:cs="Arial" w:eastAsia="Arial" w:hAnsi="Arial"/>
                <w:sz w:val="18"/>
                <w:szCs w:val="18"/>
                <w:u w:val="single" w:color="auto"/>
                <w:color w:val="auto"/>
              </w:rPr>
              <w:t>5%</w:t>
            </w:r>
          </w:p>
        </w:tc>
        <w:tc>
          <w:tcPr>
            <w:tcW w:w="11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5%</w:t>
            </w: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1%</w:t>
            </w:r>
          </w:p>
        </w:tc>
        <w:tc>
          <w:tcPr>
            <w:tcW w:w="80" w:type="dxa"/>
            <w:vAlign w:val="bottom"/>
          </w:tcPr>
          <w:p>
            <w:pPr>
              <w:spacing w:after="0"/>
              <w:rPr>
                <w:sz w:val="15"/>
                <w:szCs w:val="15"/>
                <w:color w:val="auto"/>
              </w:rPr>
            </w:pPr>
          </w:p>
        </w:tc>
        <w:tc>
          <w:tcPr>
            <w:tcW w:w="1180" w:type="dxa"/>
            <w:vAlign w:val="bottom"/>
            <w:gridSpan w:val="3"/>
          </w:tcPr>
          <w:p>
            <w:pPr>
              <w:jc w:val="right"/>
              <w:ind w:right="120"/>
              <w:spacing w:after="0" w:line="184" w:lineRule="exact"/>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1%</w:t>
            </w:r>
          </w:p>
        </w:tc>
        <w:tc>
          <w:tcPr>
            <w:tcW w:w="10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7%</w:t>
            </w:r>
          </w:p>
        </w:tc>
        <w:tc>
          <w:tcPr>
            <w:tcW w:w="40" w:type="dxa"/>
            <w:vAlign w:val="bottom"/>
          </w:tcPr>
          <w:p>
            <w:pPr>
              <w:spacing w:after="0"/>
              <w:rPr>
                <w:sz w:val="15"/>
                <w:szCs w:val="15"/>
                <w:color w:val="auto"/>
              </w:rPr>
            </w:pPr>
          </w:p>
        </w:tc>
        <w:tc>
          <w:tcPr>
            <w:tcW w:w="11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0%</w:t>
            </w: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93.</w:t>
            </w:r>
            <w:r>
              <w:rPr>
                <w:rFonts w:ascii="Arial" w:cs="Arial" w:eastAsia="Arial" w:hAnsi="Arial"/>
                <w:sz w:val="18"/>
                <w:szCs w:val="18"/>
                <w:u w:val="single" w:color="auto"/>
                <w:color w:val="auto"/>
              </w:rPr>
              <w:t>0%</w:t>
            </w:r>
          </w:p>
        </w:tc>
      </w:tr>
      <w:tr>
        <w:trPr>
          <w:trHeight w:val="20"/>
        </w:trPr>
        <w:tc>
          <w:tcPr>
            <w:tcW w:w="1420" w:type="dxa"/>
            <w:vAlign w:val="bottom"/>
            <w:gridSpan w:val="3"/>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28"/>
        </w:trPr>
        <w:tc>
          <w:tcPr>
            <w:tcW w:w="3440" w:type="dxa"/>
            <w:vAlign w:val="bottom"/>
            <w:gridSpan w:val="5"/>
          </w:tcPr>
          <w:p>
            <w:pPr>
              <w:spacing w:after="0"/>
              <w:rPr>
                <w:sz w:val="20"/>
                <w:szCs w:val="20"/>
                <w:color w:val="auto"/>
              </w:rPr>
            </w:pPr>
            <w:r>
              <w:rPr>
                <w:rFonts w:ascii="Arial" w:cs="Arial" w:eastAsia="Arial" w:hAnsi="Arial"/>
                <w:sz w:val="18"/>
                <w:szCs w:val="18"/>
                <w:color w:val="auto"/>
              </w:rPr>
              <w:t>-Net Claims / Net Premiums Earned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-Op. Exp.+Comiss./Net Prems. Earned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Operating expense/Net Premiums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22"/>
        </w:trPr>
        <w:tc>
          <w:tcPr>
            <w:tcW w:w="3440" w:type="dxa"/>
            <w:vAlign w:val="bottom"/>
            <w:gridSpan w:val="5"/>
          </w:tcPr>
          <w:p>
            <w:pPr>
              <w:spacing w:after="0"/>
              <w:rPr>
                <w:sz w:val="20"/>
                <w:szCs w:val="20"/>
                <w:color w:val="auto"/>
              </w:rPr>
            </w:pPr>
            <w:r>
              <w:rPr>
                <w:rFonts w:ascii="Arial" w:cs="Arial" w:eastAsia="Arial" w:hAnsi="Arial"/>
                <w:sz w:val="18"/>
                <w:szCs w:val="18"/>
                <w:color w:val="auto"/>
              </w:rPr>
              <w:t>Oper. expense / Avge. assets (3)(4)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-4624705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-4341495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59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Translated at S/.3.482 per US$1.00.</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23.7 million shares in all periods.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the life insurance subsidiary Pacifico Vida.</w:t>
      </w:r>
    </w:p>
    <w:p>
      <w:pPr>
        <w:sectPr>
          <w:pgSz w:w="11900" w:h="16838" w:orient="portrait"/>
          <w:cols w:equalWidth="0" w:num="1">
            <w:col w:w="11420"/>
          </w:cols>
          <w:pgMar w:left="240" w:top="13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November 17, 2003</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2019-12-14T06:09:48Z</dcterms:created>
  <dcterms:modified xsi:type="dcterms:W3CDTF">2019-12-14T06:09:48Z</dcterms:modified>
</cp:coreProperties>
</file>