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p>
    <w:p>
      <w:pPr>
        <w:jc w:val="center"/>
        <w:ind w:right="1874"/>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874"/>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874"/>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785"/>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945"/>
        <w:spacing w:after="0"/>
        <w:rPr>
          <w:sz w:val="20"/>
          <w:szCs w:val="20"/>
          <w:color w:val="auto"/>
        </w:rPr>
      </w:pPr>
      <w:r>
        <w:rPr>
          <w:rFonts w:ascii="Courier New" w:cs="Courier New" w:eastAsia="Courier New" w:hAnsi="Courier New"/>
          <w:sz w:val="18"/>
          <w:szCs w:val="18"/>
          <w:color w:val="auto"/>
        </w:rPr>
        <w:t>(Amendment No. 5)*</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874"/>
        <w:spacing w:after="0"/>
        <w:rPr>
          <w:sz w:val="20"/>
          <w:szCs w:val="20"/>
          <w:color w:val="auto"/>
        </w:rPr>
      </w:pPr>
      <w:r>
        <w:rPr>
          <w:rFonts w:ascii="Courier New" w:cs="Courier New" w:eastAsia="Courier New" w:hAnsi="Courier New"/>
          <w:sz w:val="18"/>
          <w:szCs w:val="18"/>
          <w:color w:val="auto"/>
        </w:rPr>
        <w:t>Credicorp Ltd.</w:t>
      </w:r>
    </w:p>
    <w:p>
      <w:pPr>
        <w:spacing w:after="0" w:line="201" w:lineRule="exact"/>
        <w:rPr>
          <w:sz w:val="24"/>
          <w:szCs w:val="24"/>
          <w:color w:val="auto"/>
        </w:rPr>
      </w:pPr>
    </w:p>
    <w:p>
      <w:pPr>
        <w:jc w:val="center"/>
        <w:ind w:right="1894"/>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1874"/>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jc w:val="center"/>
        <w:ind w:right="1894"/>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65"/>
        <w:spacing w:after="0"/>
        <w:rPr>
          <w:sz w:val="20"/>
          <w:szCs w:val="20"/>
          <w:color w:val="auto"/>
        </w:rPr>
      </w:pPr>
      <w:r>
        <w:rPr>
          <w:rFonts w:ascii="Courier New" w:cs="Courier New" w:eastAsia="Courier New" w:hAnsi="Courier New"/>
          <w:sz w:val="18"/>
          <w:szCs w:val="18"/>
          <w:color w:val="auto"/>
        </w:rPr>
        <w:t>225305903</w:t>
      </w:r>
    </w:p>
    <w:p>
      <w:pPr>
        <w:spacing w:after="0" w:line="201" w:lineRule="exact"/>
        <w:rPr>
          <w:sz w:val="24"/>
          <w:szCs w:val="24"/>
          <w:color w:val="auto"/>
        </w:rPr>
      </w:pPr>
    </w:p>
    <w:p>
      <w:pPr>
        <w:ind w:left="3165"/>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1994"/>
        <w:spacing w:after="0"/>
        <w:rPr>
          <w:sz w:val="20"/>
          <w:szCs w:val="20"/>
          <w:color w:val="auto"/>
        </w:rPr>
      </w:pPr>
      <w:r>
        <w:rPr>
          <w:rFonts w:ascii="Courier New" w:cs="Courier New" w:eastAsia="Courier New" w:hAnsi="Courier New"/>
          <w:sz w:val="18"/>
          <w:szCs w:val="18"/>
          <w:color w:val="auto"/>
        </w:rPr>
        <w:t>December 31, 2001</w:t>
      </w:r>
    </w:p>
    <w:p>
      <w:pPr>
        <w:spacing w:after="0" w:line="201" w:lineRule="exact"/>
        <w:rPr>
          <w:sz w:val="24"/>
          <w:szCs w:val="24"/>
          <w:color w:val="auto"/>
        </w:rPr>
      </w:pPr>
    </w:p>
    <w:p>
      <w:pPr>
        <w:ind w:left="945"/>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ind w:left="5"/>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ind w:left="5"/>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 w:right="7899" w:hanging="5"/>
        <w:spacing w:after="0" w:line="279" w:lineRule="auto"/>
        <w:tabs>
          <w:tab w:leader="none" w:pos="42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left="5"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left="5"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ind w:left="5"/>
        <w:spacing w:after="0"/>
        <w:tabs>
          <w:tab w:leader="none" w:pos="6725" w:val="left"/>
        </w:tabs>
        <w:rPr>
          <w:sz w:val="20"/>
          <w:szCs w:val="20"/>
          <w:color w:val="auto"/>
        </w:rPr>
      </w:pPr>
      <w:r>
        <w:rPr>
          <w:rFonts w:ascii="Courier New" w:cs="Courier New" w:eastAsia="Courier New" w:hAnsi="Courier New"/>
          <w:sz w:val="18"/>
          <w:szCs w:val="18"/>
          <w:color w:val="auto"/>
        </w:rPr>
        <w:t>CUSIP: 225305903</w:t>
      </w:r>
      <w:r>
        <w:rPr>
          <w:sz w:val="20"/>
          <w:szCs w:val="20"/>
          <w:color w:val="auto"/>
        </w:rPr>
        <w:tab/>
      </w:r>
      <w:r>
        <w:rPr>
          <w:rFonts w:ascii="Courier New" w:cs="Courier New" w:eastAsia="Courier New" w:hAnsi="Courier New"/>
          <w:sz w:val="16"/>
          <w:szCs w:val="16"/>
          <w:color w:val="auto"/>
        </w:rPr>
        <w:t>Page 1 of 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525" w:hanging="420"/>
        <w:spacing w:after="0"/>
        <w:tabs>
          <w:tab w:leader="none" w:pos="52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25" w:right="29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Group International, Inc.</w:t>
      </w:r>
    </w:p>
    <w:p>
      <w:pPr>
        <w:spacing w:after="0" w:line="1" w:lineRule="exact"/>
        <w:rPr>
          <w:rFonts w:ascii="Courier New" w:cs="Courier New" w:eastAsia="Courier New" w:hAnsi="Courier New"/>
          <w:sz w:val="18"/>
          <w:szCs w:val="18"/>
          <w:color w:val="auto"/>
        </w:rPr>
      </w:pPr>
    </w:p>
    <w:p>
      <w:pPr>
        <w:ind w:left="52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95-4154357</w:t>
      </w:r>
    </w:p>
    <w:p>
      <w:pPr>
        <w:spacing w:after="0" w:line="202" w:lineRule="exact"/>
        <w:rPr>
          <w:sz w:val="24"/>
          <w:szCs w:val="24"/>
          <w:color w:val="auto"/>
        </w:rPr>
      </w:pPr>
    </w:p>
    <w:p>
      <w:pPr>
        <w:ind w:left="525" w:hanging="420"/>
        <w:spacing w:after="0"/>
        <w:tabs>
          <w:tab w:leader="none" w:pos="52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25"/>
        <w:spacing w:after="0" w:line="238" w:lineRule="auto"/>
        <w:tabs>
          <w:tab w:leader="none" w:pos="7045"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ectPr>
          <w:pgSz w:w="11900" w:h="16855" w:orient="portrait"/>
          <w:cols w:equalWidth="0" w:num="1">
            <w:col w:w="9684"/>
          </w:cols>
          <w:pgMar w:left="775" w:top="1440" w:right="1440" w:bottom="0" w:gutter="0" w:footer="0" w:header="0"/>
        </w:sectPr>
      </w:pPr>
    </w:p>
    <w:bookmarkStart w:id="1" w:name="page2"/>
    <w:bookmarkEnd w:id="1"/>
    <w:p>
      <w:pPr>
        <w:ind w:left="716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20" w:hanging="420"/>
        <w:spacing w:after="0"/>
        <w:tabs>
          <w:tab w:leader="none" w:pos="5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0" w:right="5359" w:hanging="420"/>
        <w:spacing w:after="0" w:line="470" w:lineRule="auto"/>
        <w:tabs>
          <w:tab w:leader="none" w:pos="5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214" w:lineRule="exact"/>
        <w:rPr>
          <w:sz w:val="20"/>
          <w:szCs w:val="20"/>
          <w:color w:val="auto"/>
        </w:rPr>
      </w:pPr>
    </w:p>
    <w:p>
      <w:pPr>
        <w:ind w:left="1900" w:right="5999" w:hanging="430"/>
        <w:spacing w:after="0" w:line="470" w:lineRule="auto"/>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8,249,700</w:t>
      </w:r>
    </w:p>
    <w:p>
      <w:pPr>
        <w:spacing w:after="0" w:line="209" w:lineRule="exact"/>
        <w:rPr>
          <w:sz w:val="20"/>
          <w:szCs w:val="20"/>
          <w:color w:val="auto"/>
        </w:rPr>
      </w:pPr>
    </w:p>
    <w:p>
      <w:pPr>
        <w:ind w:left="1900" w:hanging="430"/>
        <w:spacing w:after="0"/>
        <w:tabs>
          <w:tab w:leader="none" w:pos="19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ind w:left="10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851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8519"/>
        <w:spacing w:after="0"/>
        <w:rPr>
          <w:sz w:val="20"/>
          <w:szCs w:val="20"/>
          <w:color w:val="auto"/>
        </w:rPr>
      </w:pPr>
      <w:r>
        <w:rPr>
          <w:rFonts w:ascii="Courier New" w:cs="Courier New" w:eastAsia="Courier New" w:hAnsi="Courier New"/>
          <w:sz w:val="18"/>
          <w:szCs w:val="18"/>
          <w:color w:val="auto"/>
        </w:rPr>
        <w:t>Y OWNED BY</w:t>
      </w:r>
    </w:p>
    <w:p>
      <w:pPr>
        <w:ind w:left="146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0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8,249,700</w:t>
      </w:r>
    </w:p>
    <w:p>
      <w:pPr>
        <w:ind w:left="320"/>
        <w:spacing w:after="0"/>
        <w:rPr>
          <w:sz w:val="20"/>
          <w:szCs w:val="20"/>
          <w:color w:val="auto"/>
        </w:rPr>
      </w:pPr>
      <w:r>
        <w:rPr>
          <w:rFonts w:ascii="Courier New" w:cs="Courier New" w:eastAsia="Courier New" w:hAnsi="Courier New"/>
          <w:sz w:val="18"/>
          <w:szCs w:val="18"/>
          <w:color w:val="auto"/>
        </w:rPr>
        <w:t>PERSON</w:t>
      </w:r>
    </w:p>
    <w:p>
      <w:pPr>
        <w:ind w:left="320"/>
        <w:spacing w:after="0" w:line="237" w:lineRule="auto"/>
        <w:rPr>
          <w:sz w:val="20"/>
          <w:szCs w:val="20"/>
          <w:color w:val="auto"/>
        </w:rPr>
      </w:pPr>
      <w:r>
        <w:rPr>
          <w:rFonts w:ascii="Courier New" w:cs="Courier New" w:eastAsia="Courier New" w:hAnsi="Courier New"/>
          <w:sz w:val="18"/>
          <w:szCs w:val="18"/>
          <w:color w:val="auto"/>
        </w:rPr>
        <w:t>WITH:</w:t>
      </w:r>
    </w:p>
    <w:p>
      <w:pPr>
        <w:spacing w:after="0" w:line="207" w:lineRule="exact"/>
        <w:rPr>
          <w:sz w:val="20"/>
          <w:szCs w:val="20"/>
          <w:color w:val="auto"/>
        </w:rPr>
      </w:pPr>
    </w:p>
    <w:p>
      <w:pPr>
        <w:ind w:left="1900" w:right="5259" w:hanging="430"/>
        <w:spacing w:after="0" w:line="470" w:lineRule="auto"/>
        <w:tabs>
          <w:tab w:leader="none" w:pos="19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20" w:right="2199" w:hanging="420"/>
        <w:spacing w:after="0" w:line="470" w:lineRule="auto"/>
        <w:tabs>
          <w:tab w:leader="none" w:pos="5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8,249,700 Beneficial ownership disclaimed pursuant to Rule 13d-4</w:t>
      </w:r>
    </w:p>
    <w:p>
      <w:pPr>
        <w:spacing w:after="0" w:line="214" w:lineRule="exact"/>
        <w:rPr>
          <w:sz w:val="20"/>
          <w:szCs w:val="20"/>
          <w:color w:val="auto"/>
        </w:rPr>
      </w:pPr>
    </w:p>
    <w:p>
      <w:pPr>
        <w:ind w:left="520" w:right="1999" w:hanging="420"/>
        <w:spacing w:after="0" w:line="235" w:lineRule="auto"/>
        <w:tabs>
          <w:tab w:leader="none" w:pos="5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20" w:right="4199" w:hanging="420"/>
        <w:spacing w:after="0" w:line="470" w:lineRule="auto"/>
        <w:tabs>
          <w:tab w:leader="none" w:pos="5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10.3%</w:t>
      </w:r>
    </w:p>
    <w:p>
      <w:pPr>
        <w:spacing w:after="0" w:line="214" w:lineRule="exact"/>
        <w:rPr>
          <w:rFonts w:ascii="Courier New" w:cs="Courier New" w:eastAsia="Courier New" w:hAnsi="Courier New"/>
          <w:sz w:val="18"/>
          <w:szCs w:val="18"/>
          <w:color w:val="auto"/>
        </w:rPr>
      </w:pPr>
    </w:p>
    <w:p>
      <w:pPr>
        <w:ind w:left="520" w:right="4619" w:hanging="420"/>
        <w:spacing w:after="0" w:line="470" w:lineRule="auto"/>
        <w:tabs>
          <w:tab w:leader="none" w:pos="5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225305903</w:t>
      </w:r>
      <w:r>
        <w:rPr>
          <w:sz w:val="20"/>
          <w:szCs w:val="20"/>
          <w:color w:val="auto"/>
        </w:rPr>
        <w:tab/>
      </w:r>
      <w:r>
        <w:rPr>
          <w:rFonts w:ascii="Courier New" w:cs="Courier New" w:eastAsia="Courier New" w:hAnsi="Courier New"/>
          <w:sz w:val="16"/>
          <w:szCs w:val="16"/>
          <w:color w:val="auto"/>
        </w:rPr>
        <w:t>Page 2 of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0" w:hanging="420"/>
        <w:spacing w:after="0"/>
        <w:tabs>
          <w:tab w:leader="none" w:pos="5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20" w:right="29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International, Inc.</w:t>
      </w:r>
    </w:p>
    <w:p>
      <w:pPr>
        <w:spacing w:after="0" w:line="1" w:lineRule="exact"/>
        <w:rPr>
          <w:rFonts w:ascii="Courier New" w:cs="Courier New" w:eastAsia="Courier New" w:hAnsi="Courier New"/>
          <w:sz w:val="18"/>
          <w:szCs w:val="18"/>
          <w:color w:val="auto"/>
        </w:rPr>
      </w:pP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95-4154361</w:t>
      </w:r>
    </w:p>
    <w:p>
      <w:pPr>
        <w:spacing w:after="0" w:line="202" w:lineRule="exact"/>
        <w:rPr>
          <w:sz w:val="20"/>
          <w:szCs w:val="20"/>
          <w:color w:val="auto"/>
        </w:rPr>
      </w:pPr>
    </w:p>
    <w:p>
      <w:pPr>
        <w:ind w:left="520" w:hanging="420"/>
        <w:spacing w:after="0"/>
        <w:tabs>
          <w:tab w:leader="none" w:pos="5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2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0"/>
          <w:szCs w:val="20"/>
          <w:color w:val="auto"/>
        </w:rPr>
      </w:pPr>
    </w:p>
    <w:p>
      <w:pPr>
        <w:ind w:left="716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100"/>
        <w:spacing w:after="0"/>
        <w:tabs>
          <w:tab w:leader="none" w:pos="5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ectPr>
          <w:pgSz w:w="11900" w:h="16838" w:orient="portrait"/>
          <w:cols w:equalWidth="0" w:num="1">
            <w:col w:w="9679"/>
          </w:cols>
          <w:pgMar w:left="780" w:top="339" w:right="1440" w:bottom="0" w:gutter="0" w:footer="0" w:header="0"/>
        </w:sectPr>
      </w:pPr>
    </w:p>
    <w:bookmarkStart w:id="2" w:name="page3"/>
    <w:bookmarkEnd w:id="2"/>
    <w:p>
      <w:pPr>
        <w:ind w:left="520" w:right="5359" w:hanging="420"/>
        <w:spacing w:after="0" w:line="470" w:lineRule="auto"/>
        <w:tabs>
          <w:tab w:leader="none" w:pos="5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214" w:lineRule="exact"/>
        <w:rPr>
          <w:sz w:val="20"/>
          <w:szCs w:val="20"/>
          <w:color w:val="auto"/>
        </w:rPr>
      </w:pPr>
    </w:p>
    <w:p>
      <w:pPr>
        <w:ind w:left="1900" w:right="5999" w:hanging="430"/>
        <w:spacing w:after="0" w:line="470" w:lineRule="auto"/>
        <w:tabs>
          <w:tab w:leader="none" w:pos="19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8,066,290</w:t>
      </w:r>
    </w:p>
    <w:p>
      <w:pPr>
        <w:spacing w:after="0" w:line="209" w:lineRule="exact"/>
        <w:rPr>
          <w:sz w:val="20"/>
          <w:szCs w:val="20"/>
          <w:color w:val="auto"/>
        </w:rPr>
      </w:pPr>
    </w:p>
    <w:p>
      <w:pPr>
        <w:ind w:left="1900" w:hanging="430"/>
        <w:spacing w:after="0"/>
        <w:tabs>
          <w:tab w:leader="none" w:pos="19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ind w:left="10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851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8519"/>
        <w:spacing w:after="0"/>
        <w:rPr>
          <w:sz w:val="20"/>
          <w:szCs w:val="20"/>
          <w:color w:val="auto"/>
        </w:rPr>
      </w:pPr>
      <w:r>
        <w:rPr>
          <w:rFonts w:ascii="Courier New" w:cs="Courier New" w:eastAsia="Courier New" w:hAnsi="Courier New"/>
          <w:sz w:val="18"/>
          <w:szCs w:val="18"/>
          <w:color w:val="auto"/>
        </w:rPr>
        <w:t>Y OWNED BY</w:t>
      </w:r>
    </w:p>
    <w:p>
      <w:pPr>
        <w:ind w:left="146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0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8,066,290</w:t>
      </w:r>
    </w:p>
    <w:p>
      <w:pPr>
        <w:ind w:left="320"/>
        <w:spacing w:after="0"/>
        <w:rPr>
          <w:sz w:val="20"/>
          <w:szCs w:val="20"/>
          <w:color w:val="auto"/>
        </w:rPr>
      </w:pPr>
      <w:r>
        <w:rPr>
          <w:rFonts w:ascii="Courier New" w:cs="Courier New" w:eastAsia="Courier New" w:hAnsi="Courier New"/>
          <w:sz w:val="18"/>
          <w:szCs w:val="18"/>
          <w:color w:val="auto"/>
        </w:rPr>
        <w:t>PERSON</w:t>
      </w:r>
    </w:p>
    <w:p>
      <w:pPr>
        <w:ind w:left="320"/>
        <w:spacing w:after="0" w:line="237" w:lineRule="auto"/>
        <w:rPr>
          <w:sz w:val="20"/>
          <w:szCs w:val="20"/>
          <w:color w:val="auto"/>
        </w:rPr>
      </w:pPr>
      <w:r>
        <w:rPr>
          <w:rFonts w:ascii="Courier New" w:cs="Courier New" w:eastAsia="Courier New" w:hAnsi="Courier New"/>
          <w:sz w:val="18"/>
          <w:szCs w:val="18"/>
          <w:color w:val="auto"/>
        </w:rPr>
        <w:t>WITH:</w:t>
      </w:r>
    </w:p>
    <w:p>
      <w:pPr>
        <w:spacing w:after="0" w:line="207" w:lineRule="exact"/>
        <w:rPr>
          <w:sz w:val="20"/>
          <w:szCs w:val="20"/>
          <w:color w:val="auto"/>
        </w:rPr>
      </w:pPr>
    </w:p>
    <w:p>
      <w:pPr>
        <w:ind w:left="1900" w:right="5259" w:hanging="430"/>
        <w:spacing w:after="0" w:line="470" w:lineRule="auto"/>
        <w:tabs>
          <w:tab w:leader="none" w:pos="19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20" w:right="2199" w:hanging="420"/>
        <w:spacing w:after="0" w:line="470" w:lineRule="auto"/>
        <w:tabs>
          <w:tab w:leader="none" w:pos="5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8,066,290 Beneficial ownership disclaimed pursuant to Rule 13d-4</w:t>
      </w:r>
    </w:p>
    <w:p>
      <w:pPr>
        <w:spacing w:after="0" w:line="214" w:lineRule="exact"/>
        <w:rPr>
          <w:sz w:val="20"/>
          <w:szCs w:val="20"/>
          <w:color w:val="auto"/>
        </w:rPr>
      </w:pPr>
    </w:p>
    <w:p>
      <w:pPr>
        <w:ind w:left="520" w:right="1999" w:hanging="420"/>
        <w:spacing w:after="0" w:line="235" w:lineRule="auto"/>
        <w:tabs>
          <w:tab w:leader="none" w:pos="5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20" w:right="4199" w:hanging="420"/>
        <w:spacing w:after="0" w:line="470" w:lineRule="auto"/>
        <w:tabs>
          <w:tab w:leader="none" w:pos="5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10.1%</w:t>
      </w:r>
    </w:p>
    <w:p>
      <w:pPr>
        <w:spacing w:after="0" w:line="214" w:lineRule="exact"/>
        <w:rPr>
          <w:rFonts w:ascii="Courier New" w:cs="Courier New" w:eastAsia="Courier New" w:hAnsi="Courier New"/>
          <w:sz w:val="18"/>
          <w:szCs w:val="18"/>
          <w:color w:val="auto"/>
        </w:rPr>
      </w:pPr>
    </w:p>
    <w:p>
      <w:pPr>
        <w:ind w:left="520" w:right="4619" w:hanging="420"/>
        <w:spacing w:after="0" w:line="470" w:lineRule="auto"/>
        <w:tabs>
          <w:tab w:leader="none" w:pos="5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0" w:lineRule="exact"/>
        <w:rPr>
          <w:sz w:val="20"/>
          <w:szCs w:val="20"/>
          <w:color w:val="auto"/>
        </w:rPr>
      </w:pPr>
    </w:p>
    <w:p>
      <w:pPr>
        <w:spacing w:after="0" w:line="211"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225305903</w:t>
      </w:r>
      <w:r>
        <w:rPr>
          <w:sz w:val="20"/>
          <w:szCs w:val="20"/>
          <w:color w:val="auto"/>
        </w:rPr>
        <w:tab/>
      </w:r>
      <w:r>
        <w:rPr>
          <w:rFonts w:ascii="Courier New" w:cs="Courier New" w:eastAsia="Courier New" w:hAnsi="Courier New"/>
          <w:sz w:val="16"/>
          <w:szCs w:val="16"/>
          <w:color w:val="auto"/>
        </w:rPr>
        <w:t>Page 3 of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0" w:hanging="420"/>
        <w:spacing w:after="0"/>
        <w:tabs>
          <w:tab w:leader="none" w:pos="5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20" w:right="29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Emerging Markets Growth Fund, Inc.</w:t>
      </w:r>
    </w:p>
    <w:p>
      <w:pPr>
        <w:spacing w:after="0" w:line="1" w:lineRule="exact"/>
        <w:rPr>
          <w:rFonts w:ascii="Courier New" w:cs="Courier New" w:eastAsia="Courier New" w:hAnsi="Courier New"/>
          <w:sz w:val="18"/>
          <w:szCs w:val="18"/>
          <w:color w:val="auto"/>
        </w:rPr>
      </w:pP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95-4026510</w:t>
      </w:r>
    </w:p>
    <w:p>
      <w:pPr>
        <w:spacing w:after="0" w:line="202" w:lineRule="exact"/>
        <w:rPr>
          <w:sz w:val="20"/>
          <w:szCs w:val="20"/>
          <w:color w:val="auto"/>
        </w:rPr>
      </w:pPr>
    </w:p>
    <w:p>
      <w:pPr>
        <w:ind w:left="520" w:hanging="420"/>
        <w:spacing w:after="0"/>
        <w:tabs>
          <w:tab w:leader="none" w:pos="5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2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0"/>
          <w:szCs w:val="20"/>
          <w:color w:val="auto"/>
        </w:rPr>
      </w:pPr>
    </w:p>
    <w:p>
      <w:pPr>
        <w:ind w:left="716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20" w:hanging="420"/>
        <w:spacing w:after="0"/>
        <w:tabs>
          <w:tab w:leader="none" w:pos="5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0" w:right="5359" w:hanging="420"/>
        <w:spacing w:after="0" w:line="470" w:lineRule="auto"/>
        <w:tabs>
          <w:tab w:leader="none" w:pos="5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ectPr>
          <w:pgSz w:w="11900" w:h="16838" w:orient="portrait"/>
          <w:cols w:equalWidth="0" w:num="1">
            <w:col w:w="9679"/>
          </w:cols>
          <w:pgMar w:left="780" w:top="750" w:right="1440" w:bottom="0" w:gutter="0" w:footer="0" w:header="0"/>
        </w:sectPr>
      </w:pPr>
    </w:p>
    <w:bookmarkStart w:id="3" w:name="page4"/>
    <w:bookmarkEnd w:id="3"/>
    <w:p>
      <w:pPr>
        <w:ind w:left="1900" w:right="5999" w:hanging="430"/>
        <w:spacing w:after="0" w:line="470" w:lineRule="auto"/>
        <w:tabs>
          <w:tab w:leader="none" w:pos="19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5,537,162</w:t>
      </w:r>
    </w:p>
    <w:p>
      <w:pPr>
        <w:spacing w:after="0" w:line="209" w:lineRule="exact"/>
        <w:rPr>
          <w:sz w:val="20"/>
          <w:szCs w:val="20"/>
          <w:color w:val="auto"/>
        </w:rPr>
      </w:pPr>
    </w:p>
    <w:p>
      <w:pPr>
        <w:ind w:left="1900" w:hanging="430"/>
        <w:spacing w:after="0"/>
        <w:tabs>
          <w:tab w:leader="none" w:pos="19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ind w:left="10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851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8519"/>
        <w:spacing w:after="0"/>
        <w:rPr>
          <w:sz w:val="20"/>
          <w:szCs w:val="20"/>
          <w:color w:val="auto"/>
        </w:rPr>
      </w:pPr>
      <w:r>
        <w:rPr>
          <w:rFonts w:ascii="Courier New" w:cs="Courier New" w:eastAsia="Courier New" w:hAnsi="Courier New"/>
          <w:sz w:val="18"/>
          <w:szCs w:val="18"/>
          <w:color w:val="auto"/>
        </w:rPr>
        <w:t>Y OWNED BY</w:t>
      </w:r>
    </w:p>
    <w:p>
      <w:pPr>
        <w:ind w:left="146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0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NONE</w:t>
      </w:r>
    </w:p>
    <w:p>
      <w:pPr>
        <w:ind w:left="320"/>
        <w:spacing w:after="0"/>
        <w:rPr>
          <w:sz w:val="20"/>
          <w:szCs w:val="20"/>
          <w:color w:val="auto"/>
        </w:rPr>
      </w:pPr>
      <w:r>
        <w:rPr>
          <w:rFonts w:ascii="Courier New" w:cs="Courier New" w:eastAsia="Courier New" w:hAnsi="Courier New"/>
          <w:sz w:val="18"/>
          <w:szCs w:val="18"/>
          <w:color w:val="auto"/>
        </w:rPr>
        <w:t>PERSON</w:t>
      </w:r>
    </w:p>
    <w:p>
      <w:pPr>
        <w:ind w:left="320"/>
        <w:spacing w:after="0" w:line="237" w:lineRule="auto"/>
        <w:rPr>
          <w:sz w:val="20"/>
          <w:szCs w:val="20"/>
          <w:color w:val="auto"/>
        </w:rPr>
      </w:pPr>
      <w:r>
        <w:rPr>
          <w:rFonts w:ascii="Courier New" w:cs="Courier New" w:eastAsia="Courier New" w:hAnsi="Courier New"/>
          <w:sz w:val="18"/>
          <w:szCs w:val="18"/>
          <w:color w:val="auto"/>
        </w:rPr>
        <w:t>WITH:</w:t>
      </w:r>
    </w:p>
    <w:p>
      <w:pPr>
        <w:spacing w:after="0" w:line="207" w:lineRule="exact"/>
        <w:rPr>
          <w:sz w:val="20"/>
          <w:szCs w:val="20"/>
          <w:color w:val="auto"/>
        </w:rPr>
      </w:pPr>
    </w:p>
    <w:p>
      <w:pPr>
        <w:ind w:left="1900" w:right="5259" w:hanging="430"/>
        <w:spacing w:after="0" w:line="470" w:lineRule="auto"/>
        <w:tabs>
          <w:tab w:leader="none" w:pos="190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20" w:right="2839" w:hanging="420"/>
        <w:spacing w:after="0" w:line="470" w:lineRule="auto"/>
        <w:tabs>
          <w:tab w:leader="none" w:pos="5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5,537,162</w:t>
      </w:r>
    </w:p>
    <w:p>
      <w:pPr>
        <w:spacing w:after="0" w:line="214" w:lineRule="exact"/>
        <w:rPr>
          <w:sz w:val="20"/>
          <w:szCs w:val="20"/>
          <w:color w:val="auto"/>
        </w:rPr>
      </w:pPr>
    </w:p>
    <w:p>
      <w:pPr>
        <w:ind w:left="520" w:right="1999" w:hanging="420"/>
        <w:spacing w:after="0" w:line="235" w:lineRule="auto"/>
        <w:tabs>
          <w:tab w:leader="none" w:pos="5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20" w:right="4199" w:hanging="420"/>
        <w:spacing w:after="0" w:line="470" w:lineRule="auto"/>
        <w:tabs>
          <w:tab w:leader="none" w:pos="5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6.9%</w:t>
      </w:r>
    </w:p>
    <w:p>
      <w:pPr>
        <w:spacing w:after="0" w:line="214" w:lineRule="exact"/>
        <w:rPr>
          <w:rFonts w:ascii="Courier New" w:cs="Courier New" w:eastAsia="Courier New" w:hAnsi="Courier New"/>
          <w:sz w:val="18"/>
          <w:szCs w:val="18"/>
          <w:color w:val="auto"/>
        </w:rPr>
      </w:pPr>
    </w:p>
    <w:p>
      <w:pPr>
        <w:ind w:left="520" w:right="4619" w:hanging="420"/>
        <w:spacing w:after="0" w:line="470" w:lineRule="auto"/>
        <w:tabs>
          <w:tab w:leader="none" w:pos="5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225305903</w:t>
      </w:r>
      <w:r>
        <w:rPr>
          <w:sz w:val="20"/>
          <w:szCs w:val="20"/>
          <w:color w:val="auto"/>
        </w:rPr>
        <w:tab/>
      </w:r>
      <w:r>
        <w:rPr>
          <w:rFonts w:ascii="Courier New" w:cs="Courier New" w:eastAsia="Courier New" w:hAnsi="Courier New"/>
          <w:sz w:val="16"/>
          <w:szCs w:val="16"/>
          <w:color w:val="auto"/>
        </w:rPr>
        <w:t>Page 4 of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Credicorp Ltd.</w:t>
      </w:r>
    </w:p>
    <w:p>
      <w:pPr>
        <w:spacing w:after="0" w:line="202"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Clarendon House</w:t>
      </w:r>
    </w:p>
    <w:p>
      <w:pPr>
        <w:ind w:left="740"/>
        <w:spacing w:after="0"/>
        <w:rPr>
          <w:sz w:val="20"/>
          <w:szCs w:val="20"/>
          <w:color w:val="auto"/>
        </w:rPr>
      </w:pPr>
      <w:r>
        <w:rPr>
          <w:rFonts w:ascii="Courier New" w:cs="Courier New" w:eastAsia="Courier New" w:hAnsi="Courier New"/>
          <w:sz w:val="18"/>
          <w:szCs w:val="18"/>
          <w:color w:val="auto"/>
        </w:rPr>
        <w:t>Church Street</w:t>
      </w:r>
    </w:p>
    <w:p>
      <w:pPr>
        <w:ind w:left="740"/>
        <w:spacing w:after="0" w:line="237" w:lineRule="auto"/>
        <w:rPr>
          <w:sz w:val="20"/>
          <w:szCs w:val="20"/>
          <w:color w:val="auto"/>
        </w:rPr>
      </w:pPr>
      <w:r>
        <w:rPr>
          <w:rFonts w:ascii="Courier New" w:cs="Courier New" w:eastAsia="Courier New" w:hAnsi="Courier New"/>
          <w:sz w:val="18"/>
          <w:szCs w:val="18"/>
          <w:color w:val="auto"/>
        </w:rPr>
        <w:t>Hamilton HM 11</w:t>
      </w:r>
    </w:p>
    <w:p>
      <w:pPr>
        <w:ind w:left="740"/>
        <w:spacing w:after="0" w:line="238" w:lineRule="auto"/>
        <w:rPr>
          <w:sz w:val="20"/>
          <w:szCs w:val="20"/>
          <w:color w:val="auto"/>
        </w:rPr>
      </w:pPr>
      <w:r>
        <w:rPr>
          <w:rFonts w:ascii="Courier New" w:cs="Courier New" w:eastAsia="Courier New" w:hAnsi="Courier New"/>
          <w:sz w:val="18"/>
          <w:szCs w:val="18"/>
          <w:color w:val="auto"/>
        </w:rPr>
        <w:t>Bermuda</w:t>
      </w:r>
    </w:p>
    <w:p>
      <w:pPr>
        <w:spacing w:after="0" w:line="202"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4" w:lineRule="exact"/>
        <w:rPr>
          <w:sz w:val="20"/>
          <w:szCs w:val="20"/>
          <w:color w:val="auto"/>
        </w:rPr>
      </w:pPr>
    </w:p>
    <w:p>
      <w:pPr>
        <w:ind w:left="740" w:right="1999"/>
        <w:spacing w:after="0" w:line="235" w:lineRule="auto"/>
        <w:rPr>
          <w:sz w:val="20"/>
          <w:szCs w:val="20"/>
          <w:color w:val="auto"/>
        </w:rPr>
      </w:pPr>
      <w:r>
        <w:rPr>
          <w:rFonts w:ascii="Courier New" w:cs="Courier New" w:eastAsia="Courier New" w:hAnsi="Courier New"/>
          <w:sz w:val="18"/>
          <w:szCs w:val="18"/>
          <w:color w:val="auto"/>
        </w:rPr>
        <w:t>Capital Group International, Inc., Capital International, Inc. and Emerging Markets Growth Fund, Inc.</w:t>
      </w:r>
    </w:p>
    <w:p>
      <w:pPr>
        <w:spacing w:after="0" w:line="203"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ind w:left="740"/>
        <w:spacing w:after="0" w:line="238" w:lineRule="auto"/>
        <w:rPr>
          <w:sz w:val="20"/>
          <w:szCs w:val="20"/>
          <w:color w:val="auto"/>
        </w:rPr>
      </w:pPr>
      <w:r>
        <w:rPr>
          <w:rFonts w:ascii="Courier New" w:cs="Courier New" w:eastAsia="Courier New" w:hAnsi="Courier New"/>
          <w:sz w:val="18"/>
          <w:szCs w:val="18"/>
          <w:color w:val="auto"/>
        </w:rPr>
        <w:t>11100 Santa Monica Blvd.</w:t>
      </w:r>
    </w:p>
    <w:p>
      <w:pPr>
        <w:ind w:left="740"/>
        <w:spacing w:after="0"/>
        <w:tabs>
          <w:tab w:leader="none" w:pos="250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90025</w:t>
      </w:r>
    </w:p>
    <w:p>
      <w:pPr>
        <w:spacing w:after="0" w:line="200" w:lineRule="exact"/>
        <w:rPr>
          <w:sz w:val="20"/>
          <w:szCs w:val="20"/>
          <w:color w:val="auto"/>
        </w:rPr>
      </w:pPr>
    </w:p>
    <w:p>
      <w:pPr>
        <w:spacing w:after="0"/>
        <w:tabs>
          <w:tab w:leader="none" w:pos="1240" w:val="left"/>
          <w:tab w:leader="none" w:pos="282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ectPr>
          <w:pgSz w:w="11900" w:h="16838" w:orient="portrait"/>
          <w:cols w:equalWidth="0" w:num="1">
            <w:col w:w="9679"/>
          </w:cols>
          <w:pgMar w:left="780" w:top="344" w:right="1440" w:bottom="0" w:gutter="0" w:footer="0" w:header="0"/>
        </w:sectPr>
      </w:pPr>
    </w:p>
    <w:bookmarkStart w:id="4" w:name="page5"/>
    <w:bookmarkEnd w:id="4"/>
    <w:p>
      <w:pPr>
        <w:ind w:left="74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No.:</w:t>
      </w:r>
    </w:p>
    <w:p>
      <w:pPr>
        <w:ind w:left="740"/>
        <w:spacing w:after="0" w:line="238" w:lineRule="auto"/>
        <w:rPr>
          <w:sz w:val="20"/>
          <w:szCs w:val="20"/>
          <w:color w:val="auto"/>
        </w:rPr>
      </w:pPr>
      <w:r>
        <w:rPr>
          <w:rFonts w:ascii="Courier New" w:cs="Courier New" w:eastAsia="Courier New" w:hAnsi="Courier New"/>
          <w:sz w:val="18"/>
          <w:szCs w:val="18"/>
          <w:color w:val="auto"/>
        </w:rPr>
        <w:t>225305903</w:t>
      </w:r>
    </w:p>
    <w:p>
      <w:pPr>
        <w:spacing w:after="0" w:line="20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ind w:left="740"/>
        <w:spacing w:after="0" w:line="238" w:lineRule="auto"/>
        <w:rPr>
          <w:sz w:val="20"/>
          <w:szCs w:val="20"/>
          <w:color w:val="auto"/>
        </w:rPr>
      </w:pPr>
      <w:r>
        <w:rPr>
          <w:rFonts w:ascii="Courier New" w:cs="Courier New" w:eastAsia="Courier New" w:hAnsi="Courier New"/>
          <w:sz w:val="18"/>
          <w:szCs w:val="18"/>
          <w:color w:val="auto"/>
        </w:rPr>
        <w:t>240.13d-2(b) or (c), check whether the person filings is a:</w:t>
      </w:r>
    </w:p>
    <w:p>
      <w:pPr>
        <w:spacing w:after="0" w:line="5" w:lineRule="exact"/>
        <w:rPr>
          <w:sz w:val="20"/>
          <w:szCs w:val="20"/>
          <w:color w:val="auto"/>
        </w:rPr>
      </w:pPr>
    </w:p>
    <w:p>
      <w:pPr>
        <w:ind w:left="1260" w:right="2199" w:hanging="528"/>
        <w:spacing w:after="0" w:line="235" w:lineRule="auto"/>
        <w:tabs>
          <w:tab w:leader="none" w:pos="1365"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Company registered under section 8 of the Investment Company Act of 1940 (15 U.S.C. 80a-8).</w:t>
      </w:r>
    </w:p>
    <w:p>
      <w:pPr>
        <w:spacing w:after="0" w:line="5" w:lineRule="exact"/>
        <w:rPr>
          <w:rFonts w:ascii="Courier New" w:cs="Courier New" w:eastAsia="Courier New" w:hAnsi="Courier New"/>
          <w:sz w:val="18"/>
          <w:szCs w:val="18"/>
          <w:color w:val="auto"/>
        </w:rPr>
      </w:pPr>
    </w:p>
    <w:p>
      <w:pPr>
        <w:ind w:left="1260" w:right="2519" w:hanging="528"/>
        <w:spacing w:after="0" w:line="235" w:lineRule="auto"/>
        <w:tabs>
          <w:tab w:leader="none" w:pos="1471"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6" w:lineRule="exact"/>
        <w:rPr>
          <w:sz w:val="20"/>
          <w:szCs w:val="20"/>
          <w:color w:val="auto"/>
        </w:rPr>
      </w:pPr>
    </w:p>
    <w:p>
      <w:pPr>
        <w:ind w:left="1260" w:right="2939" w:hanging="528"/>
        <w:spacing w:after="0" w:line="235" w:lineRule="auto"/>
        <w:tabs>
          <w:tab w:leader="none" w:pos="1365"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199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pages 2 to 4</w:t>
      </w:r>
    </w:p>
    <w:p>
      <w:pPr>
        <w:spacing w:after="0" w:line="201" w:lineRule="exact"/>
        <w:rPr>
          <w:sz w:val="20"/>
          <w:szCs w:val="20"/>
          <w:color w:val="auto"/>
        </w:rPr>
      </w:pPr>
    </w:p>
    <w:p>
      <w:pPr>
        <w:ind w:left="1460" w:hanging="728"/>
        <w:spacing w:after="0"/>
        <w:tabs>
          <w:tab w:leader="none" w:pos="14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60" w:hanging="728"/>
        <w:spacing w:after="0" w:line="238" w:lineRule="auto"/>
        <w:tabs>
          <w:tab w:leader="none" w:pos="14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60" w:hanging="728"/>
        <w:spacing w:after="0" w:line="238" w:lineRule="auto"/>
        <w:tabs>
          <w:tab w:leader="none" w:pos="14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60" w:hanging="728"/>
        <w:spacing w:after="0"/>
        <w:tabs>
          <w:tab w:leader="none" w:pos="14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60" w:hanging="728"/>
        <w:spacing w:after="0" w:line="238" w:lineRule="auto"/>
        <w:tabs>
          <w:tab w:leader="none" w:pos="14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60" w:hanging="728"/>
        <w:spacing w:after="0" w:line="238" w:lineRule="auto"/>
        <w:tabs>
          <w:tab w:leader="none" w:pos="14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60" w:hanging="728"/>
        <w:spacing w:after="0" w:line="238" w:lineRule="auto"/>
        <w:tabs>
          <w:tab w:leader="none" w:pos="14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0" w:lineRule="exact"/>
        <w:rPr>
          <w:sz w:val="20"/>
          <w:szCs w:val="20"/>
          <w:color w:val="auto"/>
        </w:rPr>
      </w:pPr>
    </w:p>
    <w:p>
      <w:pPr>
        <w:spacing w:after="0" w:line="20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225305903</w:t>
      </w:r>
      <w:r>
        <w:rPr>
          <w:sz w:val="20"/>
          <w:szCs w:val="20"/>
          <w:color w:val="auto"/>
        </w:rPr>
        <w:tab/>
      </w:r>
      <w:r>
        <w:rPr>
          <w:rFonts w:ascii="Courier New" w:cs="Courier New" w:eastAsia="Courier New" w:hAnsi="Courier New"/>
          <w:sz w:val="16"/>
          <w:szCs w:val="16"/>
          <w:color w:val="auto"/>
        </w:rPr>
        <w:t>Page 5 of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40" w:right="1879"/>
        <w:spacing w:after="0" w:line="270" w:lineRule="auto"/>
        <w:rPr>
          <w:sz w:val="20"/>
          <w:szCs w:val="20"/>
          <w:color w:val="auto"/>
        </w:rPr>
      </w:pPr>
      <w:r>
        <w:rPr>
          <w:rFonts w:ascii="Courier New" w:cs="Courier New" w:eastAsia="Courier New" w:hAnsi="Courier New"/>
          <w:sz w:val="16"/>
          <w:szCs w:val="16"/>
          <w:color w:val="auto"/>
        </w:rPr>
        <w:t>Capital Group International, Inc. is the parent holding company of a group of investment management companies that hold investment power and, in some cases, voting power over the securities reported in this Schedule 13G. The investment management companies, which include a "bank" as defined in Section 3(a)6 of the Securities Exchange Act of 1934 (the "Act") and several investment advisers registered under Section 203 of the Investment Advisers Act of 1940, provide investment advisory and management services for their respective clients which include registered investment companies and institutional accounts. Capital Group International, Inc. does not have investment power or voting power over any of the securities reported herein; however, Capital Group International, Inc. may be deemed to "beneficially own" such securities by virtue of Rule 13d-3 under the Act.</w:t>
      </w:r>
    </w:p>
    <w:p>
      <w:pPr>
        <w:spacing w:after="0" w:line="388" w:lineRule="exact"/>
        <w:rPr>
          <w:sz w:val="20"/>
          <w:szCs w:val="20"/>
          <w:color w:val="auto"/>
        </w:rPr>
      </w:pPr>
    </w:p>
    <w:p>
      <w:pPr>
        <w:ind w:left="740" w:right="1879"/>
        <w:spacing w:after="0" w:line="237" w:lineRule="auto"/>
        <w:rPr>
          <w:sz w:val="20"/>
          <w:szCs w:val="20"/>
          <w:color w:val="auto"/>
        </w:rPr>
      </w:pPr>
      <w:r>
        <w:rPr>
          <w:rFonts w:ascii="Courier New" w:cs="Courier New" w:eastAsia="Courier New" w:hAnsi="Courier New"/>
          <w:sz w:val="18"/>
          <w:szCs w:val="18"/>
          <w:color w:val="auto"/>
        </w:rPr>
        <w:t>Capital International, Inc., an investment adviser registered under Section 203 of the Investment Advisers Act of 1940 is deemed to be the beneficial owner of 8,066,290 shares or 10.1% of the 80,180,000 shares of Common Stock believed to be outstanding as a result of acting as investment adviser to various investment companies and institutional accounts.</w:t>
      </w:r>
    </w:p>
    <w:p>
      <w:pPr>
        <w:spacing w:after="0" w:line="210" w:lineRule="exact"/>
        <w:rPr>
          <w:sz w:val="20"/>
          <w:szCs w:val="20"/>
          <w:color w:val="auto"/>
        </w:rPr>
      </w:pPr>
    </w:p>
    <w:p>
      <w:pPr>
        <w:ind w:left="740" w:right="1999"/>
        <w:spacing w:after="0" w:line="237" w:lineRule="auto"/>
        <w:rPr>
          <w:sz w:val="20"/>
          <w:szCs w:val="20"/>
          <w:color w:val="auto"/>
        </w:rPr>
      </w:pPr>
      <w:r>
        <w:rPr>
          <w:rFonts w:ascii="Courier New" w:cs="Courier New" w:eastAsia="Courier New" w:hAnsi="Courier New"/>
          <w:sz w:val="18"/>
          <w:szCs w:val="18"/>
          <w:color w:val="auto"/>
        </w:rPr>
        <w:t>Emerging Markets Growth Fund, Inc., an investment company registered under the Investment Company Act of 1940, which is advised by Capital International, Inc., is the beneficial owner of 5,537,162 shares or 6.9% of the 80,180,000 shares of Common Stock believed to be outstanding.</w:t>
      </w:r>
    </w:p>
    <w:p>
      <w:pPr>
        <w:spacing w:after="0" w:line="209" w:lineRule="exact"/>
        <w:rPr>
          <w:sz w:val="20"/>
          <w:szCs w:val="20"/>
          <w:color w:val="auto"/>
        </w:rPr>
      </w:pPr>
    </w:p>
    <w:p>
      <w:pPr>
        <w:ind w:left="740" w:right="1879" w:hanging="736"/>
        <w:spacing w:after="0" w:line="275" w:lineRule="auto"/>
        <w:tabs>
          <w:tab w:leader="none" w:pos="72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17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7" w:lineRule="exact"/>
        <w:rPr>
          <w:sz w:val="20"/>
          <w:szCs w:val="20"/>
          <w:color w:val="auto"/>
        </w:rPr>
      </w:pPr>
    </w:p>
    <w:p>
      <w:pPr>
        <w:ind w:left="740" w:right="177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9679"/>
          </w:cols>
          <w:pgMar w:left="780" w:top="136" w:right="1440" w:bottom="0" w:gutter="0" w:footer="0" w:header="0"/>
        </w:sectPr>
      </w:pPr>
    </w:p>
    <w:bookmarkStart w:id="5" w:name="page6"/>
    <w:bookmarkEnd w:id="5"/>
    <w:p>
      <w:pPr>
        <w:ind w:left="1040" w:right="1999"/>
        <w:spacing w:after="0" w:line="275" w:lineRule="auto"/>
        <w:rPr>
          <w:sz w:val="20"/>
          <w:szCs w:val="20"/>
          <w:color w:val="auto"/>
        </w:rPr>
      </w:pPr>
      <w:r>
        <w:rPr>
          <w:rFonts w:ascii="Courier New" w:cs="Courier New" w:eastAsia="Courier New" w:hAnsi="Courier New"/>
          <w:sz w:val="16"/>
          <w:szCs w:val="16"/>
          <w:color w:val="auto"/>
        </w:rPr>
        <w:t>Capital International Research and Management, Inc. dba Capital International, Inc. is an investment adviser registered under Section 203 of the Investment Advisers Act of 1940 and is a wholly owned subsidiary of Capital Group International, Inc.</w:t>
      </w:r>
    </w:p>
    <w:p>
      <w:pPr>
        <w:spacing w:after="0" w:line="17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left="1040" w:right="1779"/>
        <w:spacing w:after="0" w:line="237" w:lineRule="auto"/>
        <w:rPr>
          <w:sz w:val="20"/>
          <w:szCs w:val="20"/>
          <w:color w:val="auto"/>
        </w:rPr>
      </w:pPr>
      <w:r>
        <w:rPr>
          <w:rFonts w:ascii="Courier New" w:cs="Courier New" w:eastAsia="Courier New" w:hAnsi="Courier New"/>
          <w:sz w:val="18"/>
          <w:szCs w:val="18"/>
          <w:color w:val="auto"/>
        </w:rPr>
        <w:t>Capital International S.A. (CISA) does not fall within any of the categories described in Rule 13d-1-(b)(ii)(A-F) but its holdings of any reported securities come within the five percent limitation as set forth in a December 15, 1986 no-action letter from the Staff of the Securities and Exchange Commission to The Capital Group Companies, Inc. CISA is a wholly owned subsidiary of Capital Group International,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225305903</w:t>
      </w:r>
      <w:r>
        <w:rPr>
          <w:sz w:val="20"/>
          <w:szCs w:val="20"/>
          <w:color w:val="auto"/>
        </w:rPr>
        <w:tab/>
      </w:r>
      <w:r>
        <w:rPr>
          <w:rFonts w:ascii="Courier New" w:cs="Courier New" w:eastAsia="Courier New" w:hAnsi="Courier New"/>
          <w:sz w:val="16"/>
          <w:szCs w:val="16"/>
          <w:color w:val="auto"/>
        </w:rPr>
        <w:t>Page 6 of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left="1040" w:right="1779"/>
        <w:spacing w:after="0" w:line="237" w:lineRule="auto"/>
        <w:rPr>
          <w:sz w:val="20"/>
          <w:szCs w:val="20"/>
          <w:color w:val="auto"/>
        </w:rPr>
      </w:pPr>
      <w:r>
        <w:rPr>
          <w:rFonts w:ascii="Courier New" w:cs="Courier New" w:eastAsia="Courier New" w:hAnsi="Courier New"/>
          <w:sz w:val="18"/>
          <w:szCs w:val="18"/>
          <w:color w:val="auto"/>
        </w:rPr>
        <w:t>Capital International Limited (CIL) does not fall within any of the categories described in Rule 13d-1-(b)(ii)(A-F) but its holdings of any reported securities come within the five percent limitation as set forth in a December 15, 1986 no-action letter from the Staff of the Securities and Exchange Commission to The Capital Group Companies, Inc. CIL is a wholly owned subsidiary of Capital Group International, Inc.</w:t>
      </w:r>
    </w:p>
    <w:p>
      <w:pPr>
        <w:spacing w:after="0" w:line="205"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left="1040" w:right="2419"/>
        <w:spacing w:after="0" w:line="279" w:lineRule="auto"/>
        <w:rPr>
          <w:sz w:val="20"/>
          <w:szCs w:val="20"/>
          <w:color w:val="auto"/>
        </w:rPr>
      </w:pPr>
      <w:r>
        <w:rPr>
          <w:rFonts w:ascii="Courier New" w:cs="Courier New" w:eastAsia="Courier New" w:hAnsi="Courier New"/>
          <w:sz w:val="16"/>
          <w:szCs w:val="16"/>
          <w:color w:val="auto"/>
        </w:rPr>
        <w:t>Capital International, Inc. serves as investment adviser to Emerging Markets Growth Fund, Inc., an investment company registered under the Investment Company Act of 1940.</w:t>
      </w:r>
    </w:p>
    <w:p>
      <w:pPr>
        <w:spacing w:after="0" w:line="173" w:lineRule="exact"/>
        <w:rPr>
          <w:sz w:val="20"/>
          <w:szCs w:val="20"/>
          <w:color w:val="auto"/>
        </w:rPr>
      </w:pPr>
    </w:p>
    <w:p>
      <w:pPr>
        <w:spacing w:after="0"/>
        <w:tabs>
          <w:tab w:leader="none" w:pos="920" w:val="left"/>
          <w:tab w:leader="none" w:pos="72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920" w:val="left"/>
          <w:tab w:leader="none" w:pos="440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12, 2002</w:t>
      </w:r>
    </w:p>
    <w:p>
      <w:pPr>
        <w:spacing w:after="0" w:line="200" w:lineRule="exact"/>
        <w:rPr>
          <w:sz w:val="20"/>
          <w:szCs w:val="20"/>
          <w:color w:val="auto"/>
        </w:rPr>
      </w:pPr>
    </w:p>
    <w:p>
      <w:pPr>
        <w:spacing w:after="0" w:line="204"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David I. Fisher, Chairman</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Capital Group International, Inc.</w:t>
      </w:r>
    </w:p>
    <w:p>
      <w:pPr>
        <w:spacing w:after="0" w:line="200" w:lineRule="exact"/>
        <w:rPr>
          <w:sz w:val="20"/>
          <w:szCs w:val="20"/>
          <w:color w:val="auto"/>
        </w:rPr>
      </w:pPr>
    </w:p>
    <w:p>
      <w:pPr>
        <w:spacing w:after="0" w:line="204"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12, 2002</w:t>
      </w:r>
    </w:p>
    <w:p>
      <w:pPr>
        <w:spacing w:after="0" w:line="200" w:lineRule="exact"/>
        <w:rPr>
          <w:sz w:val="20"/>
          <w:szCs w:val="20"/>
          <w:color w:val="auto"/>
        </w:rPr>
      </w:pPr>
    </w:p>
    <w:p>
      <w:pPr>
        <w:spacing w:after="0" w:line="204"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David I. Fisher, Vice Chairman</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Capital International, Inc.</w:t>
      </w:r>
    </w:p>
    <w:p>
      <w:pPr>
        <w:sectPr>
          <w:pgSz w:w="11900" w:h="16838" w:orient="portrait"/>
          <w:cols w:equalWidth="0" w:num="1">
            <w:col w:w="9679"/>
          </w:cols>
          <w:pgMar w:left="780" w:top="142" w:right="1440" w:bottom="0" w:gutter="0" w:footer="0" w:header="0"/>
        </w:sectPr>
      </w:pPr>
    </w:p>
    <w:bookmarkStart w:id="6" w:name="page7"/>
    <w:bookmarkEnd w:id="6"/>
    <w:p>
      <w:pPr>
        <w:spacing w:after="0" w:line="317"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225305903</w:t>
      </w:r>
      <w:r>
        <w:rPr>
          <w:sz w:val="20"/>
          <w:szCs w:val="20"/>
          <w:color w:val="auto"/>
        </w:rPr>
        <w:tab/>
      </w:r>
      <w:r>
        <w:rPr>
          <w:rFonts w:ascii="Courier New" w:cs="Courier New" w:eastAsia="Courier New" w:hAnsi="Courier New"/>
          <w:sz w:val="16"/>
          <w:szCs w:val="16"/>
          <w:color w:val="auto"/>
        </w:rPr>
        <w:t>Page 7 of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12, 2002</w:t>
      </w:r>
    </w:p>
    <w:p>
      <w:pPr>
        <w:spacing w:after="0" w:line="200" w:lineRule="exact"/>
        <w:rPr>
          <w:sz w:val="20"/>
          <w:szCs w:val="20"/>
          <w:color w:val="auto"/>
        </w:rPr>
      </w:pPr>
    </w:p>
    <w:p>
      <w:pPr>
        <w:spacing w:after="0" w:line="204"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David I. Fisher, Vice Chairman</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Emerging Markets Growth Fund,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40"/>
        <w:spacing w:after="0"/>
        <w:tabs>
          <w:tab w:leader="none" w:pos="1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Kenneth R. Gorvetzian</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Kenneth R. Gorvetzian</w:t>
      </w:r>
    </w:p>
    <w:p>
      <w:pPr>
        <w:ind w:left="158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1580" w:right="1999"/>
        <w:spacing w:after="0" w:line="237" w:lineRule="auto"/>
        <w:rPr>
          <w:sz w:val="20"/>
          <w:szCs w:val="20"/>
          <w:color w:val="auto"/>
        </w:rPr>
      </w:pPr>
      <w:r>
        <w:rPr>
          <w:rFonts w:ascii="Courier New" w:cs="Courier New" w:eastAsia="Courier New" w:hAnsi="Courier New"/>
          <w:sz w:val="18"/>
          <w:szCs w:val="18"/>
          <w:color w:val="auto"/>
        </w:rPr>
        <w:t>Signed pursuant to a Power of Attorney dated December 19, 2000 included as an Exhibit to Schedule 13G filed with the Securities and Exchange Commission by Capital Group International, Inc. on February 9, 2001 with respect to Abitibi-Consolidated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225305903</w:t>
      </w:r>
      <w:r>
        <w:rPr>
          <w:sz w:val="20"/>
          <w:szCs w:val="20"/>
          <w:color w:val="auto"/>
        </w:rPr>
        <w:tab/>
      </w:r>
      <w:r>
        <w:rPr>
          <w:rFonts w:ascii="Courier New" w:cs="Courier New" w:eastAsia="Courier New" w:hAnsi="Courier New"/>
          <w:sz w:val="16"/>
          <w:szCs w:val="16"/>
          <w:color w:val="auto"/>
        </w:rPr>
        <w:t>Page 8 of 9</w:t>
      </w:r>
    </w:p>
    <w:p>
      <w:pPr>
        <w:sectPr>
          <w:pgSz w:w="11900" w:h="16838" w:orient="portrait"/>
          <w:cols w:equalWidth="0" w:num="1">
            <w:col w:w="9679"/>
          </w:cols>
          <w:pgMar w:left="780" w:top="1440" w:right="1440" w:bottom="335" w:gutter="0" w:footer="0" w:header="0"/>
        </w:sectPr>
      </w:pPr>
    </w:p>
    <w:bookmarkStart w:id="7" w:name="page8"/>
    <w:bookmarkEnd w:id="7"/>
    <w:p>
      <w:pPr>
        <w:jc w:val="center"/>
        <w:ind w:right="1779"/>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Los Angeles, CA</w:t>
      </w:r>
    </w:p>
    <w:p>
      <w:pPr>
        <w:jc w:val="center"/>
        <w:ind w:right="1779"/>
        <w:spacing w:after="0" w:line="238" w:lineRule="auto"/>
        <w:rPr>
          <w:sz w:val="20"/>
          <w:szCs w:val="20"/>
          <w:color w:val="auto"/>
        </w:rPr>
      </w:pPr>
      <w:r>
        <w:rPr>
          <w:rFonts w:ascii="Courier New" w:cs="Courier New" w:eastAsia="Courier New" w:hAnsi="Courier New"/>
          <w:sz w:val="18"/>
          <w:szCs w:val="18"/>
          <w:color w:val="auto"/>
        </w:rPr>
        <w:t>February 12, 2002</w:t>
      </w:r>
    </w:p>
    <w:p>
      <w:pPr>
        <w:spacing w:after="0" w:line="200" w:lineRule="exact"/>
        <w:rPr>
          <w:sz w:val="20"/>
          <w:szCs w:val="20"/>
          <w:color w:val="auto"/>
        </w:rPr>
      </w:pPr>
    </w:p>
    <w:p>
      <w:pPr>
        <w:spacing w:after="0" w:line="210"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Capital Group International, Inc. ("CGII"), Capital International, Inc. ("CII") and Emerging Markets Growth Fund, Inc. ("EMGF") hereby agree to file a joint statement on Schedule 13G under the Securities Exchange Act of 1934 (the "Act") in connection with their beneficial ownership of Common Stock issued by Credicorp Ltd.</w:t>
      </w:r>
    </w:p>
    <w:p>
      <w:pPr>
        <w:spacing w:after="0" w:line="209" w:lineRule="exact"/>
        <w:rPr>
          <w:sz w:val="20"/>
          <w:szCs w:val="20"/>
          <w:color w:val="auto"/>
        </w:rPr>
      </w:pPr>
    </w:p>
    <w:p>
      <w:pPr>
        <w:ind w:right="1879" w:firstLine="211"/>
        <w:spacing w:after="0" w:line="235" w:lineRule="auto"/>
        <w:rPr>
          <w:sz w:val="20"/>
          <w:szCs w:val="20"/>
          <w:color w:val="auto"/>
        </w:rPr>
      </w:pPr>
      <w:r>
        <w:rPr>
          <w:rFonts w:ascii="Courier New" w:cs="Courier New" w:eastAsia="Courier New" w:hAnsi="Courier New"/>
          <w:sz w:val="18"/>
          <w:szCs w:val="18"/>
          <w:color w:val="auto"/>
        </w:rPr>
        <w:t>CGII, CII and EMGF state that they are each entitled to individually use Schedule 13G pursuant to Rule 13d-1(c) of the Act.</w:t>
      </w:r>
    </w:p>
    <w:p>
      <w:pPr>
        <w:spacing w:after="0" w:line="208"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CGII, CII and EMGF are each responsible for the timely filing of the statement and any amendments thereto, and for the completeness and accuracy of the information concerning each of them contained therein but are not responsible for the completeness or accuracy of the information concerning the others.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780"/>
        <w:spacing w:after="0"/>
        <w:rPr>
          <w:sz w:val="20"/>
          <w:szCs w:val="20"/>
          <w:color w:val="auto"/>
        </w:rPr>
      </w:pPr>
      <w:r>
        <w:rPr>
          <w:rFonts w:ascii="Courier New" w:cs="Courier New" w:eastAsia="Courier New" w:hAnsi="Courier New"/>
          <w:sz w:val="18"/>
          <w:szCs w:val="18"/>
          <w:color w:val="auto"/>
        </w:rPr>
        <w:t>CAPITAL GROUP INTERNATIONAL, INC.</w:t>
      </w:r>
    </w:p>
    <w:p>
      <w:pPr>
        <w:spacing w:after="0" w:line="201" w:lineRule="exact"/>
        <w:rPr>
          <w:sz w:val="20"/>
          <w:szCs w:val="20"/>
          <w:color w:val="auto"/>
        </w:rPr>
      </w:pPr>
    </w:p>
    <w:p>
      <w:pPr>
        <w:ind w:left="178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David I. Fisher, Chairman</w:t>
      </w:r>
    </w:p>
    <w:p>
      <w:pPr>
        <w:ind w:left="3680"/>
        <w:spacing w:after="0" w:line="238" w:lineRule="auto"/>
        <w:rPr>
          <w:sz w:val="20"/>
          <w:szCs w:val="20"/>
          <w:color w:val="auto"/>
        </w:rPr>
      </w:pPr>
      <w:r>
        <w:rPr>
          <w:rFonts w:ascii="Courier New" w:cs="Courier New" w:eastAsia="Courier New" w:hAnsi="Courier New"/>
          <w:sz w:val="18"/>
          <w:szCs w:val="18"/>
          <w:color w:val="auto"/>
        </w:rPr>
        <w:t>Capital Group International,</w:t>
      </w:r>
    </w:p>
    <w:p>
      <w:pPr>
        <w:ind w:left="3680"/>
        <w:spacing w:after="0"/>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pacing w:after="0" w:line="203" w:lineRule="exact"/>
        <w:rPr>
          <w:sz w:val="20"/>
          <w:szCs w:val="20"/>
          <w:color w:val="auto"/>
        </w:rPr>
      </w:pPr>
    </w:p>
    <w:p>
      <w:pPr>
        <w:ind w:left="1780"/>
        <w:spacing w:after="0"/>
        <w:rPr>
          <w:sz w:val="20"/>
          <w:szCs w:val="20"/>
          <w:color w:val="auto"/>
        </w:rPr>
      </w:pPr>
      <w:r>
        <w:rPr>
          <w:rFonts w:ascii="Courier New" w:cs="Courier New" w:eastAsia="Courier New" w:hAnsi="Courier New"/>
          <w:sz w:val="18"/>
          <w:szCs w:val="18"/>
          <w:color w:val="auto"/>
        </w:rPr>
        <w:t>CAPITAL INTERNATIONAL, INC.</w:t>
      </w:r>
    </w:p>
    <w:p>
      <w:pPr>
        <w:spacing w:after="0" w:line="201" w:lineRule="exact"/>
        <w:rPr>
          <w:sz w:val="20"/>
          <w:szCs w:val="20"/>
          <w:color w:val="auto"/>
        </w:rPr>
      </w:pPr>
    </w:p>
    <w:p>
      <w:pPr>
        <w:ind w:left="178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David I. Fisher, Vice Chairman</w:t>
      </w:r>
    </w:p>
    <w:p>
      <w:pPr>
        <w:ind w:left="3680"/>
        <w:spacing w:after="0" w:line="238" w:lineRule="auto"/>
        <w:rPr>
          <w:sz w:val="20"/>
          <w:szCs w:val="20"/>
          <w:color w:val="auto"/>
        </w:rPr>
      </w:pPr>
      <w:r>
        <w:rPr>
          <w:rFonts w:ascii="Courier New" w:cs="Courier New" w:eastAsia="Courier New" w:hAnsi="Courier New"/>
          <w:sz w:val="18"/>
          <w:szCs w:val="18"/>
          <w:color w:val="auto"/>
        </w:rPr>
        <w:t>Capital International, Inc.</w:t>
      </w:r>
    </w:p>
    <w:p>
      <w:pPr>
        <w:spacing w:after="0" w:line="200" w:lineRule="exact"/>
        <w:rPr>
          <w:sz w:val="20"/>
          <w:szCs w:val="20"/>
          <w:color w:val="auto"/>
        </w:rPr>
      </w:pPr>
    </w:p>
    <w:p>
      <w:pPr>
        <w:spacing w:after="0" w:line="204" w:lineRule="exact"/>
        <w:rPr>
          <w:sz w:val="20"/>
          <w:szCs w:val="20"/>
          <w:color w:val="auto"/>
        </w:rPr>
      </w:pPr>
    </w:p>
    <w:p>
      <w:pPr>
        <w:ind w:left="1780"/>
        <w:spacing w:after="0"/>
        <w:rPr>
          <w:sz w:val="20"/>
          <w:szCs w:val="20"/>
          <w:color w:val="auto"/>
        </w:rPr>
      </w:pPr>
      <w:r>
        <w:rPr>
          <w:rFonts w:ascii="Courier New" w:cs="Courier New" w:eastAsia="Courier New" w:hAnsi="Courier New"/>
          <w:sz w:val="18"/>
          <w:szCs w:val="18"/>
          <w:color w:val="auto"/>
        </w:rPr>
        <w:t>EMERGING MARKETS GROWTH FUND, INC.</w:t>
      </w:r>
    </w:p>
    <w:p>
      <w:pPr>
        <w:spacing w:after="0" w:line="201" w:lineRule="exact"/>
        <w:rPr>
          <w:sz w:val="20"/>
          <w:szCs w:val="20"/>
          <w:color w:val="auto"/>
        </w:rPr>
      </w:pPr>
    </w:p>
    <w:p>
      <w:pPr>
        <w:ind w:left="178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David I. Fisher, Vice Chairman</w:t>
      </w:r>
    </w:p>
    <w:p>
      <w:pPr>
        <w:ind w:left="3680"/>
        <w:spacing w:after="0" w:line="238" w:lineRule="auto"/>
        <w:rPr>
          <w:sz w:val="20"/>
          <w:szCs w:val="20"/>
          <w:color w:val="auto"/>
        </w:rPr>
      </w:pPr>
      <w:r>
        <w:rPr>
          <w:rFonts w:ascii="Courier New" w:cs="Courier New" w:eastAsia="Courier New" w:hAnsi="Courier New"/>
          <w:sz w:val="18"/>
          <w:szCs w:val="18"/>
          <w:color w:val="auto"/>
        </w:rPr>
        <w:t>Emerging Markets Growth Fund,</w:t>
      </w:r>
    </w:p>
    <w:p>
      <w:pPr>
        <w:ind w:left="3680"/>
        <w:spacing w:after="0"/>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pacing w:after="0" w:line="20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Kenneth R. Gorvetzian</w:t>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Kenneth R. Gorvetzian</w:t>
      </w:r>
    </w:p>
    <w:p>
      <w:pPr>
        <w:ind w:left="52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520" w:right="1999"/>
        <w:spacing w:after="0" w:line="237" w:lineRule="auto"/>
        <w:rPr>
          <w:sz w:val="20"/>
          <w:szCs w:val="20"/>
          <w:color w:val="auto"/>
        </w:rPr>
      </w:pPr>
      <w:r>
        <w:rPr>
          <w:rFonts w:ascii="Courier New" w:cs="Courier New" w:eastAsia="Courier New" w:hAnsi="Courier New"/>
          <w:sz w:val="18"/>
          <w:szCs w:val="18"/>
          <w:color w:val="auto"/>
        </w:rPr>
        <w:t>Signed pursuant to a Power of Attorney dated December 19, 2000 included as an Exhibit to Schedule 13G filed with the Securities and Exchange Commission by Capital Group International, Inc. on February 9, 2001 with respect to Abitibi-Consolidated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225305903</w:t>
      </w:r>
      <w:r>
        <w:rPr>
          <w:sz w:val="20"/>
          <w:szCs w:val="20"/>
          <w:color w:val="auto"/>
        </w:rPr>
        <w:tab/>
      </w:r>
      <w:r>
        <w:rPr>
          <w:rFonts w:ascii="Courier New" w:cs="Courier New" w:eastAsia="Courier New" w:hAnsi="Courier New"/>
          <w:sz w:val="16"/>
          <w:szCs w:val="16"/>
          <w:color w:val="auto"/>
        </w:rPr>
        <w:t>Page 9 of 9</w:t>
      </w:r>
    </w:p>
    <w:sectPr>
      <w:pgSz w:w="11900" w:h="16838" w:orient="portrait"/>
      <w:cols w:equalWidth="0" w:num="1">
        <w:col w:w="9679"/>
      </w:cols>
      <w:pgMar w:left="78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upperLetter"/>
      <w:start w:val="24"/>
    </w:lvl>
  </w:abstractNum>
  <w:abstractNum w:abstractNumId="1">
    <w:nsid w:val="4E6AFB66"/>
    <w:multiLevelType w:val="hybridMultilevel"/>
    <w:lvl w:ilvl="0">
      <w:lvlJc w:val="left"/>
      <w:lvlText w:val="1"/>
      <w:numFmt w:val="bullet"/>
      <w:start w:val="1"/>
    </w:lvl>
  </w:abstractNum>
  <w:abstractNum w:abstractNumId="2">
    <w:nsid w:val="25E45D32"/>
    <w:multiLevelType w:val="hybridMultilevel"/>
    <w:lvl w:ilvl="0">
      <w:lvlJc w:val="left"/>
      <w:lvlText w:val="2"/>
      <w:numFmt w:val="bullet"/>
      <w:start w:val="1"/>
    </w:lvl>
  </w:abstractNum>
  <w:abstractNum w:abstractNumId="3">
    <w:nsid w:val="519B500D"/>
    <w:multiLevelType w:val="hybridMultilevel"/>
    <w:lvl w:ilvl="0">
      <w:lvlJc w:val="left"/>
      <w:lvlText w:val="3"/>
      <w:numFmt w:val="bullet"/>
      <w:start w:val="1"/>
    </w:lvl>
  </w:abstractNum>
  <w:abstractNum w:abstractNumId="4">
    <w:nsid w:val="431BD7B7"/>
    <w:multiLevelType w:val="hybridMultilevel"/>
    <w:lvl w:ilvl="0">
      <w:lvlJc w:val="left"/>
      <w:lvlText w:val="4"/>
      <w:numFmt w:val="bullet"/>
      <w:start w:val="1"/>
    </w:lvl>
  </w:abstractNum>
  <w:abstractNum w:abstractNumId="5">
    <w:nsid w:val="3F2DBA31"/>
    <w:multiLevelType w:val="hybridMultilevel"/>
    <w:lvl w:ilvl="0">
      <w:lvlJc w:val="left"/>
      <w:lvlText w:val="5"/>
      <w:numFmt w:val="bullet"/>
      <w:start w:val="1"/>
    </w:lvl>
  </w:abstractNum>
  <w:abstractNum w:abstractNumId="6">
    <w:nsid w:val="7C83E458"/>
    <w:multiLevelType w:val="hybridMultilevel"/>
    <w:lvl w:ilvl="0">
      <w:lvlJc w:val="left"/>
      <w:lvlText w:val="6"/>
      <w:numFmt w:val="bullet"/>
      <w:start w:val="1"/>
    </w:lvl>
  </w:abstractNum>
  <w:abstractNum w:abstractNumId="7">
    <w:nsid w:val="257130A3"/>
    <w:multiLevelType w:val="hybridMultilevel"/>
    <w:lvl w:ilvl="0">
      <w:lvlJc w:val="left"/>
      <w:lvlText w:val="8"/>
      <w:numFmt w:val="bullet"/>
      <w:start w:val="1"/>
    </w:lvl>
  </w:abstractNum>
  <w:abstractNum w:abstractNumId="8">
    <w:nsid w:val="62BBD95A"/>
    <w:multiLevelType w:val="hybridMultilevel"/>
    <w:lvl w:ilvl="0">
      <w:lvlJc w:val="left"/>
      <w:lvlText w:val="9"/>
      <w:numFmt w:val="bullet"/>
      <w:start w:val="1"/>
    </w:lvl>
  </w:abstractNum>
  <w:abstractNum w:abstractNumId="9">
    <w:nsid w:val="436C6125"/>
    <w:multiLevelType w:val="hybridMultilevel"/>
    <w:lvl w:ilvl="0">
      <w:lvlJc w:val="left"/>
      <w:lvlText w:val="%1"/>
      <w:numFmt w:val="decimal"/>
      <w:start w:val="10"/>
    </w:lvl>
  </w:abstractNum>
  <w:abstractNum w:abstractNumId="10">
    <w:nsid w:val="628C895D"/>
    <w:multiLevelType w:val="hybridMultilevel"/>
    <w:lvl w:ilvl="0">
      <w:lvlJc w:val="left"/>
      <w:lvlText w:val="1"/>
      <w:numFmt w:val="bullet"/>
      <w:start w:val="1"/>
    </w:lvl>
  </w:abstractNum>
  <w:abstractNum w:abstractNumId="11">
    <w:nsid w:val="333AB105"/>
    <w:multiLevelType w:val="hybridMultilevel"/>
    <w:lvl w:ilvl="0">
      <w:lvlJc w:val="left"/>
      <w:lvlText w:val="2"/>
      <w:numFmt w:val="bullet"/>
      <w:start w:val="1"/>
    </w:lvl>
  </w:abstractNum>
  <w:abstractNum w:abstractNumId="12">
    <w:nsid w:val="721DA317"/>
    <w:multiLevelType w:val="hybridMultilevel"/>
    <w:lvl w:ilvl="0">
      <w:lvlJc w:val="left"/>
      <w:lvlText w:val="4"/>
      <w:numFmt w:val="bullet"/>
      <w:start w:val="1"/>
    </w:lvl>
  </w:abstractNum>
  <w:abstractNum w:abstractNumId="13">
    <w:nsid w:val="2443A858"/>
    <w:multiLevelType w:val="hybridMultilevel"/>
    <w:lvl w:ilvl="0">
      <w:lvlJc w:val="left"/>
      <w:lvlText w:val="5"/>
      <w:numFmt w:val="bullet"/>
      <w:start w:val="1"/>
    </w:lvl>
  </w:abstractNum>
  <w:abstractNum w:abstractNumId="14">
    <w:nsid w:val="2D1D5AE9"/>
    <w:multiLevelType w:val="hybridMultilevel"/>
    <w:lvl w:ilvl="0">
      <w:lvlJc w:val="left"/>
      <w:lvlText w:val="6"/>
      <w:numFmt w:val="bullet"/>
      <w:start w:val="1"/>
    </w:lvl>
  </w:abstractNum>
  <w:abstractNum w:abstractNumId="15">
    <w:nsid w:val="6763845E"/>
    <w:multiLevelType w:val="hybridMultilevel"/>
    <w:lvl w:ilvl="0">
      <w:lvlJc w:val="left"/>
      <w:lvlText w:val="8"/>
      <w:numFmt w:val="bullet"/>
      <w:start w:val="1"/>
    </w:lvl>
  </w:abstractNum>
  <w:abstractNum w:abstractNumId="16">
    <w:nsid w:val="75A2A8D4"/>
    <w:multiLevelType w:val="hybridMultilevel"/>
    <w:lvl w:ilvl="0">
      <w:lvlJc w:val="left"/>
      <w:lvlText w:val="9"/>
      <w:numFmt w:val="bullet"/>
      <w:start w:val="1"/>
    </w:lvl>
  </w:abstractNum>
  <w:abstractNum w:abstractNumId="17">
    <w:nsid w:val="8EDBDAB"/>
    <w:multiLevelType w:val="hybridMultilevel"/>
    <w:lvl w:ilvl="0">
      <w:lvlJc w:val="left"/>
      <w:lvlText w:val="%1"/>
      <w:numFmt w:val="decimal"/>
      <w:start w:val="10"/>
    </w:lvl>
  </w:abstractNum>
  <w:abstractNum w:abstractNumId="18">
    <w:nsid w:val="79838CB2"/>
    <w:multiLevelType w:val="hybridMultilevel"/>
    <w:lvl w:ilvl="0">
      <w:lvlJc w:val="left"/>
      <w:lvlText w:val="1"/>
      <w:numFmt w:val="bullet"/>
      <w:start w:val="1"/>
    </w:lvl>
  </w:abstractNum>
  <w:abstractNum w:abstractNumId="19">
    <w:nsid w:val="4353D0CD"/>
    <w:multiLevelType w:val="hybridMultilevel"/>
    <w:lvl w:ilvl="0">
      <w:lvlJc w:val="left"/>
      <w:lvlText w:val="2"/>
      <w:numFmt w:val="bullet"/>
      <w:start w:val="1"/>
    </w:lvl>
  </w:abstractNum>
  <w:abstractNum w:abstractNumId="20">
    <w:nsid w:val="B03E0C6"/>
    <w:multiLevelType w:val="hybridMultilevel"/>
    <w:lvl w:ilvl="0">
      <w:lvlJc w:val="left"/>
      <w:lvlText w:val="3"/>
      <w:numFmt w:val="bullet"/>
      <w:start w:val="1"/>
    </w:lvl>
  </w:abstractNum>
  <w:abstractNum w:abstractNumId="21">
    <w:nsid w:val="189A769B"/>
    <w:multiLevelType w:val="hybridMultilevel"/>
    <w:lvl w:ilvl="0">
      <w:lvlJc w:val="left"/>
      <w:lvlText w:val="4"/>
      <w:numFmt w:val="bullet"/>
      <w:start w:val="1"/>
    </w:lvl>
  </w:abstractNum>
  <w:abstractNum w:abstractNumId="22">
    <w:nsid w:val="54E49EB4"/>
    <w:multiLevelType w:val="hybridMultilevel"/>
    <w:lvl w:ilvl="0">
      <w:lvlJc w:val="left"/>
      <w:lvlText w:val="5"/>
      <w:numFmt w:val="bullet"/>
      <w:start w:val="1"/>
    </w:lvl>
  </w:abstractNum>
  <w:abstractNum w:abstractNumId="23">
    <w:nsid w:val="71F32454"/>
    <w:multiLevelType w:val="hybridMultilevel"/>
    <w:lvl w:ilvl="0">
      <w:lvlJc w:val="left"/>
      <w:lvlText w:val="6"/>
      <w:numFmt w:val="bullet"/>
      <w:start w:val="1"/>
    </w:lvl>
  </w:abstractNum>
  <w:abstractNum w:abstractNumId="24">
    <w:nsid w:val="2CA88611"/>
    <w:multiLevelType w:val="hybridMultilevel"/>
    <w:lvl w:ilvl="0">
      <w:lvlJc w:val="left"/>
      <w:lvlText w:val="8"/>
      <w:numFmt w:val="bullet"/>
      <w:start w:val="1"/>
    </w:lvl>
  </w:abstractNum>
  <w:abstractNum w:abstractNumId="25">
    <w:nsid w:val="836C40E"/>
    <w:multiLevelType w:val="hybridMultilevel"/>
    <w:lvl w:ilvl="0">
      <w:lvlJc w:val="left"/>
      <w:lvlText w:val="9"/>
      <w:numFmt w:val="bullet"/>
      <w:start w:val="1"/>
    </w:lvl>
  </w:abstractNum>
  <w:abstractNum w:abstractNumId="26">
    <w:nsid w:val="2901D82"/>
    <w:multiLevelType w:val="hybridMultilevel"/>
    <w:lvl w:ilvl="0">
      <w:lvlJc w:val="left"/>
      <w:lvlText w:val="%1"/>
      <w:numFmt w:val="decimal"/>
      <w:start w:val="10"/>
    </w:lvl>
  </w:abstractNum>
  <w:abstractNum w:abstractNumId="27">
    <w:nsid w:val="3A95F874"/>
    <w:multiLevelType w:val="hybridMultilevel"/>
    <w:lvl w:ilvl="0">
      <w:lvlJc w:val="left"/>
      <w:lvlText w:val="(%1)"/>
      <w:numFmt w:val="lowerLetter"/>
      <w:start w:val="4"/>
    </w:lvl>
  </w:abstractNum>
  <w:abstractNum w:abstractNumId="28">
    <w:nsid w:val="8138641"/>
    <w:multiLevelType w:val="hybridMultilevel"/>
    <w:lvl w:ilvl="0">
      <w:lvlJc w:val="left"/>
      <w:lvlText w:val="(%1)"/>
      <w:numFmt w:val="lowerLetter"/>
      <w:start w:val="7"/>
    </w:lvl>
  </w:abstractNum>
  <w:abstractNum w:abstractNumId="29">
    <w:nsid w:val="1E7FF521"/>
    <w:multiLevelType w:val="hybridMultilevel"/>
    <w:lvl w:ilvl="0">
      <w:lvlJc w:val="left"/>
      <w:lvlText w:val="(%1)"/>
      <w:numFmt w:val="lowerLetter"/>
      <w:start w:val="1"/>
    </w:lvl>
  </w:abstractNum>
  <w:abstractNum w:abstractNumId="30">
    <w:nsid w:val="7C3DBD3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2019-12-11T23:32:31Z</dcterms:created>
  <dcterms:modified xsi:type="dcterms:W3CDTF">2019-12-11T23:32:31Z</dcterms:modified>
</cp:coreProperties>
</file>